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259" w:before="240" w:after="283"/>
        <w:rPr>
          <w:rFonts w:ascii="Times New Roman;serif" w:hAnsi="Times New Roman;serif"/>
          <w:b/>
          <w:i w:val="false"/>
          <w:caps w:val="false"/>
          <w:smallCaps w:val="false"/>
          <w:sz w:val="22"/>
        </w:rPr>
      </w:pPr>
      <w:bookmarkStart w:id="0" w:name="rdi-20250630x10q.htm"/>
      <w:bookmarkStart w:id="1" w:name="ksrdi20250630x10q"/>
      <w:bookmarkEnd w:id="0"/>
      <w:bookmarkEnd w:id="1"/>
      <w:r>
        <w:rPr>
          <w:rFonts w:ascii="Times New Roman;serif" w:hAnsi="Times New Roman;serif"/>
          <w:b/>
          <w:i w:val="false"/>
          <w:caps w:val="false"/>
          <w:smallCaps w:val="false"/>
          <w:sz w:val="22"/>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before="0" w:after="120"/>
        <w:jc w:val="center"/>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_____________________________________________________</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June 30, 2025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___________ to 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1-8625</w:t>
      </w:r>
    </w:p>
    <w:p>
      <w:pPr>
        <w:pStyle w:val="TextBody"/>
        <w:bidi w:val="0"/>
        <w:spacing w:lineRule="auto" w:line="259"/>
        <w:rPr>
          <w:caps w:val="false"/>
          <w:smallCaps w:val="false"/>
        </w:rPr>
      </w:pPr>
      <w:r>
        <w:rPr>
          <w:caps w:val="false"/>
          <w:smallCaps w:val="false"/>
        </w:rPr>
        <w:drawing>
          <wp:inline distT="0" distB="0" distL="0" distR="0">
            <wp:extent cx="2250440" cy="8515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0440" cy="851535"/>
                    </a:xfrm>
                    <a:prstGeom prst="rect">
                      <a:avLst/>
                    </a:prstGeom>
                  </pic:spPr>
                </pic:pic>
              </a:graphicData>
            </a:graphic>
          </wp:inline>
        </w:drawing>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082" w:type="dxa"/>
        <w:jc w:val="center"/>
        <w:tblInd w:w="0" w:type="dxa"/>
        <w:tblLayout w:type="fixed"/>
        <w:tblCellMar>
          <w:top w:w="0" w:type="dxa"/>
          <w:left w:w="0" w:type="dxa"/>
          <w:bottom w:w="0" w:type="dxa"/>
          <w:right w:w="0" w:type="dxa"/>
        </w:tblCellMar>
      </w:tblPr>
      <w:tblGrid>
        <w:gridCol w:w="4231"/>
        <w:gridCol w:w="2851"/>
      </w:tblGrid>
      <w:tr>
        <w:trPr/>
        <w:tc>
          <w:tcPr>
            <w:tcW w:w="423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tc>
        <w:tc>
          <w:tcPr>
            <w:tcW w:w="285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tc>
      </w:tr>
      <w:tr>
        <w:trPr/>
        <w:tc>
          <w:tcPr>
            <w:tcW w:w="423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New York, New York</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851" w:type="dxa"/>
            <w:tcBorders/>
            <w:vAlign w:val="center"/>
          </w:tcPr>
          <w:p>
            <w:pPr>
              <w:pStyle w:val="TableContents"/>
              <w:bidi w:val="0"/>
              <w:spacing w:lineRule="auto" w:line="259"/>
              <w:rPr>
                <w:caps w:val="false"/>
                <w:smallCaps w:val="false"/>
              </w:rPr>
            </w:pPr>
            <w:r>
              <w:rPr>
                <w:caps w:val="false"/>
                <w:smallCaps w:val="false"/>
              </w:rPr>
              <w:t> </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9250" w:type="dxa"/>
        <w:jc w:val="center"/>
        <w:tblInd w:w="0" w:type="dxa"/>
        <w:tblLayout w:type="fixed"/>
        <w:tblCellMar>
          <w:top w:w="0" w:type="dxa"/>
          <w:left w:w="0" w:type="dxa"/>
          <w:bottom w:w="0" w:type="dxa"/>
          <w:right w:w="0" w:type="dxa"/>
        </w:tblCellMar>
      </w:tblPr>
      <w:tblGrid>
        <w:gridCol w:w="4426"/>
        <w:gridCol w:w="146"/>
        <w:gridCol w:w="1261"/>
        <w:gridCol w:w="146"/>
        <w:gridCol w:w="327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Title of each class</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Trading Symbol</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Name of each exchange on which registered</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bl>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Large 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Non-Accelerated Filer</w:t>
      </w:r>
      <w:r>
        <w:rPr>
          <w:rFonts w:ascii="Times New Roman;serif" w:hAnsi="Times New Roman;serif"/>
          <w:caps w:val="false"/>
          <w:smallCaps w:val="false"/>
          <w:sz w:val="19"/>
        </w:rPr>
        <w:t xml:space="preserve">  ☑ </w:t>
      </w:r>
      <w:r>
        <w:rPr>
          <w:rFonts w:ascii="Times New Roman;serif" w:hAnsi="Times New Roman;serif"/>
          <w:b w:val="false"/>
          <w:i w:val="false"/>
          <w:caps w:val="false"/>
          <w:smallCaps w:val="false"/>
          <w:sz w:val="19"/>
        </w:rPr>
        <w:t>Smaller Reporting Company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Emerging Growth Company </w:t>
      </w:r>
      <w:r>
        <w:rPr>
          <w:rFonts w:ascii="Times New Roman;serif" w:hAnsi="Times New Roman;serif"/>
          <w:caps w:val="false"/>
          <w:smallCaps w:val="false"/>
          <w:sz w:val="19"/>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is a shell company (as defined in Rule 12b-2 of the Exchange Act).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bookmarkStart w:id="2" w:name="_Hlk77584395"/>
      <w:bookmarkEnd w:id="2"/>
      <w:r>
        <w:rPr>
          <w:rFonts w:ascii="Times New Roman;serif" w:hAnsi="Times New Roman;serif"/>
          <w:b w:val="false"/>
          <w:i w:val="false"/>
          <w:caps w:val="false"/>
          <w:smallCaps w:val="false"/>
          <w:sz w:val="20"/>
        </w:rPr>
        <w:t xml:space="preserve">Indicate the number of shares outstanding of each of the issuer’s classes of common stock, as of the latest practicable date. </w:t>
      </w:r>
      <w:bookmarkStart w:id="3" w:name="_Hlk141393246"/>
      <w:bookmarkEnd w:id="3"/>
      <w:r>
        <w:rPr>
          <w:rFonts w:ascii="Times New Roman;serif" w:hAnsi="Times New Roman;serif"/>
          <w:b w:val="false"/>
          <w:i w:val="false"/>
          <w:caps w:val="false"/>
          <w:smallCaps w:val="false"/>
          <w:sz w:val="20"/>
        </w:rPr>
        <w:t>As of August 13, 2025, there were 21,036,670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Nonvoting Common Stock, $0.01 par value per share, and 1,680,590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B Voting Common Stock, $0.01 par value per share, outstanding.</w:t>
        <w:br/>
        <w:t>‎</w:t>
      </w:r>
    </w:p>
    <w:p>
      <w:pPr>
        <w:pStyle w:val="TextBody"/>
        <w:bidi w:val="0"/>
        <w:spacing w:lineRule="auto" w:line="259"/>
        <w:rPr>
          <w:caps w:val="false"/>
          <w:smallCaps w:val="false"/>
        </w:rPr>
      </w:pPr>
      <w:bookmarkStart w:id="4" w:name="_Hlk196232287"/>
      <w:bookmarkEnd w:id="4"/>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READING </w:t>
      </w:r>
      <w:bookmarkStart w:id="5" w:name="TableOfContents"/>
      <w:bookmarkEnd w:id="5"/>
      <w:r>
        <w:rPr>
          <w:rFonts w:ascii="Times New Roman;serif" w:hAnsi="Times New Roman;serif"/>
          <w:b/>
          <w:i w:val="false"/>
          <w:caps w:val="false"/>
          <w:smallCaps w:val="false"/>
          <w:sz w:val="20"/>
        </w:rPr>
        <w:t>INTERNATIONAL, INC. AND SUBSIDIARIES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TABLE OF CONTENTS</w:t>
      </w:r>
    </w:p>
    <w:tbl>
      <w:tblPr>
        <w:tblW w:w="8627" w:type="dxa"/>
        <w:jc w:val="left"/>
        <w:tblInd w:w="0" w:type="dxa"/>
        <w:tblLayout w:type="fixed"/>
        <w:tblCellMar>
          <w:top w:w="0" w:type="dxa"/>
          <w:left w:w="0" w:type="dxa"/>
          <w:bottom w:w="0" w:type="dxa"/>
          <w:right w:w="0" w:type="dxa"/>
        </w:tblCellMar>
      </w:tblPr>
      <w:tblGrid>
        <w:gridCol w:w="8086"/>
        <w:gridCol w:w="541"/>
      </w:tblGrid>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Part1">
              <w:r>
                <w:rPr>
                  <w:rStyle w:val="InternetLink"/>
                  <w:rFonts w:ascii="Times New Roman;serif" w:hAnsi="Times New Roman;serif"/>
                  <w:b/>
                  <w:i w:val="false"/>
                  <w:caps w:val="false"/>
                  <w:smallCaps w:val="false"/>
                  <w:color w:val="0000FF"/>
                  <w:sz w:val="20"/>
                  <w:u w:val="single"/>
                </w:rPr>
                <w:t>PART I - Financial Information</w:t>
              </w:r>
            </w:hyperlink>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Item1">
              <w:r>
                <w:rPr>
                  <w:rStyle w:val="InternetLink"/>
                  <w:rFonts w:ascii="Times New Roman;serif" w:hAnsi="Times New Roman;serif"/>
                  <w:b w:val="false"/>
                  <w:i w:val="false"/>
                  <w:caps w:val="false"/>
                  <w:smallCaps w:val="false"/>
                  <w:color w:val="0000FF"/>
                  <w:sz w:val="20"/>
                  <w:u w:val="single"/>
                </w:rPr>
                <w:t>Item 1 – Financial Statements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shd w:fill="CCEEFF" w:val="clear"/>
            <w:vAlign w:val="center"/>
          </w:tcPr>
          <w:p>
            <w:pPr>
              <w:pStyle w:val="TableContents"/>
              <w:bidi w:val="0"/>
              <w:spacing w:lineRule="auto" w:line="259" w:before="0" w:after="283"/>
              <w:jc w:val="left"/>
              <w:rPr/>
            </w:pPr>
            <w:hyperlink w:anchor="BalSheet">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StmtofOpn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Income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8086" w:type="dxa"/>
            <w:tcBorders/>
            <w:shd w:fill="CCEEFF" w:val="clear"/>
            <w:vAlign w:val="center"/>
          </w:tcPr>
          <w:p>
            <w:pPr>
              <w:pStyle w:val="TableContents"/>
              <w:bidi w:val="0"/>
              <w:spacing w:lineRule="auto" w:line="259" w:before="0" w:after="283"/>
              <w:jc w:val="left"/>
              <w:rPr/>
            </w:pPr>
            <w:hyperlink w:anchor="StmtOfCompr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8086" w:type="dxa"/>
            <w:tcBorders/>
            <w:vAlign w:val="center"/>
          </w:tcPr>
          <w:p>
            <w:pPr>
              <w:pStyle w:val="TableContents"/>
              <w:bidi w:val="0"/>
              <w:spacing w:lineRule="auto" w:line="259" w:before="0" w:after="283"/>
              <w:jc w:val="left"/>
              <w:rPr/>
            </w:pPr>
            <w:hyperlink w:anchor="StmtOf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8086" w:type="dxa"/>
            <w:tcBorders/>
            <w:shd w:fill="CCEEFF" w:val="clear"/>
            <w:vAlign w:val="center"/>
          </w:tcPr>
          <w:p>
            <w:pPr>
              <w:pStyle w:val="TableContents"/>
              <w:bidi w:val="0"/>
              <w:spacing w:lineRule="auto" w:line="259" w:before="0" w:after="283"/>
              <w:jc w:val="left"/>
              <w:rPr/>
            </w:pPr>
            <w:hyperlink w:anchor="_Notes_to_Condensed">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r>
      <w:tr>
        <w:trPr/>
        <w:tc>
          <w:tcPr>
            <w:tcW w:w="8086" w:type="dxa"/>
            <w:tcBorders/>
            <w:vAlign w:val="center"/>
          </w:tcPr>
          <w:p>
            <w:pPr>
              <w:pStyle w:val="TableContents"/>
              <w:bidi w:val="0"/>
              <w:spacing w:lineRule="auto" w:line="259" w:before="0" w:after="283"/>
              <w:jc w:val="left"/>
              <w:rPr/>
            </w:pPr>
            <w:hyperlink w:anchor="Item2">
              <w:r>
                <w:rPr>
                  <w:rStyle w:val="InternetLink"/>
                  <w:rFonts w:ascii="Times New Roman;serif" w:hAnsi="Times New Roman;serif"/>
                  <w:b w:val="false"/>
                  <w:i w:val="false"/>
                  <w:caps w:val="false"/>
                  <w:smallCaps w:val="false"/>
                  <w:strike w:val="false"/>
                  <w:dstrike w:val="false"/>
                  <w:color w:val="0000FF"/>
                  <w:sz w:val="20"/>
                  <w:u w:val="single"/>
                  <w:effect w:val="none"/>
                </w:rPr>
                <w:t>Item 2 – Management’s Discussion and Analysis of Financial Condition and Results of Operations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r>
      <w:tr>
        <w:trPr/>
        <w:tc>
          <w:tcPr>
            <w:tcW w:w="8086" w:type="dxa"/>
            <w:tcBorders/>
            <w:shd w:fill="CCEEFF" w:val="clear"/>
            <w:vAlign w:val="center"/>
          </w:tcPr>
          <w:p>
            <w:pPr>
              <w:pStyle w:val="TableContents"/>
              <w:bidi w:val="0"/>
              <w:spacing w:lineRule="auto" w:line="259" w:before="0" w:after="283"/>
              <w:jc w:val="left"/>
              <w:rPr/>
            </w:pPr>
            <w:hyperlink w:anchor="Item3">
              <w:r>
                <w:rPr>
                  <w:rStyle w:val="InternetLink"/>
                  <w:rFonts w:ascii="Times New Roman;serif" w:hAnsi="Times New Roman;serif"/>
                  <w:b w:val="false"/>
                  <w:i w:val="false"/>
                  <w:caps w:val="false"/>
                  <w:smallCaps w:val="false"/>
                  <w:strike w:val="false"/>
                  <w:dstrike w:val="false"/>
                  <w:color w:val="0000FF"/>
                  <w:sz w:val="20"/>
                  <w:u w:val="single"/>
                  <w:effect w:val="none"/>
                </w:rPr>
                <w:t>Item 3 – Quantitative and Qualitative Disclosure about Market Risk</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8086" w:type="dxa"/>
            <w:tcBorders/>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000FF"/>
                  <w:sz w:val="20"/>
                  <w:u w:val="single"/>
                  <w:effect w:val="none"/>
                </w:rPr>
                <w:t>Item 4 – Controls and Procedures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r>
      <w:tr>
        <w:trPr/>
        <w:tc>
          <w:tcPr>
            <w:tcW w:w="8086" w:type="dxa"/>
            <w:tcBorders/>
            <w:shd w:fill="CCEEFF" w:val="clear"/>
            <w:vAlign w:val="center"/>
          </w:tcPr>
          <w:p>
            <w:pPr>
              <w:pStyle w:val="TableContents"/>
              <w:bidi w:val="0"/>
              <w:spacing w:lineRule="auto" w:line="259" w:before="0" w:after="283"/>
              <w:jc w:val="left"/>
              <w:rPr/>
            </w:pPr>
            <w:hyperlink w:anchor="Part2">
              <w:r>
                <w:rPr>
                  <w:rStyle w:val="InternetLink"/>
                  <w:rFonts w:ascii="Times New Roman;serif" w:hAnsi="Times New Roman;serif"/>
                  <w:b/>
                  <w:i w:val="false"/>
                  <w:caps w:val="false"/>
                  <w:smallCaps w:val="false"/>
                  <w:strike w:val="false"/>
                  <w:dstrike w:val="false"/>
                  <w:color w:val="0000FF"/>
                  <w:sz w:val="20"/>
                  <w:u w:val="single"/>
                  <w:effect w:val="none"/>
                </w:rPr>
                <w:t>PART II – Other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vAlign w:val="center"/>
          </w:tcPr>
          <w:p>
            <w:pPr>
              <w:pStyle w:val="TableContents"/>
              <w:bidi w:val="0"/>
              <w:spacing w:lineRule="auto" w:line="259" w:before="0" w:after="283"/>
              <w:jc w:val="left"/>
              <w:rPr/>
            </w:pPr>
            <w:hyperlink w:anchor="Part2Item1">
              <w:r>
                <w:rPr>
                  <w:rStyle w:val="InternetLink"/>
                  <w:rFonts w:ascii="Times New Roman;serif" w:hAnsi="Times New Roman;serif"/>
                  <w:b w:val="false"/>
                  <w:i w:val="false"/>
                  <w:caps w:val="false"/>
                  <w:smallCaps w:val="false"/>
                  <w:strike w:val="false"/>
                  <w:dstrike w:val="false"/>
                  <w:color w:val="0000FF"/>
                  <w:sz w:val="20"/>
                  <w:u w:val="single"/>
                  <w:effect w:val="none"/>
                </w:rPr>
                <w:t>Item 1 – Legal Proceedings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shd w:fill="CCEEFF" w:val="clear"/>
            <w:vAlign w:val="center"/>
          </w:tcPr>
          <w:p>
            <w:pPr>
              <w:pStyle w:val="TableContents"/>
              <w:bidi w:val="0"/>
              <w:spacing w:lineRule="auto" w:line="259" w:before="0" w:after="283"/>
              <w:jc w:val="left"/>
              <w:rPr/>
            </w:pPr>
            <w:hyperlink w:anchor="Part2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vAlign w:val="center"/>
          </w:tcPr>
          <w:p>
            <w:pPr>
              <w:pStyle w:val="TableContents"/>
              <w:bidi w:val="0"/>
              <w:spacing w:lineRule="auto" w:line="259" w:before="0" w:after="283"/>
              <w:jc w:val="left"/>
              <w:rPr/>
            </w:pPr>
            <w:hyperlink w:anchor="Part2Item2">
              <w:r>
                <w:rPr>
                  <w:rStyle w:val="InternetLink"/>
                  <w:rFonts w:ascii="Times New Roman;serif" w:hAnsi="Times New Roman;serif"/>
                  <w:b w:val="false"/>
                  <w:i w:val="false"/>
                  <w:caps w:val="false"/>
                  <w:smallCaps w:val="false"/>
                  <w:strike w:val="false"/>
                  <w:dstrike w:val="false"/>
                  <w:color w:val="0000FF"/>
                  <w:sz w:val="20"/>
                  <w:u w:val="single"/>
                  <w:effect w:val="none"/>
                </w:rPr>
                <w:t>Item 2 – Unregistered Sales of Equity Securities and Use of Proceeds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shd w:fill="CCEEFF" w:val="clear"/>
            <w:vAlign w:val="center"/>
          </w:tcPr>
          <w:p>
            <w:pPr>
              <w:pStyle w:val="TableContents"/>
              <w:bidi w:val="0"/>
              <w:spacing w:lineRule="auto" w:line="259" w:before="0" w:after="283"/>
              <w:jc w:val="left"/>
              <w:rPr/>
            </w:pPr>
            <w:hyperlink w:anchor="Part2Item3">
              <w:r>
                <w:rPr>
                  <w:rStyle w:val="InternetLink"/>
                  <w:rFonts w:ascii="Times New Roman;serif" w:hAnsi="Times New Roman;serif"/>
                  <w:b w:val="false"/>
                  <w:i w:val="false"/>
                  <w:caps w:val="false"/>
                  <w:smallCaps w:val="false"/>
                  <w:strike w:val="false"/>
                  <w:dstrike w:val="false"/>
                  <w:color w:val="0000FF"/>
                  <w:sz w:val="20"/>
                  <w:u w:val="single"/>
                  <w:effect w:val="none"/>
                </w:rPr>
                <w:t>Item 3 – Defaults Upon Senior Securities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vAlign w:val="center"/>
          </w:tcPr>
          <w:p>
            <w:pPr>
              <w:pStyle w:val="TableContents"/>
              <w:bidi w:val="0"/>
              <w:spacing w:lineRule="auto" w:line="259" w:before="0" w:after="283"/>
              <w:jc w:val="left"/>
              <w:rPr/>
            </w:pPr>
            <w:hyperlink w:anchor="Part2Item4">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shd w:fill="CCEEFF" w:val="clear"/>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Other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vAlign w:val="center"/>
          </w:tcPr>
          <w:p>
            <w:pPr>
              <w:pStyle w:val="TableContents"/>
              <w:bidi w:val="0"/>
              <w:spacing w:lineRule="auto" w:line="259" w:before="0" w:after="283"/>
              <w:jc w:val="left"/>
              <w:rPr/>
            </w:pPr>
            <w:hyperlink w:anchor="Part2Item6">
              <w:r>
                <w:rPr>
                  <w:rStyle w:val="InternetLink"/>
                  <w:rFonts w:ascii="Times New Roman;serif" w:hAnsi="Times New Roman;serif"/>
                  <w:b w:val="false"/>
                  <w:i w:val="false"/>
                  <w:caps w:val="false"/>
                  <w:smallCaps w:val="false"/>
                  <w:strike w:val="false"/>
                  <w:dstrike w:val="false"/>
                  <w:color w:val="0000FF"/>
                  <w:sz w:val="20"/>
                  <w:u w:val="single"/>
                  <w:effect w:val="none"/>
                </w:rPr>
                <w:t>Item 6 – Exhibits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8086" w:type="dxa"/>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r>
      <w:tr>
        <w:trPr/>
        <w:tc>
          <w:tcPr>
            <w:tcW w:w="8086" w:type="dxa"/>
            <w:tcBorders/>
            <w:vAlign w:val="center"/>
          </w:tcPr>
          <w:p>
            <w:pPr>
              <w:pStyle w:val="TableContents"/>
              <w:bidi w:val="0"/>
              <w:spacing w:lineRule="auto" w:line="259" w:before="0" w:after="283"/>
              <w:jc w:val="left"/>
              <w:rPr/>
            </w:pPr>
            <w:hyperlink w:anchor="Part2Item6">
              <w:r>
                <w:rPr>
                  <w:rStyle w:val="InternetLink"/>
                  <w:rFonts w:ascii="Times New Roman;serif" w:hAnsi="Times New Roman;serif"/>
                  <w:b/>
                  <w:i w:val="false"/>
                  <w:caps w:val="false"/>
                  <w:smallCaps w:val="false"/>
                  <w:strike w:val="false"/>
                  <w:dstrike w:val="false"/>
                  <w:color w:val="0000FF"/>
                  <w:sz w:val="20"/>
                  <w:u w:val="single"/>
                  <w:effect w:val="none"/>
                </w:rPr>
                <w:t>Certifications</w:t>
              </w:r>
            </w:hyperlink>
          </w:p>
        </w:tc>
        <w:tc>
          <w:tcPr>
            <w:tcW w:w="54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1 – FINANCIAL INFORMATION</w:t>
      </w:r>
      <w:bookmarkStart w:id="6" w:name="Part1"/>
      <w:bookmarkEnd w:id="6"/>
    </w:p>
    <w:p>
      <w:pPr>
        <w:pStyle w:val="TextBody"/>
        <w:bidi w:val="0"/>
        <w:spacing w:lineRule="auto" w:line="259"/>
        <w:rPr>
          <w:rFonts w:ascii="Times New Roman;serif" w:hAnsi="Times New Roman;serif"/>
          <w:b/>
          <w:i w:val="false"/>
          <w:caps w:val="false"/>
          <w:smallCaps w:val="false"/>
          <w:sz w:val="20"/>
          <w:u w:val="single"/>
        </w:rPr>
      </w:pPr>
      <w:bookmarkStart w:id="7" w:name="Item1"/>
      <w:bookmarkEnd w:id="7"/>
      <w:r>
        <w:rPr>
          <w:rFonts w:ascii="Times New Roman;serif" w:hAnsi="Times New Roman;serif"/>
          <w:b/>
          <w:i w:val="false"/>
          <w:caps w:val="false"/>
          <w:smallCaps w:val="false"/>
          <w:sz w:val="20"/>
          <w:u w:val="single"/>
        </w:rPr>
        <w:t>Item 1 -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BALANCE SHEETS</w:t>
      </w:r>
      <w:bookmarkStart w:id="8" w:name="BalSheet"/>
      <w:bookmarkEnd w:id="8"/>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(U.S. dollars in thousands, except share information)</w:t>
      </w:r>
    </w:p>
    <w:tbl>
      <w:tblPr>
        <w:tblW w:w="9463" w:type="dxa"/>
        <w:jc w:val="left"/>
        <w:tblInd w:w="0" w:type="dxa"/>
        <w:tblLayout w:type="fixed"/>
        <w:tblCellMar>
          <w:top w:w="0" w:type="dxa"/>
          <w:left w:w="0" w:type="dxa"/>
          <w:bottom w:w="0" w:type="dxa"/>
          <w:right w:w="0" w:type="dxa"/>
        </w:tblCellMar>
      </w:tblPr>
      <w:tblGrid>
        <w:gridCol w:w="6976"/>
        <w:gridCol w:w="109"/>
        <w:gridCol w:w="211"/>
        <w:gridCol w:w="901"/>
        <w:gridCol w:w="109"/>
        <w:gridCol w:w="211"/>
        <w:gridCol w:w="946"/>
      </w:tblGrid>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97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697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12,347</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2,668</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 and property held for sale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32,331</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57,042</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property,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214,694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160,562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160,873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in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24,868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23,712</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1,800</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asset,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8,799</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438,075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471,011</w:t>
            </w:r>
          </w:p>
        </w:tc>
      </w:tr>
      <w:tr>
        <w:trPr/>
        <w:tc>
          <w:tcPr>
            <w:tcW w:w="69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48,651</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69,193</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 - current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9,731</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20,747</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6,593</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130,451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161,626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105,239</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27,506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27,394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6,041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161,702</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13,662</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446,503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475,801</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 (Note 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33,972,781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21,036,670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outstanding at June 30, 2025 and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33,681,705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20,745,594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June 30, 2025 and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June 30, 2025 and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157,751</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earnings/(deficits)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(122,213)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(114,790)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(7,173)</w:t>
            </w:r>
          </w:p>
        </w:tc>
      </w:tr>
      <w:tr>
        <w:trPr/>
        <w:tc>
          <w:tcPr>
            <w:tcW w:w="69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(4,364)</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(426)</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(4,790)</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438,075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471,011</w:t>
            </w:r>
          </w:p>
        </w:tc>
      </w:tr>
    </w:tbl>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See accompanying Notes to the Unaudited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INCOME</w:t>
      </w:r>
      <w:bookmarkStart w:id="9" w:name="StmtofOpns"/>
      <w:bookmarkEnd w:id="9"/>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 except per share data)</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7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7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93,186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84,213</w:t>
            </w:r>
          </w:p>
        </w:tc>
      </w:tr>
      <w:tr>
        <w:trPr/>
        <w:tc>
          <w:tcPr>
            <w:tcW w:w="47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7,648</w:t>
            </w:r>
          </w:p>
        </w:tc>
      </w:tr>
      <w:tr>
        <w:trPr/>
        <w:tc>
          <w:tcPr>
            <w:tcW w:w="4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46,809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100,547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91,861</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(46,883)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(83,460)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(83,478)</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(4,696)</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(8,216)</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(10,693)</w:t>
            </w:r>
          </w:p>
        </w:tc>
      </w:tr>
      <w:tr>
        <w:trPr/>
        <w:tc>
          <w:tcPr>
            <w:tcW w:w="4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(57,487)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(54,501)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(107,083)</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(15,222)</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(10,662)</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(1,116)</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(26,877)</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(26,783)</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(26,404)</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(370)</w:t>
            </w:r>
          </w:p>
        </w:tc>
      </w:tr>
      <w:tr>
        <w:trPr/>
        <w:tc>
          <w:tcPr>
            <w:tcW w:w="4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(26,034)</w:t>
            </w:r>
          </w:p>
        </w:tc>
      </w:tr>
      <w:tr>
        <w:trPr/>
        <w:tc>
          <w:tcPr>
            <w:tcW w:w="47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r>
      <w:tr>
        <w:trPr/>
        <w:tc>
          <w:tcPr>
            <w:tcW w:w="47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r>
      <w:tr>
        <w:trPr/>
        <w:tc>
          <w:tcPr>
            <w:tcW w:w="473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22,708,206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22,413,617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22,586,019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22,379,881</w:t>
            </w:r>
          </w:p>
        </w:tc>
      </w:tr>
      <w:tr>
        <w:trPr/>
        <w:tc>
          <w:tcPr>
            <w:tcW w:w="473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22,708,206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22,413,617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22,586,019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22,379,881</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18"/>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w:t>
      </w:r>
      <w:bookmarkStart w:id="10" w:name="StmtOfCompre"/>
      <w:bookmarkEnd w:id="10"/>
      <w:r>
        <w:rPr>
          <w:rFonts w:ascii="Times New Roman;serif" w:hAnsi="Times New Roman;serif"/>
          <w:b/>
          <w:i w:val="false"/>
          <w:caps w:val="false"/>
          <w:smallCaps w:val="false"/>
          <w:sz w:val="20"/>
        </w:rPr>
        <w:t>ONSOLIDATED STATEMENTS OF COMPREHENSIVE INCOME</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10205" w:type="dxa"/>
        <w:jc w:val="left"/>
        <w:tblInd w:w="0" w:type="dxa"/>
        <w:tblLayout w:type="fixed"/>
        <w:tblCellMar>
          <w:top w:w="0" w:type="dxa"/>
          <w:left w:w="0" w:type="dxa"/>
          <w:bottom w:w="0" w:type="dxa"/>
          <w:right w:w="0" w:type="dxa"/>
        </w:tblCellMar>
      </w:tblPr>
      <w:tblGrid>
        <w:gridCol w:w="5917"/>
        <w:gridCol w:w="109"/>
        <w:gridCol w:w="211"/>
        <w:gridCol w:w="688"/>
        <w:gridCol w:w="109"/>
        <w:gridCol w:w="211"/>
        <w:gridCol w:w="793"/>
        <w:gridCol w:w="109"/>
        <w:gridCol w:w="211"/>
        <w:gridCol w:w="688"/>
        <w:gridCol w:w="109"/>
        <w:gridCol w:w="211"/>
        <w:gridCol w:w="839"/>
      </w:tblGrid>
      <w:tr>
        <w:trPr/>
        <w:tc>
          <w:tcPr>
            <w:tcW w:w="5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5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5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05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5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05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591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59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(26,404)</w:t>
            </w:r>
          </w:p>
        </w:tc>
      </w:tr>
      <w:tr>
        <w:trPr/>
        <w:tc>
          <w:tcPr>
            <w:tcW w:w="59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gain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(1,659)</w:t>
            </w:r>
          </w:p>
        </w:tc>
      </w:tr>
      <w:tr>
        <w:trPr/>
        <w:tc>
          <w:tcPr>
            <w:tcW w:w="5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tc>
      </w:tr>
      <w:tr>
        <w:trPr/>
        <w:tc>
          <w:tcPr>
            <w:tcW w:w="591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tc>
      </w:tr>
      <w:tr>
        <w:trPr/>
        <w:tc>
          <w:tcPr>
            <w:tcW w:w="59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(12,115)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(28,059)</w:t>
            </w:r>
          </w:p>
        </w:tc>
      </w:tr>
      <w:tr>
        <w:trPr/>
        <w:tc>
          <w:tcPr>
            <w:tcW w:w="59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(370)</w:t>
            </w:r>
          </w:p>
        </w:tc>
      </w:tr>
      <w:tr>
        <w:trPr/>
        <w:tc>
          <w:tcPr>
            <w:tcW w:w="5917"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comprehensive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591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(27,688)</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w:t>
      </w:r>
      <w:bookmarkStart w:id="11" w:name="StmtOfCF"/>
      <w:bookmarkEnd w:id="11"/>
      <w:r>
        <w:rPr>
          <w:rFonts w:ascii="Times New Roman;serif" w:hAnsi="Times New Roman;serif"/>
          <w:b/>
          <w:i w:val="false"/>
          <w:caps w:val="false"/>
          <w:smallCaps w:val="false"/>
          <w:sz w:val="20"/>
        </w:rPr>
        <w:t xml:space="preserve">SOLIDATED STATEMENTS OF CASH FLOWS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9478" w:type="dxa"/>
        <w:jc w:val="left"/>
        <w:tblInd w:w="0" w:type="dxa"/>
        <w:tblLayout w:type="fixed"/>
        <w:tblCellMar>
          <w:top w:w="0" w:type="dxa"/>
          <w:left w:w="0" w:type="dxa"/>
          <w:bottom w:w="0" w:type="dxa"/>
          <w:right w:w="0" w:type="dxa"/>
        </w:tblCellMar>
      </w:tblPr>
      <w:tblGrid>
        <w:gridCol w:w="7201"/>
        <w:gridCol w:w="109"/>
        <w:gridCol w:w="211"/>
        <w:gridCol w:w="796"/>
        <w:gridCol w:w="109"/>
        <w:gridCol w:w="211"/>
        <w:gridCol w:w="841"/>
      </w:tblGrid>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(26,404)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(loss)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Distributions of earnings from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recognized on foreign currency transactions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1,116</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9,089</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(9,903)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8,216</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829</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1,134</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5,383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(1,069)</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758</w:t>
            </w:r>
          </w:p>
        </w:tc>
      </w:tr>
      <w:tr>
        <w:trPr/>
        <w:tc>
          <w:tcPr>
            <w:tcW w:w="7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(13,157)</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9,603</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7,398</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borrowings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(33,843)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(11,391)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12,980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proceeds from the settlement of employee share transactions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(34,883)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(4,714)</w:t>
            </w:r>
          </w:p>
        </w:tc>
      </w:tr>
      <w:tr>
        <w:trPr/>
        <w:tc>
          <w:tcPr>
            <w:tcW w:w="7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r>
      <w:tr>
        <w:trPr/>
        <w:tc>
          <w:tcPr>
            <w:tcW w:w="7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10,727</w:t>
            </w:r>
          </w:p>
        </w:tc>
      </w:tr>
      <w:tr>
        <w:trPr/>
        <w:tc>
          <w:tcPr>
            <w:tcW w:w="7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9,242</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1,485</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10,727</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9,608</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(refunded) paid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1,029</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2,736</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bookmarkStart w:id="12" w:name="NotestoFinancialStatements"/>
      <w:bookmarkStart w:id="13" w:name="_Toc133383085"/>
      <w:bookmarkStart w:id="14" w:name="_Toc229486209"/>
      <w:bookmarkStart w:id="15" w:name="_Notes_to_Condensed"/>
      <w:bookmarkEnd w:id="12"/>
      <w:bookmarkEnd w:id="13"/>
      <w:bookmarkEnd w:id="14"/>
      <w:bookmarkEnd w:id="15"/>
      <w:r>
        <w:rPr>
          <w:rFonts w:ascii="Times New Roman;serif" w:hAnsi="Times New Roman;serif"/>
          <w:b/>
          <w:i w:val="false"/>
          <w:caps w:val="false"/>
          <w:smallCaps w:val="false"/>
          <w:sz w:val="20"/>
        </w:rPr>
        <w:t>NOTES TO</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CONSOLIDATED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(Unaudited)</w:t>
        <w:br/>
        <w:t>‎</w:t>
      </w:r>
      <w:r>
        <w:rPr>
          <w:rFonts w:ascii="Times New Roman;serif" w:hAnsi="Times New Roman;serif"/>
          <w:b/>
          <w:i w:val="false"/>
          <w:caps w:val="false"/>
          <w:smallCaps w:val="false"/>
          <w:sz w:val="20"/>
        </w:rPr>
        <w:t>As of and for the six Months Ended June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NOTE 1 – DESCRIPTION OF BUSINESS AND SEGMENT REPORTING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Our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consist primarily of:</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rPr>
          <w:caps w:val="false"/>
          <w:smallCaps w:val="false"/>
        </w:rPr>
      </w:pPr>
      <w:r>
        <w:rPr>
          <w:caps w:val="false"/>
          <w:smallCaps w:val="false"/>
        </w:rPr>
        <w:t> </w:t>
      </w:r>
      <w:bookmarkStart w:id="16" w:name="_Hlk43382269"/>
      <w:bookmarkEnd w:id="16"/>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2 – LIQUIDITY AND IMPAIRMENT ASSESSMENT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Going Concern</w:t>
      </w:r>
    </w:p>
    <w:p>
      <w:pPr>
        <w:pStyle w:val="TextBody"/>
        <w:bidi w:val="0"/>
        <w:spacing w:lineRule="auto" w:line="259"/>
        <w:rPr>
          <w:rFonts w:ascii="Times New Roman;serif" w:hAnsi="Times New Roman;serif"/>
          <w:sz w:val="20"/>
        </w:rPr>
      </w:pPr>
      <w:bookmarkStart w:id="17" w:name="_Hlk182379065"/>
      <w:bookmarkEnd w:id="17"/>
      <w:r>
        <w:rPr>
          <w:rFonts w:ascii="Times New Roman;serif" w:hAnsi="Times New Roman;serif"/>
          <w:b w:val="false"/>
          <w:i w:val="false"/>
          <w:caps w:val="false"/>
          <w:smallCaps w:val="false"/>
          <w:sz w:val="20"/>
        </w:rPr>
        <w:t xml:space="preserve">We continue to evaluate the going concern assertion required by ASC 205-40 </w:t>
      </w:r>
      <w:r>
        <w:rPr>
          <w:rFonts w:ascii="Times New Roman;serif" w:hAnsi="Times New Roman;serif"/>
          <w:b w:val="false"/>
          <w:i/>
          <w:sz w:val="20"/>
        </w:rPr>
        <w:t>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it relates to our Company. The evaluation of the going concern assertion involves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develop plans to overcome that shortfall. We must then determine whether it is probable that our plans will be effectively implemented and will mitigate the consequential going concern substantial doubt.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$38.2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debt due in twelve months, cash of $12.0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negative working capital of $109.2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a result, we have developed a plan to address and overcome the going concern uncertainty. Our plan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historically and is key to management’s overall evaluation of ASC 205-40 Going Concern.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While we believe that, with an increase in the quantity and quality of films being released to cinemas compared to pre-pandemic levels, patronage and operating revenue levels will improve, we have no control over attendance levels and no assurances can be given as to the nature of the reception of future movies by the movie-going public. </w:t>
      </w:r>
    </w:p>
    <w:p>
      <w:pPr>
        <w:pStyle w:val="TextBody"/>
        <w:bidi w:val="0"/>
        <w:spacing w:lineRule="auto" w:line="259"/>
        <w:rPr>
          <w:rFonts w:ascii="Times New Roman;serif" w:hAnsi="Times New Roman;serif"/>
          <w:sz w:val="20"/>
        </w:rPr>
      </w:pPr>
      <w:bookmarkStart w:id="18" w:name="_Hlk197588604"/>
      <w:bookmarkEnd w:id="18"/>
      <w:r>
        <w:rPr>
          <w:rFonts w:ascii="Times New Roman;serif" w:hAnsi="Times New Roman;serif"/>
          <w:b w:val="false"/>
          <w:i w:val="false"/>
          <w:caps w:val="false"/>
          <w:smallCaps w:val="false"/>
          <w:color w:val="000000"/>
          <w:sz w:val="20"/>
        </w:rPr>
        <w:t xml:space="preserve">We have begun the process of refinancing and/or extending certain loans, as further discussed in </w:t>
      </w:r>
      <w:r>
        <w:rPr>
          <w:rFonts w:ascii="Times New Roman;serif" w:hAnsi="Times New Roman;serif"/>
          <w:b w:val="false"/>
          <w:i/>
          <w:color w:val="000000"/>
          <w:sz w:val="20"/>
        </w:rPr>
        <w:t>Note 13 - Borrowings</w:t>
      </w:r>
      <w:r>
        <w:rPr>
          <w:rFonts w:ascii="Times New Roman;serif" w:hAnsi="Times New Roman;serif"/>
          <w:b w:val="false"/>
          <w:i w:val="false"/>
          <w:caps w:val="false"/>
          <w:smallCaps w:val="false"/>
          <w:color w:val="000000"/>
          <w:sz w:val="20"/>
        </w:rPr>
        <w:t>. On January 31, 2025, we repaid our $10.7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Westpac loan. On February 5, 2025, we repaid $6.1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of our Bank of America facility, taking the balance to $8.7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On July 3, 2025, we extended the maturity date of this loan to May 18, 2026. On February 26, 2025, we exercised our option to extend our Valley National debt to October 1, 2025. On May 2, 2025, we extended our Emerald Creek Capital loan to November 6, 2026. On May 21, 2025, we sold our Cannon Park property for $20.7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and repaid our $12.9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NAB bridging facility and $970,000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on our Core Facility. On July 18, 2025, we extended the maturity date of our Santander loan to June 1, 2026.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Moreover, we intend to raise the liquidity necessary for the next twelve months from refinancings and real estate asset monetization. Management has been authorized to pursue such actions where necessary. We believe we have more than sufficient marketable real estate assets that can be monetized on a timely basis and at the values required to meet our funding needs over the next twelve months. After having sold nine property assets with combined proceeds of $201.5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since 2021, we have demonstrated our ability to complete real estate asset monetizations.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In conclusion, as of the date of issuance of these financial statements, based on our evaluation of ASC 205-40 </w:t>
      </w:r>
      <w:r>
        <w:rPr>
          <w:rFonts w:ascii="Times New Roman;serif" w:hAnsi="Times New Roman;serif"/>
          <w:b w:val="false"/>
          <w:i/>
          <w:color w:val="000000"/>
          <w:sz w:val="20"/>
        </w:rPr>
        <w:t>Going Concern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the current conditions and events, considered in the aggregate, and our various plans for enhancing liquidity and the extent to which those plans are progressing, we conclude that our plan to raise sufficient liquidity primarily through certain real estate asset monetizations to the extent needed is probable of being implemented to the extent required such that this alleviates the substantial doubt about our Company’s ability to continue as a going concern.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considers that the events and factors described above constitute impairment indicators under </w:t>
      </w:r>
      <w:r>
        <w:rPr>
          <w:rFonts w:ascii="Times New Roman;serif" w:hAnsi="Times New Roman;serif"/>
          <w:b w:val="false"/>
          <w:i/>
          <w:sz w:val="20"/>
        </w:rPr>
        <w:t>ASC 360 Property, Plant and Equipment</w:t>
      </w:r>
      <w:r>
        <w:rPr>
          <w:rFonts w:ascii="Times New Roman;serif" w:hAnsi="Times New Roman;serif"/>
          <w:b w:val="false"/>
          <w:i w:val="false"/>
          <w:caps w:val="false"/>
          <w:smallCaps w:val="false"/>
          <w:sz w:val="20"/>
        </w:rPr>
        <w:t xml:space="preserve">. At December 31, 2024, our Company performed a quantitative recoverability test of the carrying values of all its asset groups. Our Company estimated the undiscounted future cash flows expected to result from the use of these asset groups and found that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no impairment charge was necessary. Our first six months of 2025 produced higher revenues and operating income compared to the same period in 2024, and we believe that this improved performance at an asset group level will continue throughout the remainder of 2025. As a result, we recorded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for the first six months of 2025.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also considers that the events and factors described above continue to constitute impairment indicators under </w:t>
      </w:r>
      <w:r>
        <w:rPr>
          <w:rFonts w:ascii="Times New Roman;serif" w:hAnsi="Times New Roman;serif"/>
          <w:b w:val="false"/>
          <w:i/>
          <w:sz w:val="20"/>
        </w:rPr>
        <w:t>ASC 350 Intangibles – Goodwill and Other</w:t>
      </w:r>
      <w:r>
        <w:rPr>
          <w:rFonts w:ascii="Times New Roman;serif" w:hAnsi="Times New Roman;serif"/>
          <w:b w:val="false"/>
          <w:i w:val="false"/>
          <w:caps w:val="false"/>
          <w:smallCaps w:val="false"/>
          <w:sz w:val="20"/>
        </w:rPr>
        <w:t>. Our Company performed a quantitative goodwill impairment test and determined that our goodwill was not impaired as of December 31, 2024.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were recorded in the first six months of 2025. Actual performance against our forecasts is dependent on several variables and conditions, including among other things, the factors presented above, and as a result, actual results may materially differ from management’s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3 – SUMMARY OF SIGNIFICANT ACCOUNTING POLICIES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of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2024 (“2024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results for the quarter and six months ended June 30, 2025 are not necessarily indicative of the results that may be expected for the year ending December 31, 2025.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Use of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 and (v) estimation of our Incremental Borrowing Rate (“IBR”) as relates to the valuation of our right-of-use assets and lease liabilities. Actual results may differ from those estimates</w:t>
      </w:r>
      <w:r>
        <w:rPr>
          <w:rFonts w:ascii="Times New Roman;serif" w:hAnsi="Times New Roman;serif"/>
          <w:b w:val="false"/>
          <w:i/>
          <w:color w:val="000000"/>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4 – SEGMENT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report information about operating segments in accordance with ASC 280-10 Segment Reporting, which requires financial information to be reported based on the way management organizes segments with a company for making operating decisions and evaluating performance. We have organized our business into two reportable segments, being cinema exhibition and 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cinema exhibition segment aggregates all our cinemas, both leased and owned, across the United States, Australia and New Zealand. Each of our cinemas earns revenue through the sale of movie tickets, food and beverage, screen advertising, theater rentals, merchandise, gift card and loyalty membership, and other ancillary sales. The segment also earns revenue through service fees related to online ticket sales. Expenses are incurred through film rent, wages and salaries, food and beverage costs, occupancy costs, utilities, and other ancillary costs. We further organize this segment by geography, as while all our cinemas are engaged in substantially the same business activities, each geography is subject to its own unique regulatory and business conditions.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segment aggregates all our retail, commercial and live theater real estate assets across Australia, New Zealand, and the United States. Our retail and commercial real estate assets earn revenue through the leasing or licensing of space to third party tenants.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live theater assets in the United States earn revenue through leasing or licensing space to third party production companies, an activity we consider sufficiently similar to our broader real estate base to support inclusion in our real estate segment. Our live theatre operations also earn revenue by providing front of house and box office services and through concession sale of food and beverage. All of our real estate assets incur expenses from property maintenance, utilities, taxes, and other costs of maintaining real estate and in some cases third party property management. Most of our real estate is currently self-managed.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these segments has discrete and separate financial information and for which operating results are evaluated regularly by our President, Chief Executive Officer and Vice Chair of Board and Director, the chief operating decision-maker (“CODM”) of the Company. The CODM is responsible for the allocation of resources to, and the assessment of the performance of, our operating segments. The CODM determines, among other things: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or termination of cinema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or termination of third-party tenant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capital expenditures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-internal resource allocation</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-operational budgets. </w:t>
      </w:r>
    </w:p>
    <w:p>
      <w:pPr>
        <w:pStyle w:val="TextBody"/>
        <w:bidi w:val="0"/>
        <w:spacing w:lineRule="auto" w:line="259"/>
        <w:ind w:left="720" w:right="0" w:hanging="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Segment operating income is a key measure of profit or loss used by the CODM to assess segment performance and allocate resources. Segment operating income includes certain amounts charged by our real estate segment to our cinema exhibition segment where a cinema exhibition is a tenant of the real estate segment. These charges are eliminated for consolidated financial statement purposes in the consolidated income statement, but are presented gross to the CODM. We do not report asset information by segment because that information is not used to evaluate the performance or allocate resources between segments.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the results of operations for each of our business segments, presenting a reconciliation of segment revenue to operating segment income, and the impact of inter-segment transactions. </w:t>
      </w:r>
    </w:p>
    <w:tbl>
      <w:tblPr>
        <w:tblW w:w="10854" w:type="dxa"/>
        <w:jc w:val="left"/>
        <w:tblInd w:w="0" w:type="dxa"/>
        <w:tblLayout w:type="fixed"/>
        <w:tblCellMar>
          <w:top w:w="0" w:type="dxa"/>
          <w:left w:w="0" w:type="dxa"/>
          <w:bottom w:w="0" w:type="dxa"/>
          <w:right w:w="0" w:type="dxa"/>
        </w:tblCellMar>
      </w:tblPr>
      <w:tblGrid>
        <w:gridCol w:w="961"/>
        <w:gridCol w:w="181"/>
        <w:gridCol w:w="556"/>
        <w:gridCol w:w="109"/>
        <w:gridCol w:w="181"/>
        <w:gridCol w:w="481"/>
        <w:gridCol w:w="109"/>
        <w:gridCol w:w="181"/>
        <w:gridCol w:w="556"/>
        <w:gridCol w:w="109"/>
        <w:gridCol w:w="181"/>
        <w:gridCol w:w="556"/>
        <w:gridCol w:w="109"/>
        <w:gridCol w:w="181"/>
        <w:gridCol w:w="481"/>
        <w:gridCol w:w="109"/>
        <w:gridCol w:w="181"/>
        <w:gridCol w:w="556"/>
        <w:gridCol w:w="109"/>
        <w:gridCol w:w="181"/>
        <w:gridCol w:w="556"/>
        <w:gridCol w:w="109"/>
        <w:gridCol w:w="181"/>
        <w:gridCol w:w="481"/>
        <w:gridCol w:w="109"/>
        <w:gridCol w:w="181"/>
        <w:gridCol w:w="586"/>
        <w:gridCol w:w="109"/>
        <w:gridCol w:w="181"/>
        <w:gridCol w:w="556"/>
        <w:gridCol w:w="109"/>
        <w:gridCol w:w="181"/>
        <w:gridCol w:w="481"/>
        <w:gridCol w:w="109"/>
        <w:gridCol w:w="181"/>
        <w:gridCol w:w="676"/>
      </w:tblGrid>
      <w:tr>
        <w:trPr/>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sz w:val="4"/>
                <w:szCs w:val="4"/>
              </w:rPr>
            </w:pPr>
            <w:r>
              <w:rPr>
                <w:sz w:val="4"/>
                <w:szCs w:val="4"/>
              </w:rPr>
            </w:r>
          </w:p>
        </w:tc>
        <w:tc>
          <w:tcPr>
            <w:tcW w:w="2354"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354"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384"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Six Months Ended</w:t>
            </w:r>
          </w:p>
        </w:tc>
      </w:tr>
      <w:tr>
        <w:trPr/>
        <w:tc>
          <w:tcPr>
            <w:tcW w:w="961" w:type="dxa"/>
            <w:tcBorders/>
            <w:vAlign w:val="center"/>
          </w:tcPr>
          <w:p>
            <w:pPr>
              <w:pStyle w:val="TableContents"/>
              <w:bidi w:val="0"/>
              <w:spacing w:before="0" w:after="283"/>
              <w:jc w:val="left"/>
              <w:rPr>
                <w:sz w:val="4"/>
                <w:szCs w:val="4"/>
              </w:rPr>
            </w:pPr>
            <w:r>
              <w:rPr>
                <w:sz w:val="4"/>
                <w:szCs w:val="4"/>
              </w:rPr>
            </w:r>
          </w:p>
        </w:tc>
        <w:tc>
          <w:tcPr>
            <w:tcW w:w="2354"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354"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2384"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r>
      <w:tr>
        <w:trPr/>
        <w:tc>
          <w:tcPr>
            <w:tcW w:w="96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7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9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Revenue - third party</w:t>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60,378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46,808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93,186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84,213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91,861</w:t>
            </w:r>
          </w:p>
        </w:tc>
      </w:tr>
      <w:tr>
        <w:trPr/>
        <w:tc>
          <w:tcPr>
            <w:tcW w:w="961" w:type="dxa"/>
            <w:tcBorders/>
            <w:vAlign w:val="center"/>
          </w:tcPr>
          <w:p>
            <w:pPr>
              <w:pStyle w:val="TableContents"/>
              <w:bidi w:val="0"/>
              <w:spacing w:lineRule="auto" w:line="259" w:before="0" w:after="283"/>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revenue </w:t>
            </w:r>
            <w:r>
              <w:rPr>
                <w:rFonts w:ascii="Times New Roman;serif" w:hAnsi="Times New Roman;serif"/>
                <w:b w:val="false"/>
                <w:i w:val="false"/>
                <w:caps w:val="false"/>
                <w:smallCaps w:val="false"/>
                <w:color w:val="000000"/>
                <w:position w:val="5"/>
                <w:sz w:val="11"/>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1,057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1,057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1,146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1,146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2,137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2,137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2,298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2,298</w:t>
            </w:r>
          </w:p>
        </w:tc>
      </w:tr>
      <w:tr>
        <w:trPr/>
        <w:tc>
          <w:tcPr>
            <w:tcW w:w="9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segment revenue</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47,954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93,186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102,684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84,213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94,159</w:t>
            </w:r>
          </w:p>
        </w:tc>
      </w:tr>
      <w:tr>
        <w:trPr/>
        <w:tc>
          <w:tcPr>
            <w:tcW w:w="96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Operating Expense - Third Party</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(46,883)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(42,757)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(83,460)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(87,255)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(83,477)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(88,173)</w:t>
            </w:r>
          </w:p>
        </w:tc>
      </w:tr>
      <w:tr>
        <w:trPr/>
        <w:tc>
          <w:tcPr>
            <w:tcW w:w="961" w:type="dxa"/>
            <w:tcBorders/>
            <w:vAlign w:val="center"/>
          </w:tcPr>
          <w:p>
            <w:pPr>
              <w:pStyle w:val="TableContents"/>
              <w:bidi w:val="0"/>
              <w:spacing w:lineRule="auto" w:line="259" w:before="0" w:after="283"/>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Operating Expenses </w:t>
            </w:r>
            <w:r>
              <w:rPr>
                <w:rFonts w:ascii="Times New Roman;serif" w:hAnsi="Times New Roman;serif"/>
                <w:b w:val="false"/>
                <w:i w:val="false"/>
                <w:caps w:val="false"/>
                <w:smallCaps w:val="false"/>
                <w:color w:val="000000"/>
                <w:position w:val="5"/>
                <w:sz w:val="11"/>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(1,057)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(1,057)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(1,146)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(1,146)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(2,137)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(2,137)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(2,298)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(2,298)</w:t>
            </w:r>
          </w:p>
        </w:tc>
      </w:tr>
      <w:tr>
        <w:trPr/>
        <w:tc>
          <w:tcPr>
            <w:tcW w:w="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of services and products (excluding depreciation and amortization)</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(47,940)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(43,903)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(46,364)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(85,597)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(90,471)</w:t>
            </w:r>
          </w:p>
        </w:tc>
      </w:tr>
      <w:tr>
        <w:trPr/>
        <w:tc>
          <w:tcPr>
            <w:tcW w:w="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(2,172)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(1,125)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(3,297)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(2,554)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(1,358)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(3,912)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(4,312)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(2,226)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(6,538)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(5,141)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(2,874)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(8,015)</w:t>
            </w:r>
          </w:p>
        </w:tc>
      </w:tr>
      <w:tr>
        <w:trPr/>
        <w:tc>
          <w:tcPr>
            <w:tcW w:w="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(2,611)</w:t>
            </w:r>
          </w:p>
        </w:tc>
      </w:tr>
      <w:tr>
        <w:trPr/>
        <w:tc>
          <w:tcPr>
            <w:tcW w:w="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operating expense</w:t>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(51,329)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(3,174)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(54,503)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(47,550)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(51,617)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(92,207)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(6,424)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(98,631)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(92,988)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(8,109)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(101,097)</w:t>
            </w:r>
          </w:p>
        </w:tc>
      </w:tr>
      <w:tr>
        <w:trPr/>
        <w:tc>
          <w:tcPr>
            <w:tcW w:w="9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Segment operating income (loss)</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5,453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4,053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(6,938)</w:t>
            </w:r>
          </w:p>
        </w:tc>
      </w:tr>
    </w:tbl>
    <w:p>
      <w:pPr>
        <w:pStyle w:val="TextBody"/>
        <w:bidi w:val="0"/>
        <w:spacing w:lineRule="auto" w:line="259"/>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(1)Inter-segment Revenues and Operating Expense relates to the internal charge between the two segments where the cinema operates within real estate owned within the group.</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cinema exhibition segment revenue to segment operating income for the quarter and six months ended June 30, 2025 and June 30, 2024, is as follows:</w:t>
      </w:r>
    </w:p>
    <w:tbl>
      <w:tblPr>
        <w:tblW w:w="8283" w:type="dxa"/>
        <w:jc w:val="left"/>
        <w:tblInd w:w="0" w:type="dxa"/>
        <w:tblLayout w:type="fixed"/>
        <w:tblCellMar>
          <w:top w:w="0" w:type="dxa"/>
          <w:left w:w="0" w:type="dxa"/>
          <w:bottom w:w="0" w:type="dxa"/>
          <w:right w:w="0" w:type="dxa"/>
        </w:tblCellMar>
      </w:tblPr>
      <w:tblGrid>
        <w:gridCol w:w="124"/>
        <w:gridCol w:w="1066"/>
        <w:gridCol w:w="2221"/>
        <w:gridCol w:w="262"/>
        <w:gridCol w:w="863"/>
        <w:gridCol w:w="109"/>
        <w:gridCol w:w="262"/>
        <w:gridCol w:w="863"/>
        <w:gridCol w:w="109"/>
        <w:gridCol w:w="262"/>
        <w:gridCol w:w="863"/>
        <w:gridCol w:w="109"/>
        <w:gridCol w:w="258"/>
        <w:gridCol w:w="912"/>
      </w:tblGrid>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359"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40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r>
      <w:tr>
        <w:trPr/>
        <w:tc>
          <w:tcPr>
            <w:tcW w:w="3411"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r>
      <w:tr>
        <w:trPr/>
        <w:tc>
          <w:tcPr>
            <w:tcW w:w="3411" w:type="dxa"/>
            <w:gridSpan w:val="3"/>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2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6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6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6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2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16,099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11,681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26,344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23,922</w:t>
            </w:r>
            <w:r>
              <w:rPr>
                <w:rFonts w:ascii="Times New Roman;serif" w:hAnsi="Times New Roman;serif"/>
                <w:caps w:val="false"/>
                <w:smallCaps w:val="false"/>
                <w:color w:val="000000"/>
                <w:sz w:val="16"/>
              </w:rPr>
              <w:t>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11,274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7,452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17,382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14,413</w:t>
            </w:r>
            <w:r>
              <w:rPr>
                <w:rFonts w:ascii="Times New Roman;serif" w:hAnsi="Times New Roman;serif"/>
                <w:caps w:val="false"/>
                <w:smallCaps w:val="false"/>
                <w:color w:val="000000"/>
                <w:sz w:val="16"/>
              </w:rPr>
              <w:t> </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2,885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2,347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4,827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4,450</w:t>
            </w:r>
            <w:r>
              <w:rPr>
                <w:rFonts w:ascii="Times New Roman;serif" w:hAnsi="Times New Roman;serif"/>
                <w:caps w:val="false"/>
                <w:smallCaps w:val="false"/>
                <w:color w:val="000000"/>
                <w:sz w:val="16"/>
              </w:rPr>
              <w:t>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30,258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21,480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48,553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42,785</w:t>
            </w:r>
            <w:r>
              <w:rPr>
                <w:rFonts w:ascii="Times New Roman;serif" w:hAnsi="Times New Roman;serif"/>
                <w:caps w:val="false"/>
                <w:smallCaps w:val="false"/>
                <w:color w:val="000000"/>
                <w:sz w:val="16"/>
              </w:rPr>
              <w:t> </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2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14,275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10,851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23,905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21,113</w:t>
            </w:r>
            <w:r>
              <w:rPr>
                <w:rFonts w:ascii="Times New Roman;serif" w:hAnsi="Times New Roman;serif"/>
                <w:caps w:val="false"/>
                <w:smallCaps w:val="false"/>
                <w:color w:val="000000"/>
                <w:sz w:val="16"/>
              </w:rPr>
              <w:t> </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7,213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6,348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12,069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12,114</w:t>
            </w:r>
            <w:r>
              <w:rPr>
                <w:rFonts w:ascii="Times New Roman;serif" w:hAnsi="Times New Roman;serif"/>
                <w:caps w:val="false"/>
                <w:smallCaps w:val="false"/>
                <w:color w:val="000000"/>
                <w:sz w:val="16"/>
              </w:rPr>
              <w:t>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6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1,421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1,344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2,617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2,640</w:t>
            </w:r>
            <w:r>
              <w:rPr>
                <w:rFonts w:ascii="Times New Roman;serif" w:hAnsi="Times New Roman;serif"/>
                <w:caps w:val="false"/>
                <w:smallCaps w:val="false"/>
                <w:color w:val="000000"/>
                <w:sz w:val="16"/>
              </w:rPr>
              <w:t> </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22,909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18,543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38,591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35,867</w:t>
            </w:r>
            <w:r>
              <w:rPr>
                <w:rFonts w:ascii="Times New Roman;serif" w:hAnsi="Times New Roman;serif"/>
                <w:caps w:val="false"/>
                <w:smallCaps w:val="false"/>
                <w:sz w:val="16"/>
              </w:rPr>
              <w:t>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2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2,338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1,744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6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3,884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3,344</w:t>
            </w:r>
            <w:r>
              <w:rPr>
                <w:rFonts w:ascii="Times New Roman;serif" w:hAnsi="Times New Roman;serif"/>
                <w:caps w:val="false"/>
                <w:smallCaps w:val="false"/>
                <w:color w:val="000000"/>
                <w:sz w:val="16"/>
              </w:rPr>
              <w:t>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1,135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1,923</w:t>
            </w:r>
            <w:r>
              <w:rPr>
                <w:rFonts w:ascii="Times New Roman;serif" w:hAnsi="Times New Roman;serif"/>
                <w:caps w:val="false"/>
                <w:smallCaps w:val="false"/>
                <w:color w:val="000000"/>
                <w:sz w:val="16"/>
              </w:rPr>
              <w:t> </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294</w:t>
            </w:r>
            <w:r>
              <w:rPr>
                <w:rFonts w:ascii="Times New Roman;serif" w:hAnsi="Times New Roman;serif"/>
                <w:caps w:val="false"/>
                <w:smallCaps w:val="false"/>
                <w:color w:val="000000"/>
                <w:sz w:val="16"/>
              </w:rPr>
              <w:t>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3,615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2,918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6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6,042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5,561</w:t>
            </w:r>
            <w:r>
              <w:rPr>
                <w:rFonts w:ascii="Times New Roman;serif" w:hAnsi="Times New Roman;serif"/>
                <w:caps w:val="false"/>
                <w:smallCaps w:val="false"/>
                <w:sz w:val="16"/>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6"/>
        <w:gridCol w:w="1765"/>
        <w:gridCol w:w="4206"/>
        <w:gridCol w:w="196"/>
        <w:gridCol w:w="717"/>
        <w:gridCol w:w="109"/>
        <w:gridCol w:w="196"/>
        <w:gridCol w:w="717"/>
        <w:gridCol w:w="109"/>
        <w:gridCol w:w="196"/>
        <w:gridCol w:w="717"/>
        <w:gridCol w:w="109"/>
        <w:gridCol w:w="196"/>
        <w:gridCol w:w="766"/>
      </w:tblGrid>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sz w:val="4"/>
                <w:szCs w:val="4"/>
              </w:rPr>
            </w:pPr>
            <w:r>
              <w:rPr>
                <w:sz w:val="4"/>
                <w:szCs w:val="4"/>
              </w:rPr>
            </w:r>
          </w:p>
        </w:tc>
        <w:tc>
          <w:tcPr>
            <w:tcW w:w="5971"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56,782</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42,941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93,186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84,213</w:t>
            </w:r>
            <w:r>
              <w:rPr>
                <w:rFonts w:ascii="Times New Roman;serif" w:hAnsi="Times New Roman;serif"/>
                <w:caps w:val="false"/>
                <w:smallCaps w:val="false"/>
                <w:sz w:val="16"/>
              </w:rPr>
              <w:t> </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(12,411)</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(2,931)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(2,012)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(4,514)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(3,919)</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(6,545)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(12,332)</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(4,212)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(4,002)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(8,293)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(8,150)</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(2,645)</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(1,656)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(3,083)</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(4,219)</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(26,078)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(23,918)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(45,674)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(46,759)</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(6,586)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(4,947)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(10,542)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(9,395)</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(2,709)</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(4,538)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(8,805)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(8,940)</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(6,715)</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(651)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(1,493)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(1,452)</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(2,377)</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(1,574)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(1,780)</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(17,083)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(34,056)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(33,368)</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(1,434)</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(430)</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(1,543)</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(1,155)</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(198)</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(393)</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(495)</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(3,205)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(2,902)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(5,867)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(5,648)</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sz w:val="4"/>
                <w:szCs w:val="4"/>
              </w:rPr>
            </w:pPr>
            <w:r>
              <w:rPr>
                <w:sz w:val="4"/>
                <w:szCs w:val="4"/>
              </w:rPr>
            </w:r>
          </w:p>
        </w:tc>
        <w:tc>
          <w:tcPr>
            <w:tcW w:w="5971"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(47,940)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(43,903)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(85,597)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(85,775)</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(2,521)</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(1,373)</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(3,894)</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(2,382)</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(699)</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(3,081)</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(238)</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before="0" w:after="283"/>
              <w:jc w:val="left"/>
              <w:rPr>
                <w:sz w:val="4"/>
                <w:szCs w:val="4"/>
              </w:rPr>
            </w:pPr>
            <w:r>
              <w:rPr>
                <w:sz w:val="4"/>
                <w:szCs w:val="4"/>
              </w:rPr>
            </w:r>
          </w:p>
        </w:tc>
        <w:tc>
          <w:tcPr>
            <w:tcW w:w="420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(238)</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5971"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19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7"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(3,389)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7"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7"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(6,610)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6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(7,213)</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206"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CINEMA</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5971"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2,292</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(7,868)</w:t>
            </w:r>
          </w:p>
        </w:tc>
      </w:tr>
      <w:tr>
        <w:trPr/>
        <w:tc>
          <w:tcPr>
            <w:tcW w:w="206" w:type="dxa"/>
            <w:tcBorders/>
            <w:vAlign w:val="center"/>
          </w:tcPr>
          <w:p>
            <w:pPr>
              <w:pStyle w:val="TableContents"/>
              <w:bidi w:val="0"/>
              <w:spacing w:before="0" w:after="283"/>
              <w:jc w:val="left"/>
              <w:rPr>
                <w:sz w:val="4"/>
                <w:szCs w:val="4"/>
              </w:rPr>
            </w:pPr>
            <w:r>
              <w:rPr>
                <w:sz w:val="4"/>
                <w:szCs w:val="4"/>
              </w:rPr>
            </w:r>
          </w:p>
        </w:tc>
        <w:tc>
          <w:tcPr>
            <w:tcW w:w="5971"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2,920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1,944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(582)</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5971"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241</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(325)</w:t>
            </w:r>
          </w:p>
        </w:tc>
      </w:tr>
      <w:tr>
        <w:trPr/>
        <w:tc>
          <w:tcPr>
            <w:tcW w:w="206" w:type="dxa"/>
            <w:tcBorders/>
            <w:vAlign w:val="center"/>
          </w:tcPr>
          <w:p>
            <w:pPr>
              <w:pStyle w:val="TableContents"/>
              <w:bidi w:val="0"/>
              <w:spacing w:before="0" w:after="283"/>
              <w:jc w:val="left"/>
              <w:rPr>
                <w:sz w:val="4"/>
                <w:szCs w:val="4"/>
              </w:rPr>
            </w:pPr>
            <w:r>
              <w:rPr>
                <w:sz w:val="4"/>
                <w:szCs w:val="4"/>
              </w:rPr>
            </w:r>
          </w:p>
        </w:tc>
        <w:tc>
          <w:tcPr>
            <w:tcW w:w="5971"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Cinema operating income (loss)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5,453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(4,609)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979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6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(8,775)</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real estate segment revenue to segment operating income for the quarter and six months ended June 30, 2025 and June 30, 2024, is as follows:</w:t>
      </w:r>
    </w:p>
    <w:tbl>
      <w:tblPr>
        <w:tblW w:w="6812" w:type="dxa"/>
        <w:jc w:val="left"/>
        <w:tblInd w:w="0" w:type="dxa"/>
        <w:tblLayout w:type="fixed"/>
        <w:tblCellMar>
          <w:top w:w="0" w:type="dxa"/>
          <w:left w:w="0" w:type="dxa"/>
          <w:bottom w:w="0" w:type="dxa"/>
          <w:right w:w="0" w:type="dxa"/>
        </w:tblCellMar>
      </w:tblPr>
      <w:tblGrid>
        <w:gridCol w:w="598"/>
        <w:gridCol w:w="525"/>
        <w:gridCol w:w="527"/>
        <w:gridCol w:w="563"/>
        <w:gridCol w:w="563"/>
        <w:gridCol w:w="239"/>
        <w:gridCol w:w="560"/>
        <w:gridCol w:w="565"/>
        <w:gridCol w:w="109"/>
        <w:gridCol w:w="563"/>
        <w:gridCol w:w="563"/>
        <w:gridCol w:w="267"/>
        <w:gridCol w:w="479"/>
        <w:gridCol w:w="691"/>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90"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56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r>
      <w:tr>
        <w:trPr/>
        <w:tc>
          <w:tcPr>
            <w:tcW w:w="1650"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1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23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26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tbl>
      <w:tblPr>
        <w:tblW w:w="10100" w:type="dxa"/>
        <w:jc w:val="left"/>
        <w:tblInd w:w="0" w:type="dxa"/>
        <w:tblLayout w:type="fixed"/>
        <w:tblCellMar>
          <w:top w:w="28" w:type="dxa"/>
          <w:left w:w="0" w:type="dxa"/>
          <w:bottom w:w="0" w:type="dxa"/>
          <w:right w:w="0" w:type="dxa"/>
        </w:tblCellMar>
      </w:tblPr>
      <w:tblGrid>
        <w:gridCol w:w="196"/>
        <w:gridCol w:w="1687"/>
        <w:gridCol w:w="4537"/>
        <w:gridCol w:w="196"/>
        <w:gridCol w:w="631"/>
        <w:gridCol w:w="109"/>
        <w:gridCol w:w="196"/>
        <w:gridCol w:w="631"/>
        <w:gridCol w:w="109"/>
        <w:gridCol w:w="196"/>
        <w:gridCol w:w="631"/>
        <w:gridCol w:w="109"/>
        <w:gridCol w:w="196"/>
        <w:gridCol w:w="676"/>
      </w:tblGrid>
      <w:tr>
        <w:trPr/>
        <w:tc>
          <w:tcPr>
            <w:tcW w:w="6420" w:type="dxa"/>
            <w:gridSpan w:val="3"/>
            <w:tcBorders>
              <w:top w:val="single" w:sz="12" w:space="0" w:color="000000"/>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196"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theater rental and ancillary income</w:t>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630</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416</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1,173</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76"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828</w:t>
            </w:r>
            <w:r>
              <w:rPr>
                <w:rFonts w:ascii="Times New Roman;serif" w:hAnsi="Times New Roman;serif"/>
                <w:caps w:val="false"/>
                <w:smallCaps w:val="false"/>
                <w:color w:val="000000"/>
                <w:sz w:val="16"/>
              </w:rPr>
              <w:t> </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1,070</w:t>
            </w:r>
            <w:r>
              <w:rPr>
                <w:rFonts w:ascii="Times New Roman;serif" w:hAnsi="Times New Roman;serif"/>
                <w:caps w:val="false"/>
                <w:smallCaps w:val="false"/>
                <w:color w:val="000000"/>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1,067</w:t>
            </w:r>
            <w:r>
              <w:rPr>
                <w:rFonts w:ascii="Times New Roman;serif" w:hAnsi="Times New Roman;serif"/>
                <w:caps w:val="false"/>
                <w:smallCaps w:val="false"/>
                <w:color w:val="000000"/>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2,114</w:t>
            </w:r>
            <w:r>
              <w:rPr>
                <w:rFonts w:ascii="Times New Roman;serif" w:hAnsi="Times New Roman;serif"/>
                <w:caps w:val="false"/>
                <w:smallCaps w:val="false"/>
                <w:color w:val="000000"/>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2,139</w:t>
            </w:r>
            <w:r>
              <w:rPr>
                <w:rFonts w:ascii="Times New Roman;serif" w:hAnsi="Times New Roman;serif"/>
                <w:caps w:val="false"/>
                <w:smallCaps w:val="false"/>
                <w:color w:val="000000"/>
                <w:sz w:val="16"/>
              </w:rPr>
              <w:t> </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1,700</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1,483</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3,287</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2,967</w:t>
            </w:r>
            <w:r>
              <w:rPr>
                <w:rFonts w:ascii="Times New Roman;serif" w:hAnsi="Times New Roman;serif"/>
                <w:caps w:val="false"/>
                <w:smallCaps w:val="false"/>
                <w:color w:val="000000"/>
                <w:sz w:val="16"/>
              </w:rPr>
              <w:t> </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2,741</w:t>
            </w:r>
            <w:r>
              <w:rPr>
                <w:rFonts w:ascii="Times New Roman;serif" w:hAnsi="Times New Roman;serif"/>
                <w:caps w:val="false"/>
                <w:smallCaps w:val="false"/>
                <w:color w:val="000000"/>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3,177</w:t>
            </w:r>
            <w:r>
              <w:rPr>
                <w:rFonts w:ascii="Times New Roman;serif" w:hAnsi="Times New Roman;serif"/>
                <w:caps w:val="false"/>
                <w:smallCaps w:val="false"/>
                <w:color w:val="000000"/>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5,756</w:t>
            </w:r>
            <w:r>
              <w:rPr>
                <w:rFonts w:ascii="Times New Roman;serif" w:hAnsi="Times New Roman;serif"/>
                <w:caps w:val="false"/>
                <w:smallCaps w:val="false"/>
                <w:color w:val="000000"/>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6,261</w:t>
            </w:r>
            <w:r>
              <w:rPr>
                <w:rFonts w:ascii="Times New Roman;serif" w:hAnsi="Times New Roman;serif"/>
                <w:caps w:val="false"/>
                <w:smallCaps w:val="false"/>
                <w:color w:val="000000"/>
                <w:sz w:val="16"/>
              </w:rPr>
              <w:t> </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212</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353</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455</w:t>
            </w:r>
            <w:r>
              <w:rPr>
                <w:rFonts w:ascii="Times New Roman;serif" w:hAnsi="Times New Roman;serif"/>
                <w:caps w:val="false"/>
                <w:smallCaps w:val="false"/>
                <w:color w:val="000000"/>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718</w:t>
            </w:r>
            <w:r>
              <w:rPr>
                <w:rFonts w:ascii="Times New Roman;serif" w:hAnsi="Times New Roman;serif"/>
                <w:caps w:val="false"/>
                <w:smallCaps w:val="false"/>
                <w:color w:val="000000"/>
                <w:sz w:val="16"/>
              </w:rPr>
              <w:t> </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196"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4,653</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5,013</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9,498</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76"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9,946</w:t>
            </w:r>
            <w:r>
              <w:rPr>
                <w:rFonts w:ascii="Times New Roman;serif" w:hAnsi="Times New Roman;serif"/>
                <w:caps w:val="false"/>
                <w:smallCaps w:val="false"/>
                <w:sz w:val="16"/>
              </w:rPr>
              <w:t> </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before="0" w:after="283"/>
              <w:jc w:val="left"/>
              <w:rPr>
                <w:sz w:val="4"/>
                <w:szCs w:val="4"/>
              </w:rPr>
            </w:pPr>
            <w:r>
              <w:rPr>
                <w:sz w:val="4"/>
                <w:szCs w:val="4"/>
              </w:rPr>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theater cost</w:t>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(255)</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(279)</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(492)</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76"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(512)</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(174)</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(160)</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(352)</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(354)</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w:t>
            </w:r>
            <w:r>
              <w:rPr>
                <w:rFonts w:ascii="Times New Roman;serif" w:hAnsi="Times New Roman;serif"/>
                <w:caps w:val="false"/>
                <w:smallCaps w:val="false"/>
                <w:color w:val="000000"/>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(79)</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(75)</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(106)</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(78)</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(264)</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(430)</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(621)</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(752)</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(798)</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(1,408)</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76" w:type="dxa"/>
            <w:tcBorders>
              <w:top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(1,644)</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before="0" w:after="283"/>
              <w:jc w:val="left"/>
              <w:rPr>
                <w:sz w:val="4"/>
                <w:szCs w:val="4"/>
              </w:rPr>
            </w:pPr>
            <w:r>
              <w:rPr>
                <w:sz w:val="4"/>
                <w:szCs w:val="4"/>
              </w:rPr>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(479)</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(478)</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(967)</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76"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(968)</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(76)</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(113)</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(278)</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(435)</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(494)</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(198)</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(456)</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(531)</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(988)</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(1,129)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(2,011)</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76"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(2,139)</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before="0" w:after="283"/>
              <w:jc w:val="left"/>
              <w:rPr>
                <w:sz w:val="4"/>
                <w:szCs w:val="4"/>
              </w:rPr>
            </w:pPr>
            <w:r>
              <w:rPr>
                <w:sz w:val="4"/>
                <w:szCs w:val="4"/>
              </w:rPr>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(221)</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(395)</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(276)</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(628)</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(100)</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(534)</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(376)</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76" w:type="dxa"/>
            <w:tcBorders>
              <w:top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(913)</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12" w:space="0" w:color="000000"/>
            </w:tcBorders>
            <w:shd w:fill="CCEEFF" w:val="clear"/>
            <w:tcMar>
              <w:top w:w="0" w:type="dxa"/>
              <w:bottom w:w="28" w:type="dxa"/>
            </w:tcMar>
            <w:vAlign w:val="center"/>
          </w:tcPr>
          <w:p>
            <w:pPr>
              <w:pStyle w:val="TableContents"/>
              <w:bidi w:val="0"/>
              <w:spacing w:before="0" w:after="283"/>
              <w:jc w:val="left"/>
              <w:rPr>
                <w:sz w:val="4"/>
                <w:szCs w:val="4"/>
              </w:rPr>
            </w:pPr>
            <w:r>
              <w:rPr>
                <w:sz w:val="4"/>
                <w:szCs w:val="4"/>
              </w:rPr>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224" w:type="dxa"/>
            <w:gridSpan w:val="2"/>
            <w:tcBorders/>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operating expense</w:t>
            </w:r>
          </w:p>
        </w:tc>
        <w:tc>
          <w:tcPr>
            <w:tcW w:w="196" w:type="dxa"/>
            <w:tcBorders>
              <w:top w:val="single" w:sz="12" w:space="0" w:color="000000"/>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12" w:space="0" w:color="000000"/>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(1,840)</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12" w:space="0" w:color="000000"/>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(2,461)</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12" w:space="0" w:color="000000"/>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(3,795)</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76" w:type="dxa"/>
            <w:tcBorders>
              <w:top w:val="single" w:sz="8" w:space="0" w:color="000000"/>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(4,696)</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before="0" w:after="283"/>
              <w:jc w:val="left"/>
              <w:rPr>
                <w:sz w:val="4"/>
                <w:szCs w:val="4"/>
              </w:rPr>
            </w:pPr>
            <w:r>
              <w:rPr>
                <w:sz w:val="4"/>
                <w:szCs w:val="4"/>
              </w:rPr>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(674)</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(677)</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(1,333)</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(1,416)</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(185)</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(212)</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(315)</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(480)</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(859)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(889)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(1,648)</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(1,896)</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before="0" w:after="283"/>
              <w:jc w:val="left"/>
              <w:rPr>
                <w:sz w:val="4"/>
                <w:szCs w:val="4"/>
              </w:rPr>
            </w:pPr>
            <w:r>
              <w:rPr>
                <w:sz w:val="4"/>
                <w:szCs w:val="4"/>
              </w:rPr>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(391)</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(551)</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(776)</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(1,142)</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(415)</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(587)</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(863)</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(1,201)</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tcMar>
            <w:vAlign w:val="center"/>
          </w:tcPr>
          <w:p>
            <w:pPr>
              <w:pStyle w:val="TableContents"/>
              <w:bidi w:val="0"/>
              <w:spacing w:before="0" w:after="283"/>
              <w:jc w:val="left"/>
              <w:rPr>
                <w:sz w:val="4"/>
                <w:szCs w:val="4"/>
              </w:rPr>
            </w:pPr>
            <w:r>
              <w:rPr>
                <w:sz w:val="4"/>
                <w:szCs w:val="4"/>
              </w:rPr>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shd w:fill="CCEEFF" w:val="clear"/>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(60)</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(130)</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(117)</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(316)</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68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4537"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(60)</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(130)</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(118)</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(316)</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196" w:type="dxa"/>
            <w:tcBorders>
              <w:top w:val="single" w:sz="12" w:space="0" w:color="000000"/>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12" w:space="0" w:color="000000"/>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(1,334)</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12" w:space="0" w:color="000000"/>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(1,606)</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12" w:space="0" w:color="000000"/>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(2,629)</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76" w:type="dxa"/>
            <w:tcBorders>
              <w:top w:val="single" w:sz="8" w:space="0" w:color="000000"/>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(3,413)</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1687" w:type="dxa"/>
            <w:tcBorders/>
            <w:tcMar>
              <w:top w:w="0" w:type="dxa"/>
            </w:tcMar>
            <w:vAlign w:val="center"/>
          </w:tcPr>
          <w:p>
            <w:pPr>
              <w:pStyle w:val="TableContents"/>
              <w:bidi w:val="0"/>
              <w:spacing w:before="0" w:after="283"/>
              <w:jc w:val="left"/>
              <w:rPr>
                <w:sz w:val="4"/>
                <w:szCs w:val="4"/>
              </w:rPr>
            </w:pPr>
            <w:r>
              <w:rPr>
                <w:sz w:val="4"/>
                <w:szCs w:val="4"/>
              </w:rPr>
            </w:r>
          </w:p>
        </w:tc>
        <w:tc>
          <w:tcPr>
            <w:tcW w:w="4537"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REAL ESTATE</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before="0" w:after="283"/>
              <w:jc w:val="left"/>
              <w:rPr>
                <w:sz w:val="4"/>
                <w:szCs w:val="4"/>
              </w:rPr>
            </w:pPr>
            <w:r>
              <w:rPr>
                <w:sz w:val="4"/>
                <w:szCs w:val="4"/>
              </w:rPr>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224" w:type="dxa"/>
            <w:gridSpan w:val="2"/>
            <w:tcBorders/>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89</w:t>
            </w:r>
            <w:r>
              <w:rPr>
                <w:rFonts w:ascii="Times New Roman;serif" w:hAnsi="Times New Roman;serif"/>
                <w:caps w:val="false"/>
                <w:smallCaps w:val="false"/>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(204)</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231</w:t>
            </w:r>
            <w:r>
              <w:rPr>
                <w:rFonts w:ascii="Times New Roman;serif" w:hAnsi="Times New Roman;serif"/>
                <w:caps w:val="false"/>
                <w:smallCaps w:val="false"/>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76" w:type="dxa"/>
            <w:tcBorders/>
            <w:tcMar>
              <w:top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(573)</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1,338</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1,461</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2,882</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2,921</w:t>
            </w:r>
            <w:r>
              <w:rPr>
                <w:rFonts w:ascii="Times New Roman;serif" w:hAnsi="Times New Roman;serif"/>
                <w:caps w:val="false"/>
                <w:smallCaps w:val="false"/>
                <w:sz w:val="16"/>
              </w:rPr>
              <w:t> </w:t>
            </w:r>
          </w:p>
        </w:tc>
      </w:tr>
      <w:tr>
        <w:trPr/>
        <w:tc>
          <w:tcPr>
            <w:tcW w:w="196" w:type="dxa"/>
            <w:tcBorders/>
            <w:tcMar>
              <w:top w:w="0" w:type="dxa"/>
            </w:tcMar>
            <w:vAlign w:val="center"/>
          </w:tcPr>
          <w:p>
            <w:pPr>
              <w:pStyle w:val="TableContents"/>
              <w:bidi w:val="0"/>
              <w:spacing w:before="0" w:after="283"/>
              <w:jc w:val="left"/>
              <w:rPr>
                <w:sz w:val="4"/>
                <w:szCs w:val="4"/>
              </w:rPr>
            </w:pPr>
            <w:r>
              <w:rPr>
                <w:sz w:val="4"/>
                <w:szCs w:val="4"/>
              </w:rPr>
            </w:r>
          </w:p>
        </w:tc>
        <w:tc>
          <w:tcPr>
            <w:tcW w:w="6224" w:type="dxa"/>
            <w:gridSpan w:val="2"/>
            <w:tcBorders/>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52</w:t>
            </w:r>
            <w:r>
              <w:rPr>
                <w:rFonts w:ascii="Times New Roman;serif" w:hAnsi="Times New Roman;serif"/>
                <w:caps w:val="false"/>
                <w:smallCaps w:val="false"/>
                <w:sz w:val="16"/>
              </w:rPr>
              <w:t> </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(311)</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w:t>
            </w:r>
          </w:p>
        </w:tc>
        <w:tc>
          <w:tcPr>
            <w:tcW w:w="109" w:type="dxa"/>
            <w:tcBorders/>
            <w:tcMar>
              <w:top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(511)</w:t>
            </w:r>
          </w:p>
        </w:tc>
      </w:tr>
      <w:tr>
        <w:trPr/>
        <w:tc>
          <w:tcPr>
            <w:tcW w:w="196"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tcMar>
              <w:top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real estate operating income (loss)</w:t>
            </w:r>
          </w:p>
        </w:tc>
        <w:tc>
          <w:tcPr>
            <w:tcW w:w="196" w:type="dxa"/>
            <w:tcBorders>
              <w:top w:val="single" w:sz="8" w:space="0" w:color="000000"/>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31" w:type="dxa"/>
            <w:tcBorders>
              <w:top w:val="single" w:sz="8" w:space="0" w:color="000000"/>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1,479</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31" w:type="dxa"/>
            <w:tcBorders>
              <w:top w:val="single" w:sz="8" w:space="0" w:color="000000"/>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946</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31" w:type="dxa"/>
            <w:tcBorders>
              <w:top w:val="single" w:sz="8" w:space="0" w:color="000000"/>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3,074</w:t>
            </w:r>
            <w:r>
              <w:rPr>
                <w:rFonts w:ascii="Times New Roman;serif" w:hAnsi="Times New Roman;serif"/>
                <w:caps w:val="false"/>
                <w:smallCaps w:val="false"/>
                <w:sz w:val="16"/>
              </w:rPr>
              <w:t> </w:t>
            </w:r>
          </w:p>
        </w:tc>
        <w:tc>
          <w:tcPr>
            <w:tcW w:w="109" w:type="dxa"/>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76" w:type="dxa"/>
            <w:tcBorders>
              <w:top w:val="single" w:sz="8" w:space="0" w:color="000000"/>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1,837</w:t>
            </w:r>
            <w:r>
              <w:rPr>
                <w:rFonts w:ascii="Times New Roman;serif" w:hAnsi="Times New Roman;serif"/>
                <w:caps w:val="false"/>
                <w:smallCaps w:val="false"/>
                <w:sz w:val="16"/>
              </w:rPr>
              <w:t> </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segment operating income to income before income taxes is as follows:</w:t>
      </w:r>
    </w:p>
    <w:tbl>
      <w:tblPr>
        <w:tblW w:w="8173" w:type="dxa"/>
        <w:jc w:val="left"/>
        <w:tblInd w:w="0" w:type="dxa"/>
        <w:tblLayout w:type="fixed"/>
        <w:tblCellMar>
          <w:top w:w="0" w:type="dxa"/>
          <w:left w:w="0" w:type="dxa"/>
          <w:bottom w:w="0" w:type="dxa"/>
          <w:right w:w="0" w:type="dxa"/>
        </w:tblCellMar>
      </w:tblPr>
      <w:tblGrid>
        <w:gridCol w:w="3301"/>
        <w:gridCol w:w="303"/>
        <w:gridCol w:w="822"/>
        <w:gridCol w:w="109"/>
        <w:gridCol w:w="263"/>
        <w:gridCol w:w="862"/>
        <w:gridCol w:w="109"/>
        <w:gridCol w:w="303"/>
        <w:gridCol w:w="822"/>
        <w:gridCol w:w="109"/>
        <w:gridCol w:w="260"/>
        <w:gridCol w:w="910"/>
      </w:tblGrid>
      <w:tr>
        <w:trPr/>
        <w:tc>
          <w:tcPr>
            <w:tcW w:w="3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sz w:val="4"/>
                <w:szCs w:val="4"/>
              </w:rPr>
            </w:pPr>
            <w:r>
              <w:rPr>
                <w:sz w:val="4"/>
                <w:szCs w:val="4"/>
              </w:rPr>
            </w:r>
          </w:p>
        </w:tc>
        <w:tc>
          <w:tcPr>
            <w:tcW w:w="2359"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40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r>
      <w:tr>
        <w:trPr/>
        <w:tc>
          <w:tcPr>
            <w:tcW w:w="330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r>
      <w:tr>
        <w:trPr/>
        <w:tc>
          <w:tcPr>
            <w:tcW w:w="33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30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(6,938)</w:t>
            </w:r>
          </w:p>
        </w:tc>
      </w:tr>
      <w:tr>
        <w:trPr/>
        <w:tc>
          <w:tcPr>
            <w:tcW w:w="33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Unallocated corporate expense: </w:t>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tbl>
      <w:tblPr>
        <w:tblW w:w="8766" w:type="dxa"/>
        <w:jc w:val="left"/>
        <w:tblInd w:w="0" w:type="dxa"/>
        <w:tblLayout w:type="fixed"/>
        <w:tblCellMar>
          <w:top w:w="0" w:type="dxa"/>
          <w:left w:w="0" w:type="dxa"/>
          <w:bottom w:w="0" w:type="dxa"/>
          <w:right w:w="0" w:type="dxa"/>
        </w:tblCellMar>
      </w:tblPr>
      <w:tblGrid>
        <w:gridCol w:w="4576"/>
        <w:gridCol w:w="211"/>
        <w:gridCol w:w="691"/>
        <w:gridCol w:w="109"/>
        <w:gridCol w:w="211"/>
        <w:gridCol w:w="796"/>
        <w:gridCol w:w="109"/>
        <w:gridCol w:w="211"/>
        <w:gridCol w:w="691"/>
        <w:gridCol w:w="109"/>
        <w:gridCol w:w="211"/>
        <w:gridCol w:w="841"/>
      </w:tblGrid>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(8,083)</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(10,662)</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(loss) of unconsolidated joint ventures</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(1,116)</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(expense) income</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(26,783)</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Assuming cash and cash equivalents are accounted for as corporate assets, total assets by business segment and by country are presented as follows:</w:t>
      </w:r>
    </w:p>
    <w:tbl>
      <w:tblPr>
        <w:tblW w:w="4031" w:type="dxa"/>
        <w:jc w:val="left"/>
        <w:tblInd w:w="0" w:type="dxa"/>
        <w:tblLayout w:type="fixed"/>
        <w:tblCellMar>
          <w:top w:w="0" w:type="dxa"/>
          <w:left w:w="0" w:type="dxa"/>
          <w:bottom w:w="0" w:type="dxa"/>
          <w:right w:w="0" w:type="dxa"/>
        </w:tblCellMar>
      </w:tblPr>
      <w:tblGrid>
        <w:gridCol w:w="1681"/>
        <w:gridCol w:w="109"/>
        <w:gridCol w:w="211"/>
        <w:gridCol w:w="781"/>
        <w:gridCol w:w="109"/>
        <w:gridCol w:w="232"/>
        <w:gridCol w:w="908"/>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segment: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186,901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191,008</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207,044</w:t>
            </w:r>
          </w:p>
        </w:tc>
      </w:tr>
      <w:tr>
        <w:trPr/>
        <w:tc>
          <w:tcPr>
            <w:tcW w:w="16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Corporate </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73,663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72,959</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438,075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471,011</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country: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264,284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159,856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167,667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39,060</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438,075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471,011</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color w:val="000000"/>
          <w:sz w:val="16"/>
        </w:rPr>
        <w:br/>
        <w:t>‎(1) Corporate Assets includes cash and cash equivalents of $12.0</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million and $7.0</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million as of June 30, 2025 and December 31, 2024, respectively.</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table sets forth our operating properties by country:</w:t>
      </w:r>
    </w:p>
    <w:tbl>
      <w:tblPr>
        <w:tblW w:w="4601" w:type="dxa"/>
        <w:jc w:val="left"/>
        <w:tblInd w:w="0" w:type="dxa"/>
        <w:tblLayout w:type="fixed"/>
        <w:tblCellMar>
          <w:top w:w="0" w:type="dxa"/>
          <w:left w:w="0" w:type="dxa"/>
          <w:bottom w:w="0" w:type="dxa"/>
          <w:right w:w="0" w:type="dxa"/>
        </w:tblCellMar>
      </w:tblPr>
      <w:tblGrid>
        <w:gridCol w:w="2251"/>
        <w:gridCol w:w="109"/>
        <w:gridCol w:w="211"/>
        <w:gridCol w:w="781"/>
        <w:gridCol w:w="109"/>
        <w:gridCol w:w="232"/>
        <w:gridCol w:w="908"/>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25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25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146,531</w:t>
            </w:r>
          </w:p>
        </w:tc>
      </w:tr>
      <w:tr>
        <w:trPr/>
        <w:tc>
          <w:tcPr>
            <w:tcW w:w="22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60,470</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59,081</w:t>
            </w:r>
          </w:p>
        </w:tc>
      </w:tr>
      <w:tr>
        <w:trPr/>
        <w:tc>
          <w:tcPr>
            <w:tcW w:w="22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9,082</w:t>
            </w:r>
          </w:p>
        </w:tc>
      </w:tr>
      <w:tr>
        <w:trPr/>
        <w:tc>
          <w:tcPr>
            <w:tcW w:w="22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property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213,340</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214,694</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table below summarizes capital expenditures for the six months ended June 30, 2025</w:t>
      </w:r>
    </w:p>
    <w:tbl>
      <w:tblPr>
        <w:tblW w:w="5684" w:type="dxa"/>
        <w:jc w:val="left"/>
        <w:tblInd w:w="0" w:type="dxa"/>
        <w:tblLayout w:type="fixed"/>
        <w:tblCellMar>
          <w:top w:w="0" w:type="dxa"/>
          <w:left w:w="0" w:type="dxa"/>
          <w:bottom w:w="0" w:type="dxa"/>
          <w:right w:w="0" w:type="dxa"/>
        </w:tblCellMar>
      </w:tblPr>
      <w:tblGrid>
        <w:gridCol w:w="2626"/>
        <w:gridCol w:w="109"/>
        <w:gridCol w:w="109"/>
        <w:gridCol w:w="109"/>
        <w:gridCol w:w="109"/>
        <w:gridCol w:w="109"/>
        <w:gridCol w:w="109"/>
        <w:gridCol w:w="375"/>
        <w:gridCol w:w="750"/>
        <w:gridCol w:w="109"/>
        <w:gridCol w:w="298"/>
        <w:gridCol w:w="872"/>
      </w:tblGrid>
      <w:tr>
        <w:trPr/>
        <w:tc>
          <w:tcPr>
            <w:tcW w:w="2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r>
      <w:tr>
        <w:trPr/>
        <w:tc>
          <w:tcPr>
            <w:tcW w:w="262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r>
      <w:tr>
        <w:trPr/>
        <w:tc>
          <w:tcPr>
            <w:tcW w:w="26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5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7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Corporate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0"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2"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6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7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2,028</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5 – OPERATIONS IN FOREIGN CURRENCY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losses from our domestic cinema operations. Our Australian and New Zealand assets and liabilities are translated from their functional currencies of Australian dollar (“AU$”) and New Zealand dollar (“NZ$”), respectively, to the U.S. dollar based on the exchange rate as of June 30, 2025.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take a global view of our financial resources and are flexible in making use of resources from one jurisdiction in other jurisdictions.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in the table below are the currency exchange rates for Australia and New Zealand:</w:t>
      </w:r>
    </w:p>
    <w:tbl>
      <w:tblPr>
        <w:tblW w:w="5646" w:type="dxa"/>
        <w:jc w:val="left"/>
        <w:tblInd w:w="0" w:type="dxa"/>
        <w:tblLayout w:type="fixed"/>
        <w:tblCellMar>
          <w:top w:w="0" w:type="dxa"/>
          <w:left w:w="0" w:type="dxa"/>
          <w:bottom w:w="0" w:type="dxa"/>
          <w:right w:w="0" w:type="dxa"/>
        </w:tblCellMar>
      </w:tblPr>
      <w:tblGrid>
        <w:gridCol w:w="1741"/>
        <w:gridCol w:w="990"/>
        <w:gridCol w:w="135"/>
        <w:gridCol w:w="1501"/>
        <w:gridCol w:w="109"/>
        <w:gridCol w:w="981"/>
        <w:gridCol w:w="189"/>
      </w:tblGrid>
      <w:tr>
        <w:trPr/>
        <w:tc>
          <w:tcPr>
            <w:tcW w:w="174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3905"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 Currency / USD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99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3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‎twelve months</w:t>
              <w:br/>
              <w:t>‎ended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8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112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50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2024</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9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12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0.6573</w:t>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0.6185</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0.6677</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12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0.6092</w:t>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0.6096</w:t>
            </w:r>
          </w:p>
        </w:tc>
      </w:tr>
      <w:tr>
        <w:trPr/>
        <w:tc>
          <w:tcPr>
            <w:tcW w:w="17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9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9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0.6412</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0.6591</w:t>
            </w:r>
          </w:p>
        </w:tc>
        <w:tc>
          <w:tcPr>
            <w:tcW w:w="189" w:type="dxa"/>
            <w:tcBorders/>
            <w:shd w:fill="CCEEFF" w:val="cle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9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0.5936</w:t>
            </w:r>
          </w:p>
        </w:tc>
        <w:tc>
          <w:tcPr>
            <w:tcW w:w="13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0.6051</w:t>
            </w:r>
          </w:p>
        </w:tc>
        <w:tc>
          <w:tcPr>
            <w:tcW w:w="1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0.6054</w:t>
            </w:r>
          </w:p>
        </w:tc>
        <w:tc>
          <w:tcPr>
            <w:tcW w:w="18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6 –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EPS and a reconciliation of the weighted average number of common and common equivalent shares outstanding:</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7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(26,034)</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22,708,206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22,413,617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22,586,019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22,379,881</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dilutive impact of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22,708,206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22,413,617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22,586,019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22,379,881</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r>
      <w:tr>
        <w:trPr/>
        <w:tc>
          <w:tcPr>
            <w:tcW w:w="47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Awards excluded from 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3,696,662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3,696,662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weighted average number of common stock - basic increased, primarily as a result of the vesting of restricted stock units. We did not repurchase any shares of Class A Common Stock during the first six months of 2025 or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Outstanding awards of 3,696,662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for the period ended June 30, 2025 and 207,657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for the period ended June 30, 2024 were excluded from the computation of dilutive shares, as they were anti-dilutive because of the net loss from continuing operations.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7 – Property and Equipment</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Property,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as at June 30, 2025 and December 31, 2024, is summarized as follows:</w:t>
      </w:r>
    </w:p>
    <w:tbl>
      <w:tblPr>
        <w:tblW w:w="5173" w:type="dxa"/>
        <w:jc w:val="left"/>
        <w:tblInd w:w="0" w:type="dxa"/>
        <w:tblLayout w:type="fixed"/>
        <w:tblCellMar>
          <w:top w:w="0" w:type="dxa"/>
          <w:left w:w="0" w:type="dxa"/>
          <w:bottom w:w="0" w:type="dxa"/>
          <w:right w:w="0" w:type="dxa"/>
        </w:tblCellMar>
      </w:tblPr>
      <w:tblGrid>
        <w:gridCol w:w="2686"/>
        <w:gridCol w:w="109"/>
        <w:gridCol w:w="211"/>
        <w:gridCol w:w="901"/>
        <w:gridCol w:w="109"/>
        <w:gridCol w:w="211"/>
        <w:gridCol w:w="946"/>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48,279</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47,267</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170,542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166,451</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49,444</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149,152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143,773</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1,987</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418,691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408,922</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(194,228)</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property,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213,340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214,694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$3.4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$6.7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for the quarter and six months ended June 30, 2025, as compared to $4.0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$8.1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for the quarter and six months ended June 30, 2024. </w:t>
      </w:r>
    </w:p>
    <w:p>
      <w:pPr>
        <w:pStyle w:val="TextBody"/>
        <w:bidi w:val="0"/>
        <w:spacing w:lineRule="auto" w:line="259"/>
        <w:rPr>
          <w:rFonts w:ascii="Times New Roman;serif" w:hAnsi="Times New Roman;serif"/>
          <w:b/>
          <w:i/>
          <w:sz w:val="20"/>
        </w:rPr>
      </w:pPr>
      <w:r>
        <w:rPr>
          <w:rFonts w:ascii="Times New Roman;serif" w:hAnsi="Times New Roman;serif"/>
          <w:b/>
          <w:i/>
          <w:sz w:val="20"/>
        </w:rPr>
        <w:t>Construction-in-Progress – Operating and Investment Properties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Construction-in-Progress balances are included in both our operating and development properties. The balances of our major projects along with the movements for the six months ended June 30, 2025, are shown below:</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4"/>
        <w:gridCol w:w="109"/>
        <w:gridCol w:w="295"/>
        <w:gridCol w:w="801"/>
        <w:gridCol w:w="109"/>
        <w:gridCol w:w="522"/>
        <w:gridCol w:w="1047"/>
        <w:gridCol w:w="109"/>
        <w:gridCol w:w="270"/>
        <w:gridCol w:w="616"/>
        <w:gridCol w:w="109"/>
        <w:gridCol w:w="637"/>
        <w:gridCol w:w="1049"/>
        <w:gridCol w:w="109"/>
        <w:gridCol w:w="360"/>
        <w:gridCol w:w="541"/>
        <w:gridCol w:w="109"/>
        <w:gridCol w:w="211"/>
        <w:gridCol w:w="618"/>
      </w:tblGrid>
      <w:tr>
        <w:trPr/>
        <w:tc>
          <w:tcPr>
            <w:tcW w:w="2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‎December 31,</w:t>
              <w:br/>
              <w:t>‎2024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9"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Additions during the period</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Completed</w:t>
              <w:br/>
              <w:t>‎during the</w:t>
              <w:br/>
              <w:t>‎period</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Transferred to Held for Sale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‎translation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9"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‎June 30,</w:t>
              <w:br/>
              <w:t>‎2025</w:t>
            </w:r>
          </w:p>
        </w:tc>
      </w:tr>
      <w:tr>
        <w:trPr/>
        <w:tc>
          <w:tcPr>
            <w:tcW w:w="25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developments and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4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49"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1,778</w:t>
            </w:r>
          </w:p>
        </w:tc>
      </w:tr>
      <w:tr>
        <w:trPr/>
        <w:tc>
          <w:tcPr>
            <w:tcW w:w="258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real estate projects</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w:t>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9"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w:t>
            </w:r>
          </w:p>
        </w:tc>
      </w:tr>
      <w:tr>
        <w:trPr/>
        <w:tc>
          <w:tcPr>
            <w:tcW w:w="258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4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4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2,054</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2025 Real Estate Monetizations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order to support our liquidity, we have monetized certain of our real estate holdings. During 2024 and the first six months of 2025 we sold three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held for sale properties. In the first quarter of 2024, we monetized our office building in Culver City for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the first quarter of 2025, we monetized our properties in Wellington, New Zealand for $21.5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the second quarter of 2025, we monetized our Cannon Park properties, for $20.7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In the second quarter of 2023, we classified our Newberry Yard, Williamsport, Pennsylvania, property as held for sale.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‘disposal group’ represents assets to be disposed of in a single transaction. A disposal group may represent a single asset, or, multiple assets. Discussed below are those real estate transactions affecting the presentation in our consolidated balance sheet as of June 30, 2025 and December 31, 2024, and the profitability determination in our consolidated statements of income for the quarter and six months ended June 30, 2025, and 2024.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Cannon Park, Townsville, Queensland, Australia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May 2024, we classified our Cannon Park ETC in Townsville, Queensland, Australia, as held for sale at the lower of cost and fair value less costs to sell. The disposal group consists of our Cannon Park City Center and Cannon Park Discount Center properties, comprising approximately 9.4-acres. The sale of the property was completed on May 21, 2025, at a gross sale price of $20.7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The proceeds were used principally to pay off our NAB bridging facility, and to reduce our Bank of America debt. We retained a lease over the cinema.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3967" w:type="dxa"/>
        <w:jc w:val="left"/>
        <w:tblInd w:w="0" w:type="dxa"/>
        <w:tblLayout w:type="fixed"/>
        <w:tblCellMar>
          <w:top w:w="0" w:type="dxa"/>
          <w:left w:w="0" w:type="dxa"/>
          <w:bottom w:w="0" w:type="dxa"/>
          <w:right w:w="0" w:type="dxa"/>
        </w:tblCellMar>
      </w:tblPr>
      <w:tblGrid>
        <w:gridCol w:w="2806"/>
        <w:gridCol w:w="109"/>
        <w:gridCol w:w="211"/>
        <w:gridCol w:w="841"/>
      </w:tblGrid>
      <w:tr>
        <w:trPr/>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8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20,698</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(18,361)</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2,337</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(518)</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1,819</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Courtenay Central, Wellington, New Zealand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June 2024, we classified </w:t>
      </w:r>
      <w:r>
        <w:rPr>
          <w:rFonts w:ascii="Times New Roman;serif" w:hAnsi="Times New Roman;serif"/>
          <w:b w:val="false"/>
          <w:i w:val="false"/>
          <w:caps w:val="false"/>
          <w:smallCaps w:val="false"/>
          <w:color w:val="000000"/>
          <w:sz w:val="20"/>
        </w:rPr>
        <w:t>our property assets in Wellington, New Zealand including Courtenay Central, as held for sale at the lower of cost and fair value less costs to sell. The disposal group consisted of our Courtenay Central cinema and retail property, along with our Tory and Wakefield Street car parks. Our book value (as opposed to fair value) of the property was $14.7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adjustments to the book value of the assets were required upon classification as held for sale. The sale was completed on January 31, 2025, at a gross sale price of $21.5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The proceeds were used to pay off the Westpac mortgage on the property, and to reduce our Bank of America debt. We have an Agreement to Lease the cinema portion from the Purchaser, which is expected to commence upon the completion of seismic upgrade work by the Landlord and cinema fit-out work by ourselves.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gain on sale of this property is calculated as follows:</w:t>
      </w:r>
    </w:p>
    <w:tbl>
      <w:tblPr>
        <w:tblW w:w="1088" w:type="dxa"/>
        <w:jc w:val="left"/>
        <w:tblInd w:w="0" w:type="dxa"/>
        <w:tblLayout w:type="fixed"/>
        <w:tblCellMar>
          <w:top w:w="0" w:type="dxa"/>
          <w:left w:w="0" w:type="dxa"/>
          <w:bottom w:w="0" w:type="dxa"/>
          <w:right w:w="0" w:type="dxa"/>
        </w:tblCellMar>
      </w:tblPr>
      <w:tblGrid>
        <w:gridCol w:w="124"/>
        <w:gridCol w:w="109"/>
        <w:gridCol w:w="354"/>
        <w:gridCol w:w="5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tbl>
      <w:tblPr>
        <w:tblW w:w="3967" w:type="dxa"/>
        <w:jc w:val="left"/>
        <w:tblInd w:w="0" w:type="dxa"/>
        <w:tblLayout w:type="fixed"/>
        <w:tblCellMar>
          <w:top w:w="0" w:type="dxa"/>
          <w:left w:w="0" w:type="dxa"/>
          <w:bottom w:w="28" w:type="dxa"/>
          <w:right w:w="0" w:type="dxa"/>
        </w:tblCellMar>
      </w:tblPr>
      <w:tblGrid>
        <w:gridCol w:w="2806"/>
        <w:gridCol w:w="109"/>
        <w:gridCol w:w="211"/>
        <w:gridCol w:w="841"/>
      </w:tblGrid>
      <w:tr>
        <w:trPr/>
        <w:tc>
          <w:tcPr>
            <w:tcW w:w="2806" w:type="dxa"/>
            <w:tcBorders>
              <w:bottom w:val="single" w:sz="12" w:space="0" w:color="000000"/>
            </w:tcBorders>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806" w:type="dxa"/>
            <w:tcBorders>
              <w:top w:val="single" w:sz="12" w:space="0" w:color="000000"/>
            </w:tcBorders>
            <w:shd w:fill="CCEEFF" w:val="clear"/>
            <w:tcMar>
              <w:top w:w="28" w:type="dxa"/>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21,538</w:t>
            </w:r>
          </w:p>
        </w:tc>
      </w:tr>
      <w:tr>
        <w:trPr/>
        <w:tc>
          <w:tcPr>
            <w:tcW w:w="280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(14,666)</w:t>
            </w:r>
          </w:p>
        </w:tc>
      </w:tr>
      <w:tr>
        <w:trPr/>
        <w:tc>
          <w:tcPr>
            <w:tcW w:w="2806"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6,872</w:t>
            </w:r>
          </w:p>
        </w:tc>
      </w:tr>
      <w:tr>
        <w:trPr/>
        <w:tc>
          <w:tcPr>
            <w:tcW w:w="280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w:t>
            </w:r>
          </w:p>
        </w:tc>
      </w:tr>
      <w:tr>
        <w:trPr/>
        <w:tc>
          <w:tcPr>
            <w:tcW w:w="2806"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6,566</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Culver City, California</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In May 2023, we classified our Culver City administrative building, commonly known as 5995 Sepulveda Blvd., as held for sale. Our book value (as opposed to fair value) of the property was $10.8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The disposal group consisted of land, a building and various leasehold improvements. The sale was completed on February 23, 2024, at a gross sales price of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proceeds were used principally to pay off the $8.3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first mortgage on the property.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loss on sale of this property is calculated as follows:</w:t>
      </w:r>
    </w:p>
    <w:tbl>
      <w:tblPr>
        <w:tblW w:w="3952" w:type="dxa"/>
        <w:jc w:val="left"/>
        <w:tblInd w:w="0" w:type="dxa"/>
        <w:tblLayout w:type="fixed"/>
        <w:tblCellMar>
          <w:top w:w="0" w:type="dxa"/>
          <w:left w:w="0" w:type="dxa"/>
          <w:bottom w:w="0" w:type="dxa"/>
          <w:right w:w="0" w:type="dxa"/>
        </w:tblCellMar>
      </w:tblPr>
      <w:tblGrid>
        <w:gridCol w:w="2791"/>
        <w:gridCol w:w="109"/>
        <w:gridCol w:w="211"/>
        <w:gridCol w:w="841"/>
      </w:tblGrid>
      <w:tr>
        <w:trPr/>
        <w:tc>
          <w:tcPr>
            <w:tcW w:w="2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79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7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2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(10,800)</w:t>
            </w:r>
          </w:p>
        </w:tc>
      </w:tr>
      <w:tr>
        <w:trPr/>
        <w:tc>
          <w:tcPr>
            <w:tcW w:w="27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r>
      <w:tr>
        <w:trPr/>
        <w:tc>
          <w:tcPr>
            <w:tcW w:w="2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w:t>
            </w:r>
          </w:p>
        </w:tc>
      </w:tr>
      <w:tr>
        <w:trPr/>
        <w:tc>
          <w:tcPr>
            <w:tcW w:w="27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(1,125)</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Disposal Groups Held for Sale</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Newberry Yard, Williamsport, Pennsylvania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June 2023, we classified our industrial property at Newberry Yard, Williamsport, Pennsylvania, as held for sale at the lower of cost and fair value less costs to sell. The current book value (as opposed to fair value) of the property is $460,000. The property is part of our historic railroad operations, consisting of land and an industrial building, and certain rail bed improvements.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Sales efforts continue, and the property continues to meet the ASC 360 held for sale criteria.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pStyle w:val="TextBody"/>
        <w:bidi w:val="0"/>
        <w:spacing w:lineRule="auto" w:line="259"/>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operating leases for certain cinemas, and finance leases for certain equipment assets.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up to a further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Lease payments for our cinema operating leases consist of fixed base rent, and for certain leases, variable lease payments consisting of contracted percentages of revenue, changes in the relevant CPI, and/or other contracted financial metrics.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were as follows:</w:t>
      </w:r>
    </w:p>
    <w:tbl>
      <w:tblPr>
        <w:tblW w:w="6730" w:type="dxa"/>
        <w:jc w:val="left"/>
        <w:tblInd w:w="0" w:type="dxa"/>
        <w:tblLayout w:type="fixed"/>
        <w:tblCellMar>
          <w:top w:w="0" w:type="dxa"/>
          <w:left w:w="0" w:type="dxa"/>
          <w:bottom w:w="0" w:type="dxa"/>
          <w:right w:w="0" w:type="dxa"/>
        </w:tblCellMar>
      </w:tblPr>
      <w:tblGrid>
        <w:gridCol w:w="2911"/>
        <w:gridCol w:w="109"/>
        <w:gridCol w:w="211"/>
        <w:gridCol w:w="571"/>
        <w:gridCol w:w="109"/>
        <w:gridCol w:w="211"/>
        <w:gridCol w:w="571"/>
        <w:gridCol w:w="109"/>
        <w:gridCol w:w="211"/>
        <w:gridCol w:w="676"/>
        <w:gridCol w:w="109"/>
        <w:gridCol w:w="211"/>
        <w:gridCol w:w="721"/>
      </w:tblGrid>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9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9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15,606</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1,615</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8,836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17,245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 related to leases is as follows:</w:t>
      </w:r>
    </w:p>
    <w:tbl>
      <w:tblPr>
        <w:tblW w:w="8233" w:type="dxa"/>
        <w:jc w:val="left"/>
        <w:tblInd w:w="0" w:type="dxa"/>
        <w:tblLayout w:type="fixed"/>
        <w:tblCellMar>
          <w:top w:w="0" w:type="dxa"/>
          <w:left w:w="0" w:type="dxa"/>
          <w:bottom w:w="0" w:type="dxa"/>
          <w:right w:w="0" w:type="dxa"/>
        </w:tblCellMar>
      </w:tblPr>
      <w:tblGrid>
        <w:gridCol w:w="6196"/>
        <w:gridCol w:w="109"/>
        <w:gridCol w:w="211"/>
        <w:gridCol w:w="676"/>
        <w:gridCol w:w="109"/>
        <w:gridCol w:w="211"/>
        <w:gridCol w:w="721"/>
      </w:tblGrid>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619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6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11,868</w:t>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136" w:type="dxa"/>
        <w:jc w:val="left"/>
        <w:tblInd w:w="0" w:type="dxa"/>
        <w:tblLayout w:type="fixed"/>
        <w:tblCellMar>
          <w:top w:w="0" w:type="dxa"/>
          <w:left w:w="0" w:type="dxa"/>
          <w:bottom w:w="0" w:type="dxa"/>
          <w:right w:w="0" w:type="dxa"/>
        </w:tblCellMar>
      </w:tblPr>
      <w:tblGrid>
        <w:gridCol w:w="4786"/>
        <w:gridCol w:w="109"/>
        <w:gridCol w:w="211"/>
        <w:gridCol w:w="781"/>
        <w:gridCol w:w="109"/>
        <w:gridCol w:w="232"/>
        <w:gridCol w:w="908"/>
      </w:tblGrid>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7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160,562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160,873</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20,747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161,386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161,702</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182,449</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w:t>
            </w:r>
          </w:p>
        </w:tc>
      </w:tr>
      <w:tr>
        <w:trPr/>
        <w:tc>
          <w:tcPr>
            <w:tcW w:w="47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6" w:type="dxa"/>
        <w:jc w:val="left"/>
        <w:tblInd w:w="0" w:type="dxa"/>
        <w:tblLayout w:type="fixed"/>
        <w:tblCellMar>
          <w:top w:w="0" w:type="dxa"/>
          <w:left w:w="0" w:type="dxa"/>
          <w:bottom w:w="0" w:type="dxa"/>
          <w:right w:w="0" w:type="dxa"/>
        </w:tblCellMar>
      </w:tblPr>
      <w:tblGrid>
        <w:gridCol w:w="1906"/>
        <w:gridCol w:w="109"/>
        <w:gridCol w:w="211"/>
        <w:gridCol w:w="796"/>
        <w:gridCol w:w="109"/>
        <w:gridCol w:w="267"/>
        <w:gridCol w:w="498"/>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9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9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27,028</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24,160</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122,160</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8"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235,835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(54,266)</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entered into various leases as a lessor for our owned real estate properties.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6115" w:type="dxa"/>
        <w:jc w:val="left"/>
        <w:tblInd w:w="0" w:type="dxa"/>
        <w:tblLayout w:type="fixed"/>
        <w:tblCellMar>
          <w:top w:w="0" w:type="dxa"/>
          <w:left w:w="0" w:type="dxa"/>
          <w:bottom w:w="0" w:type="dxa"/>
          <w:right w:w="0" w:type="dxa"/>
        </w:tblCellMar>
      </w:tblPr>
      <w:tblGrid>
        <w:gridCol w:w="2506"/>
        <w:gridCol w:w="109"/>
        <w:gridCol w:w="211"/>
        <w:gridCol w:w="571"/>
        <w:gridCol w:w="109"/>
        <w:gridCol w:w="211"/>
        <w:gridCol w:w="571"/>
        <w:gridCol w:w="109"/>
        <w:gridCol w:w="211"/>
        <w:gridCol w:w="571"/>
        <w:gridCol w:w="109"/>
        <w:gridCol w:w="211"/>
        <w:gridCol w:w="616"/>
      </w:tblGrid>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5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5,425</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423</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2,705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5,601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5,848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5495" w:type="dxa"/>
        <w:jc w:val="left"/>
        <w:tblInd w:w="0" w:type="dxa"/>
        <w:tblLayout w:type="fixed"/>
        <w:tblCellMar>
          <w:top w:w="0" w:type="dxa"/>
          <w:left w:w="0" w:type="dxa"/>
          <w:bottom w:w="0" w:type="dxa"/>
          <w:right w:w="0" w:type="dxa"/>
        </w:tblCellMar>
      </w:tblPr>
      <w:tblGrid>
        <w:gridCol w:w="2476"/>
        <w:gridCol w:w="109"/>
        <w:gridCol w:w="109"/>
        <w:gridCol w:w="109"/>
        <w:gridCol w:w="109"/>
        <w:gridCol w:w="109"/>
        <w:gridCol w:w="109"/>
        <w:gridCol w:w="109"/>
        <w:gridCol w:w="211"/>
        <w:gridCol w:w="796"/>
        <w:gridCol w:w="109"/>
        <w:gridCol w:w="232"/>
        <w:gridCol w:w="908"/>
      </w:tblGrid>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4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115,229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113,424</w:t>
            </w:r>
          </w:p>
        </w:tc>
      </w:tr>
      <w:tr>
        <w:trPr/>
        <w:tc>
          <w:tcPr>
            <w:tcW w:w="24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(21,692)</w:t>
            </w:r>
          </w:p>
        </w:tc>
      </w:tr>
      <w:tr>
        <w:trPr/>
        <w:tc>
          <w:tcPr>
            <w:tcW w:w="24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91,454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91,732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minimum contractual rent payments due on our leases were as follows:</w:t>
      </w:r>
    </w:p>
    <w:p>
      <w:pPr>
        <w:pStyle w:val="TextBody"/>
        <w:bidi w:val="0"/>
        <w:spacing w:lineRule="auto" w:line="259"/>
        <w:rPr>
          <w:caps w:val="false"/>
          <w:smallCaps w:val="false"/>
        </w:rPr>
      </w:pPr>
      <w:r>
        <w:rPr>
          <w:caps w:val="false"/>
          <w:smallCaps w:val="false"/>
        </w:rPr>
        <w:t> </w:t>
      </w:r>
    </w:p>
    <w:tbl>
      <w:tblPr>
        <w:tblW w:w="3716" w:type="dxa"/>
        <w:jc w:val="left"/>
        <w:tblInd w:w="0" w:type="dxa"/>
        <w:tblLayout w:type="fixed"/>
        <w:tblCellMar>
          <w:top w:w="0" w:type="dxa"/>
          <w:left w:w="0" w:type="dxa"/>
          <w:bottom w:w="0" w:type="dxa"/>
          <w:right w:w="0" w:type="dxa"/>
        </w:tblCellMar>
      </w:tblPr>
      <w:tblGrid>
        <w:gridCol w:w="1681"/>
        <w:gridCol w:w="109"/>
        <w:gridCol w:w="109"/>
        <w:gridCol w:w="109"/>
        <w:gridCol w:w="109"/>
        <w:gridCol w:w="109"/>
        <w:gridCol w:w="109"/>
        <w:gridCol w:w="109"/>
        <w:gridCol w:w="109"/>
        <w:gridCol w:w="109"/>
        <w:gridCol w:w="109"/>
        <w:gridCol w:w="214"/>
        <w:gridCol w:w="73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4,986</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9,875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9,426</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9,375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8,827</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32,431</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74,920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 Goodwill and Intangible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goodwill by business segment as of June 30, 2025, and December 31, 2024. </w:t>
      </w:r>
    </w:p>
    <w:tbl>
      <w:tblPr>
        <w:tblW w:w="6482" w:type="dxa"/>
        <w:jc w:val="left"/>
        <w:tblInd w:w="0" w:type="dxa"/>
        <w:tblLayout w:type="fixed"/>
        <w:tblCellMar>
          <w:top w:w="0" w:type="dxa"/>
          <w:left w:w="0" w:type="dxa"/>
          <w:bottom w:w="0" w:type="dxa"/>
          <w:right w:w="0" w:type="dxa"/>
        </w:tblCellMar>
      </w:tblPr>
      <w:tblGrid>
        <w:gridCol w:w="3361"/>
        <w:gridCol w:w="109"/>
        <w:gridCol w:w="211"/>
        <w:gridCol w:w="676"/>
        <w:gridCol w:w="109"/>
        <w:gridCol w:w="263"/>
        <w:gridCol w:w="712"/>
        <w:gridCol w:w="109"/>
        <w:gridCol w:w="211"/>
        <w:gridCol w:w="721"/>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1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23,712</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1,156</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1,156</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19,644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24,868</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2025. To test the impairment of goodwill, our Company compares the fair value of each reporting unit to its carrying amount, including the goodwill, to determine if there is potential goodwill impairment. A reporting unit is generally one level below the operating segment. As of June 30, 2025, we were not aware that any events indicating potential impairment of goodwill had occurred outside of those described at </w:t>
      </w:r>
      <w:r>
        <w:rPr>
          <w:rFonts w:ascii="Times New Roman;serif" w:hAnsi="Times New Roman;serif"/>
          <w:b w:val="false"/>
          <w:i/>
          <w:sz w:val="20"/>
        </w:rPr>
        <w:t>Note 2 – Liquidity and Impairment Assessment</w:t>
      </w:r>
      <w:r>
        <w:rPr>
          <w:rFonts w:ascii="Times New Roman;serif" w:hAnsi="Times New Roman;serif"/>
          <w:b w:val="false"/>
          <w:i w:val="false"/>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intangible assets other than goodwill, as of June 30, 2025, and December 31, 2024, respectively. </w:t>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June 30, 2025</w:t>
            </w:r>
          </w:p>
        </w:tc>
      </w:tr>
      <w:tr>
        <w:trPr/>
        <w:tc>
          <w:tcPr>
            <w:tcW w:w="3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23,880</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(22,136)</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1,744</w:t>
            </w:r>
          </w:p>
        </w:tc>
      </w:tr>
    </w:tbl>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December 31, 2024</w:t>
            </w:r>
          </w:p>
        </w:tc>
      </w:tr>
      <w:tr>
        <w:trPr/>
        <w:tc>
          <w:tcPr>
            <w:tcW w:w="3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23,831</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(22,031)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1,800</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Beneficial leases obtained in business combinations where we are the landlord are amortized over the life of the relevant leases. Trade names are amortized based on the accelerated amortization method over their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are amortized over their estimated useful lives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The table below summarizes the amortization expense of intangible assets for the quarter and six months ended June 30, 2025</w:t>
      </w:r>
    </w:p>
    <w:tbl>
      <w:tblPr>
        <w:tblW w:w="6034" w:type="dxa"/>
        <w:jc w:val="left"/>
        <w:tblInd w:w="0" w:type="dxa"/>
        <w:tblLayout w:type="fixed"/>
        <w:tblCellMar>
          <w:top w:w="0" w:type="dxa"/>
          <w:left w:w="0" w:type="dxa"/>
          <w:bottom w:w="0" w:type="dxa"/>
          <w:right w:w="0" w:type="dxa"/>
        </w:tblCellMar>
      </w:tblPr>
      <w:tblGrid>
        <w:gridCol w:w="3166"/>
        <w:gridCol w:w="109"/>
        <w:gridCol w:w="217"/>
        <w:gridCol w:w="326"/>
        <w:gridCol w:w="112"/>
        <w:gridCol w:w="217"/>
        <w:gridCol w:w="326"/>
        <w:gridCol w:w="109"/>
        <w:gridCol w:w="233"/>
        <w:gridCol w:w="350"/>
        <w:gridCol w:w="120"/>
        <w:gridCol w:w="233"/>
        <w:gridCol w:w="516"/>
      </w:tblGrid>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452"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452"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316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54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1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58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2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3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Beneficial lease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5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intangible assets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32</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70</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10 – Investments in Unconsolidated Joint Ventures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investments in unconsolidated joint ventures are accounted for under the equity method of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 our active investment holdings in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unconsolidated joint ventures as of June 30, 2025, and December 31, 2024:</w:t>
      </w:r>
    </w:p>
    <w:tbl>
      <w:tblPr>
        <w:tblW w:w="4591" w:type="dxa"/>
        <w:jc w:val="left"/>
        <w:tblInd w:w="0" w:type="dxa"/>
        <w:tblLayout w:type="fixed"/>
        <w:tblCellMar>
          <w:top w:w="0" w:type="dxa"/>
          <w:left w:w="0" w:type="dxa"/>
          <w:bottom w:w="0" w:type="dxa"/>
          <w:right w:w="0" w:type="dxa"/>
        </w:tblCellMar>
      </w:tblPr>
      <w:tblGrid>
        <w:gridCol w:w="1681"/>
        <w:gridCol w:w="109"/>
        <w:gridCol w:w="661"/>
        <w:gridCol w:w="109"/>
        <w:gridCol w:w="211"/>
        <w:gridCol w:w="571"/>
        <w:gridCol w:w="109"/>
        <w:gridCol w:w="290"/>
        <w:gridCol w:w="850"/>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3,258</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3,138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and six months ended June 30, 2025 and 2024, the recognized share of equity earnings from our investments in unconsolidated joint ventures are as follows:</w:t>
      </w:r>
    </w:p>
    <w:tbl>
      <w:tblPr>
        <w:tblW w:w="4980" w:type="dxa"/>
        <w:jc w:val="left"/>
        <w:tblInd w:w="0" w:type="dxa"/>
        <w:tblLayout w:type="fixed"/>
        <w:tblCellMar>
          <w:top w:w="0" w:type="dxa"/>
          <w:left w:w="0" w:type="dxa"/>
          <w:bottom w:w="0" w:type="dxa"/>
          <w:right w:w="0" w:type="dxa"/>
        </w:tblCellMar>
      </w:tblPr>
      <w:tblGrid>
        <w:gridCol w:w="1936"/>
        <w:gridCol w:w="109"/>
        <w:gridCol w:w="211"/>
        <w:gridCol w:w="421"/>
        <w:gridCol w:w="109"/>
        <w:gridCol w:w="211"/>
        <w:gridCol w:w="421"/>
        <w:gridCol w:w="109"/>
        <w:gridCol w:w="214"/>
        <w:gridCol w:w="427"/>
        <w:gridCol w:w="110"/>
        <w:gridCol w:w="214"/>
        <w:gridCol w:w="488"/>
      </w:tblGrid>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19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64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8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r>
      <w:tr>
        <w:trPr/>
        <w:tc>
          <w:tcPr>
            <w:tcW w:w="1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w:t>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w:t>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11 – Prepaid and Other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416" w:type="dxa"/>
        <w:jc w:val="left"/>
        <w:tblInd w:w="0" w:type="dxa"/>
        <w:tblLayout w:type="fixed"/>
        <w:tblCellMar>
          <w:top w:w="0" w:type="dxa"/>
          <w:left w:w="0" w:type="dxa"/>
          <w:bottom w:w="0" w:type="dxa"/>
          <w:right w:w="0" w:type="dxa"/>
        </w:tblCellMar>
      </w:tblPr>
      <w:tblGrid>
        <w:gridCol w:w="4171"/>
        <w:gridCol w:w="109"/>
        <w:gridCol w:w="211"/>
        <w:gridCol w:w="676"/>
        <w:gridCol w:w="109"/>
        <w:gridCol w:w="290"/>
        <w:gridCol w:w="850"/>
      </w:tblGrid>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1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1,280</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1,473</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853</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941</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3,963</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2,668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9,786</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7,279</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other non-current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8,799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12 – Income Taxes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An income tax expense of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an income tax benefit of $0.4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were recognized during the six months ended June 30, 2025 and 2024, respectively. The tax expense and benefit during each of the six-month periods ended June 30, 2025 and 2024 is primarily resulted from year-to-date consolidated losses, offset with adjustments relating to valuation allowances on deferred tax assets in the U.S. and New Zealand.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13 – Borrowings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Company’s borrowings at June 30, 2025 and December 31, 2024, net of deferred financing costs and including the impact of interest rate derivatives on effective interest rates, are summarized below:</w:t>
      </w:r>
    </w:p>
    <w:tbl>
      <w:tblPr>
        <w:tblW w:w="9843" w:type="dxa"/>
        <w:jc w:val="left"/>
        <w:tblInd w:w="0" w:type="dxa"/>
        <w:tblLayout w:type="fixed"/>
        <w:tblCellMar>
          <w:top w:w="0" w:type="dxa"/>
          <w:left w:w="0" w:type="dxa"/>
          <w:bottom w:w="0" w:type="dxa"/>
          <w:right w:w="0" w:type="dxa"/>
        </w:tblCellMar>
      </w:tblPr>
      <w:tblGrid>
        <w:gridCol w:w="3151"/>
        <w:gridCol w:w="109"/>
        <w:gridCol w:w="1426"/>
        <w:gridCol w:w="109"/>
        <w:gridCol w:w="218"/>
        <w:gridCol w:w="773"/>
        <w:gridCol w:w="109"/>
        <w:gridCol w:w="196"/>
        <w:gridCol w:w="691"/>
        <w:gridCol w:w="109"/>
        <w:gridCol w:w="196"/>
        <w:gridCol w:w="691"/>
        <w:gridCol w:w="109"/>
        <w:gridCol w:w="1051"/>
        <w:gridCol w:w="109"/>
        <w:gridCol w:w="796"/>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3" w:type="dxa"/>
            <w:gridSpan w:val="1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June 30, 2025</w:t>
            </w:r>
          </w:p>
        </w:tc>
      </w:tr>
      <w:tr>
        <w:trPr/>
        <w:tc>
          <w:tcPr>
            <w:tcW w:w="315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 Rate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Minetta &amp; Orpheum Theatres Loan (US)(2)</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7,400</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 (3)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August 18,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11.50%</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20,516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20,516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20,516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9.33%</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November 6,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45,910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11.52%</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27,506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8.54%</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Denominated in foreign currency ("FC") </w:t>
            </w:r>
            <w:r>
              <w:rPr>
                <w:rFonts w:ascii="Times New Roman;serif" w:hAnsi="Times New Roman;serif"/>
                <w:b w:val="false"/>
                <w:i w:val="false"/>
                <w:caps w:val="false"/>
                <w:smallCaps w:val="false"/>
                <w:position w:val="5"/>
                <w:sz w:val="13"/>
                <w:sz w:val="16"/>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63,761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63,679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5.55%</w:t>
            </w:r>
          </w:p>
        </w:tc>
      </w:tr>
      <w:tr>
        <w:trPr/>
        <w:tc>
          <w:tcPr>
            <w:tcW w:w="31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175,790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173,431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172,184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financing costs amounting to $1.2</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(2)This facility was extended after June 30, 2025, and now matures on June 1, 2026. See below for discussion.</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(3)This facility was extended after June 30, 2025, and now matures on May 18, 2026. See below for discussion. </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(4)The contractual facilities and outstanding balances of the foreign currency denominated borrowings were translated into U.S. dollars based on the applicable exchange rates as of June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tbl>
      <w:tblPr>
        <w:tblW w:w="9378" w:type="dxa"/>
        <w:jc w:val="left"/>
        <w:tblInd w:w="0" w:type="dxa"/>
        <w:tblLayout w:type="fixed"/>
        <w:tblCellMar>
          <w:top w:w="0" w:type="dxa"/>
          <w:left w:w="0" w:type="dxa"/>
          <w:bottom w:w="0" w:type="dxa"/>
          <w:right w:w="0" w:type="dxa"/>
        </w:tblCellMar>
      </w:tblPr>
      <w:tblGrid>
        <w:gridCol w:w="3136"/>
        <w:gridCol w:w="109"/>
        <w:gridCol w:w="1276"/>
        <w:gridCol w:w="109"/>
        <w:gridCol w:w="208"/>
        <w:gridCol w:w="783"/>
        <w:gridCol w:w="109"/>
        <w:gridCol w:w="196"/>
        <w:gridCol w:w="736"/>
        <w:gridCol w:w="109"/>
        <w:gridCol w:w="196"/>
        <w:gridCol w:w="736"/>
        <w:gridCol w:w="109"/>
        <w:gridCol w:w="661"/>
        <w:gridCol w:w="109"/>
        <w:gridCol w:w="796"/>
      </w:tblGrid>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3" w:type="dxa"/>
            <w:gridSpan w:val="1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2024</w:t>
            </w:r>
          </w:p>
        </w:tc>
      </w:tr>
      <w:tr>
        <w:trPr/>
        <w:tc>
          <w:tcPr>
            <w:tcW w:w="31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Minetta &amp; Orpheum Theatres Loan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7,464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7,464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7,446</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August 18,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14,750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14,750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14,699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1,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20,682</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20,682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20,594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9.57%</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 (4)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47,049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11.78%</w:t>
            </w:r>
          </w:p>
        </w:tc>
      </w:tr>
      <w:tr>
        <w:trPr/>
        <w:tc>
          <w:tcPr>
            <w:tcW w:w="313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Trust Preferred Securities (</w:t>
            </w:r>
            <w:r>
              <w:rPr>
                <w:rFonts w:ascii="Times New Roman;serif" w:hAnsi="Times New Roman;serif"/>
                <w:b w:val="false"/>
                <w:i w:val="false"/>
                <w:caps w:val="false"/>
                <w:smallCaps w:val="false"/>
                <w:position w:val="5"/>
                <w:sz w:val="13"/>
                <w:sz w:val="16"/>
              </w:rPr>
              <w:t>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27,394</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8.85%</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Denominated in foreign currency ("FC") </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61,850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61,850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61,740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Bridge Facility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12,370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12,370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12,361</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6.16%</w:t>
            </w:r>
          </w:p>
        </w:tc>
      </w:tr>
      <w:tr>
        <w:trPr/>
        <w:tc>
          <w:tcPr>
            <w:tcW w:w="3136"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6"/>
              </w:rPr>
              <w:t xml:space="preserve">Westpac Bank Corporate (NZ) </w:t>
            </w:r>
            <w:r>
              <w:rPr>
                <w:rFonts w:ascii="Times New Roman;serif" w:hAnsi="Times New Roman;serif"/>
                <w:b w:val="false"/>
                <w:i w:val="false"/>
                <w:caps w:val="false"/>
                <w:smallCaps w:val="false"/>
                <w:position w:val="6"/>
                <w:sz w:val="14"/>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10,543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10,543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10,543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210,572</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202,713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201,826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$0.9</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 xml:space="preserve">million. </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contractual facilities and outstanding balances of the foreign currency denominated borrowings were translated into U.S. dollars based on the applicable exchange rates as of December 31, 2024.</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(3)This debt was repaid in full on January 31, 2025. </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(4)This loan has an option to extend for one year, which is within our control and we intend to exercise.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711" w:type="dxa"/>
        <w:jc w:val="left"/>
        <w:tblInd w:w="0" w:type="dxa"/>
        <w:tblLayout w:type="fixed"/>
        <w:tblCellMar>
          <w:top w:w="0" w:type="dxa"/>
          <w:left w:w="0" w:type="dxa"/>
          <w:bottom w:w="0" w:type="dxa"/>
          <w:right w:w="0" w:type="dxa"/>
        </w:tblCellMar>
      </w:tblPr>
      <w:tblGrid>
        <w:gridCol w:w="3361"/>
        <w:gridCol w:w="109"/>
        <w:gridCol w:w="211"/>
        <w:gridCol w:w="781"/>
        <w:gridCol w:w="109"/>
        <w:gridCol w:w="232"/>
        <w:gridCol w:w="908"/>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36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 xml:space="preserve">Balance Sheet Caption </w:t>
            </w: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69,193</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106,449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105,239</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27,506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27,394</w:t>
            </w:r>
          </w:p>
        </w:tc>
      </w:tr>
      <w:tr>
        <w:trPr/>
        <w:tc>
          <w:tcPr>
            <w:tcW w:w="33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172,184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201,826</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Bank of America Credit Facility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December 31, 2023, our Bank of America facility matured on September 4, 2024, following a Q1 2023 loan modification, which, among other things, extended the maturity date from March 1, 2024 to September 4, 2024.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amended this facility on March 27, 2024, to among other terms and conditions, (i) extend the Maturity Date to August 18, 2025, (ii) require a $275,000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principal paydown, (iii) eliminate the minimum liquidity covenant, (iv) reduce the principal amortization amounts and provide a principal holiday period, and (v) require certain paydowns on the sale of certain real estate assets. Interest is charged at 2.5% above the Bank of America Prime rate, which itself has a floor of 1.0%. Payment-in-kind interest at a rate of 0.5% commenced on January 1, 2024, and continued until December 31, 2024, increasing to 1.5% on January 1, 2025, until the facility is repaid in full. This loan is subject to mandatory prepayment out of a portion of the net proceeds realized by us in the event that we determine to sell certain specified assets. In October 2024, we amended this facility to defer the monthly principal payments required in October, November and December, to the end of 2024. All deferred payments were made as contracted. Upon the sale of our Wellington Property assets including Courtenay Central, we repaid $6.1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this facility on February 5, 2025. Upon the sale of our Cannon Park property, we repaid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this facility.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April 3, 2025, we amended the facility to defer certain scheduled pay downs, which were subsequently paid upon the sale of our Cannon Park property. On July 3, 2025, we extended the maturity date to May 18, 2026. </w:t>
      </w:r>
    </w:p>
    <w:p>
      <w:pPr>
        <w:pStyle w:val="TextBody"/>
        <w:bidi w:val="0"/>
        <w:spacing w:lineRule="auto" w:line="259"/>
        <w:rPr>
          <w:rFonts w:ascii="Times New Roman;serif" w:hAnsi="Times New Roman;serif"/>
          <w:b/>
          <w:i/>
          <w:sz w:val="20"/>
        </w:rPr>
      </w:pPr>
      <w:r>
        <w:rPr>
          <w:rFonts w:ascii="Times New Roman;serif" w:hAnsi="Times New Roman;serif"/>
          <w:b/>
          <w:i/>
          <w:sz w:val="20"/>
        </w:rPr>
        <w:t>Minetta and Orpheum Theatres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1, 2024, we extended the maturity of our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with Santander Bank, which is secured by our Minetta and Orpheum Theaters. It had previously matured on June 1, 2024, and was extended to June 1, 2025, required monthly principal and interest payments with a balloon payment of $7.7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on maturity, and carried an interest rate of 7.0%. On July 18, 2025, we extended the maturity of this loan to June 1, 2026, with various paydowns throughout the year, and a final repayment upon maturity. </w:t>
      </w:r>
    </w:p>
    <w:p>
      <w:pPr>
        <w:pStyle w:val="TextBody"/>
        <w:bidi w:val="0"/>
        <w:spacing w:lineRule="auto" w:line="259"/>
        <w:rPr>
          <w:rFonts w:ascii="Times New Roman;serif" w:hAnsi="Times New Roman;serif"/>
          <w:b/>
          <w:i/>
          <w:sz w:val="20"/>
        </w:rPr>
      </w:pPr>
      <w:r>
        <w:rPr>
          <w:rFonts w:ascii="Times New Roman;serif" w:hAnsi="Times New Roman;serif"/>
          <w:b/>
          <w:i/>
          <w:sz w:val="20"/>
        </w:rPr>
        <w:t>Cinemas 1,2,3 Term Loan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1,2,3 Term Loan is held by Sutton Hill Properties LLC (“SHP”), a 75% owned subsidiary of RDI. On February 26, 2025, we exercised the last of our extension options on this loan, extending the maturity to October 1, 2025. The loan is with Valley National Bank, which carries an interest rate of 5.0% above monthly SOFR, with a floor of 7.50%.</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Union Square Financing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$55.0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facility, executed in 2021 with Emerald Creek Capital, is secured by our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Union Square property and certain limited guarantees. It bears a variable interest rate of term SOFR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plus 6.9% and includes provisions for a prepaid interest and property tax reserve fund. On April 23, 2024, we executed the first twelve month extension on this loan, taking the maturity to May 6, 2025.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2, 2025, we extended the maturity date of this loan to November 6, 2026, with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option to extend further to May 6, 2027. The extension provided for principal payments of $500,000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or before May 21, 2025, and on or before and February 6, 2026. This modification reduced the facility limit from $55.0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$49.0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Debt denominated in foreign currencies</w:t>
      </w:r>
    </w:p>
    <w:p>
      <w:pPr>
        <w:pStyle w:val="TextBody"/>
        <w:bidi w:val="0"/>
        <w:spacing w:lineRule="auto" w:line="259"/>
        <w:rPr>
          <w:rFonts w:ascii="Times New Roman;serif" w:hAnsi="Times New Roman;serif"/>
          <w:b/>
          <w:i/>
          <w:sz w:val="20"/>
        </w:rPr>
      </w:pPr>
      <w:r>
        <w:rPr>
          <w:rFonts w:ascii="Times New Roman;serif" w:hAnsi="Times New Roman;serif"/>
          <w:b/>
          <w:i/>
          <w:sz w:val="20"/>
        </w:rPr>
        <w:t>Westpac Bank Corporate Credit Facility (NZ)</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repaid our Westpac Bank Corporate Credit Facility in full on January 31, 2025. </w:t>
      </w:r>
    </w:p>
    <w:p>
      <w:pPr>
        <w:pStyle w:val="TextBody"/>
        <w:bidi w:val="0"/>
        <w:spacing w:lineRule="auto" w:line="259"/>
        <w:rPr>
          <w:rFonts w:ascii="Times New Roman;serif" w:hAnsi="Times New Roman;serif"/>
          <w:b/>
          <w:i/>
          <w:sz w:val="20"/>
        </w:rPr>
      </w:pPr>
      <w:r>
        <w:rPr>
          <w:rFonts w:ascii="Times New Roman;serif" w:hAnsi="Times New Roman;serif"/>
          <w:b/>
          <w:i/>
          <w:sz w:val="20"/>
        </w:rPr>
        <w:t>Australian NAB Corporate Term Loan (AU)</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Prior to March 31, 2024, our Revolving Corporate Markets Loan Facility with National Australia Bank (“NAB”) matured on July 31, 2025. It consisted of (i) an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at 1.75% above BBSY, of which AU $60.0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revolving and AU$40.0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core and (ii) a Bank Guarantee Facility of AU$5.0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at a rate of 1.9% per annum.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April 4, 2024, we amended this facility, which now matures on July 31, 2026. As part of the amendment, we obtained an additional AU$20.0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bridge facility (the “Bridge Loan”), which was repaid on May 21, 2025. We are also required, from March 31, 2025, to make quarterly repayments of AU$1.5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against the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Corporate Loan facility, until maturity date, representing permanent reductions in that facility’s ceiling. No other changes were made. </w:t>
      </w:r>
      <w:r>
        <w:rPr>
          <w:rFonts w:ascii="Times New Roman;serif" w:hAnsi="Times New Roman;serif"/>
          <w:b w:val="false"/>
          <w:i w:val="false"/>
          <w:caps w:val="false"/>
          <w:smallCaps w:val="false"/>
          <w:color w:val="000000"/>
          <w:sz w:val="20"/>
        </w:rPr>
        <w:t>On April 2, 2025, we executed an amendment that among other things, increased the bank guarantee facility from AU$3.0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to AU$4.0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Effective June 28, 2024, we entered into an Interest Rate Hedging Agreement with NAB 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the Corporate Loan Facility with a termination date of July 31, 2026. The Interest Rate Collar transaction has a floor of 4.18% and a cap of 4.78%.</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14 – Other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are summarized as follows:</w:t>
      </w:r>
    </w:p>
    <w:tbl>
      <w:tblPr>
        <w:tblW w:w="4751" w:type="dxa"/>
        <w:jc w:val="left"/>
        <w:tblInd w:w="0" w:type="dxa"/>
        <w:tblLayout w:type="fixed"/>
        <w:tblCellMar>
          <w:top w:w="0" w:type="dxa"/>
          <w:left w:w="0" w:type="dxa"/>
          <w:bottom w:w="0" w:type="dxa"/>
          <w:right w:w="0" w:type="dxa"/>
        </w:tblCellMar>
      </w:tblPr>
      <w:tblGrid>
        <w:gridCol w:w="2506"/>
        <w:gridCol w:w="109"/>
        <w:gridCol w:w="211"/>
        <w:gridCol w:w="676"/>
        <w:gridCol w:w="109"/>
        <w:gridCol w:w="258"/>
        <w:gridCol w:w="882"/>
      </w:tblGrid>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6,593</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5,908</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2,102</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2,312</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3,786</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13,662</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Pension Liability – Supplemental Executive Retirement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Details of our Supplemental Executive Retirement Plan are disclosed in </w:t>
      </w:r>
      <w:r>
        <w:rPr>
          <w:rFonts w:ascii="Times New Roman;serif" w:hAnsi="Times New Roman;serif"/>
          <w:b w:val="false"/>
          <w:i/>
          <w:sz w:val="20"/>
        </w:rPr>
        <w:t xml:space="preserve">Note 14 – Pension and Other Liabilities </w:t>
      </w:r>
      <w:r>
        <w:rPr>
          <w:rFonts w:ascii="Times New Roman;serif" w:hAnsi="Times New Roman;serif"/>
          <w:b w:val="false"/>
          <w:i w:val="false"/>
          <w:caps w:val="false"/>
          <w:smallCaps w:val="false"/>
          <w:sz w:val="20"/>
        </w:rPr>
        <w:t>in our 2024 Form 10-K.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Included in our current and non-current liabilities are accrued pension costs of $2.6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on June 30, 2025. The benefits of our pension plan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costs were recognized for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quarter and six months ended June 30, 2025, and 2024. Our pension plan is unfunded.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and six months ended June 30, 2025, the interest cost was $35,000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$72,000, respectively, and the actuarial loss was $52,000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$103,000, respectively. During the quarter and six months ended June 30, 2024, the interest cost was $42,000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$86,000, respectively, and the actuarial loss was $52,000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$104,000, respectively.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15 – Accumulated Other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Layout w:type="fixed"/>
        <w:tblCellMar>
          <w:top w:w="0" w:type="dxa"/>
          <w:left w:w="0" w:type="dxa"/>
          <w:bottom w:w="0" w:type="dxa"/>
          <w:right w:w="0" w:type="dxa"/>
        </w:tblCellMar>
      </w:tblPr>
      <w:tblGrid>
        <w:gridCol w:w="4874"/>
        <w:gridCol w:w="211"/>
        <w:gridCol w:w="674"/>
        <w:gridCol w:w="109"/>
        <w:gridCol w:w="388"/>
        <w:gridCol w:w="693"/>
        <w:gridCol w:w="109"/>
        <w:gridCol w:w="267"/>
        <w:gridCol w:w="799"/>
        <w:gridCol w:w="109"/>
        <w:gridCol w:w="283"/>
        <w:gridCol w:w="648"/>
        <w:gridCol w:w="109"/>
        <w:gridCol w:w="211"/>
        <w:gridCol w:w="721"/>
      </w:tblGrid>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88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‎Items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Accrued</w:t>
              <w:br/>
              <w:t>‎Pension</w:t>
              <w:br/>
              <w:t>‎Service Costs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Hedge</w:t>
              <w:br/>
              <w:t>‎Accounting</w:t>
              <w:br/>
              <w:t>‎Reserve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87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2025</w:t>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9"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(7,173)</w:t>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r>
      <w:tr>
        <w:trPr/>
        <w:tc>
          <w:tcPr>
            <w:tcW w:w="4874"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 (loss)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3,154</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3,156</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2025</w:t>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(4,017)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16 – Commitments and Contingencies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are currently involved in certain legal proceedings, and we may from time to time, in the normal course of business, be a party to various ordinary course claims from vendors, landlords, tenants, employees and competitors and to other legal proceedings. If management believes that a loss arising from the action is probable and can reasonably be estimated, the Company records the amount of the loss or the minimum estimated liability when the loss is estimated using a range and no point in the range is more probable than another. Management believes that the ultimate outcome of the matters discussed below, individually and in the aggregate, will not likely have a material adverse effect on the Company’s financial position or overall trends in results of operations. However, litigation and claims are subject to inherent uncertainties and unfavorable outcomes can occur. An unfavorable outcome might include monetary damages. If an unfavorable outcome were to occur, there exists the possibility of a material adverse impact on the results of operation in the period in which the outcome occurs or in future periods. An unfavorable outcome could also have a material adverse effect on the Company’s financial position or the market prices of the Company’s securities.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Certain of these subsidiaries appear in the chain-of-title of properties that may suffer from environmental issues. Accordingly, certain of these subsidiaries have, from time to time, been named in and may in the future be named in various actions brought under applicable environmental laws. We are in the real estate development business and may encounter from time-to-time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in our opinion not material.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Certain Civil Litigation</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Putative Class Action 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is a defendant in two actions asserting putative class action claims under the Video Privacy Protection Act (the “VPPA”):  Daniel Valentini and Dallace Butler v. Reading International, Inc (2:24-cv-00255-RFB-MDC (D. Nev.)) (“The Valentini Case”), and Berryman v. Reading International, Inc. (1:24-cv-00750-PAE (S.D.N.Y.)) (“The Berryman Case”).  The plaintiffs in these cases allege that the Company is a video tape service provider and knowingly disclosed plaintiff’s movie purchase and video-viewing habits to third parties in violation of the VPPA.  Valentini and Butler also allege violation of a parallel state statute (California Code section 1799.3 (the “California Statute”)). Berryman also asserts claims under the NY Arts and Cultural Affairs Law Section 25.07(4) (the “NY Statute”) which regulates the disclosure requirements applicable to ticketing service charges and provides a right to recover “actual damages or fifty dollars, whichever is greater.”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Only limited case law exists as to claims regarding the VPPA, a federal statute enacted in 1988.  Insofar as we have been able to determine, no case in the U.S. has resulted in an adverse VPPA judgment against a motion picture exhibition company on facts substantially similar to our own.  Further, except as discussed below, the precedent that does exist suggests that theaters with websites selling tickets to showings at physical locations are not video tape service providers under the statute, even if they operate websites to sell tickets.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has filed motions to dismiss the Valentini and the Berryman claims under Federal rule of Procedure 12(b)(6) for failure to state a claim for which relief can be provided. The Valentini motion is on hold, pending the outcome of an appeal to the Ninth Circuit of a trial court decision which the Company believes, if affirmed, will likely result in the dismissal of the Valentini case. The District Court in Berryman denied the Company’s motion, but only on the basis that all of the allegations in the Berryman complaint were assumed to be true including allegations as to knowledge. The determination by the Berryman Court at the pleadings stage that a motion picture exhibitor can be a video tape service provider is inconsistent with decisions by U.S. District Courts for the Central District and Northern District of California, Kansas, Minnesota, and North Carolina.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believes that it has valid defenses to these VPPA claims, and that there are also material issues to class certification.  As the Company does not believe that liability is probable, or that any class will be certified,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reserve has been established.    Damages cannot reasonably be estimated with respect to the VPPA claim</w:t>
      </w:r>
    </w:p>
    <w:p>
      <w:pPr>
        <w:pStyle w:val="TextBody"/>
        <w:bidi w:val="0"/>
        <w:spacing w:lineRule="auto" w:line="259"/>
        <w:rPr>
          <w:rFonts w:ascii="Times New Roman;serif" w:hAnsi="Times New Roman;serif"/>
          <w:sz w:val="20"/>
        </w:rPr>
      </w:pPr>
      <w:bookmarkStart w:id="19" w:name="x__Hlk205719757"/>
      <w:bookmarkEnd w:id="19"/>
      <w:r>
        <w:rPr>
          <w:rFonts w:ascii="Times New Roman;serif" w:hAnsi="Times New Roman;serif"/>
          <w:b w:val="false"/>
          <w:i w:val="false"/>
          <w:caps w:val="false"/>
          <w:smallCaps w:val="false"/>
          <w:sz w:val="20"/>
        </w:rPr>
        <w:t>Berryman also asserts claims under the NY Statute alleging deficiencies in the disclosure provided by our Company with respect to service charges to residents of New York who purchased tickets online to our New York cinemas.    We believe that our disclosure at all times satisfied the requirements of the NY  Statute.   The Company believes that it has valid defenses to this claim.   As the Company does not believe that liability is probable,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reserve has been established.</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Wellington Construction Damage 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subsidiary of the Company is the defendant in litigation in Wellington, New Zealand titled (Body Corporate 78693 v Courtenay Car Park Limited &amp; Ors CIV-2021-485-612 &amp; CIV-2023-485-67) which involves various claims related to the dropping of a concrete beam onto adjacent property by a construction subcontractor working for the general contractor engaged to do demolition work on our subsidiary’s property. Trial was completed on July 25, 2025, and the court has reserved its decision on the outcome of the matter.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believe that there is a reasonable possibility that the Company could be held liable under a contractual indemnity theory, for the defense costs incurred by our general contractor and its sub-contractor in the litigation. The Company has estimated such exposure to be in the range of $0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the liability is not probable,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reserve has been accrued.</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Philadelphia Code Violation 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Subsequent to the end of the 2nd quarter of 2025, the Company was served with a petition styled City of Philadelphia-Plaintiff vs. Reading International, Inc. Control Number 25074006 filed in the Court of Common Pleas under the City’s Code Enforcement Case Program, which among other things, (i) alleges violations of certain sections of the Philadelphia Code on property allegedly owned or under the control of Reading International in Philadelphia; (ii) seeks an order imposing statutory fines and reinspection fees and allowing the Department of Licenses and Inspections to enter the premises identified as 1120 Callowhill Street, Philadelphia Pennsylvania (the “Premises”) to conduct an interior inspection; and (iii) seeks an order compelling the Defendants to correct all alleged violations. The Company is currently reviewing the claims in the Petition, and has not yet formed a view as to the scope and extent of the Company’s exposure, if any.</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17 – Non-controlling Interests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are composed of the following enterprises: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Australia Country Cinemas Pty Ltd. - 25% noncontrolling interest owned by Panorama Group International Pty Ltd;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Shadow View Land and Farming, LLC - 50% noncontrolling membership interest owned by the estate of Mr. James J. Cotter, Sr. (the “Cotter Estate”). This limited liability company has no assets, known liabilities or ongoing business activities;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Sutton Hill Properties, LLC - 25% noncontrolling interest owned by Sutton Hill Capital, LLC (which in turn is indirectly 50% owned by the Cotter Estate).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interests are as follows:</w:t>
      </w:r>
    </w:p>
    <w:tbl>
      <w:tblPr>
        <w:tblW w:w="6641" w:type="dxa"/>
        <w:jc w:val="left"/>
        <w:tblInd w:w="0" w:type="dxa"/>
        <w:tblLayout w:type="fixed"/>
        <w:tblCellMar>
          <w:top w:w="0" w:type="dxa"/>
          <w:left w:w="0" w:type="dxa"/>
          <w:bottom w:w="0" w:type="dxa"/>
          <w:right w:w="0" w:type="dxa"/>
        </w:tblCellMar>
      </w:tblPr>
      <w:tblGrid>
        <w:gridCol w:w="4531"/>
        <w:gridCol w:w="109"/>
        <w:gridCol w:w="211"/>
        <w:gridCol w:w="541"/>
        <w:gridCol w:w="109"/>
        <w:gridCol w:w="325"/>
        <w:gridCol w:w="815"/>
      </w:tblGrid>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3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5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2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w:t>
            </w:r>
          </w:p>
        </w:tc>
      </w:tr>
      <w:tr>
        <w:trPr/>
        <w:tc>
          <w:tcPr>
            <w:tcW w:w="45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45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w:t>
            </w:r>
          </w:p>
        </w:tc>
      </w:tr>
      <w:tr>
        <w:trPr/>
        <w:tc>
          <w:tcPr>
            <w:tcW w:w="45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(745)</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(426)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 attributable to noncontrolling interests are as follows:</w:t>
      </w:r>
    </w:p>
    <w:tbl>
      <w:tblPr>
        <w:tblW w:w="8350" w:type="dxa"/>
        <w:jc w:val="left"/>
        <w:tblInd w:w="0" w:type="dxa"/>
        <w:tblLayout w:type="fixed"/>
        <w:tblCellMar>
          <w:top w:w="0" w:type="dxa"/>
          <w:left w:w="0" w:type="dxa"/>
          <w:bottom w:w="0" w:type="dxa"/>
          <w:right w:w="0" w:type="dxa"/>
        </w:tblCellMar>
      </w:tblPr>
      <w:tblGrid>
        <w:gridCol w:w="4861"/>
        <w:gridCol w:w="109"/>
        <w:gridCol w:w="211"/>
        <w:gridCol w:w="541"/>
        <w:gridCol w:w="109"/>
        <w:gridCol w:w="211"/>
        <w:gridCol w:w="541"/>
        <w:gridCol w:w="109"/>
        <w:gridCol w:w="211"/>
        <w:gridCol w:w="541"/>
        <w:gridCol w:w="109"/>
        <w:gridCol w:w="211"/>
        <w:gridCol w:w="586"/>
      </w:tblGrid>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65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5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86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r>
      <w:tr>
        <w:trPr/>
        <w:tc>
          <w:tcPr>
            <w:tcW w:w="4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w:t>
            </w:r>
          </w:p>
        </w:tc>
      </w:tr>
      <w:tr>
        <w:trPr/>
        <w:tc>
          <w:tcPr>
            <w:tcW w:w="4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(370)</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Summary of Controlling and Noncontrolling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the changes in controlling and noncontrolling stockholders’ equity is as follows:</w:t>
      </w:r>
    </w:p>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328"/>
        <w:gridCol w:w="873"/>
        <w:gridCol w:w="341"/>
        <w:gridCol w:w="710"/>
        <w:gridCol w:w="238"/>
        <w:gridCol w:w="695"/>
      </w:tblGrid>
      <w:tr>
        <w:trPr/>
        <w:tc>
          <w:tcPr>
            <w:tcW w:w="101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2025</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157,751</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(114,790)</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(7,173)</w:t>
            </w:r>
          </w:p>
        </w:tc>
        <w:tc>
          <w:tcPr>
            <w:tcW w:w="3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(4,364)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(426)</w:t>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(4,790)</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(4,756)</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3"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(4,756)</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(191)</w:t>
            </w:r>
          </w:p>
        </w:tc>
        <w:tc>
          <w:tcPr>
            <w:tcW w:w="2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(4,947)</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453</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2025</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158,351</w:t>
            </w:r>
          </w:p>
        </w:tc>
        <w:tc>
          <w:tcPr>
            <w:tcW w:w="2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(119,546)</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(6,721)</w:t>
            </w:r>
          </w:p>
        </w:tc>
        <w:tc>
          <w:tcPr>
            <w:tcW w:w="32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(8,068)</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(616)</w:t>
            </w:r>
          </w:p>
        </w:tc>
        <w:tc>
          <w:tcPr>
            <w:tcW w:w="2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(8,684)</w:t>
            </w:r>
          </w:p>
        </w:tc>
      </w:tr>
      <w:tr>
        <w:trPr/>
        <w:tc>
          <w:tcPr>
            <w:tcW w:w="1010"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1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1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(2,667)</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32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7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(2,667)</w:t>
            </w:r>
          </w:p>
        </w:tc>
        <w:tc>
          <w:tcPr>
            <w:tcW w:w="3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(137)</w:t>
            </w:r>
          </w:p>
        </w:tc>
        <w:tc>
          <w:tcPr>
            <w:tcW w:w="23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(2,804)</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tcMar>
              <w:lef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2,704</w:t>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2,704</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2,712</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530</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530</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530</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291</w:t>
            </w:r>
          </w:p>
        </w:tc>
        <w:tc>
          <w:tcPr>
            <w:tcW w:w="1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571" w:type="dxa"/>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(185)</w:t>
            </w:r>
          </w:p>
        </w:tc>
        <w:tc>
          <w:tcPr>
            <w:tcW w:w="2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2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3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w:t>
            </w:r>
          </w:p>
        </w:tc>
        <w:tc>
          <w:tcPr>
            <w:tcW w:w="3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June 30, 2025</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21,034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158,696</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(122,213)</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(4,017)</w:t>
            </w:r>
          </w:p>
        </w:tc>
        <w:tc>
          <w:tcPr>
            <w:tcW w:w="3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(7,683)</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(745)</w:t>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(8,428)</w:t>
            </w:r>
          </w:p>
        </w:tc>
      </w:tr>
    </w:tbl>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294"/>
        <w:gridCol w:w="907"/>
        <w:gridCol w:w="341"/>
        <w:gridCol w:w="710"/>
        <w:gridCol w:w="215"/>
        <w:gridCol w:w="718"/>
      </w:tblGrid>
      <w:tr>
        <w:trPr/>
        <w:tc>
          <w:tcPr>
            <w:tcW w:w="101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2024</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20,664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155,402</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(79,489)</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(2,673)</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33,087</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32,996</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(13,228)</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(13,228)</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(175)</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(13,403)</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(2,541)</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2024</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20,673</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156,078</w:t>
            </w:r>
          </w:p>
        </w:tc>
        <w:tc>
          <w:tcPr>
            <w:tcW w:w="2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(92,717)</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(5,211)</w:t>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17,997</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(269)</w:t>
            </w:r>
          </w:p>
        </w:tc>
        <w:tc>
          <w:tcPr>
            <w:tcW w:w="2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17,728</w:t>
            </w:r>
          </w:p>
        </w:tc>
      </w:tr>
      <w:tr>
        <w:trPr/>
        <w:tc>
          <w:tcPr>
            <w:tcW w:w="1010"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(12,806)</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(12,806)</w:t>
            </w:r>
          </w:p>
        </w:tc>
        <w:tc>
          <w:tcPr>
            <w:tcW w:w="3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(195)</w:t>
            </w:r>
          </w:p>
        </w:tc>
        <w:tc>
          <w:tcPr>
            <w:tcW w:w="2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(13,001)</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886</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886</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887</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72</w:t>
            </w:r>
          </w:p>
        </w:tc>
        <w:tc>
          <w:tcPr>
            <w:tcW w:w="1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71" w:type="dxa"/>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2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June 30, 2024</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20,745</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156,529</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(105,523)</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(4,325)</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6,529</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(463)</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6,066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18 – Stock-Based Compensation and Stock Repurchases</w:t>
      </w:r>
    </w:p>
    <w:p>
      <w:pPr>
        <w:pStyle w:val="TextBody"/>
        <w:bidi w:val="0"/>
        <w:spacing w:lineRule="auto" w:line="259"/>
        <w:rPr>
          <w:rFonts w:ascii="Times New Roman;serif" w:hAnsi="Times New Roman;serif"/>
          <w:b/>
          <w:i/>
          <w:sz w:val="20"/>
        </w:rPr>
      </w:pPr>
      <w:r>
        <w:rPr>
          <w:rFonts w:ascii="Times New Roman;serif" w:hAnsi="Times New Roman;serif"/>
          <w:b/>
          <w:i/>
          <w:sz w:val="20"/>
        </w:rPr>
        <w:t>Employee and Director Stock Incentive Plan</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2020 Stock Incentive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November 4, 2020, our Company enacted the 2020 Stock Incentive Plan, which was also approved by our Company’s stockholders on December 8, 2020 (as amended, the “2020 Plan”). Under the 2020 Plan, the number of permitted authorized shares for issuance was originally set at 1,250,000, plus any shares reserved for awards outstanding under the 2010 Plan that were subsequently forfeited (for instance, through a then outstanding out of the money option) or if the related shares are repurchased, a corresponding number of shares would automatically become available for issuance under the 2020 Plan.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December 7, 2023, our Company’s stockholders, upon recommendation of our Company’s board of directors, approved the First Amendment to the 2020 Stock Incentive Plan, increasing the number of shares of Class A Common Stock reserved for issuance under the 2020 Plan by an additional 971,807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On December 5, 2024, the Company’s stockholders, upon recommendation of the Company’s board of directors, approved the Second Amendment to the 2020 Stock Incentive Plan, increasing the number of Class A Common Stock reserved for issuance under the 2020 Plan by an additional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Under the 2020 Plan, the Company may grant stock options and other share-based payment awards of our Class A Common Stock to eligible employees, directors and consultants. At June 30, 2025, there were 1,278,291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available for issuance under the 2020 Plan.</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on either the fifth or tenth anniversary of the grant date, although the Company’s Compensation and Stock Options Committee (the “Compensation Committee”) may set different vesting times. In contrast to a stock option where the grantee buys our Company’s share at an exercise price determined on the grant date, a restricted stock unit (“RSU”) entitles the grantee to receive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 for every RSU based on a vesting plan, typically between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grant. As discussed further below, a performance component has been added to certain of the RSUs or options granted to management. At the time the options are exercised or RSUs vest and are settled, at the discretion of management, we may issue treasury shares or make a new issuance of shares to the option or RSU holder.</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and six months ended June 30, 2025, we recorded a compensation expense of $265,000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$564,000, respectively, relating to our prior stock option grants. For the quarter and six months ended June 30, 2024, we recorded a compensation expense of</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$115,000, and $164,000, respectively, relating to our prior stock option grants. At June 30, 2025, the total unrecognized estimated compensation expense related to non-vested stock options was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which we expect to recognize over a weighted average vesting period of 1.29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The intrinsic, unrealized value of all options outstanding vested and expected to vest, at June 30, 2025, was nil, as the closing price of our Class A Common Stock on that date was $1.34.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number of options outstanding and exercisable as of June 30, 2025, and December 31, 2024:</w:t>
      </w:r>
    </w:p>
    <w:tbl>
      <w:tblPr>
        <w:tblW w:w="6981" w:type="dxa"/>
        <w:jc w:val="left"/>
        <w:tblInd w:w="0" w:type="dxa"/>
        <w:tblLayout w:type="fixed"/>
        <w:tblCellMar>
          <w:top w:w="0" w:type="dxa"/>
          <w:left w:w="0" w:type="dxa"/>
          <w:bottom w:w="0" w:type="dxa"/>
          <w:right w:w="0" w:type="dxa"/>
        </w:tblCellMar>
      </w:tblPr>
      <w:tblGrid>
        <w:gridCol w:w="2581"/>
        <w:gridCol w:w="109"/>
        <w:gridCol w:w="931"/>
        <w:gridCol w:w="109"/>
        <w:gridCol w:w="303"/>
        <w:gridCol w:w="823"/>
        <w:gridCol w:w="109"/>
        <w:gridCol w:w="991"/>
        <w:gridCol w:w="109"/>
        <w:gridCol w:w="321"/>
        <w:gridCol w:w="595"/>
      </w:tblGrid>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1" w:type="dxa"/>
            <w:gridSpan w:val="9"/>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Outstanding Stock Options - Class A Shares</w:t>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Number</w:t>
              <w:br/>
              <w:t>‎of Options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Weighted</w:t>
              <w:br/>
              <w:t>‎Average</w:t>
              <w:br/>
              <w:t>‎Exercise Price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w:t>
              <w:br/>
              <w:t>‎Average</w:t>
              <w:br/>
              <w:t>‎Remaining</w:t>
              <w:br/>
              <w:t>‎Years of</w:t>
              <w:br/>
              <w:t>‎Contractual</w:t>
              <w:br/>
              <w:t>‎Life</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5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r>
      <w:tr>
        <w:trPr/>
        <w:tc>
          <w:tcPr>
            <w:tcW w:w="25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1,499,755</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1,707,412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1,989,250</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3,696,662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status of RSUs granted to date as of June 30, 2025:</w:t>
      </w:r>
    </w:p>
    <w:tbl>
      <w:tblPr>
        <w:tblW w:w="7531" w:type="dxa"/>
        <w:jc w:val="left"/>
        <w:tblInd w:w="0" w:type="dxa"/>
        <w:tblLayout w:type="fixed"/>
        <w:tblCellMar>
          <w:top w:w="0" w:type="dxa"/>
          <w:left w:w="0" w:type="dxa"/>
          <w:bottom w:w="0" w:type="dxa"/>
          <w:right w:w="0" w:type="dxa"/>
        </w:tblCellMar>
      </w:tblPr>
      <w:tblGrid>
        <w:gridCol w:w="1501"/>
        <w:gridCol w:w="109"/>
        <w:gridCol w:w="781"/>
        <w:gridCol w:w="109"/>
        <w:gridCol w:w="1051"/>
        <w:gridCol w:w="109"/>
        <w:gridCol w:w="931"/>
        <w:gridCol w:w="109"/>
        <w:gridCol w:w="931"/>
        <w:gridCol w:w="109"/>
        <w:gridCol w:w="811"/>
        <w:gridCol w:w="109"/>
        <w:gridCol w:w="87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1"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Restricted Stock Units</w:t>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RSU Grants (in units)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Vested,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Unvested,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Forfeited,</w:t>
            </w:r>
          </w:p>
        </w:tc>
      </w:tr>
      <w:tr>
        <w:trPr/>
        <w:tc>
          <w:tcPr>
            <w:tcW w:w="150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Directors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Management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br/>
              <w:t>‎Grants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Opening balance</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339,438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1,222,252</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1,561,690</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1,294,462</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158,920</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108,308</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11,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208,289</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201,689</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3,558</w:t>
            </w:r>
          </w:p>
        </w:tc>
      </w:tr>
      <w:tr>
        <w:trPr/>
        <w:tc>
          <w:tcPr>
            <w:tcW w:w="1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3,358</w:t>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28,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10,218</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8,661</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1,548</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50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339,438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1,893,934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2,233,372</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1,619,264</w:t>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497,336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116,772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with the remaining 50%, contingent upon the achievement of certain performance metrics, vesting in full on the third anniversary of the grant date. In 2024 and in the second quarter of 2025, our Compensation Committee, upon the recommendation of our Chief Executive Officer and Board Chair, determined that due to liquidity management concerns, our Company would not pay cash bonuses for which our executive officers and other senior management may have been potentially eligible, and to issue stock options in lieu of such bonuses. Also in the second quarter of 2024, our Compensation Committee determined not to issue long term incentive stock options or RSUs.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and six months ended June 30, 2025, we recorded compensation expense of $264,000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$565,000, respectively. For the quarter and six months ended June 30, 2024, we recorded compensation expense of $341,000, and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The total unrecognized compensation expense related to the non-vested RSUs was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June 30, 2025, which we expect to recognize over a weighted average vesting period of 0.73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w:t>
      </w:r>
    </w:p>
    <w:p>
      <w:pPr>
        <w:pStyle w:val="TextBody"/>
        <w:bidi w:val="0"/>
        <w:spacing w:lineRule="auto" w:line="259"/>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Stock Repurchase Program expired on March 10, 2024, and has not been renewed.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19 – Hedge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2025, our Company held derivative instruments to the notional value of $32.9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2024, our Company held derivatives in the total notional amount of $33.0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derivatives are recorded on the balance sheet at fair value and are included in the following line items:</w:t>
      </w:r>
    </w:p>
    <w:tbl>
      <w:tblPr>
        <w:tblW w:w="10205" w:type="dxa"/>
        <w:jc w:val="left"/>
        <w:tblInd w:w="0" w:type="dxa"/>
        <w:tblLayout w:type="fixed"/>
        <w:tblCellMar>
          <w:top w:w="0" w:type="dxa"/>
          <w:left w:w="0" w:type="dxa"/>
          <w:bottom w:w="0" w:type="dxa"/>
          <w:right w:w="0" w:type="dxa"/>
        </w:tblCellMar>
      </w:tblPr>
      <w:tblGrid>
        <w:gridCol w:w="2720"/>
        <w:gridCol w:w="109"/>
        <w:gridCol w:w="2740"/>
        <w:gridCol w:w="109"/>
        <w:gridCol w:w="241"/>
        <w:gridCol w:w="520"/>
        <w:gridCol w:w="109"/>
        <w:gridCol w:w="2740"/>
        <w:gridCol w:w="109"/>
        <w:gridCol w:w="238"/>
        <w:gridCol w:w="570"/>
      </w:tblGrid>
      <w:tr>
        <w:trPr/>
        <w:tc>
          <w:tcPr>
            <w:tcW w:w="2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6" w:type="dxa"/>
            <w:gridSpan w:val="9"/>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Liability Derivatives</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0"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57"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0"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57"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r>
      <w:tr>
        <w:trPr/>
        <w:tc>
          <w:tcPr>
            <w:tcW w:w="2720"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2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0"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235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137</w:t>
            </w:r>
            <w:r>
              <w:rPr>
                <w:rFonts w:ascii="Times New Roman;serif" w:hAnsi="Times New Roman;serif"/>
                <w:caps w:val="false"/>
                <w:smallCaps w:val="false"/>
                <w:sz w:val="16"/>
              </w:rPr>
              <w:t> </w:t>
            </w:r>
          </w:p>
        </w:tc>
      </w:tr>
      <w:tr>
        <w:trPr/>
        <w:tc>
          <w:tcPr>
            <w:tcW w:w="272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235</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137</w:t>
            </w:r>
            <w:r>
              <w:rPr>
                <w:rFonts w:ascii="Times New Roman;serif" w:hAnsi="Times New Roman;serif"/>
                <w:caps w:val="false"/>
                <w:smallCaps w:val="false"/>
                <w:sz w:val="16"/>
              </w:rPr>
              <w:t> </w:t>
            </w:r>
          </w:p>
        </w:tc>
      </w:tr>
      <w:tr>
        <w:trPr/>
        <w:tc>
          <w:tcPr>
            <w:tcW w:w="2720"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235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3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7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137</w:t>
            </w:r>
            <w:r>
              <w:rPr>
                <w:rFonts w:ascii="Times New Roman;serif" w:hAnsi="Times New Roman;serif"/>
                <w:caps w:val="false"/>
                <w:smallCaps w:val="false"/>
                <w:sz w:val="16"/>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changes in fair value of that instrument were recorded in Other Comprehensive Income and released into interest expense in the same period(s) in which the hedged transactions affect earnings. In the quarter and six months ended June 30, 2025 and June 30, 2024, respectively, the derivative instruments affected Comprehensive Income as follows:</w:t>
      </w:r>
    </w:p>
    <w:tbl>
      <w:tblPr>
        <w:tblW w:w="10205" w:type="dxa"/>
        <w:jc w:val="left"/>
        <w:tblInd w:w="0" w:type="dxa"/>
        <w:tblLayout w:type="fixed"/>
        <w:tblCellMar>
          <w:top w:w="0" w:type="dxa"/>
          <w:left w:w="0" w:type="dxa"/>
          <w:bottom w:w="0" w:type="dxa"/>
          <w:right w:w="0" w:type="dxa"/>
        </w:tblCellMar>
      </w:tblPr>
      <w:tblGrid>
        <w:gridCol w:w="1659"/>
        <w:gridCol w:w="3945"/>
        <w:gridCol w:w="109"/>
        <w:gridCol w:w="291"/>
        <w:gridCol w:w="693"/>
        <w:gridCol w:w="161"/>
        <w:gridCol w:w="291"/>
        <w:gridCol w:w="693"/>
        <w:gridCol w:w="161"/>
        <w:gridCol w:w="291"/>
        <w:gridCol w:w="693"/>
        <w:gridCol w:w="161"/>
        <w:gridCol w:w="291"/>
        <w:gridCol w:w="766"/>
      </w:tblGrid>
      <w:tr>
        <w:trPr/>
        <w:tc>
          <w:tcPr>
            <w:tcW w:w="1659"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659"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3945"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4492"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(Gain) Recognized in Income on Derivatives</w:t>
            </w:r>
          </w:p>
        </w:tc>
      </w:tr>
      <w:tr>
        <w:trPr/>
        <w:tc>
          <w:tcPr>
            <w:tcW w:w="165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94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9"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161" w:type="dxa"/>
            <w:tcBorders/>
            <w:vAlign w:val="center"/>
          </w:tcPr>
          <w:p>
            <w:pPr>
              <w:pStyle w:val="TableContents"/>
              <w:bidi w:val="0"/>
              <w:spacing w:before="0" w:after="283"/>
              <w:jc w:val="left"/>
              <w:rPr>
                <w:sz w:val="4"/>
                <w:szCs w:val="4"/>
              </w:rPr>
            </w:pPr>
            <w:r>
              <w:rPr>
                <w:sz w:val="4"/>
                <w:szCs w:val="4"/>
              </w:rPr>
            </w:r>
          </w:p>
        </w:tc>
        <w:tc>
          <w:tcPr>
            <w:tcW w:w="2202"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59"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6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6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r>
      <w:tr>
        <w:trPr/>
        <w:tc>
          <w:tcPr>
            <w:tcW w:w="165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39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5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3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w:t>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w:t>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tbl>
      <w:tblPr>
        <w:tblW w:w="6737" w:type="dxa"/>
        <w:jc w:val="left"/>
        <w:tblInd w:w="0" w:type="dxa"/>
        <w:tblLayout w:type="fixed"/>
        <w:tblCellMar>
          <w:top w:w="0" w:type="dxa"/>
          <w:left w:w="0" w:type="dxa"/>
          <w:bottom w:w="0" w:type="dxa"/>
          <w:right w:w="0" w:type="dxa"/>
        </w:tblCellMar>
      </w:tblPr>
      <w:tblGrid>
        <w:gridCol w:w="1681"/>
        <w:gridCol w:w="109"/>
        <w:gridCol w:w="321"/>
        <w:gridCol w:w="764"/>
        <w:gridCol w:w="178"/>
        <w:gridCol w:w="321"/>
        <w:gridCol w:w="764"/>
        <w:gridCol w:w="178"/>
        <w:gridCol w:w="321"/>
        <w:gridCol w:w="764"/>
        <w:gridCol w:w="178"/>
        <w:gridCol w:w="321"/>
        <w:gridCol w:w="837"/>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7"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(Gain) Recognized in OCI on Derivatives (Effective Portion)</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348"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78" w:type="dxa"/>
            <w:tcBorders/>
            <w:vAlign w:val="center"/>
          </w:tcPr>
          <w:p>
            <w:pPr>
              <w:pStyle w:val="TableContents"/>
              <w:bidi w:val="0"/>
              <w:spacing w:before="0" w:after="283"/>
              <w:jc w:val="left"/>
              <w:rPr>
                <w:sz w:val="4"/>
                <w:szCs w:val="4"/>
              </w:rPr>
            </w:pPr>
            <w:r>
              <w:rPr>
                <w:sz w:val="4"/>
                <w:szCs w:val="4"/>
              </w:rPr>
            </w:r>
          </w:p>
        </w:tc>
        <w:tc>
          <w:tcPr>
            <w:tcW w:w="2421"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8"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178" w:type="dxa"/>
            <w:tcBorders/>
            <w:vAlign w:val="center"/>
          </w:tcPr>
          <w:p>
            <w:pPr>
              <w:pStyle w:val="TableContents"/>
              <w:bidi w:val="0"/>
              <w:spacing w:before="0" w:after="283"/>
              <w:jc w:val="left"/>
              <w:rPr>
                <w:sz w:val="4"/>
                <w:szCs w:val="4"/>
              </w:rPr>
            </w:pPr>
            <w:r>
              <w:rPr>
                <w:sz w:val="4"/>
                <w:szCs w:val="4"/>
              </w:rPr>
            </w:r>
          </w:p>
        </w:tc>
        <w:tc>
          <w:tcPr>
            <w:tcW w:w="2421"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235</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98</w:t>
            </w:r>
            <w:r>
              <w:rPr>
                <w:rFonts w:ascii="Times New Roman;serif" w:hAnsi="Times New Roman;serif"/>
                <w:caps w:val="false"/>
                <w:smallCaps w:val="false"/>
                <w:sz w:val="16"/>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391</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98</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235</w:t>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98</w:t>
            </w:r>
            <w:r>
              <w:rPr>
                <w:rFonts w:ascii="Times New Roman;serif" w:hAnsi="Times New Roman;serif"/>
                <w:caps w:val="false"/>
                <w:smallCaps w:val="false"/>
                <w:sz w:val="16"/>
              </w:rPr>
              <w:t> </w:t>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391</w:t>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98</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7"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(Gain) Reclassified from OCI into Income (Effective Portion)</w:t>
            </w:r>
          </w:p>
        </w:tc>
      </w:tr>
      <w:tr>
        <w:trPr/>
        <w:tc>
          <w:tcPr>
            <w:tcW w:w="16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09" w:type="dxa"/>
            <w:tcBorders/>
            <w:vAlign w:val="center"/>
          </w:tcPr>
          <w:p>
            <w:pPr>
              <w:pStyle w:val="TableContents"/>
              <w:bidi w:val="0"/>
              <w:spacing w:before="0" w:after="283"/>
              <w:jc w:val="left"/>
              <w:rPr>
                <w:sz w:val="4"/>
                <w:szCs w:val="4"/>
              </w:rPr>
            </w:pPr>
            <w:r>
              <w:rPr>
                <w:sz w:val="4"/>
                <w:szCs w:val="4"/>
              </w:rPr>
            </w:r>
          </w:p>
        </w:tc>
        <w:tc>
          <w:tcPr>
            <w:tcW w:w="2348"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421"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8"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178" w:type="dxa"/>
            <w:tcBorders/>
            <w:vAlign w:val="center"/>
          </w:tcPr>
          <w:p>
            <w:pPr>
              <w:pStyle w:val="TableContents"/>
              <w:bidi w:val="0"/>
              <w:spacing w:before="0" w:after="283"/>
              <w:jc w:val="left"/>
              <w:rPr>
                <w:sz w:val="4"/>
                <w:szCs w:val="4"/>
              </w:rPr>
            </w:pPr>
            <w:r>
              <w:rPr>
                <w:sz w:val="4"/>
                <w:szCs w:val="4"/>
              </w:rPr>
            </w:r>
          </w:p>
        </w:tc>
        <w:tc>
          <w:tcPr>
            <w:tcW w:w="2421"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w:t>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w:t>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2025, we expect to release $321,000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earnings over the remaining life of the derivative.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20 – Fair Value Measurements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ASC 820, </w:t>
      </w:r>
      <w:r>
        <w:rPr>
          <w:rFonts w:ascii="Times New Roman;serif" w:hAnsi="Times New Roman;serif"/>
          <w:b w:val="false"/>
          <w:i/>
          <w:sz w:val="20"/>
        </w:rPr>
        <w:t>Fair Value Measurement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establishes a fair value hierarchy that prioritizes the inputs to valuation techniques used to measure fair value. The statement requires that assets and liabilities carried at fair value be classified and disclosed in one of the following three categories: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Level 1: Quoted market prices in active markets for identical assets or liabilities;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Level 3: Valuations derived from valuation techniques in which one or more significant inputs or significant value drivers are unobservable.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summarize our financial liabilities that are carried at cost and measured at fair value on a non-recurring basis as of June 30, 2025, and December 31, 2024, by level within the fair value hierarchy. </w:t>
      </w:r>
    </w:p>
    <w:tbl>
      <w:tblPr>
        <w:tblW w:w="6507"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09"/>
        <w:gridCol w:w="239"/>
        <w:gridCol w:w="391"/>
        <w:gridCol w:w="109"/>
        <w:gridCol w:w="211"/>
        <w:gridCol w:w="781"/>
        <w:gridCol w:w="109"/>
        <w:gridCol w:w="211"/>
        <w:gridCol w:w="82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6"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June 30, 2025</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145,518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146,299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146,299</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27,829</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173,431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174,128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174,128</w:t>
            </w:r>
          </w:p>
        </w:tc>
      </w:tr>
    </w:tbl>
    <w:tbl>
      <w:tblPr>
        <w:tblW w:w="6583"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12"/>
        <w:gridCol w:w="239"/>
        <w:gridCol w:w="391"/>
        <w:gridCol w:w="112"/>
        <w:gridCol w:w="218"/>
        <w:gridCol w:w="807"/>
        <w:gridCol w:w="112"/>
        <w:gridCol w:w="218"/>
        <w:gridCol w:w="853"/>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2"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December 31, 2024</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1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1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1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174,994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174,994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27,867</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27,867</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202,861</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202,861</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sz w:val="16"/>
        </w:rPr>
        <w:t>(1)These balances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are presented before any deduction for deferred financing costs.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description of the valuation methodologies used to estimate the fair value of our financial assets and liabilities. There have been no changes in the methodologies used as of June 30, 2025, and December 31, 2024.</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investments in marketable securities primarily consist of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derivative financial instruments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June 30, 2025, and December 31, 2024, we concluded that the credit valuation adjustments were not significant to the overall valuation of our derivatives. </w:t>
      </w:r>
    </w:p>
    <w:p>
      <w:pPr>
        <w:pStyle w:val="TextBody"/>
        <w:bidi w:val="0"/>
        <w:spacing w:lineRule="auto" w:line="259"/>
        <w:rPr/>
      </w:pPr>
      <w:r>
        <w:rPr>
          <w:caps w:val="false"/>
          <w:smallCaps w:val="false"/>
        </w:rPr>
        <w:t></w:t>
      </w:r>
      <w:r>
        <w:rPr>
          <w:rFonts w:ascii="Times New Roman;serif" w:hAnsi="Times New Roman;serif"/>
          <w:b/>
          <w:i w:val="false"/>
          <w:caps w:val="false"/>
          <w:smallCaps w:val="false"/>
          <w:sz w:val="20"/>
        </w:rPr>
        <w:t>Level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borrowings include our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SOFR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Company’s financial instruments also include cash, cash equivalents, receivables and accounts payable. The carrying values of these financial instruments approximate the fair values due to their short maturities.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quarter and six months ended June 30, 2025, and June 30, 2024.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21 – Subsequent Events</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Borrowings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July 3, 2025, we extended the maturity date of our Bank of America facility to May 18, 2026.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July 18, 2025, we extended the maturity date of our Santander facility to June 1, 2026.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Income tax matters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July 4, 2025, the One Big Beautiful Bill Act (“OBBBA”) was enacted in the United States. The OBBBA includes significant tax law changes, including the permanent extension of certain provisions from the Tax Cuts and Jobs Act, modifications to the international tax framework, and the reinstatement of favorable business tax provisions. These include 100% bonus depreciation, immediate expensing of Section 174 domestic research and experimental expenditures, and revised limitations under Section 163(j) on the deductibility of business interest expense. The legislation has multiple effective dates, with certain provisions effective beginning in 2025, and others implemented through 2027. The Company does not anticipate the impact of the OBBBA to have a material effect on its consolidated financial statements for the year ending December 31, 2025.</w:t>
      </w:r>
    </w:p>
    <w:p>
      <w:pPr>
        <w:pStyle w:val="TextBody"/>
        <w:bidi w:val="0"/>
        <w:spacing w:lineRule="auto" w:line="259"/>
        <w:rPr>
          <w:rFonts w:ascii="Times New Roman;serif" w:hAnsi="Times New Roman;serif"/>
          <w:b w:val="false"/>
          <w:i/>
          <w:sz w:val="16"/>
        </w:rPr>
      </w:pPr>
      <w:bookmarkStart w:id="20" w:name="_Hlk69471389"/>
      <w:bookmarkStart w:id="21" w:name="_Hlk85483713"/>
      <w:bookmarkEnd w:id="20"/>
      <w:bookmarkEnd w:id="21"/>
      <w:r>
        <w:rPr>
          <w:rFonts w:ascii="Times New Roman;serif" w:hAnsi="Times New Roman;serif"/>
          <w:b w:val="false"/>
          <w:i/>
          <w:sz w:val="16"/>
        </w:rPr>
        <w:t>This MD&amp;A should be read in conjunction with the accompanying unaudited consolidated financial statements included in Part I, Item 1 (Financial Statements). The foregoing discussions and analyses contain certain forward-looking statements. Please refer to the “Cautionary Statement Regarding Forward-Looking Statements” included at the conclusion of this section and our “Risk Factors” set forth in our 2024 Form 10-K, Part 1 – Financial Information, Item 1A and the Risk Factors set out below.</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Item 2 – Management’s Discussion and Analysis (“MD&amp;A”) of Financial Condition and Results of Operations</w:t>
      </w:r>
      <w:bookmarkStart w:id="22" w:name="Item2"/>
      <w:bookmarkEnd w:id="22"/>
    </w:p>
    <w:p>
      <w:pPr>
        <w:pStyle w:val="TextBody"/>
        <w:bidi w:val="0"/>
        <w:spacing w:lineRule="auto" w:line="259"/>
        <w:rPr>
          <w:rFonts w:ascii="Times New Roman;serif" w:hAnsi="Times New Roman;serif"/>
          <w:b w:val="false"/>
          <w:i w:val="false"/>
          <w:caps w:val="false"/>
          <w:smallCaps w:val="false"/>
          <w:sz w:val="20"/>
        </w:rPr>
      </w:pPr>
      <w:bookmarkStart w:id="23" w:name="MDABusinessOverview"/>
      <w:bookmarkEnd w:id="23"/>
      <w:r>
        <w:rPr>
          <w:rFonts w:ascii="Times New Roman;serif" w:hAnsi="Times New Roman;serif"/>
          <w:b w:val="false"/>
          <w:i w:val="false"/>
          <w:caps w:val="false"/>
          <w:smallCaps w:val="false"/>
          <w:sz w:val="20"/>
        </w:rPr>
        <w:t>The MD&amp;A should be read in conjunction with our consolidated financial statements and related notes in this Report.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Business Overview &amp; Updates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Cinema Exhibit Segment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We are encouraged by the robust performance of our cinema business in the second quarter, which reinforces our confidence in the ongoi</w:t>
      </w:r>
      <w:r>
        <w:rPr>
          <w:rFonts w:ascii="Times New Roman;serif" w:hAnsi="Times New Roman;serif"/>
          <w:b w:val="false"/>
          <w:i w:val="false"/>
          <w:caps w:val="false"/>
          <w:smallCaps w:val="false"/>
          <w:sz w:val="20"/>
        </w:rPr>
        <w:t>ng recovery of both our operations and the global cinema industry. The results this quarter reflect increasing audience demand and a solid slate of theatrical content. While challenges persist, including the residual effects of COVID-19, the 2023 Hollywood strikes, macroeconomic conditions such as inflation and interest rates, labor cost increases, and currency fluctuations in Australia and New Zealand, the positive results observed in the second quarter demonstrates the continued resilience of our global cinema segment.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second quarter of 2025 has generated what we believe to be encouraging momentum for the cinema industry, highlighted by the impressive performance of key releases such as </w:t>
      </w:r>
      <w:r>
        <w:rPr>
          <w:rFonts w:ascii="Times New Roman;serif" w:hAnsi="Times New Roman;serif"/>
          <w:b w:val="false"/>
          <w:i/>
          <w:sz w:val="20"/>
        </w:rPr>
        <w:t>A Minecraft Movie, Sinners</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Lilo &amp; Stitch</w:t>
      </w:r>
      <w:r>
        <w:rPr>
          <w:rFonts w:ascii="Times New Roman;serif" w:hAnsi="Times New Roman;serif"/>
          <w:b w:val="false"/>
          <w:i w:val="false"/>
          <w:caps w:val="false"/>
          <w:smallCaps w:val="false"/>
          <w:sz w:val="20"/>
        </w:rPr>
        <w:t xml:space="preserve">. These films have not only exceeded industry expectations but have also reinvigorated audience enthusiasm, driving higher attendance levels and box office revenues. </w:t>
      </w:r>
      <w:r>
        <w:rPr>
          <w:rFonts w:ascii="Times New Roman;serif" w:hAnsi="Times New Roman;serif"/>
          <w:b w:val="false"/>
          <w:i/>
          <w:sz w:val="20"/>
        </w:rPr>
        <w:t>A Minecraft Movie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has captivated diverse demographics by blending popular gaming culture with cinematic storytelling, while </w:t>
      </w:r>
      <w:r>
        <w:rPr>
          <w:rFonts w:ascii="Times New Roman;serif" w:hAnsi="Times New Roman;serif"/>
          <w:b w:val="false"/>
          <w:i/>
          <w:sz w:val="20"/>
        </w:rPr>
        <w:t>Sinners,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its unique 70mm format, has resonated strongly with audiences seeking compelling, original narratives. Meanwhile, </w:t>
      </w:r>
      <w:r>
        <w:rPr>
          <w:rFonts w:ascii="Times New Roman;serif" w:hAnsi="Times New Roman;serif"/>
          <w:b w:val="false"/>
          <w:i/>
          <w:sz w:val="20"/>
        </w:rPr>
        <w:t>Lilo &amp; Stitch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has attracted families and long-time fans, contributing to a well-rounded slate of successful releases. The success of these titles reflects a broader trend of audiences eagerly returning to theaters for high-quality, engaging content. This momentum has carried over into July 2025 with the impressive box office results further described below.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Several notable films significantly contributed to the success of the second quarter of 2025. Universal’s </w:t>
      </w:r>
      <w:r>
        <w:rPr>
          <w:rFonts w:ascii="Times New Roman;serif" w:hAnsi="Times New Roman;serif"/>
          <w:b w:val="false"/>
          <w:i/>
          <w:sz w:val="20"/>
        </w:rPr>
        <w:t>How to Train Your Dragon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captivated audiences with its heartfelt storytelling, drawing a strong family attendance. Disney’s </w:t>
      </w:r>
      <w:r>
        <w:rPr>
          <w:rFonts w:ascii="Times New Roman;serif" w:hAnsi="Times New Roman;serif"/>
          <w:b w:val="false"/>
          <w:i/>
          <w:sz w:val="20"/>
        </w:rPr>
        <w:t>Thunderbolts*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continued to build on the popularity of the Marvel Cinematic Universe, delivering thrilling action sequences and complex character arcs that resonated with fans worldwide. Paramount’s </w:t>
      </w:r>
      <w:r>
        <w:rPr>
          <w:rFonts w:ascii="Times New Roman;serif" w:hAnsi="Times New Roman;serif"/>
          <w:b w:val="false"/>
          <w:i/>
          <w:sz w:val="20"/>
        </w:rPr>
        <w:t>Mission: Impossible</w:t>
      </w:r>
      <w:r>
        <w:rPr>
          <w:rFonts w:ascii="Times New Roman;serif" w:hAnsi="Times New Roman;serif"/>
          <w:caps w:val="false"/>
          <w:smallCaps w:val="false"/>
          <w:sz w:val="20"/>
        </w:rPr>
        <w:t xml:space="preserve"> – </w:t>
      </w:r>
      <w:r>
        <w:rPr>
          <w:rFonts w:ascii="Times New Roman;serif" w:hAnsi="Times New Roman;serif"/>
          <w:b w:val="false"/>
          <w:i/>
          <w:sz w:val="20"/>
        </w:rPr>
        <w:t>The Final Reckoning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maintained the franchise’s legacy of high-octane excitement and breathtaking stunts, attracting both longtime fans and new viewers. Warner Brothers further bolstered this quarter’s box office performance with </w:t>
      </w:r>
      <w:r>
        <w:rPr>
          <w:rFonts w:ascii="Times New Roman;serif" w:hAnsi="Times New Roman;serif"/>
          <w:b w:val="false"/>
          <w:i/>
          <w:sz w:val="20"/>
        </w:rPr>
        <w:t>Final Destination: Bloodlines</w:t>
      </w:r>
      <w:r>
        <w:rPr>
          <w:rFonts w:ascii="Times New Roman;serif" w:hAnsi="Times New Roman;serif"/>
          <w:b w:val="false"/>
          <w:i w:val="false"/>
          <w:caps w:val="false"/>
          <w:smallCaps w:val="false"/>
          <w:sz w:val="20"/>
        </w:rPr>
        <w:t xml:space="preserve">, a fresh installment that revitalized the beloved horror franchise, and </w:t>
      </w:r>
      <w:r>
        <w:rPr>
          <w:rFonts w:ascii="Times New Roman;serif" w:hAnsi="Times New Roman;serif"/>
          <w:b w:val="false"/>
          <w:i/>
          <w:sz w:val="20"/>
        </w:rPr>
        <w:t>F1: The Movie</w:t>
      </w:r>
      <w:r>
        <w:rPr>
          <w:rFonts w:ascii="Times New Roman;serif" w:hAnsi="Times New Roman;serif"/>
          <w:b w:val="false"/>
          <w:i w:val="false"/>
          <w:caps w:val="false"/>
          <w:smallCaps w:val="false"/>
          <w:sz w:val="20"/>
        </w:rPr>
        <w:t>, which engaged racing fans and general audiences with its dynamic portrayal of the sport.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addition to these successes, the third quarter of 2025 has seen tremendous success from </w:t>
      </w:r>
      <w:r>
        <w:rPr>
          <w:rFonts w:ascii="Times New Roman;serif" w:hAnsi="Times New Roman;serif"/>
          <w:b w:val="false"/>
          <w:i/>
          <w:sz w:val="20"/>
        </w:rPr>
        <w:t>Jurassic World: Rebirth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(July 2025), grossing over $800 million worldwide, </w:t>
      </w:r>
      <w:r>
        <w:rPr>
          <w:rFonts w:ascii="Times New Roman;serif" w:hAnsi="Times New Roman;serif"/>
          <w:b w:val="false"/>
          <w:i/>
          <w:sz w:val="20"/>
        </w:rPr>
        <w:t>Superman</w:t>
      </w:r>
      <w:r>
        <w:rPr>
          <w:rFonts w:ascii="Times New Roman;serif" w:hAnsi="Times New Roman;serif"/>
          <w:b w:val="false"/>
          <w:i w:val="false"/>
          <w:caps w:val="false"/>
          <w:smallCaps w:val="false"/>
          <w:sz w:val="20"/>
        </w:rPr>
        <w:t xml:space="preserve">, and The </w:t>
      </w:r>
      <w:r>
        <w:rPr>
          <w:rFonts w:ascii="Times New Roman;serif" w:hAnsi="Times New Roman;serif"/>
          <w:b w:val="false"/>
          <w:i/>
          <w:sz w:val="20"/>
        </w:rPr>
        <w:t>Fantastic Four: First Steps</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Jurassic World: Rebirth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taps into nostalgia and family-friendly adventure, and its dinosaur-driven thrills continue to draw massive audiences. Alongside Universal’s summer breakout success, Warner Brothers </w:t>
      </w:r>
      <w:r>
        <w:rPr>
          <w:rFonts w:ascii="Times New Roman;serif" w:hAnsi="Times New Roman;serif"/>
          <w:b w:val="false"/>
          <w:i/>
          <w:sz w:val="20"/>
        </w:rPr>
        <w:t>Superman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(July 2025), has grossed over $581 million worldwide. The film has earned praise for its compelling story, striking visuals, and ability to spark meaningful conversations. </w:t>
      </w:r>
      <w:r>
        <w:rPr>
          <w:rFonts w:ascii="Times New Roman;serif" w:hAnsi="Times New Roman;serif"/>
          <w:b w:val="false"/>
          <w:i/>
          <w:sz w:val="20"/>
        </w:rPr>
        <w:t>Fantastic Four: First Steps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has already made a significant impact on the cinema industry, grossing over $437 million worldwide. Disney has drawn interest from both longtime fans and new audiences, showing that rebooted superhero films continue to resonate strongly with moviegoers around the globe These films’ strong box office and critical success highlight the impact of 2025’s diverse slate, which is drawing wide audiences back to theaters and signaling a vibrant future for cinema.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believe that this momentum is further supported by the robust lineup of upcoming releases throughout the remainder of 2025 and beyond. Films such as </w:t>
      </w:r>
      <w:r>
        <w:rPr>
          <w:rFonts w:ascii="Times New Roman;serif" w:hAnsi="Times New Roman;serif"/>
          <w:b w:val="false"/>
          <w:i/>
          <w:sz w:val="20"/>
        </w:rPr>
        <w:t>TRON: Ares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(October 2025), </w:t>
      </w:r>
      <w:r>
        <w:rPr>
          <w:rFonts w:ascii="Times New Roman;serif" w:hAnsi="Times New Roman;serif"/>
          <w:b w:val="false"/>
          <w:i/>
          <w:sz w:val="20"/>
        </w:rPr>
        <w:t>Wicked: For Good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(November 2025), </w:t>
      </w:r>
      <w:r>
        <w:rPr>
          <w:rFonts w:ascii="Times New Roman;serif" w:hAnsi="Times New Roman;serif"/>
          <w:b w:val="false"/>
          <w:i/>
          <w:sz w:val="20"/>
        </w:rPr>
        <w:t>Zootopia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(November 2025), and </w:t>
      </w:r>
      <w:r>
        <w:rPr>
          <w:rFonts w:ascii="Times New Roman;serif" w:hAnsi="Times New Roman;serif"/>
          <w:b w:val="false"/>
          <w:i/>
          <w:sz w:val="20"/>
        </w:rPr>
        <w:t>Avatar: Fire and Ash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(December 2025) are anticipated to be major draws, continuing the industry's growth and positive momentum.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Amazon MGM Studio’s </w:t>
      </w:r>
      <w:r>
        <w:rPr>
          <w:rFonts w:ascii="Times New Roman;serif" w:hAnsi="Times New Roman;serif"/>
          <w:b w:val="false"/>
          <w:i/>
          <w:sz w:val="20"/>
        </w:rPr>
        <w:t>The Accountant II</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A Working Man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exemplify how streaming companies are strategically leveraging theatrical releases to enhance their film distribution models, which in effect expand their reach and enhance their cultural impact. These successful cinema runs demonstrate that by integrating theatrical exhibition into their release strategies, streaming companies like Amazon MGM are reaffirming the unique value of the big screen experience in complementing digital distribution and expanding overall viewership to a broader audience.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Since the start of the COVID-19 pandemic through the second quarter of 2025, we closed or surrendered eight (8) underperforming locations (three in Hawaii, two in California, one in Texas, two in New Zealand) to improve our cinema operation performance. As of today, none of these locations are operating as a cinema. We continue to work to re-negotiate leases at our currently operational U.S. cinemas to either reduce occupancy costs or to convert fixed rent to percentage rent, thus better aligning our landlord's interests with our own.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remain optimistic about the continued recovery and operational improvements across our global cinema network. A major contributor to this progress is the steady growth of our Food and Beverage program. We have secured the ability to serve beer and wine at all U.S. cinemas and offer liquor at all but three locations, with efforts underway to complete licensing at the remaining sites. We’re also advancing similar initiatives in Australia and New Zealand to elevate our offerings and enhance the overall guest experience.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Recent Box Office Improvements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Despite a softer film slate in the first quarter of 2025 and lingering effects from the 2023 Hollywood strikes, the second quarter of 2025 has </w:t>
      </w:r>
      <w:r>
        <w:rPr>
          <w:rFonts w:ascii="Times New Roman;serif" w:hAnsi="Times New Roman;serif"/>
          <w:b w:val="false"/>
          <w:i w:val="false"/>
          <w:caps w:val="false"/>
          <w:smallCaps w:val="false"/>
          <w:sz w:val="20"/>
        </w:rPr>
        <w:t>powerfully</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demonstrated our company’s resilience and the cinema industry’s continued recovery. The strong box office performance this quarter reflects the audience’s continued demand for theatrical content and our ability to successfully navigate through industry-wide challenges.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Warner</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Brothers played a key role in the quarter’s success, delivering two of the biggest hits of the year thus far: </w:t>
      </w:r>
      <w:r>
        <w:rPr>
          <w:rFonts w:ascii="Times New Roman;serif" w:hAnsi="Times New Roman;serif"/>
          <w:b w:val="false"/>
          <w:i/>
          <w:color w:val="000000"/>
          <w:sz w:val="20"/>
        </w:rPr>
        <w:t>A Minecraft Movie,</w:t>
      </w:r>
      <w:r>
        <w:rPr>
          <w:rFonts w:ascii="Times New Roman;serif" w:hAnsi="Times New Roman;serif"/>
          <w:caps w:val="false"/>
          <w:smallCaps w:val="false"/>
          <w:color w:val="000000"/>
          <w:sz w:val="20"/>
        </w:rPr>
        <w:t xml:space="preserve"> </w:t>
      </w:r>
      <w:r>
        <w:rPr>
          <w:rFonts w:ascii="Times New Roman;serif" w:hAnsi="Times New Roman;serif"/>
          <w:b w:val="false"/>
          <w:i/>
          <w:color w:val="000000"/>
          <w:sz w:val="20"/>
        </w:rPr>
        <w:t xml:space="preserve">F1: The Movie,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Sinners.</w:t>
      </w:r>
      <w:r>
        <w:rPr>
          <w:rFonts w:ascii="Times New Roman;serif" w:hAnsi="Times New Roman;serif"/>
          <w:caps w:val="false"/>
          <w:smallCaps w:val="false"/>
          <w:color w:val="000000"/>
          <w:sz w:val="20"/>
        </w:rPr>
        <w:t xml:space="preserve"> </w:t>
      </w:r>
      <w:r>
        <w:rPr>
          <w:rFonts w:ascii="Times New Roman;serif" w:hAnsi="Times New Roman;serif"/>
          <w:b w:val="false"/>
          <w:i/>
          <w:color w:val="000000"/>
          <w:sz w:val="20"/>
        </w:rPr>
        <w:t>A Minecraft Movie</w:t>
      </w:r>
      <w:r>
        <w:rPr>
          <w:rFonts w:ascii="Times New Roman;serif" w:hAnsi="Times New Roman;serif"/>
          <w:color w:val="000000"/>
          <w:sz w:val="20"/>
        </w:rPr>
        <w:t xml:space="preserve"> </w:t>
      </w:r>
      <w:r>
        <w:rPr>
          <w:rFonts w:ascii="Times New Roman;serif" w:hAnsi="Times New Roman;serif"/>
          <w:b w:val="false"/>
          <w:i/>
          <w:color w:val="000000"/>
          <w:sz w:val="20"/>
        </w:rPr>
        <w:t>has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become a global phenomenon, nearing the $1 billion mark at the worldwide box office. It delivered the largest opening weekend of 2025 domestically and broke the all-time highest opening weekend record for a video game adaptation, surpassing the highly successful </w:t>
      </w:r>
      <w:r>
        <w:rPr>
          <w:rFonts w:ascii="Times New Roman;serif" w:hAnsi="Times New Roman;serif"/>
          <w:b w:val="false"/>
          <w:i/>
          <w:color w:val="000000"/>
          <w:sz w:val="20"/>
        </w:rPr>
        <w:t>Super Mario Bros.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movie. Its box-office success highlights the strength of highly distinguishable brand recognition and the lasting audience demand for high-quality franchise storytelling.</w:t>
      </w:r>
      <w:r>
        <w:rPr>
          <w:rFonts w:ascii="Times New Roman;serif" w:hAnsi="Times New Roman;serif"/>
          <w:color w:val="000000"/>
          <w:sz w:val="20"/>
        </w:rPr>
        <w:t xml:space="preserve"> </w:t>
      </w:r>
      <w:r>
        <w:rPr>
          <w:rFonts w:ascii="Times New Roman;serif" w:hAnsi="Times New Roman;serif"/>
          <w:b w:val="false"/>
          <w:i/>
          <w:color w:val="000000"/>
          <w:sz w:val="20"/>
        </w:rPr>
        <w:t>Sinners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also exceeded expectations, earning widespread critical acclaim and resonating strongly with audiences. With more than $365 million in global box office revenue to date, the film has proven that original, story-driven content continues to thrive in the theatrical marketplace.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Fa</w:t>
      </w:r>
      <w:r>
        <w:rPr>
          <w:rFonts w:ascii="Times New Roman;serif" w:hAnsi="Times New Roman;serif"/>
          <w:b w:val="false"/>
          <w:i w:val="false"/>
          <w:caps w:val="false"/>
          <w:smallCaps w:val="false"/>
          <w:color w:val="000000"/>
          <w:sz w:val="20"/>
        </w:rPr>
        <w:t xml:space="preserve">mily films have also played a major role in this quarter’s success. Disney’s </w:t>
      </w:r>
      <w:r>
        <w:rPr>
          <w:rFonts w:ascii="Times New Roman;serif" w:hAnsi="Times New Roman;serif"/>
          <w:b w:val="false"/>
          <w:i/>
          <w:color w:val="000000"/>
          <w:sz w:val="20"/>
        </w:rPr>
        <w:t>Lilo &amp; Stitch</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remake has been a standout performer, grossing over $1.0 billion worldwide and outperforming the original. Its strong reception highlights the lasting power of beloved legacy titles, reintroduced to new generations. In addition, Universal’s live-action </w:t>
      </w:r>
      <w:r>
        <w:rPr>
          <w:rFonts w:ascii="Times New Roman;serif" w:hAnsi="Times New Roman;serif"/>
          <w:b w:val="false"/>
          <w:i/>
          <w:color w:val="000000"/>
          <w:sz w:val="20"/>
        </w:rPr>
        <w:t>How to Train Your Dragon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has already surpassed the 2019 installment and 2010 original, earning over $623 million globally. These titles reinforce the importance of family-friendly content in attracting wide-ranging audiences and driving consistent box office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films released in the second quarter highlight the strength, diversity, and commercial power of the second quarter’s lineup. Compared to both the previous quarter and the same period last year, our global box office performance has seen significant improvement.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we move into the second half of 2025, we are well positioned to extend our momentum with a thrilling and diverse slate of films. Audiences are continuing to be captivated by titles like </w:t>
      </w:r>
      <w:r>
        <w:rPr>
          <w:rFonts w:ascii="Times New Roman;serif" w:hAnsi="Times New Roman;serif"/>
          <w:b w:val="false"/>
          <w:i/>
          <w:color w:val="000000"/>
          <w:sz w:val="20"/>
        </w:rPr>
        <w:t>Superman</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Jurassic World: Rebirth</w:t>
      </w:r>
      <w:r>
        <w:rPr>
          <w:rFonts w:ascii="Times New Roman;serif" w:hAnsi="Times New Roman;serif"/>
          <w:b w:val="false"/>
          <w:i w:val="false"/>
          <w:caps w:val="false"/>
          <w:smallCaps w:val="false"/>
          <w:color w:val="000000"/>
          <w:sz w:val="20"/>
        </w:rPr>
        <w:t>, and</w:t>
      </w:r>
      <w:r>
        <w:rPr>
          <w:rFonts w:ascii="Times New Roman;serif" w:hAnsi="Times New Roman;serif"/>
          <w:color w:val="000000"/>
          <w:sz w:val="20"/>
        </w:rPr>
        <w:t xml:space="preserve"> </w:t>
      </w:r>
      <w:r>
        <w:rPr>
          <w:rFonts w:ascii="Times New Roman;serif" w:hAnsi="Times New Roman;serif"/>
          <w:b w:val="false"/>
          <w:i/>
          <w:color w:val="000000"/>
          <w:sz w:val="20"/>
        </w:rPr>
        <w:t>The Fantastic Four: First Steps</w:t>
      </w:r>
      <w:r>
        <w:rPr>
          <w:rFonts w:ascii="Times New Roman;serif" w:hAnsi="Times New Roman;serif"/>
          <w:b w:val="false"/>
          <w:i w:val="false"/>
          <w:caps w:val="false"/>
          <w:smallCaps w:val="false"/>
          <w:color w:val="000000"/>
          <w:sz w:val="20"/>
        </w:rPr>
        <w:t xml:space="preserve">, while eagerly anticipating upcoming releases such as </w:t>
      </w:r>
      <w:r>
        <w:rPr>
          <w:rFonts w:ascii="Times New Roman;serif" w:hAnsi="Times New Roman;serif"/>
          <w:b w:val="false"/>
          <w:i/>
          <w:color w:val="000000"/>
          <w:sz w:val="20"/>
        </w:rPr>
        <w:t>Wicked: For Good</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Zootopia 2</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Five Nights at Freddy’s,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Avatar: Fire and Ash</w:t>
      </w:r>
      <w:r>
        <w:rPr>
          <w:rFonts w:ascii="Times New Roman;serif" w:hAnsi="Times New Roman;serif"/>
          <w:b w:val="false"/>
          <w:i w:val="false"/>
          <w:caps w:val="false"/>
          <w:smallCaps w:val="false"/>
          <w:color w:val="000000"/>
          <w:sz w:val="20"/>
        </w:rPr>
        <w:t>. These upcoming releases exemplify the cinema industry’s unwavering commitment to delivering a rich and compelling variety of films that will engage audiences globally and drive sustained growth across the sector.</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Real Estate Segment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Regarding our United States real estate, during the first quarter of 2024, we sold our underutilized administrative office building in Culver City, California for $10.0 million. We continue to work to lease up the remainder of our 44 Union Square building in New York. The existing 44 Union Square tenant, Petco, occupies the cellar, ground and second floors on a full rent paying basis. We believe that demand for space in the Union Square submarket is improving.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Regarding our Australia and New Zealand real estate, on May 21, 2025, we sold our Cannon Park properties in Townsville, Queensland, Australia for AU$32.0 million (USD equivalent of $20.7 million), while retaining the cinema leasehold at that property. And, on January 31, 2025, we sold all of our Wellington, New Zealand properties for NZ$38.0 million (USD equivalent of $21.5 million), and entered into an agreement to lease for the cinema premises in Courtenay Central upon completion of seismic upgrades. The proceeds of these sales were used, among other things, to pay down approximately $32.1 million in debt. As of June 30, 2025, all our tenants at our Australian and New Zealand properties were in occupancy on a full rent paying basis.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Given our liquidity requirements, we have largely paused our real estate development projects. Our restricted capital expenditures in 2024 and thus far in 2025 have primarily targeted improvements to our existing cinemas. To bolster our liquidity, the Company has continued to hold for sale our Newberry Yard property in Williamsport, Pennsylvania. </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Company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principally focused on the development, ownership, and operation of entertainment and real estate assets in the United States, Australia, and New Zealand. Currently, we operate in two business segments: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Cinema exhibition, through our 58 cinemas as of June 30, 2025.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Real estate, including real estate development and the rental of retail, commercial, and live theatre assets.</w:t>
      </w:r>
    </w:p>
    <w:p>
      <w:pPr>
        <w:pStyle w:val="TextBody"/>
        <w:bidi w:val="0"/>
        <w:spacing w:lineRule="auto" w:line="259"/>
        <w:rPr>
          <w:rFonts w:ascii="Times New Roman;serif" w:hAnsi="Times New Roman;serif"/>
          <w:b w:val="false"/>
          <w:i w:val="false"/>
          <w:caps w:val="false"/>
          <w:smallCaps w:val="false"/>
          <w:sz w:val="20"/>
        </w:rPr>
      </w:pPr>
      <w:bookmarkStart w:id="24" w:name="_Hlk69460598"/>
      <w:bookmarkStart w:id="25" w:name="_Hlk148705778"/>
      <w:bookmarkEnd w:id="24"/>
      <w:bookmarkEnd w:id="25"/>
      <w:r>
        <w:rPr>
          <w:rFonts w:ascii="Times New Roman;serif" w:hAnsi="Times New Roman;serif"/>
          <w:b w:val="false"/>
          <w:i w:val="false"/>
          <w:caps w:val="false"/>
          <w:smallCaps w:val="false"/>
          <w:sz w:val="20"/>
        </w:rPr>
        <w:t xml:space="preserve">While we have monetized nine property assets over the past five years, we believe these two business segments will continue to complement and support one another. Prior to COVID-19, we used cash flows generated by our cinema operations to fund the front-end cash demands of our real estate development business. As a result of COVID-19, we relied more upon income from our real estate assets, and tapped into the embedded value in those assets, to support our Company through the COVID-19 crisis. As the residual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COVID-19 and the 2023 Hollywood Strikes impacts behind us, we believe that the quality of film releases will continue to improve, enticing patrons to return to our cinemas and reaffirming our belief that we will once again be able to rely on the cash flows generated by our cinema portfolio to enhance and add to our real estate portfolio. To meet anticipated liquidity needs, we continue to classify one asset (Newberry Yard) as an asset held for sale. Even after this disposition we anticipate that we will continue to own properties in Pennsylvania, Manhattan, and in Australia that we believe will present, when capital resources are available to us, potential to build material stockholder value.</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Key Performance Indicators </w:t>
      </w:r>
      <w:r>
        <w:rPr>
          <w:rFonts w:ascii="Times New Roman;serif" w:hAnsi="Times New Roman;serif"/>
          <w:b w:val="false"/>
          <w:i/>
          <w:sz w:val="20"/>
        </w:rPr>
        <w:t>(Unaudited; U.S. dollars in thousands, except per patron data)</w:t>
      </w:r>
    </w:p>
    <w:p>
      <w:pPr>
        <w:pStyle w:val="TextBody"/>
        <w:bidi w:val="0"/>
        <w:spacing w:lineRule="auto" w:line="259"/>
        <w:rPr>
          <w:rFonts w:ascii="Times New Roman;serif" w:hAnsi="Times New Roman;serif"/>
          <w:b/>
          <w:i w:val="false"/>
          <w:caps w:val="false"/>
          <w:smallCaps w:val="false"/>
          <w:color w:val="000000"/>
          <w:sz w:val="20"/>
          <w:u w:val="single"/>
        </w:rPr>
      </w:pPr>
      <w:bookmarkStart w:id="26" w:name="_Hlk108171748"/>
      <w:bookmarkEnd w:id="26"/>
      <w:r>
        <w:rPr>
          <w:rFonts w:ascii="Times New Roman;serif" w:hAnsi="Times New Roman;serif"/>
          <w:b/>
          <w:i w:val="false"/>
          <w:caps w:val="false"/>
          <w:smallCaps w:val="false"/>
          <w:color w:val="000000"/>
          <w:sz w:val="20"/>
          <w:u w:val="single"/>
        </w:rPr>
        <w:t>Food and Beverage Spend Per Patron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 key performance indicator utilized by management in our cinema segment is Food and Beverage (“F&amp;B</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Spend Per Patron (“SPP</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which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is calculated based 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our total Food &amp; Beverage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Revenues on a post-tax basis divided by our attendance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a specific period.</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One of our strategic priorities has been to continue upgrading the food and beverage menu at several of our global cinemas. As of June 30, 2025, we have a total of 37 theater locations with elevated food and beverage menus (i.e. menus that are beyond traditional popcorn, soda, and candy). We use F&amp;B SPP as a measure of our food and beverage operational performance as compared to that of our competitors. Although the profitability of our food and beverage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in turn uses F&amp;B SPP to adjust food and beverage pricing strategies at our individual theaters, measure the effectiveness of promotional marketing initiatives, optimize menu offerings, and ensure price barriers are not created for our attendance.</w:t>
      </w:r>
    </w:p>
    <w:tbl>
      <w:tblPr>
        <w:tblW w:w="7990" w:type="dxa"/>
        <w:jc w:val="left"/>
        <w:tblInd w:w="0" w:type="dxa"/>
        <w:tblLayout w:type="fixed"/>
        <w:tblCellMar>
          <w:top w:w="0" w:type="dxa"/>
          <w:left w:w="0" w:type="dxa"/>
          <w:bottom w:w="0" w:type="dxa"/>
          <w:right w:w="0" w:type="dxa"/>
        </w:tblCellMar>
      </w:tblPr>
      <w:tblGrid>
        <w:gridCol w:w="2641"/>
        <w:gridCol w:w="109"/>
        <w:gridCol w:w="285"/>
        <w:gridCol w:w="286"/>
        <w:gridCol w:w="223"/>
        <w:gridCol w:w="285"/>
        <w:gridCol w:w="286"/>
        <w:gridCol w:w="223"/>
        <w:gridCol w:w="502"/>
        <w:gridCol w:w="503"/>
        <w:gridCol w:w="109"/>
        <w:gridCol w:w="285"/>
        <w:gridCol w:w="286"/>
        <w:gridCol w:w="173"/>
        <w:gridCol w:w="285"/>
        <w:gridCol w:w="286"/>
        <w:gridCol w:w="173"/>
        <w:gridCol w:w="434"/>
        <w:gridCol w:w="616"/>
      </w:tblGrid>
      <w:tr>
        <w:trPr/>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Months Ended</w:t>
            </w:r>
          </w:p>
        </w:tc>
        <w:tc>
          <w:tcPr>
            <w:tcW w:w="109" w:type="dxa"/>
            <w:tcBorders/>
            <w:vAlign w:val="center"/>
          </w:tcPr>
          <w:p>
            <w:pPr>
              <w:pStyle w:val="TableContents"/>
              <w:bidi w:val="0"/>
              <w:spacing w:before="0" w:after="283"/>
              <w:jc w:val="left"/>
              <w:rPr>
                <w:sz w:val="4"/>
                <w:szCs w:val="4"/>
              </w:rPr>
            </w:pPr>
            <w:r>
              <w:rPr>
                <w:sz w:val="4"/>
                <w:szCs w:val="4"/>
              </w:rPr>
            </w:r>
          </w:p>
        </w:tc>
        <w:tc>
          <w:tcPr>
            <w:tcW w:w="2538"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22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7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64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 xml:space="preserve">Food &amp; Beverage Spend Per Patron </w:t>
              <w:br/>
              <w:t>‎(in functional currency)</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22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223" w:type="dxa"/>
            <w:tcBorders/>
            <w:vAlign w:val="center"/>
          </w:tcPr>
          <w:p>
            <w:pPr>
              <w:pStyle w:val="TableContents"/>
              <w:bidi w:val="0"/>
              <w:spacing w:before="0" w:after="283"/>
              <w:jc w:val="left"/>
              <w:rPr>
                <w:sz w:val="4"/>
                <w:szCs w:val="4"/>
              </w:rPr>
            </w:pPr>
            <w:r>
              <w:rPr>
                <w:sz w:val="4"/>
                <w:szCs w:val="4"/>
              </w:rPr>
            </w:r>
          </w:p>
        </w:tc>
        <w:tc>
          <w:tcPr>
            <w:tcW w:w="1005" w:type="dxa"/>
            <w:gridSpan w:val="2"/>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Fav/(Unfav)</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7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73" w:type="dxa"/>
            <w:tcBorders/>
            <w:vAlign w:val="center"/>
          </w:tcPr>
          <w:p>
            <w:pPr>
              <w:pStyle w:val="TableContents"/>
              <w:bidi w:val="0"/>
              <w:spacing w:before="0" w:after="283"/>
              <w:jc w:val="left"/>
              <w:rPr>
                <w:sz w:val="4"/>
                <w:szCs w:val="4"/>
              </w:rPr>
            </w:pPr>
            <w:r>
              <w:rPr>
                <w:sz w:val="4"/>
                <w:szCs w:val="4"/>
              </w:rPr>
            </w:r>
          </w:p>
        </w:tc>
        <w:tc>
          <w:tcPr>
            <w:tcW w:w="1050" w:type="dxa"/>
            <w:gridSpan w:val="2"/>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Fav/(Unfav)</w:t>
            </w:r>
          </w:p>
        </w:tc>
      </w:tr>
      <w:tr>
        <w:trPr/>
        <w:tc>
          <w:tcPr>
            <w:tcW w:w="26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3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6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$9.13</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$8.12</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$8.68</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$7.93</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w:t>
            </w:r>
          </w:p>
        </w:tc>
      </w:tr>
      <w:tr>
        <w:trPr/>
        <w:tc>
          <w:tcPr>
            <w:tcW w:w="26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$8.26</w:t>
            </w:r>
          </w:p>
        </w:tc>
        <w:tc>
          <w:tcPr>
            <w:tcW w:w="223" w:type="dxa"/>
            <w:tcBorders/>
            <w:vAlign w:val="center"/>
          </w:tcPr>
          <w:p>
            <w:pPr>
              <w:pStyle w:val="TableContents"/>
              <w:bidi w:val="0"/>
              <w:spacing w:before="0" w:after="283"/>
              <w:jc w:val="left"/>
              <w:rPr>
                <w:sz w:val="4"/>
                <w:szCs w:val="4"/>
              </w:rPr>
            </w:pPr>
            <w:r>
              <w:rPr>
                <w:sz w:val="4"/>
                <w:szCs w:val="4"/>
              </w:rPr>
            </w:r>
          </w:p>
        </w:tc>
        <w:tc>
          <w:tcPr>
            <w:tcW w:w="57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$7.67</w:t>
            </w:r>
          </w:p>
        </w:tc>
        <w:tc>
          <w:tcPr>
            <w:tcW w:w="223"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$8.08</w:t>
            </w:r>
          </w:p>
        </w:tc>
        <w:tc>
          <w:tcPr>
            <w:tcW w:w="173" w:type="dxa"/>
            <w:tcBorders/>
            <w:vAlign w:val="center"/>
          </w:tcPr>
          <w:p>
            <w:pPr>
              <w:pStyle w:val="TableContents"/>
              <w:bidi w:val="0"/>
              <w:spacing w:before="0" w:after="283"/>
              <w:jc w:val="left"/>
              <w:rPr>
                <w:sz w:val="4"/>
                <w:szCs w:val="4"/>
              </w:rPr>
            </w:pPr>
            <w:r>
              <w:rPr>
                <w:sz w:val="4"/>
                <w:szCs w:val="4"/>
              </w:rPr>
            </w:r>
          </w:p>
        </w:tc>
        <w:tc>
          <w:tcPr>
            <w:tcW w:w="57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$7.66</w:t>
            </w:r>
          </w:p>
        </w:tc>
        <w:tc>
          <w:tcPr>
            <w:tcW w:w="173" w:type="dxa"/>
            <w:tcBorders/>
            <w:vAlign w:val="center"/>
          </w:tcPr>
          <w:p>
            <w:pPr>
              <w:pStyle w:val="TableContents"/>
              <w:bidi w:val="0"/>
              <w:spacing w:before="0" w:after="283"/>
              <w:jc w:val="left"/>
              <w:rPr>
                <w:sz w:val="4"/>
                <w:szCs w:val="4"/>
              </w:rPr>
            </w:pPr>
            <w:r>
              <w:rPr>
                <w:sz w:val="4"/>
                <w:szCs w:val="4"/>
              </w:rPr>
            </w:r>
          </w:p>
        </w:tc>
        <w:tc>
          <w:tcPr>
            <w:tcW w:w="105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w:t>
            </w:r>
          </w:p>
        </w:tc>
      </w:tr>
      <w:tr>
        <w:trPr/>
        <w:tc>
          <w:tcPr>
            <w:tcW w:w="26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$7.14</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$6.60</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$6.99</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$6.64</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r>
    </w:tbl>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Average Ticket Price per Patron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additional key performance indicator utilized by management in our cinema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gauging the effectiveness of our cinemas’ pricing strategies and our ability to draw audiences back to our theaters. Management uses ATP to adjust and inform ticket pricing schemes for our individual theaters, measure the effectiveness of our content programming, and ensure that price barriers are not created for core guests. </w:t>
      </w:r>
    </w:p>
    <w:tbl>
      <w:tblPr>
        <w:tblW w:w="7555" w:type="dxa"/>
        <w:jc w:val="left"/>
        <w:tblInd w:w="0" w:type="dxa"/>
        <w:tblLayout w:type="fixed"/>
        <w:tblCellMar>
          <w:top w:w="0" w:type="dxa"/>
          <w:left w:w="0" w:type="dxa"/>
          <w:bottom w:w="0" w:type="dxa"/>
          <w:right w:w="0" w:type="dxa"/>
        </w:tblCellMar>
      </w:tblPr>
      <w:tblGrid>
        <w:gridCol w:w="1786"/>
        <w:gridCol w:w="109"/>
        <w:gridCol w:w="338"/>
        <w:gridCol w:w="338"/>
        <w:gridCol w:w="223"/>
        <w:gridCol w:w="338"/>
        <w:gridCol w:w="338"/>
        <w:gridCol w:w="223"/>
        <w:gridCol w:w="502"/>
        <w:gridCol w:w="503"/>
        <w:gridCol w:w="109"/>
        <w:gridCol w:w="338"/>
        <w:gridCol w:w="338"/>
        <w:gridCol w:w="173"/>
        <w:gridCol w:w="338"/>
        <w:gridCol w:w="338"/>
        <w:gridCol w:w="173"/>
        <w:gridCol w:w="434"/>
        <w:gridCol w:w="61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3"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Months Ended</w:t>
            </w:r>
          </w:p>
        </w:tc>
        <w:tc>
          <w:tcPr>
            <w:tcW w:w="109" w:type="dxa"/>
            <w:tcBorders/>
            <w:vAlign w:val="center"/>
          </w:tcPr>
          <w:p>
            <w:pPr>
              <w:pStyle w:val="TableContents"/>
              <w:bidi w:val="0"/>
              <w:spacing w:before="0" w:after="283"/>
              <w:jc w:val="left"/>
              <w:rPr>
                <w:sz w:val="4"/>
                <w:szCs w:val="4"/>
              </w:rPr>
            </w:pPr>
            <w:r>
              <w:rPr>
                <w:sz w:val="4"/>
                <w:szCs w:val="4"/>
              </w:rPr>
            </w:r>
          </w:p>
        </w:tc>
        <w:tc>
          <w:tcPr>
            <w:tcW w:w="2748"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22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7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78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 xml:space="preserve">Average Ticket Price </w:t>
              <w:br/>
              <w:t>‎(in functional currency)</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22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223" w:type="dxa"/>
            <w:tcBorders/>
            <w:vAlign w:val="center"/>
          </w:tcPr>
          <w:p>
            <w:pPr>
              <w:pStyle w:val="TableContents"/>
              <w:bidi w:val="0"/>
              <w:spacing w:before="0" w:after="283"/>
              <w:jc w:val="left"/>
              <w:rPr>
                <w:sz w:val="4"/>
                <w:szCs w:val="4"/>
              </w:rPr>
            </w:pPr>
            <w:r>
              <w:rPr>
                <w:sz w:val="4"/>
                <w:szCs w:val="4"/>
              </w:rPr>
            </w:r>
          </w:p>
        </w:tc>
        <w:tc>
          <w:tcPr>
            <w:tcW w:w="1005" w:type="dxa"/>
            <w:gridSpan w:val="2"/>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Fav/(Unfav)</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7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73" w:type="dxa"/>
            <w:tcBorders/>
            <w:vAlign w:val="center"/>
          </w:tcPr>
          <w:p>
            <w:pPr>
              <w:pStyle w:val="TableContents"/>
              <w:bidi w:val="0"/>
              <w:spacing w:before="0" w:after="283"/>
              <w:jc w:val="left"/>
              <w:rPr>
                <w:sz w:val="4"/>
                <w:szCs w:val="4"/>
              </w:rPr>
            </w:pPr>
            <w:r>
              <w:rPr>
                <w:sz w:val="4"/>
                <w:szCs w:val="4"/>
              </w:rPr>
            </w:r>
          </w:p>
        </w:tc>
        <w:tc>
          <w:tcPr>
            <w:tcW w:w="1050" w:type="dxa"/>
            <w:gridSpan w:val="2"/>
            <w:tcBorders>
              <w:bottom w:val="single" w:sz="12" w:space="0" w:color="000000"/>
            </w:tcBorders>
            <w:tcMar>
              <w:bottom w:w="28" w:type="dxa"/>
            </w:tcMar>
            <w:vAlign w:val="center"/>
          </w:tcPr>
          <w:p>
            <w:pPr>
              <w:pStyle w:val="TableContents"/>
              <w:bidi w:val="0"/>
              <w:spacing w:lineRule="auto" w:line="259"/>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r>
          </w:p>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Fav/(Unfav)</w:t>
            </w:r>
          </w:p>
        </w:tc>
      </w:tr>
      <w:tr>
        <w:trPr/>
        <w:tc>
          <w:tcPr>
            <w:tcW w:w="17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0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3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$13.44</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$13.27</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$13.46</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$13.52</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r>
      <w:tr>
        <w:trPr/>
        <w:tc>
          <w:tcPr>
            <w:tcW w:w="1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$16.34</w:t>
            </w:r>
          </w:p>
        </w:tc>
        <w:tc>
          <w:tcPr>
            <w:tcW w:w="223" w:type="dxa"/>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$13.11</w:t>
            </w:r>
          </w:p>
        </w:tc>
        <w:tc>
          <w:tcPr>
            <w:tcW w:w="223" w:type="dxa"/>
            <w:tcBorders/>
            <w:vAlign w:val="center"/>
          </w:tcPr>
          <w:p>
            <w:pPr>
              <w:pStyle w:val="TableContents"/>
              <w:bidi w:val="0"/>
              <w:spacing w:before="0" w:after="283"/>
              <w:jc w:val="left"/>
              <w:rPr>
                <w:sz w:val="4"/>
                <w:szCs w:val="4"/>
              </w:rPr>
            </w:pPr>
            <w:r>
              <w:rPr>
                <w:sz w:val="4"/>
                <w:szCs w:val="4"/>
              </w:rPr>
            </w:r>
          </w:p>
        </w:tc>
        <w:tc>
          <w:tcPr>
            <w:tcW w:w="10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$16.00</w:t>
            </w:r>
          </w:p>
        </w:tc>
        <w:tc>
          <w:tcPr>
            <w:tcW w:w="173" w:type="dxa"/>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$13.35</w:t>
            </w:r>
          </w:p>
        </w:tc>
        <w:tc>
          <w:tcPr>
            <w:tcW w:w="173" w:type="dxa"/>
            <w:tcBorders/>
            <w:vAlign w:val="center"/>
          </w:tcPr>
          <w:p>
            <w:pPr>
              <w:pStyle w:val="TableContents"/>
              <w:bidi w:val="0"/>
              <w:spacing w:before="0" w:after="283"/>
              <w:jc w:val="left"/>
              <w:rPr>
                <w:sz w:val="4"/>
                <w:szCs w:val="4"/>
              </w:rPr>
            </w:pPr>
            <w:r>
              <w:rPr>
                <w:sz w:val="4"/>
                <w:szCs w:val="4"/>
              </w:rPr>
            </w:r>
          </w:p>
        </w:tc>
        <w:tc>
          <w:tcPr>
            <w:tcW w:w="105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w:t>
            </w:r>
          </w:p>
        </w:tc>
      </w:tr>
      <w:tr>
        <w:trPr/>
        <w:tc>
          <w:tcPr>
            <w:tcW w:w="1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$14.70</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$11.35</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$14.30</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$11.56</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w:t>
            </w:r>
          </w:p>
        </w:tc>
      </w:tr>
    </w:tbl>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Real Estate Key Performance Indicators</w:t>
      </w:r>
    </w:p>
    <w:p>
      <w:pPr>
        <w:pStyle w:val="TextBody"/>
        <w:bidi w:val="0"/>
        <w:spacing w:lineRule="auto" w:line="259"/>
        <w:rPr>
          <w:rFonts w:ascii="Times New Roman;serif" w:hAnsi="Times New Roman;serif"/>
          <w:b w:val="false"/>
          <w:i w:val="false"/>
          <w:caps w:val="false"/>
          <w:smallCaps w:val="false"/>
          <w:sz w:val="20"/>
        </w:rPr>
      </w:pPr>
      <w:bookmarkStart w:id="27" w:name="_Hlk172364379"/>
      <w:bookmarkEnd w:id="27"/>
      <w:r>
        <w:rPr>
          <w:rFonts w:ascii="Times New Roman;serif" w:hAnsi="Times New Roman;serif"/>
          <w:b w:val="false"/>
          <w:i w:val="false"/>
          <w:caps w:val="false"/>
          <w:smallCaps w:val="false"/>
          <w:sz w:val="20"/>
        </w:rPr>
        <w:t xml:space="preserve">The key performance indicators used by management in our real estate segment vary according to jurisdiction. At the current time, in the United States, we assess our real estate division (including 44 Union Square and our historical railroad assets, but excluding our Live Theaters), solely on a net operating income basis. We have no specific key performance standards to compare performance from period to period. Rather we analyze operating budgets and projections and compare actual results to budgeted or projected results from time to time.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Australia and New Zealand, we assess our properties held for rent using net operating income, occupancy factor (the percentage of the net rentable area of our properties that are leased) and average lease duration. We believe our chosen indicators help us effectively assess the return on investment on our real estate assets.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376"/>
        <w:gridCol w:w="1588"/>
        <w:gridCol w:w="211"/>
        <w:gridCol w:w="804"/>
        <w:gridCol w:w="109"/>
        <w:gridCol w:w="211"/>
        <w:gridCol w:w="804"/>
        <w:gridCol w:w="109"/>
        <w:gridCol w:w="361"/>
        <w:gridCol w:w="876"/>
        <w:gridCol w:w="109"/>
        <w:gridCol w:w="211"/>
        <w:gridCol w:w="847"/>
        <w:gridCol w:w="109"/>
        <w:gridCol w:w="211"/>
        <w:gridCol w:w="875"/>
        <w:gridCol w:w="109"/>
        <w:gridCol w:w="361"/>
        <w:gridCol w:w="924"/>
      </w:tblGrid>
      <w:tr>
        <w:trPr/>
        <w:tc>
          <w:tcPr>
            <w:tcW w:w="137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37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3485"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Months Ended</w:t>
            </w:r>
          </w:p>
        </w:tc>
        <w:tc>
          <w:tcPr>
            <w:tcW w:w="109" w:type="dxa"/>
            <w:tcBorders/>
            <w:vAlign w:val="center"/>
          </w:tcPr>
          <w:p>
            <w:pPr>
              <w:pStyle w:val="TableContents"/>
              <w:bidi w:val="0"/>
              <w:spacing w:before="0" w:after="283"/>
              <w:jc w:val="left"/>
              <w:rPr>
                <w:sz w:val="4"/>
                <w:szCs w:val="4"/>
              </w:rPr>
            </w:pPr>
            <w:r>
              <w:rPr>
                <w:sz w:val="4"/>
                <w:szCs w:val="4"/>
              </w:rPr>
            </w:r>
          </w:p>
        </w:tc>
        <w:tc>
          <w:tcPr>
            <w:tcW w:w="3647"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137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39"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37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br/>
              <w:t>‎(in functional currency)</w:t>
            </w:r>
          </w:p>
        </w:tc>
        <w:tc>
          <w:tcPr>
            <w:tcW w:w="1588" w:type="dxa"/>
            <w:tcBorders/>
            <w:vAlign w:val="center"/>
          </w:tcPr>
          <w:p>
            <w:pPr>
              <w:pStyle w:val="TableContents"/>
              <w:bidi w:val="0"/>
              <w:spacing w:before="0" w:after="283"/>
              <w:jc w:val="left"/>
              <w:rPr>
                <w:sz w:val="4"/>
                <w:szCs w:val="4"/>
              </w:rPr>
            </w:pPr>
            <w:r>
              <w:rPr>
                <w:sz w:val="4"/>
                <w:szCs w:val="4"/>
              </w:rPr>
            </w:r>
          </w:p>
        </w:tc>
        <w:tc>
          <w:tcPr>
            <w:tcW w:w="101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‎Fav/(Unfav)</w:t>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28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‎Fav/(Unfav)</w:t>
            </w:r>
          </w:p>
        </w:tc>
      </w:tr>
      <w:tr>
        <w:trPr/>
        <w:tc>
          <w:tcPr>
            <w:tcW w:w="137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2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3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5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Operating Income </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w:t>
            </w:r>
          </w:p>
        </w:tc>
      </w:tr>
      <w:tr>
        <w:trPr/>
        <w:tc>
          <w:tcPr>
            <w:tcW w:w="137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5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Operating Income </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w:t>
            </w:r>
          </w:p>
        </w:tc>
      </w:tr>
      <w:tr>
        <w:trPr/>
        <w:tc>
          <w:tcPr>
            <w:tcW w:w="137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Occupancy Factor </w:t>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w:t>
            </w:r>
          </w:p>
        </w:tc>
        <w:tc>
          <w:tcPr>
            <w:tcW w:w="8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%age points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w:t>
            </w:r>
          </w:p>
        </w:tc>
        <w:tc>
          <w:tcPr>
            <w:tcW w:w="92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%age points</w:t>
            </w:r>
          </w:p>
        </w:tc>
      </w:tr>
      <w:tr>
        <w:trPr/>
        <w:tc>
          <w:tcPr>
            <w:tcW w:w="1376" w:type="dxa"/>
            <w:tcBorders/>
            <w:shd w:fill="CCEEFF" w:val="clear"/>
            <w:vAlign w:val="center"/>
          </w:tcPr>
          <w:p>
            <w:pPr>
              <w:pStyle w:val="TableContents"/>
              <w:bidi w:val="0"/>
              <w:spacing w:before="0" w:after="283"/>
              <w:jc w:val="left"/>
              <w:rPr>
                <w:sz w:val="4"/>
                <w:szCs w:val="4"/>
              </w:rPr>
            </w:pPr>
            <w:r>
              <w:rPr>
                <w:sz w:val="4"/>
                <w:szCs w:val="4"/>
              </w:rPr>
            </w:r>
          </w:p>
        </w:tc>
        <w:tc>
          <w:tcPr>
            <w:tcW w:w="15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Average Lease Duration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0.54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0.54 years</w:t>
            </w:r>
          </w:p>
        </w:tc>
      </w:tr>
      <w:tr>
        <w:trPr/>
        <w:tc>
          <w:tcPr>
            <w:tcW w:w="137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5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Operating Income </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51.6%</w:t>
            </w:r>
          </w:p>
        </w:tc>
      </w:tr>
      <w:tr>
        <w:trPr/>
        <w:tc>
          <w:tcPr>
            <w:tcW w:w="137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Occupancy Factor </w:t>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%age points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2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%age points</w:t>
            </w:r>
          </w:p>
        </w:tc>
      </w:tr>
      <w:tr>
        <w:trPr/>
        <w:tc>
          <w:tcPr>
            <w:tcW w:w="1376" w:type="dxa"/>
            <w:tcBorders/>
            <w:shd w:fill="CCEEFF" w:val="clear"/>
            <w:vAlign w:val="center"/>
          </w:tcPr>
          <w:p>
            <w:pPr>
              <w:pStyle w:val="TableContents"/>
              <w:bidi w:val="0"/>
              <w:spacing w:before="0" w:after="283"/>
              <w:jc w:val="left"/>
              <w:rPr>
                <w:sz w:val="4"/>
                <w:szCs w:val="4"/>
              </w:rPr>
            </w:pPr>
            <w:r>
              <w:rPr>
                <w:sz w:val="4"/>
                <w:szCs w:val="4"/>
              </w:rPr>
            </w:r>
          </w:p>
        </w:tc>
        <w:tc>
          <w:tcPr>
            <w:tcW w:w="15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Average Lease Duration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0.58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(0.42)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0.58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(0.42) years</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the case of our Live Theatres, with respect to key performance indicators, we primarily look to the live theater rental revenue and ancillary income from the theaters. This key performance indicator represents box office revenues less amounts paid to producers for license fee settlements, plus ancillary income earned by us from certain theater operations. Our live theater rental revenue and ancillary income for the second quarter 2025 improved to $0.6 million compared to $0.4 million for the second quarter 2024. Our live theater rental revenue and ancillary income for the six months ended June 30, 2025 improved to $1.2 million compared to $0.8 million for the six months ended June 30, 2024. </w:t>
      </w:r>
    </w:p>
    <w:p>
      <w:pPr>
        <w:pStyle w:val="TextBody"/>
        <w:bidi w:val="0"/>
        <w:spacing w:lineRule="auto" w:line="259"/>
        <w:rPr>
          <w:rFonts w:ascii="Times New Roman;serif" w:hAnsi="Times New Roman;serif"/>
          <w:b/>
          <w:i/>
          <w:sz w:val="20"/>
        </w:rPr>
      </w:pPr>
      <w:r>
        <w:rPr>
          <w:rFonts w:ascii="Times New Roman;serif" w:hAnsi="Times New Roman;serif"/>
          <w:b/>
          <w:i/>
          <w:sz w:val="20"/>
        </w:rPr>
        <w:t>Cinema Exhibition Segment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our worldwide cinema exhibition businesses through various subsidiaries under various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under the Reading Cinemas, Angelika Film Centers, and Consolidated Theatres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Australia, under the Reading Cinemas, Angelika Cinemas, the State Cinema by Angelika, and for our one unconsolidated joint venture theatre, Event Cinemas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 New Zealand, under the Reading Cinemas and for our two unconsolidated joint venture theatres, Rialto Cinemas brands.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cinema circuit in each country, by state/territory/region, our cinema brands, and our interest in the underlying assets as of June 30, 2025.</w:t>
      </w:r>
    </w:p>
    <w:tbl>
      <w:tblPr>
        <w:tblW w:w="10205" w:type="dxa"/>
        <w:jc w:val="left"/>
        <w:tblInd w:w="0" w:type="dxa"/>
        <w:tblLayout w:type="fixed"/>
        <w:tblCellMar>
          <w:top w:w="0" w:type="dxa"/>
          <w:left w:w="0" w:type="dxa"/>
          <w:bottom w:w="0" w:type="dxa"/>
          <w:right w:w="0" w:type="dxa"/>
        </w:tblCellMar>
      </w:tblPr>
      <w:tblGrid>
        <w:gridCol w:w="1318"/>
        <w:gridCol w:w="109"/>
        <w:gridCol w:w="1427"/>
        <w:gridCol w:w="109"/>
        <w:gridCol w:w="751"/>
        <w:gridCol w:w="109"/>
        <w:gridCol w:w="586"/>
        <w:gridCol w:w="109"/>
        <w:gridCol w:w="796"/>
        <w:gridCol w:w="143"/>
        <w:gridCol w:w="816"/>
        <w:gridCol w:w="109"/>
        <w:gridCol w:w="3823"/>
      </w:tblGrid>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318"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Count</w:t>
            </w:r>
            <w:r>
              <w:rPr>
                <w:rFonts w:ascii="Times New Roman;serif" w:hAnsi="Times New Roman;serif"/>
                <w:b/>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3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2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w:t>
            </w:r>
          </w:p>
        </w:tc>
      </w:tr>
      <w:tr>
        <w:trPr/>
        <w:tc>
          <w:tcPr>
            <w:tcW w:w="131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27"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2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179</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2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2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23"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Reading Cinemas, Angelika Cinemas, Event Cinemas</w:t>
            </w:r>
            <w:r>
              <w:rPr>
                <w:rFonts w:ascii="Times New Roman;serif" w:hAnsi="Times New Roman;serif"/>
                <w:b w:val="false"/>
                <w:i w:val="false"/>
                <w:caps w:val="false"/>
                <w:smallCaps w:val="false"/>
                <w:color w:val="000000"/>
                <w:position w:val="5"/>
                <w:sz w:val="13"/>
                <w:sz w:val="16"/>
              </w:rPr>
              <w:t>(1)</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2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 by Angelika</w:t>
            </w:r>
          </w:p>
        </w:tc>
      </w:tr>
      <w:tr>
        <w:trPr/>
        <w:tc>
          <w:tcPr>
            <w:tcW w:w="13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226</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82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23"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Hawke's Bay</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2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7"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58</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469</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51</w:t>
            </w:r>
          </w:p>
        </w:tc>
        <w:tc>
          <w:tcPr>
            <w:tcW w:w="14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2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(1)Our Company has a 33.3% unincorporated joint venture interest in a 16-screen cinema located in Mt. Gravatt, Queensland managed by Event Cinemas.</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with a total of 13 screens. We are responsible for the booking of these cinemas and our joint venture partner, Event Cinemas, manages their day-to-day operations.</w:t>
      </w:r>
    </w:p>
    <w:p>
      <w:pPr>
        <w:pStyle w:val="TextBody"/>
        <w:bidi w:val="0"/>
        <w:spacing w:lineRule="auto" w:line="259" w:before="0" w:after="6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(3)(i) Our Wellington lease count includes our Courtenay Central cinema, which, having been sold on January 31, 2025, is now under an Agreement to Lease and we anticipate reopening following the completion of certain third-party construction and seismic strengthening works. (ii) We closed one underperforming cinema located in San Diego, CA on April 15, 2025.</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rPr>
        <w:t xml:space="preserve">Our cinema revenues consist primarily of cinema ticket sales, F&amp;B sales, screen advertising, gift card sales, cinema rentals, and online convenience fee revenue generated by the sale of our cinema tickets through our websites and mobile apps. </w:t>
      </w:r>
      <w:bookmarkStart w:id="28" w:name="_Hlk100939110"/>
      <w:bookmarkEnd w:id="28"/>
      <w:r>
        <w:rPr>
          <w:rFonts w:ascii="Times New Roman;serif" w:hAnsi="Times New Roman;serif"/>
          <w:b w:val="false"/>
          <w:i w:val="false"/>
          <w:caps w:val="false"/>
          <w:smallCaps w:val="false"/>
          <w:sz w:val="20"/>
        </w:rPr>
        <w:t>Cinema operating expenses consist of the costs directly attributable to the operation of the cinemas, including (i) film rent expense, (ii) cost of goods sold, (iii) operating costs, such as employment costs and utilities, and (iv) occupancy costs.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Cinema revenues and certain expenses fluctuate with the availability of quality first run films and the number of weeks such first run films stay in the market. For a breakdown of our current cinema assets that we own and/or manage, please refer to </w:t>
      </w:r>
      <w:r>
        <w:rPr>
          <w:rFonts w:ascii="Times New Roman;serif" w:hAnsi="Times New Roman;serif"/>
          <w:b w:val="false"/>
          <w:i/>
          <w:sz w:val="20"/>
        </w:rPr>
        <w:t xml:space="preserve">Part I, Item 1 – Our Business </w:t>
      </w:r>
      <w:r>
        <w:rPr>
          <w:rFonts w:ascii="Times New Roman;serif" w:hAnsi="Times New Roman;serif"/>
          <w:b w:val="false"/>
          <w:i w:val="false"/>
          <w:caps w:val="false"/>
          <w:smallCaps w:val="false"/>
          <w:sz w:val="20"/>
        </w:rPr>
        <w:t xml:space="preserve">of our 2024 Form 10-K. </w:t>
      </w:r>
    </w:p>
    <w:p>
      <w:pPr>
        <w:pStyle w:val="TextBody"/>
        <w:bidi w:val="0"/>
        <w:spacing w:lineRule="auto" w:line="259"/>
        <w:rPr>
          <w:rFonts w:ascii="Times New Roman;serif" w:hAnsi="Times New Roman;serif"/>
          <w:b/>
          <w:i/>
          <w:sz w:val="20"/>
        </w:rPr>
      </w:pPr>
      <w:bookmarkStart w:id="29" w:name="_Hlk166658387"/>
      <w:bookmarkEnd w:id="29"/>
      <w:r>
        <w:rPr>
          <w:rFonts w:ascii="Times New Roman;serif" w:hAnsi="Times New Roman;serif"/>
          <w:b/>
          <w:i/>
          <w:sz w:val="20"/>
        </w:rPr>
        <w:t>Cinema Pipeline and Closure</w:t>
      </w:r>
    </w:p>
    <w:p>
      <w:pPr>
        <w:pStyle w:val="TextBody"/>
        <w:bidi w:val="0"/>
        <w:spacing w:lineRule="auto" w:line="259"/>
        <w:rPr>
          <w:rFonts w:ascii="Times New Roman;serif" w:hAnsi="Times New Roman;serif"/>
          <w:b w:val="false"/>
          <w:i w:val="false"/>
          <w:caps w:val="false"/>
          <w:smallCaps w:val="false"/>
          <w:sz w:val="20"/>
        </w:rPr>
      </w:pPr>
      <w:bookmarkStart w:id="30" w:name="_Hlk43932591"/>
      <w:bookmarkStart w:id="31" w:name="_Hlk55806935"/>
      <w:bookmarkEnd w:id="30"/>
      <w:bookmarkEnd w:id="31"/>
      <w:r>
        <w:rPr>
          <w:rFonts w:ascii="Times New Roman;serif" w:hAnsi="Times New Roman;serif"/>
          <w:b w:val="false"/>
          <w:i w:val="false"/>
          <w:caps w:val="false"/>
          <w:smallCaps w:val="false"/>
          <w:sz w:val="20"/>
        </w:rPr>
        <w:t xml:space="preserve">On January 31, 2025, in connection with our sale of our Wellington Properties to Prime Property Group Limited (“Prime”) we entered into an agreement to lease with Prime to fit out and operate under a long-term lease our previously owned 10 screen cinema at the to be redeveloped Courtenay Central in Wellington, New Zealand (the “ATL”). Under the ATL, Prime is obligated to redevelop Courtenay Central and upgrade it to meet current earthquake standards. We intend to renovate the existing cinema to a “best-in-class” standard.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Our Board has also authorized management to proceed with the negotiation of a lease for a new state-of-the-art cinema, located in </w:t>
      </w:r>
      <w:r>
        <w:rPr>
          <w:rFonts w:ascii="Times New Roman;serif" w:hAnsi="Times New Roman;serif"/>
          <w:b w:val="false"/>
          <w:i w:val="false"/>
          <w:caps w:val="false"/>
          <w:smallCaps w:val="false"/>
          <w:sz w:val="20"/>
        </w:rPr>
        <w:t>Noosa, Queensland,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April 15, 2025, we closed our underperforming cinema located in San Diego, California.</w:t>
      </w:r>
    </w:p>
    <w:p>
      <w:pPr>
        <w:pStyle w:val="TextBody"/>
        <w:bidi w:val="0"/>
        <w:spacing w:lineRule="auto" w:line="259"/>
        <w:rPr>
          <w:rFonts w:ascii="Times New Roman;serif" w:hAnsi="Times New Roman;serif"/>
          <w:b/>
          <w:i/>
          <w:sz w:val="20"/>
        </w:rPr>
      </w:pPr>
      <w:r>
        <w:rPr>
          <w:rFonts w:ascii="Times New Roman;serif" w:hAnsi="Times New Roman;serif"/>
          <w:b/>
          <w:i/>
          <w:sz w:val="20"/>
        </w:rPr>
        <w:t>Cinema Upgrades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upgrades to our cinema circuits’ film exhibition technology and amenities over the years are as summarized in the following table as of June 30, 2025:</w:t>
      </w:r>
    </w:p>
    <w:p>
      <w:pPr>
        <w:pStyle w:val="TextBody"/>
        <w:bidi w:val="0"/>
        <w:spacing w:lineRule="auto" w:line="259"/>
        <w:rPr>
          <w:caps w:val="false"/>
          <w:smallCaps w:val="false"/>
        </w:rPr>
      </w:pPr>
      <w:r>
        <w:rPr>
          <w:caps w:val="false"/>
          <w:smallCaps w:val="false"/>
        </w:rPr>
        <w:t> </w:t>
      </w:r>
    </w:p>
    <w:tbl>
      <w:tblPr>
        <w:tblW w:w="5662" w:type="dxa"/>
        <w:jc w:val="left"/>
        <w:tblInd w:w="0" w:type="dxa"/>
        <w:tblLayout w:type="fixed"/>
        <w:tblCellMar>
          <w:top w:w="0" w:type="dxa"/>
          <w:left w:w="0" w:type="dxa"/>
          <w:bottom w:w="0" w:type="dxa"/>
          <w:right w:w="0" w:type="dxa"/>
        </w:tblCellMar>
      </w:tblPr>
      <w:tblGrid>
        <w:gridCol w:w="3676"/>
        <w:gridCol w:w="1246"/>
        <w:gridCol w:w="109"/>
        <w:gridCol w:w="631"/>
      </w:tblGrid>
      <w:tr>
        <w:trPr/>
        <w:tc>
          <w:tcPr>
            <w:tcW w:w="36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283"/>
              <w:jc w:val="left"/>
              <w:rPr>
                <w:sz w:val="4"/>
                <w:szCs w:val="4"/>
              </w:rPr>
            </w:pPr>
            <w:r>
              <w:rPr>
                <w:sz w:val="4"/>
                <w:szCs w:val="4"/>
              </w:rPr>
            </w:r>
          </w:p>
        </w:tc>
        <w:tc>
          <w:tcPr>
            <w:tcW w:w="124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Count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br/>
              <w:t>‎Count</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Screen Format</w:t>
            </w:r>
          </w:p>
        </w:tc>
        <w:tc>
          <w:tcPr>
            <w:tcW w:w="124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Digital (all cinemas in our cinema circuit)</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469</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XC and TITAN LUXE</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 xml:space="preserve">Dine-in Service </w:t>
            </w:r>
          </w:p>
        </w:tc>
        <w:tc>
          <w:tcPr>
            <w:tcW w:w="12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Gold Lounge (AU/NZ)</w:t>
            </w:r>
            <w:r>
              <w:rPr>
                <w:rFonts w:ascii="Times New Roman;serif" w:hAnsi="Times New Roman;serif"/>
                <w:b w:val="false"/>
                <w:i w:val="false"/>
                <w:caps w:val="false"/>
                <w:smallCaps w:val="false"/>
                <w:position w:val="7"/>
                <w:sz w:val="16"/>
                <w:sz w:val="20"/>
              </w:rPr>
              <w:t>(1)</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Spotlight (U.S.)</w:t>
            </w:r>
            <w:r>
              <w:rPr>
                <w:rFonts w:ascii="Times New Roman;serif" w:hAnsi="Times New Roman;serif"/>
                <w:b w:val="false"/>
                <w:i w:val="false"/>
                <w:caps w:val="false"/>
                <w:smallCaps w:val="false"/>
                <w:position w:val="7"/>
                <w:sz w:val="16"/>
                <w:sz w:val="20"/>
              </w:rPr>
              <w:t>(3)</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position w:val="7"/>
                <w:sz w:val="16"/>
                <w:sz w:val="20"/>
              </w:rPr>
              <w:t>(4)</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Premium Seating (features recliner seating)</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Liquor Licenses</w:t>
            </w:r>
            <w:r>
              <w:rPr>
                <w:rFonts w:ascii="Times New Roman;serif" w:hAnsi="Times New Roman;serif"/>
                <w:position w:val="7"/>
                <w:sz w:val="16"/>
                <w:sz w:val="20"/>
              </w:rPr>
              <w:t xml:space="preserve"> </w:t>
            </w:r>
            <w:r>
              <w:rPr>
                <w:rFonts w:ascii="Times New Roman;serif" w:hAnsi="Times New Roman;serif"/>
                <w:b w:val="false"/>
                <w:i/>
                <w:position w:val="7"/>
                <w:sz w:val="16"/>
                <w:sz w:val="20"/>
              </w:rPr>
              <w:t>(5)</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32" w:name="_Hlk69471211"/>
      <w:bookmarkEnd w:id="32"/>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(less intimate 80-seat cinemas),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b/>
          <w:i w:val="false"/>
          <w:caps w:val="false"/>
          <w:smallCaps w:val="false"/>
          <w:sz w:val="16"/>
        </w:rPr>
        <w:t>Spotlight Service: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Spotlight, our first dine-in cinema concept in the U.S., is situated at Reading Cinemas in Murrieta, California. Prior to the COVID-19 Pandemic, six of our 17 auditoriums at this cinema featured waiter service before the movie began with a full F&amp;B menu, luxury recliner seating, and laser focus on customer service. Our Spotlight service remains suspended.</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bookmarkStart w:id="33" w:name="_Hlk54021673"/>
      <w:bookmarkEnd w:id="33"/>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(5)</w:t>
      </w:r>
      <w:bookmarkStart w:id="34" w:name="_Hlk100932312"/>
      <w:bookmarkEnd w:id="34"/>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Licenses are applicable at each cinema location, rather than each cinema auditorium. As of today, we have beer and wine licenses in 100% of our cinemas and liquor licenses in all but three of our cinemas operating in the U.S. In Australia, 86% of our cinemas are licensed and we have no liquor licenses pending. In New Zealand, 38%</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of our cinemas are licensed and we have two liquor licenses pending. </w:t>
      </w:r>
    </w:p>
    <w:p>
      <w:pPr>
        <w:pStyle w:val="TextBody"/>
        <w:bidi w:val="0"/>
        <w:spacing w:lineRule="auto" w:line="259"/>
        <w:ind w:left="360" w:right="0" w:hanging="0"/>
        <w:rPr>
          <w:caps w:val="false"/>
          <w:smallCaps w:val="false"/>
        </w:rPr>
      </w:pPr>
      <w:bookmarkStart w:id="35" w:name="_Hlk69461361"/>
      <w:bookmarkEnd w:id="35"/>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Segment Overview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Through our various subsidiaries, we engage in the real estate business through the development, ownership, rental or licensing to third parties of retail, commercial, and live theatre assets. Our real estate business creates long-term value for our stockholders through the continuous improvement and development of our investment and operating properties, including our ETCs. In addition to owning the fee interests in 7 of our cinemas (as presented in the table under </w:t>
      </w:r>
      <w:r>
        <w:rPr>
          <w:rFonts w:ascii="Times New Roman;serif" w:hAnsi="Times New Roman;serif"/>
          <w:b w:val="false"/>
          <w:i/>
          <w:sz w:val="20"/>
        </w:rPr>
        <w:t>Cinema Exhibition Overview</w:t>
      </w:r>
      <w:r>
        <w:rPr>
          <w:rFonts w:ascii="Times New Roman;serif" w:hAnsi="Times New Roman;serif"/>
          <w:b w:val="false"/>
          <w:i w:val="false"/>
          <w:caps w:val="false"/>
          <w:smallCaps w:val="false"/>
          <w:sz w:val="20"/>
        </w:rPr>
        <w:t xml:space="preserve">), as of June 30, 2025, we: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two ETCs known as Newmarket Village (in a suburb of Brisbane), and the Belmont Common (in a suburb of Perth);</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our administrative office building in South Melbourne, Australia;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the fee interests in two developed commercial properties in Manhattan improved with live theatres comprised of a single stage in each location;</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 75% managing member interest in a limited liability company which in turn owns the fee interest in and improvements constituting our Cinemas 1,2,3 located in Manhattan;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 approximately 23.9-acre</w:t>
      </w:r>
      <w:r>
        <w:rPr>
          <w:rFonts w:ascii="Symbol" w:hAnsi="Symbol"/>
          <w:caps w:val="false"/>
          <w:smallCaps w:val="false"/>
          <w:sz w:val="20"/>
        </w:rPr>
        <w:t xml:space="preserve"> </w:t>
      </w:r>
      <w:r>
        <w:rPr>
          <w:rFonts w:ascii="Times New Roman;serif" w:hAnsi="Times New Roman;serif"/>
          <w:b w:val="false"/>
          <w:i w:val="false"/>
          <w:caps w:val="false"/>
          <w:smallCaps w:val="false"/>
          <w:sz w:val="20"/>
        </w:rPr>
        <w:t>property in Williamsport, Pennsylvania, which is currently being held for sale; and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val="false"/>
          <w:caps w:val="false"/>
          <w:smallCaps w:val="false"/>
          <w:sz w:val="20"/>
        </w:rPr>
        <w:t>own approximately 201-acres principally in Pennsylvania from our legacy railroad business, including the Reading Viaduct in downtown Philadelphia;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breakdown of our real estate assets, made current by our discussion below, please refer to </w:t>
      </w:r>
      <w:r>
        <w:rPr>
          <w:rFonts w:ascii="Times New Roman;serif" w:hAnsi="Times New Roman;serif"/>
          <w:b w:val="false"/>
          <w:i/>
          <w:sz w:val="20"/>
        </w:rPr>
        <w:t>Part I, Item 1 –</w:t>
      </w:r>
      <w:r>
        <w:rPr>
          <w:rFonts w:ascii="Times New Roman;serif" w:hAnsi="Times New Roman;serif"/>
          <w:caps w:val="false"/>
          <w:smallCaps w:val="false"/>
          <w:sz w:val="20"/>
        </w:rPr>
        <w:t xml:space="preserve"> </w:t>
      </w:r>
      <w:r>
        <w:rPr>
          <w:rFonts w:ascii="Times New Roman;serif" w:hAnsi="Times New Roman;serif"/>
          <w:b w:val="false"/>
          <w:i/>
          <w:sz w:val="20"/>
        </w:rPr>
        <w:t xml:space="preserve">Our Business </w:t>
      </w:r>
      <w:r>
        <w:rPr>
          <w:rFonts w:ascii="Times New Roman;serif" w:hAnsi="Times New Roman;serif"/>
          <w:b w:val="false"/>
          <w:i w:val="false"/>
          <w:caps w:val="false"/>
          <w:smallCaps w:val="false"/>
          <w:sz w:val="20"/>
        </w:rPr>
        <w:t>of our 2024 Form 10-K. We now present a discussion of recent material developments.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combination of the COVID-19 pandemic, the lack of any material U.S. public pandemic financial assistance due to our public company status, the 2023 Hollywood Strikes, increased interest rates, inflation, increased labor costs, and decreases in the value of the Australian Dollar and New Zealand Dollar vis-a-vis the U.S. Dollar over the past five years,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long-term development.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date, we have monetized the following property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(i)Our non-income producing land holdings in Coachella, California and Manukau,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(ii)Our Redyard ETC in Auburn, Australia;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(iii)Our Royal George live theatre complex in Chicago (slated for redevelopment, and now being redeveloped for residential purposes by the new owner);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(iv)The land underlying our cinema in Invercargill,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(v)Our non-competitive four-screen cinema in Maitland, Australia;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(vi)Our administrative office building in Culver City, California;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(vii)</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January 31, 2025, our approximately 3.7 acre five-parcel assemblage in the entertainment center of Wellington, New Zealand, which includes the Courtenay Central building; 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(viii)Most recently, on May 21, 2025, our Cannon Park property in Townsville, Queensland,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properties were identified for sale and sold for various reasons, which included without limitation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(i)our need for liquidity due to the circumstances referred to above,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(ii)the amount of capital required to materially increase their value in the immediate to mid-term,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(iii)their immaterial or non-income producing nature, or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(iv)in the case of our Culver City office building, the property was not required for our operations because it exceeded our office size requirements. Since the sale of this office building, we have been working remotely in Southern California.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the date of this Report, we continue to own our approximately 23.9-acre Newberry Yard in Williamsport, Pennsylvania (also currently non-income producing).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before="0" w:after="120"/>
        <w:ind w:left="720" w:right="0" w:hanging="360"/>
        <w:jc w:val="both"/>
        <w:rPr/>
      </w:pPr>
      <w:r>
        <w:rPr>
          <w:caps w:val="false"/>
          <w:smallCaps w:val="false"/>
        </w:rPr>
        <w:t></w:t>
      </w:r>
      <w:bookmarkStart w:id="36" w:name="_Hlk69846917"/>
      <w:bookmarkEnd w:id="36"/>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On January 27, 2022, we entered a long-term lease with Petco for the lower level, ground floor, and second floor of the building. Petco continues to be open for business and in occupancy on a full rent paying basis. We continue our efforts to find a tenant for the remaining four floors of the building.   As we previously reported, we signed a Letter of Intent and have exchanged lease drafts with one potential tenant which would offer a non-office use.  As the office leasing market in Mid Town South continues to improve, we have experienced increased interest from potential office users and are currently negotiating a few other Letters of Intent with potential office tenants.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Minetta Lane Theatre (New York, N.Y.)</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 xml:space="preserve">Audible has a license agreement with us through March 15, 2026, with an option to extend for an additional year. Audible presents plays featuring a limited cast of one or two characters and special live performance engagements on the Audible streaming service. During 2024, Audible presented a number of shows, including </w:t>
      </w:r>
      <w:r>
        <w:rPr>
          <w:rFonts w:ascii="Times New Roman;serif" w:hAnsi="Times New Roman;serif"/>
          <w:b w:val="false"/>
          <w:i/>
          <w:color w:val="000000"/>
          <w:sz w:val="20"/>
          <w:shd w:fill="FFFFFF" w:val="clear"/>
        </w:rPr>
        <w:t>Laura Benati: Nobody Cares</w:t>
      </w:r>
      <w:r>
        <w:rPr>
          <w:rFonts w:ascii="Times New Roman;serif" w:hAnsi="Times New Roman;serif"/>
          <w:b w:val="false"/>
          <w:i w:val="false"/>
          <w:caps w:val="false"/>
          <w:smallCaps w:val="false"/>
          <w:color w:val="000000"/>
          <w:sz w:val="20"/>
          <w:shd w:fill="FFFFFF" w:val="clear"/>
        </w:rPr>
        <w:t xml:space="preserve">, </w:t>
      </w:r>
      <w:r>
        <w:rPr>
          <w:rFonts w:ascii="Times New Roman;serif" w:hAnsi="Times New Roman;serif"/>
          <w:b w:val="false"/>
          <w:i/>
          <w:color w:val="000000"/>
          <w:sz w:val="20"/>
          <w:shd w:fill="FFFFFF" w:val="clear"/>
        </w:rPr>
        <w:t>Dead Outlaw</w:t>
      </w:r>
      <w:r>
        <w:rPr>
          <w:rFonts w:ascii="Symbol" w:hAnsi="Symbol"/>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and </w:t>
      </w:r>
      <w:r>
        <w:rPr>
          <w:rFonts w:ascii="Times New Roman;serif" w:hAnsi="Times New Roman;serif"/>
          <w:b w:val="false"/>
          <w:i/>
          <w:color w:val="000000"/>
          <w:sz w:val="20"/>
          <w:shd w:fill="FFFFFF" w:val="clear"/>
        </w:rPr>
        <w:t>Strategic Love Play</w:t>
      </w:r>
      <w:r>
        <w:rPr>
          <w:rFonts w:ascii="Times New Roman;serif" w:hAnsi="Times New Roman;serif"/>
          <w:b w:val="false"/>
          <w:i w:val="false"/>
          <w:caps w:val="false"/>
          <w:smallCaps w:val="false"/>
          <w:color w:val="000000"/>
          <w:sz w:val="20"/>
          <w:shd w:fill="FFFFFF" w:val="clear"/>
        </w:rPr>
        <w:t xml:space="preserve">. During the second quarter of 2025, Hugh Jackman produced and starred in </w:t>
      </w:r>
      <w:r>
        <w:rPr>
          <w:rFonts w:ascii="Times New Roman;serif" w:hAnsi="Times New Roman;serif"/>
          <w:b w:val="false"/>
          <w:i/>
          <w:color w:val="000000"/>
          <w:sz w:val="20"/>
          <w:shd w:fill="FFFFFF" w:val="clear"/>
        </w:rPr>
        <w:t>Sexual Misconduct of the Middle Class</w:t>
      </w:r>
      <w:r>
        <w:rPr>
          <w:rFonts w:ascii="Symbol" w:hAnsi="Symbol"/>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and Liev Schreiber starred in </w:t>
      </w:r>
      <w:r>
        <w:rPr>
          <w:rFonts w:ascii="Times New Roman;serif" w:hAnsi="Times New Roman;serif"/>
          <w:b w:val="false"/>
          <w:i/>
          <w:color w:val="000000"/>
          <w:sz w:val="20"/>
          <w:shd w:fill="FFFFFF" w:val="clear"/>
        </w:rPr>
        <w:t>Creditors</w:t>
      </w:r>
      <w:r>
        <w:rPr>
          <w:rFonts w:ascii="Symbol" w:hAnsi="Symbol"/>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at our Minetta Lane Theatre.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Orpheum Theatre (New York, N.Y.)</w:t>
      </w:r>
      <w:r>
        <w:rPr>
          <w:rFonts w:ascii="Symbol" w:hAnsi="Symbol"/>
          <w:sz w:val="20"/>
        </w:rPr>
        <w:t xml:space="preserve"> – </w:t>
      </w:r>
      <w:r>
        <w:rPr>
          <w:rFonts w:ascii="Times New Roman;serif" w:hAnsi="Times New Roman;serif"/>
          <w:b w:val="false"/>
          <w:i w:val="false"/>
          <w:caps w:val="false"/>
          <w:smallCaps w:val="false"/>
          <w:sz w:val="20"/>
        </w:rPr>
        <w:t xml:space="preserve">STOMP closed (after 30 years at our theatre) on January 8, 2023. Under our termination agreement with the producers of STOMP, we have certain rights to provide the New York City venue for any future production of that show. Following STOMP’s historic run at the Orpheum, </w:t>
      </w:r>
      <w:r>
        <w:rPr>
          <w:rFonts w:ascii="Times New Roman;serif" w:hAnsi="Times New Roman;serif"/>
          <w:b w:val="false"/>
          <w:i/>
          <w:sz w:val="20"/>
        </w:rPr>
        <w:t xml:space="preserve">The Empire Strips Back </w:t>
      </w:r>
      <w:r>
        <w:rPr>
          <w:rFonts w:ascii="Times New Roman;serif" w:hAnsi="Times New Roman;serif"/>
          <w:b w:val="false"/>
          <w:i w:val="false"/>
          <w:caps w:val="false"/>
          <w:smallCaps w:val="false"/>
          <w:sz w:val="20"/>
        </w:rPr>
        <w:t xml:space="preserve">ran for approximately three months, followed by a limited holiday engagement of </w:t>
      </w:r>
      <w:r>
        <w:rPr>
          <w:rFonts w:ascii="Times New Roman;serif" w:hAnsi="Times New Roman;serif"/>
          <w:b w:val="false"/>
          <w:i/>
          <w:sz w:val="20"/>
        </w:rPr>
        <w:t>Death, Let Me Do My Show</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starring comedian Rachel Bloom. The Off-Broadway solo version of William Shakespeare’s </w:t>
      </w:r>
      <w:r>
        <w:rPr>
          <w:rFonts w:ascii="Times New Roman;serif" w:hAnsi="Times New Roman;serif"/>
          <w:b w:val="false"/>
          <w:i/>
          <w:sz w:val="20"/>
        </w:rPr>
        <w:t>Hamlet</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starring Eddie Izzard also played in 2024. The year finished with a run of </w:t>
      </w:r>
      <w:r>
        <w:rPr>
          <w:rFonts w:ascii="Times New Roman;serif" w:hAnsi="Times New Roman;serif"/>
          <w:b w:val="false"/>
          <w:i/>
          <w:sz w:val="20"/>
        </w:rPr>
        <w:t>The Big Gay Jamboree</w:t>
      </w:r>
      <w:r>
        <w:rPr>
          <w:rFonts w:ascii="Times New Roman;serif" w:hAnsi="Times New Roman;serif"/>
          <w:b w:val="false"/>
          <w:i w:val="false"/>
          <w:caps w:val="false"/>
          <w:smallCaps w:val="false"/>
          <w:sz w:val="20"/>
        </w:rPr>
        <w:t xml:space="preserve">, produced by the creator of </w:t>
      </w:r>
      <w:r>
        <w:rPr>
          <w:rFonts w:ascii="Times New Roman;serif" w:hAnsi="Times New Roman;serif"/>
          <w:b w:val="false"/>
          <w:i/>
          <w:sz w:val="20"/>
        </w:rPr>
        <w:t>Barbie</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Titanique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w:t>
      </w:r>
      <w:r>
        <w:rPr>
          <w:rFonts w:ascii="Symbol" w:hAnsi="Symbol"/>
          <w:caps w:val="false"/>
          <w:smallCaps w:val="false"/>
          <w:sz w:val="20"/>
        </w:rPr>
        <w:t xml:space="preserve"> </w:t>
      </w:r>
      <w:r>
        <w:rPr>
          <w:rFonts w:ascii="Times New Roman;serif" w:hAnsi="Times New Roman;serif"/>
          <w:b w:val="false"/>
          <w:i/>
          <w:sz w:val="20"/>
        </w:rPr>
        <w:t>Jonathon Larson Project</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closed in March 2025 and a new show, </w:t>
      </w:r>
      <w:r>
        <w:rPr>
          <w:rFonts w:ascii="Times New Roman;serif" w:hAnsi="Times New Roman;serif"/>
          <w:b w:val="false"/>
          <w:i/>
          <w:sz w:val="20"/>
        </w:rPr>
        <w:t>Ginger Twinsies</w:t>
      </w:r>
      <w:r>
        <w:rPr>
          <w:rFonts w:ascii="Times New Roman;serif" w:hAnsi="Times New Roman;serif"/>
          <w:b w:val="false"/>
          <w:i w:val="false"/>
          <w:caps w:val="false"/>
          <w:smallCaps w:val="false"/>
          <w:sz w:val="20"/>
        </w:rPr>
        <w:t xml:space="preserve">, began its run on July 10, 2025. </w:t>
      </w:r>
    </w:p>
    <w:p>
      <w:pPr>
        <w:pStyle w:val="TextBody"/>
        <w:bidi w:val="0"/>
        <w:spacing w:lineRule="auto" w:line="259"/>
        <w:ind w:left="720" w:right="0" w:hanging="0"/>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before="0" w:after="120"/>
        <w:ind w:left="720" w:right="0" w:hanging="0"/>
        <w:jc w:val="both"/>
        <w:rPr>
          <w:caps w:val="false"/>
          <w:smallCaps w:val="false"/>
        </w:rPr>
      </w:pPr>
      <w:r>
        <w:rPr>
          <w:caps w:val="false"/>
          <w:smallCaps w:val="false"/>
        </w:rPr>
        <w:t>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Cinemas 1,2,3 (New York, N.Y.)</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Currently operated as the Cinemas 123, we have historically treated this property as an asset held for long term development. However, in light of a variety of factors, such as market conditions in Manhattan for real estate assets, cost of capital and demands on our liquidity, we have begun to explore alternatives for this property.</w:t>
      </w:r>
    </w:p>
    <w:p>
      <w:pPr>
        <w:pStyle w:val="TextBody"/>
        <w:bidi w:val="0"/>
        <w:spacing w:lineRule="auto" w:line="259" w:before="0" w:after="120"/>
        <w:ind w:left="720" w:right="0" w:hanging="0"/>
        <w:jc w:val="both"/>
        <w:rPr>
          <w:caps w:val="false"/>
          <w:smallCaps w:val="false"/>
        </w:rPr>
      </w:pPr>
      <w:r>
        <w:rPr>
          <w:caps w:val="false"/>
          <w:smallCaps w:val="false"/>
        </w:rPr>
        <w:t>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Reading Viaduct and Adjacent Properties (Philadelphia, Pennsylvania)</w:t>
      </w:r>
      <w:r>
        <w:rPr>
          <w:rFonts w:ascii="Symbol" w:hAnsi="Symbol"/>
          <w:sz w:val="20"/>
        </w:rPr>
        <w:t xml:space="preserve"> – </w:t>
      </w:r>
      <w:r>
        <w:rPr>
          <w:rFonts w:ascii="Times New Roman;serif" w:hAnsi="Times New Roman;serif"/>
          <w:b w:val="false"/>
          <w:i w:val="false"/>
          <w:caps w:val="false"/>
          <w:smallCaps w:val="false"/>
          <w:sz w:val="20"/>
        </w:rPr>
        <w:t>This continues to be an area of focus in 2025 as we continue our efforts to develop and maximize the potential of our real estate holdings in Philadelphia. Since 2023, we have resumed work on this project, particularly concentrating on the Reading Viaduct—an 0.7-mile-long raised rail bed and bridge system spanning the Callowhill and Poplar neighborhoods, extending to Vine Street in the heart of the city's Central Business District. Comprising approximately 6.5 acres of land, along with various connecting bridges over public streets and sidewalks, the Reading Viaduct represents a significant contiguous land holding unobstructed by public thoroughfares.</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0"/>
        <w:jc w:val="both"/>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 xml:space="preserve">While there has been interest from the City of Philadelphia and the City Center District in acquiring the Reading Viaduct for park purposes, no concrete steps have been taken to proceed with condemnation or transfer of the property other than a petition brought by the City before the Surface Transportation Board (“STB”) seek a determination that the Reading Viaduct is no longer railroad property subject to the jurisdiction of the STB. Under applicable law, railroad land subject to the jurisdiction of the STB is not subject to condemnation by state or local authorities. </w:t>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Recent developments in the area, such as the announcement of a $158 million federal grant for the Chinatown Stitch project in mid-March 2024, further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highlight the potential of the Reading Viaduct.This project aims to reconnect the Chinatown community and surrounding neighborhoods by capping the Vine Street Expressway I-676, which directly intersects with the Reading Viaduct at Vine Street. We believe that capping the expressway at our property would significantly enhance the attractiveness and viability of the Reading Viaduct for future development. </w:t>
      </w:r>
    </w:p>
    <w:p>
      <w:pPr>
        <w:pStyle w:val="TextBody"/>
        <w:bidi w:val="0"/>
        <w:spacing w:lineRule="auto" w:line="259" w:before="0" w:after="120"/>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We have retained consultants and are working to down-date our various titles, many of which to the 19</w:t>
      </w:r>
      <w:r>
        <w:rPr>
          <w:rFonts w:ascii="Times New Roman;serif" w:hAnsi="Times New Roman;serif"/>
          <w:b w:val="false"/>
          <w:i w:val="false"/>
          <w:caps w:val="false"/>
          <w:smallCaps w:val="false"/>
          <w:position w:val="7"/>
          <w:sz w:val="16"/>
          <w:sz w:val="20"/>
        </w:rPr>
        <w:t>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century. </w:t>
      </w:r>
    </w:p>
    <w:p>
      <w:pPr>
        <w:pStyle w:val="TextBody"/>
        <w:bidi w:val="0"/>
        <w:spacing w:lineRule="auto" w:line="259" w:before="0" w:after="120"/>
        <w:ind w:left="360" w:right="0" w:hanging="0"/>
        <w:jc w:val="both"/>
        <w:rPr>
          <w:rFonts w:ascii="Times New Roman;serif" w:hAnsi="Times New Roman;serif"/>
          <w:b w:val="false"/>
          <w:i/>
          <w:sz w:val="20"/>
        </w:rPr>
      </w:pPr>
      <w:r>
        <w:rPr>
          <w:rFonts w:ascii="Times New Roman;serif" w:hAnsi="Times New Roman;serif"/>
          <w:b w:val="false"/>
          <w:i/>
          <w:sz w:val="20"/>
        </w:rPr>
        <w:t>Australia:</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sz w:val="20"/>
        </w:rPr>
        <w:t xml:space="preserve"> – </w:t>
      </w:r>
      <w:r>
        <w:rPr>
          <w:rFonts w:ascii="Times New Roman;serif" w:hAnsi="Times New Roman;serif"/>
          <w:b w:val="false"/>
          <w:i w:val="false"/>
          <w:caps w:val="false"/>
          <w:smallCaps w:val="false"/>
          <w:sz w:val="20"/>
        </w:rPr>
        <w:t>We will continue to operate our Newmarket Village ETC, which includes Reading Cinemas as an anchor tenant. Our site includes a 23,218 square foot parcel adjacent to the center, improved with an office building. Over the next few years, we will be evaluating different development options for this space. As of the date of this report, the combined center and office building is 99% leased.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Belmont Common, (Belmont, Perth, Australia)</w:t>
      </w:r>
      <w:r>
        <w:rPr>
          <w:rFonts w:ascii="Symbol" w:hAnsi="Symbol"/>
          <w:sz w:val="20"/>
        </w:rPr>
        <w:t xml:space="preserve"> </w:t>
      </w:r>
      <w:r>
        <w:rPr>
          <w:rFonts w:ascii="Symbol" w:hAnsi="Symbol"/>
          <w:caps w:val="false"/>
          <w:smallCaps w:val="false"/>
          <w:sz w:val="20"/>
        </w:rPr>
        <w:t>–</w:t>
      </w:r>
      <w:r>
        <w:rPr>
          <w:rFonts w:ascii="Symbol" w:hAnsi="Symbol"/>
          <w:sz w:val="20"/>
        </w:rPr>
        <w:t xml:space="preserve"> </w:t>
      </w:r>
      <w:r>
        <w:rPr>
          <w:rFonts w:ascii="Times New Roman;serif" w:hAnsi="Times New Roman;serif"/>
          <w:b w:val="false"/>
          <w:i w:val="false"/>
          <w:caps w:val="false"/>
          <w:smallCaps w:val="false"/>
          <w:sz w:val="20"/>
        </w:rPr>
        <w:t>The total gross leasable area of the Belmont Common is 60,117 square feet of net rentable land. Our multiplex cinema is the anchor tenant with six third-party tenants. The site is currently 100% leased.</w:t>
      </w:r>
    </w:p>
    <w:p>
      <w:pPr>
        <w:pStyle w:val="TextBody"/>
        <w:bidi w:val="0"/>
        <w:spacing w:lineRule="auto" w:line="259" w:before="0" w:after="120"/>
        <w:jc w:val="both"/>
        <w:rPr>
          <w:rFonts w:ascii="Times New Roman;serif" w:hAnsi="Times New Roman;serif"/>
          <w:b w:val="false"/>
          <w:i w:val="false"/>
          <w:caps w:val="false"/>
          <w:smallCaps w:val="false"/>
          <w:sz w:val="20"/>
        </w:rPr>
      </w:pPr>
      <w:bookmarkStart w:id="37" w:name="_Hlk203561668"/>
      <w:bookmarkEnd w:id="37"/>
      <w:r>
        <w:rPr>
          <w:rFonts w:ascii="Times New Roman;serif" w:hAnsi="Times New Roman;serif"/>
          <w:b w:val="false"/>
          <w:i w:val="false"/>
          <w:caps w:val="false"/>
          <w:smallCaps w:val="false"/>
          <w:sz w:val="20"/>
        </w:rPr>
        <w:t xml:space="preserve">On May 21, 2025, we sold our Cannon Park ETC in Townsville, Queensland, Australia, which consisted of our Cannon Park City Center and Cannon Park Discount Center properties, comprising approximately 9.4-acres, for a purchase price of AU$32.0 million (USD equivalent of $20.7 million). We have retained a long-term lease of the cinema component of that property.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rPr>
          <w:rFonts w:ascii="Times New Roman;serif" w:hAnsi="Times New Roman;serif"/>
          <w:sz w:val="20"/>
        </w:rPr>
      </w:pPr>
      <w:bookmarkStart w:id="38" w:name="_Hlk100937603"/>
      <w:bookmarkStart w:id="39" w:name="_Hlk108184944"/>
      <w:bookmarkEnd w:id="38"/>
      <w:bookmarkEnd w:id="39"/>
      <w:r>
        <w:rPr>
          <w:rFonts w:ascii="Times New Roman;serif" w:hAnsi="Times New Roman;serif"/>
          <w:b w:val="false"/>
          <w:i w:val="false"/>
          <w:caps w:val="false"/>
          <w:smallCaps w:val="false"/>
          <w:sz w:val="20"/>
        </w:rPr>
        <w:t>On January 31, 2025, we sold all of our properties in Wellington, New Zealand (including the Courtenay Central building) to Prime Property Group (“Prime”) for a purchase price of NZ$38.0 million (USD equivalent of $21.5 million). We understand that Prime intends to redevelop the properties, including a seismic upgrade of the existing Courtenay Central building. As a part of that sale transaction, we have entered into an Agreement to Lease for the cinema component of the to be upgraded Courtenay Central building.</w:t>
      </w:r>
      <w:r>
        <w:rPr>
          <w:rFonts w:ascii="Times New Roman;serif" w:hAnsi="Times New Roman;serif"/>
          <w:caps w:val="false"/>
          <w:smallCaps w:val="false"/>
          <w:sz w:val="20"/>
        </w:rPr>
        <w:t> </w:t>
      </w:r>
    </w:p>
    <w:p>
      <w:pPr>
        <w:pStyle w:val="TextBody"/>
        <w:bidi w:val="0"/>
        <w:spacing w:lineRule="auto" w:line="259" w:before="100" w:after="120"/>
        <w:jc w:val="both"/>
        <w:rPr>
          <w:rFonts w:ascii="Times New Roman;serif" w:hAnsi="Times New Roman;serif"/>
          <w:sz w:val="20"/>
        </w:rPr>
      </w:pPr>
      <w:r>
        <w:rPr>
          <w:rFonts w:ascii="Times New Roman;serif" w:hAnsi="Times New Roman;serif"/>
          <w:b w:val="false"/>
          <w:i w:val="false"/>
          <w:caps w:val="false"/>
          <w:smallCaps w:val="false"/>
          <w:sz w:val="20"/>
        </w:rPr>
        <w:t xml:space="preserve">For a complete list of our principal properties, see </w:t>
      </w:r>
      <w:r>
        <w:rPr>
          <w:rFonts w:ascii="Times New Roman;serif" w:hAnsi="Times New Roman;serif"/>
          <w:b w:val="false"/>
          <w:i/>
          <w:sz w:val="20"/>
        </w:rPr>
        <w:t>Part I, Item 2</w:t>
      </w:r>
      <w:r>
        <w:rPr>
          <w:rFonts w:ascii="Times New Roman;serif" w:hAnsi="Times New Roman;serif"/>
          <w:caps w:val="false"/>
          <w:smallCaps w:val="false"/>
          <w:sz w:val="20"/>
        </w:rPr>
        <w:t xml:space="preserve"> – </w:t>
      </w:r>
      <w:r>
        <w:rPr>
          <w:rFonts w:ascii="Times New Roman;serif" w:hAnsi="Times New Roman;serif"/>
          <w:b w:val="false"/>
          <w:i/>
          <w:sz w:val="20"/>
        </w:rPr>
        <w:t>Properties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 the heading “</w:t>
      </w:r>
      <w:r>
        <w:rPr>
          <w:rFonts w:ascii="Times New Roman;serif" w:hAnsi="Times New Roman;serif"/>
          <w:b w:val="false"/>
          <w:i/>
          <w:sz w:val="20"/>
        </w:rPr>
        <w:t xml:space="preserve">Investment and Development Property” </w:t>
      </w:r>
      <w:r>
        <w:rPr>
          <w:rFonts w:ascii="Times New Roman;serif" w:hAnsi="Times New Roman;serif"/>
          <w:b w:val="false"/>
          <w:i w:val="false"/>
          <w:caps w:val="false"/>
          <w:smallCaps w:val="false"/>
          <w:sz w:val="20"/>
        </w:rPr>
        <w:t>in our 2024 Form 10-K”.</w:t>
      </w:r>
    </w:p>
    <w:p>
      <w:pPr>
        <w:pStyle w:val="TextBody"/>
        <w:bidi w:val="0"/>
        <w:spacing w:lineRule="auto" w:line="259"/>
        <w:rPr>
          <w:rFonts w:ascii="Times New Roman;serif" w:hAnsi="Times New Roman;serif"/>
          <w:b/>
          <w:i/>
          <w:sz w:val="20"/>
        </w:rPr>
      </w:pPr>
      <w:r>
        <w:rPr>
          <w:rFonts w:ascii="Times New Roman;serif" w:hAnsi="Times New Roman;serif"/>
          <w:b/>
          <w:i/>
          <w:sz w:val="20"/>
        </w:rPr>
        <w:t>Corporate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 xml:space="preserve">Part I – Financial Information, Item 1 – Notes to Consolidated Financial Statements-- Note 17 – Stock-Based Compensation and Stock Repurchases </w:t>
      </w:r>
      <w:r>
        <w:rPr>
          <w:rFonts w:ascii="Times New Roman;serif" w:hAnsi="Times New Roman;serif"/>
          <w:b w:val="false"/>
          <w:i w:val="false"/>
          <w:caps w:val="false"/>
          <w:smallCaps w:val="false"/>
          <w:sz w:val="20"/>
        </w:rPr>
        <w:t xml:space="preserve">for details regarding our stock repurchase program and Board, Executive and Employee stock-based remuneration programs. </w:t>
      </w:r>
    </w:p>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Please refer to our 2024 Form 10-K for more details on our cinema and real estate segments.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results of operations for each of our principal business segments along with the non-segment information for the quarter and six months ended June 30, 2025, and June 30, 2024, respectively:</w:t>
      </w:r>
    </w:p>
    <w:tbl>
      <w:tblPr>
        <w:tblW w:w="10205" w:type="dxa"/>
        <w:jc w:val="left"/>
        <w:tblInd w:w="0" w:type="dxa"/>
        <w:tblLayout w:type="fixed"/>
        <w:tblCellMar>
          <w:top w:w="0" w:type="dxa"/>
          <w:left w:w="0" w:type="dxa"/>
          <w:bottom w:w="0" w:type="dxa"/>
          <w:right w:w="0" w:type="dxa"/>
        </w:tblCellMar>
      </w:tblPr>
      <w:tblGrid>
        <w:gridCol w:w="124"/>
        <w:gridCol w:w="3602"/>
        <w:gridCol w:w="109"/>
        <w:gridCol w:w="196"/>
        <w:gridCol w:w="706"/>
        <w:gridCol w:w="109"/>
        <w:gridCol w:w="196"/>
        <w:gridCol w:w="706"/>
        <w:gridCol w:w="109"/>
        <w:gridCol w:w="285"/>
        <w:gridCol w:w="285"/>
        <w:gridCol w:w="501"/>
        <w:gridCol w:w="109"/>
        <w:gridCol w:w="196"/>
        <w:gridCol w:w="713"/>
        <w:gridCol w:w="109"/>
        <w:gridCol w:w="196"/>
        <w:gridCol w:w="706"/>
        <w:gridCol w:w="109"/>
        <w:gridCol w:w="285"/>
        <w:gridCol w:w="285"/>
        <w:gridCol w:w="569"/>
      </w:tblGrid>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r>
          </w:p>
        </w:tc>
      </w:tr>
      <w:tr>
        <w:trPr/>
        <w:tc>
          <w:tcPr>
            <w:tcW w:w="3726" w:type="dxa"/>
            <w:gridSpan w:val="2"/>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w:t>
              <w:br/>
              <w:t>‎(Unfav)</w:t>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w:t>
              <w:br/>
              <w:t>‎(Unfav)</w:t>
            </w:r>
          </w:p>
        </w:tc>
      </w:tr>
      <w:tr>
        <w:trPr/>
        <w:tc>
          <w:tcPr>
            <w:tcW w:w="3726" w:type="dxa"/>
            <w:gridSpan w:val="2"/>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RESULTS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9" w:type="dxa"/>
            <w:gridSpan w:val="2"/>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56,782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w:t>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84,213 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4,653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5,013 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9,498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9,946 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5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Inter-segment elimination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5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56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60,378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46,808</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29</w:t>
            </w:r>
          </w:p>
        </w:tc>
        <w:tc>
          <w:tcPr>
            <w:tcW w:w="5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100,547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91,861 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56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(47,940)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(43,903)</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(85,597)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(85,776)</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w:t>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tc>
        <w:tc>
          <w:tcPr>
            <w:tcW w:w="5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Inter-segment elimination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1,146 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2,298 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5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5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(87,255)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(88,174)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5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(1,358)</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w:t>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(2,874)</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w:t>
            </w:r>
          </w:p>
        </w:tc>
        <w:tc>
          <w:tcPr>
            <w:tcW w:w="5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w:t>
            </w:r>
          </w:p>
        </w:tc>
        <w:tc>
          <w:tcPr>
            <w:tcW w:w="5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w:t>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(248)</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(539)</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w:t>
            </w:r>
          </w:p>
        </w:tc>
        <w:tc>
          <w:tcPr>
            <w:tcW w:w="5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5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946 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w:t>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3,074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1,837 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w:t>
            </w:r>
          </w:p>
        </w:tc>
        <w:tc>
          <w:tcPr>
            <w:tcW w:w="5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72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NON-SEGMENT RESULTS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5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(3,957)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(3,929)</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(7,835)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(8,083)</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5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(9,096)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5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119 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(216)</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(2,607)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6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w:t>
            </w:r>
          </w:p>
        </w:tc>
        <w:tc>
          <w:tcPr>
            <w:tcW w:w="5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(26,783)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156 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(753)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379 </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72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w:t>
            </w:r>
          </w:p>
        </w:tc>
        <w:tc>
          <w:tcPr>
            <w:tcW w:w="5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(195)</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w:t>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(370)</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72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(12,806)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79</w:t>
            </w:r>
          </w:p>
        </w:tc>
        <w:tc>
          <w:tcPr>
            <w:tcW w:w="5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(26,034)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71</w:t>
            </w:r>
          </w:p>
        </w:tc>
        <w:tc>
          <w:tcPr>
            <w:tcW w:w="56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r>
        <w:trPr/>
        <w:tc>
          <w:tcPr>
            <w:tcW w:w="372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(0.12)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(0.57)</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79</w:t>
            </w:r>
          </w:p>
        </w:tc>
        <w:tc>
          <w:tcPr>
            <w:tcW w:w="50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1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(0.33)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0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(1.16)</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72</w:t>
            </w:r>
          </w:p>
        </w:tc>
        <w:tc>
          <w:tcPr>
            <w:tcW w:w="5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and Non-Segment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Net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Revenue for the quarter ended June 30, 2025, increased by 29% (or $13.6 million), to $60.4 million, compared to the same period in the prior year, primarily due to increased cinema revenues from </w:t>
      </w:r>
      <w:bookmarkStart w:id="40" w:name="_Hlk164635508"/>
      <w:bookmarkEnd w:id="40"/>
      <w:r>
        <w:rPr>
          <w:rFonts w:ascii="Times New Roman;serif" w:hAnsi="Times New Roman;serif"/>
          <w:b w:val="false"/>
          <w:i w:val="false"/>
          <w:caps w:val="false"/>
          <w:smallCaps w:val="false"/>
          <w:sz w:val="20"/>
        </w:rPr>
        <w:t xml:space="preserve">higher attendance in all three countries as a result of stronger movies released from the Hollywood studios in the second quarter of 2025 compared to the same period in 2024. These increases in revenue were offset by a decline in real estate rent revenues and the weakening of the AU/NZ foreign exchange rates against the U.S. dollar.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for the six months ended June 30, 2025, increased by 9% (or $8.7 million), to $100.5 million, when compared to the same period in the prior year. This increase is attributable to strengthened cinema performance, which was partially offset by a decrease in real estate rent revenue.</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Segment Operating Income/(Loss)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total segment operating income for the quarter ended June 30, 2025, increased by $10.6 million, from a loss of $3.7 million to an income of $6.9 million, primarily due to (i) improved cinema performance, as a result of a stronger film slate, leading to increased cinema revenue, (ii) lower operating expenses in our real estate segment, and (iii) a reduction in depreciation and amortization.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total segment operating income for the six months ended June 30, 2025 of $4.1 million, increased by $11.0 million, from a loss of $6.9 million, primarily due to (i) stronger cinema performance, as attendance increased in the U.S. and ATP increased in Australia and New Zealand, (ii) decreased operating expenses in our real estate segment, and (iii) a reduction in depreciation and amortization. This was offset by weakened real estate revenue and increased general and administrative expenses for our cinema segment.</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During the second quarter of 2025, both the Australia and New Zealand dollars devalued against the U.S. dollar. The average Australia dollar exchange rate against the U.S. dollar for the second quarter of 2025 decreased by 2.7% compared to the same period in 2024. The average New Zealand dollar exchange rate against the U.S. dollar for the second quarter of 2025 decreased by 1.9% compared to the same period in 2024. The devaluation of the Australia and New Zealand currencies negatively impacts segment operating income and positively impacts segment operating loss in U.S. dollar terms for the period.</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Net Income/(Loss)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Our net loss attributable to Reading International, Inc.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 xml:space="preserve">for the quarter ended June 30, 2025, improved by 79%, from a loss of $12.8 million to a loss of $2.7 million, </w:t>
      </w:r>
      <w:bookmarkStart w:id="41" w:name="_Hlk43970889"/>
      <w:bookmarkStart w:id="42" w:name="_Hlk53589266"/>
      <w:bookmarkEnd w:id="41"/>
      <w:bookmarkEnd w:id="42"/>
      <w:r>
        <w:rPr>
          <w:rFonts w:ascii="Times New Roman;serif" w:hAnsi="Times New Roman;serif"/>
          <w:b w:val="false"/>
          <w:i w:val="false"/>
          <w:caps w:val="false"/>
          <w:smallCaps w:val="false"/>
          <w:color w:val="000000"/>
          <w:sz w:val="20"/>
        </w:rPr>
        <w:t xml:space="preserve">when compared to the same period in the prior year, primarily due to improved cinema and real estate performance along with a decrease in interest expense, depreciation and amortization expenses, and a gain on sale of assets, partially offset by increased general and administrative expense, and an increase in other operating expense.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six months ended June 30, 2025, net loss attributable to Reading International, Inc. improved by 71%, from a loss of $26.0 million to a loss of $7.4 million, when compared to the same period in the prior year primarily due to improved segment results, decreased interest expense, and a gain on sale of assets. This was offset by increased general and administrative expense and increased other expense.</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Income Tax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July 4, 2025, the One Big Beautiful Bill Act (“OBBBA”) was enacted in the United States. The OBBBA includes significant tax law changes, including the permanent extension of certain provisions from the Tax Cuts and Jobs Act, modifications to the international tax framework, and the reinstatement of favorable business tax provisions. These include 100% bonus depreciation, immediate expensing of Section 174 domestic research and experimental expenditures, and revised limitations under Section 163(j) on the deductibility of business interest expense. The legislation has multiple effective dates, with certain provisions effective beginning in 2025, and others implemented through 2027. The Company does not anticipate the impact of the OBBBA to have a material effect on its consolidated financial statements for the year ending December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expense for the three months ended June 30, 2025, increased by $1.4 million compared to the equivalent prior-year period. The change between 2025 and 2024 is primarily related to a decrease in consolidated losses and an increase in reserve for valuation allowance in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expense for the six months ended June 30, 2025, increased by $1.1 million compared to the equivalent prior-year period. The change between 2025 and 2024 is primarily related to a decrease in consolidated losses and an increase in reserve for valuation allowance in 2025.</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Business Segment Results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Cinema Exhibition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cinema exhibition segment operating results for the quarter and six months ended June 30, 2025, and June 30, 2024, respectively:</w:t>
      </w:r>
    </w:p>
    <w:tbl>
      <w:tblPr>
        <w:tblW w:w="10205" w:type="dxa"/>
        <w:jc w:val="left"/>
        <w:tblInd w:w="0" w:type="dxa"/>
        <w:tblLayout w:type="fixed"/>
        <w:tblCellMar>
          <w:top w:w="0" w:type="dxa"/>
          <w:left w:w="0" w:type="dxa"/>
          <w:bottom w:w="0" w:type="dxa"/>
          <w:right w:w="0" w:type="dxa"/>
        </w:tblCellMar>
      </w:tblPr>
      <w:tblGrid>
        <w:gridCol w:w="163"/>
        <w:gridCol w:w="1022"/>
        <w:gridCol w:w="2001"/>
        <w:gridCol w:w="181"/>
        <w:gridCol w:w="570"/>
        <w:gridCol w:w="625"/>
        <w:gridCol w:w="181"/>
        <w:gridCol w:w="570"/>
        <w:gridCol w:w="625"/>
        <w:gridCol w:w="109"/>
        <w:gridCol w:w="181"/>
        <w:gridCol w:w="570"/>
        <w:gridCol w:w="625"/>
        <w:gridCol w:w="181"/>
        <w:gridCol w:w="570"/>
        <w:gridCol w:w="625"/>
        <w:gridCol w:w="109"/>
        <w:gridCol w:w="315"/>
        <w:gridCol w:w="241"/>
        <w:gridCol w:w="389"/>
        <w:gridCol w:w="352"/>
      </w:tblGrid>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shd w:fill="B7DEE8" w:val="clear"/>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752"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752"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297"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Fav/(Unfav)</w:t>
            </w:r>
          </w:p>
        </w:tc>
      </w:tr>
      <w:tr>
        <w:trPr/>
        <w:tc>
          <w:tcPr>
            <w:tcW w:w="3186"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75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June 30,</w:t>
              <w:br/>
              <w:t>‎2025</w:t>
            </w:r>
          </w:p>
        </w:tc>
        <w:tc>
          <w:tcPr>
            <w:tcW w:w="62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75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June 30,</w:t>
              <w:br/>
              <w:t>‎2024</w:t>
            </w:r>
          </w:p>
        </w:tc>
        <w:tc>
          <w:tcPr>
            <w:tcW w:w="62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June 30,</w:t>
              <w:br/>
              <w:t>‎2025</w:t>
            </w:r>
          </w:p>
        </w:tc>
        <w:tc>
          <w:tcPr>
            <w:tcW w:w="62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75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June 30,</w:t>
              <w:br/>
              <w:t>‎2024</w:t>
            </w:r>
          </w:p>
        </w:tc>
        <w:tc>
          <w:tcPr>
            <w:tcW w:w="62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 xml:space="preserve">Quarter </w:t>
              <w:br/>
              <w:t>‎Ended</w:t>
            </w:r>
          </w:p>
        </w:tc>
        <w:tc>
          <w:tcPr>
            <w:tcW w:w="74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Six Months Ended</w:t>
            </w:r>
          </w:p>
        </w:tc>
      </w:tr>
      <w:tr>
        <w:trPr/>
        <w:tc>
          <w:tcPr>
            <w:tcW w:w="3186" w:type="dxa"/>
            <w:gridSpan w:val="3"/>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16,099</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11,681</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26,344</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23,922</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11,274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20%</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7,452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17,382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19%</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14,413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2,885</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2,347</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4,827</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4,450</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30,258</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53%</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21,480</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48,553</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52%</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42,785</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51%</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w:t>
            </w:r>
          </w:p>
        </w:tc>
        <w:tc>
          <w:tcPr>
            <w:tcW w:w="35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14,275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10,851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23,905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21,113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7,213</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6,348</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12,069</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12,114</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2,617</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2,640</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22,909</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18,543</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38,591</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41%</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35,867</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2,338</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1,744</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3,884</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3,344</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1,013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1,901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1,923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161</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257</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294</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3,615</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2,918</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6,042</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5,561</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w:t>
            </w:r>
          </w:p>
        </w:tc>
        <w:tc>
          <w:tcPr>
            <w:tcW w:w="35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163" w:type="dxa"/>
            <w:tcBorders/>
            <w:vAlign w:val="center"/>
          </w:tcPr>
          <w:p>
            <w:pPr>
              <w:pStyle w:val="TableContents"/>
              <w:bidi w:val="0"/>
              <w:spacing w:before="0" w:after="283"/>
              <w:jc w:val="left"/>
              <w:rPr>
                <w:sz w:val="4"/>
                <w:szCs w:val="4"/>
              </w:rPr>
            </w:pPr>
            <w:r>
              <w:rPr>
                <w:sz w:val="4"/>
                <w:szCs w:val="4"/>
              </w:rPr>
            </w:r>
          </w:p>
        </w:tc>
        <w:tc>
          <w:tcPr>
            <w:tcW w:w="302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56,782</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42,941</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93,186</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84,213</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35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3186"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(9,108)</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16%</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(6,272)</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(14,166)</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(12,411)</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(2,931)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(2,012)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(4,514)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(3,919)</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(4,420)</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(6,545)</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(8,387)</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(12,332)</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(4,212)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(4,002)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(8,293)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(8,150)</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(1,332)</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(1,337)</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(2,551)</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(2,645)</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(1,754)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(1,656)</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(3,295)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(3,083)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Insurance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(2,321)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(2,094)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(4,468)</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(4,219)</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(26,078)</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46%</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(23,918)</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(45,674)</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49%</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(46,759)</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(6,586)</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(4,947)</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(10,542)</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(9,395)</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(1,531)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(1,435)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(2,606)</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(2,709)</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(4,511)</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(4,538)</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(8,805)</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(8,940)</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(3,425)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(3,442)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(6,732)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(6,715)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(651)</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(640)</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(1,493)</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(1,452)</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(1,173)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(2,304)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(2,377)</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(799)</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(908)</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(1,574)</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(1,780)</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(18,657)</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(17,083)</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(34,056)</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37%</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(33,368)</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w:t>
            </w:r>
          </w:p>
        </w:tc>
        <w:tc>
          <w:tcPr>
            <w:tcW w:w="35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(1,789)</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(1,434)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(52)</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(269)</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(225)</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(416)</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(430)</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(737)</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(783)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(1,471)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(1,543)</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(579)</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(593)</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(1,113)</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(1,155)</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(136)</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(198)</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w:t>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(196)</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(189)</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(390)</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(393)</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(147)</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(259)</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(3,205)</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(2,902)</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(5,867)</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(5,648)</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302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(47,940)</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84%</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(43,903)</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(85,597)</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92%</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(85,775)</w:t>
            </w:r>
          </w:p>
        </w:tc>
        <w:tc>
          <w:tcPr>
            <w:tcW w:w="625"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(1,157)</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(1,250)</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(2,278)</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(2,521)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(731)</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(738)</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(1,456)</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(1,373)</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(1,888)</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(1,988)</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(3,734)</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(3,894)</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w:t>
            </w:r>
          </w:p>
        </w:tc>
        <w:tc>
          <w:tcPr>
            <w:tcW w:w="35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(905)</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(1,819)</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(427)</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(355)</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(772)</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(699)</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(1,332)</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(1,547)</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(2,591)</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(3,081)</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w:t>
            </w:r>
          </w:p>
        </w:tc>
        <w:tc>
          <w:tcPr>
            <w:tcW w:w="35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2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(214)</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625"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3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5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(169)</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(112)</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(285)</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(238)</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(51)</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w:t>
            </w:r>
          </w:p>
        </w:tc>
        <w:tc>
          <w:tcPr>
            <w:tcW w:w="35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163" w:type="dxa"/>
            <w:tcBorders/>
            <w:vAlign w:val="center"/>
          </w:tcPr>
          <w:p>
            <w:pPr>
              <w:pStyle w:val="TableContents"/>
              <w:bidi w:val="0"/>
              <w:spacing w:before="0" w:after="283"/>
              <w:jc w:val="left"/>
              <w:rPr>
                <w:sz w:val="4"/>
                <w:szCs w:val="4"/>
              </w:rPr>
            </w:pPr>
            <w:r>
              <w:rPr>
                <w:sz w:val="4"/>
                <w:szCs w:val="4"/>
              </w:rPr>
            </w:r>
          </w:p>
        </w:tc>
        <w:tc>
          <w:tcPr>
            <w:tcW w:w="302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(3,389)</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(3,647)</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(6,610)</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70"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(7,213)</w:t>
            </w:r>
          </w:p>
        </w:tc>
        <w:tc>
          <w:tcPr>
            <w:tcW w:w="625"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w:t>
            </w:r>
          </w:p>
        </w:tc>
        <w:tc>
          <w:tcPr>
            <w:tcW w:w="35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200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r>
      <w:tr>
        <w:trPr/>
        <w:tc>
          <w:tcPr>
            <w:tcW w:w="3186"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CINEMA</w:t>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tbl>
      <w:tblPr>
        <w:tblW w:w="8309" w:type="dxa"/>
        <w:jc w:val="left"/>
        <w:tblInd w:w="0" w:type="dxa"/>
        <w:tblLayout w:type="fixed"/>
        <w:tblCellMar>
          <w:top w:w="0" w:type="dxa"/>
          <w:left w:w="0" w:type="dxa"/>
          <w:bottom w:w="0" w:type="dxa"/>
          <w:right w:w="0" w:type="dxa"/>
        </w:tblCellMar>
      </w:tblPr>
      <w:tblGrid>
        <w:gridCol w:w="124"/>
        <w:gridCol w:w="2341"/>
        <w:gridCol w:w="181"/>
        <w:gridCol w:w="436"/>
        <w:gridCol w:w="361"/>
        <w:gridCol w:w="181"/>
        <w:gridCol w:w="526"/>
        <w:gridCol w:w="451"/>
        <w:gridCol w:w="109"/>
        <w:gridCol w:w="181"/>
        <w:gridCol w:w="436"/>
        <w:gridCol w:w="376"/>
        <w:gridCol w:w="181"/>
        <w:gridCol w:w="526"/>
        <w:gridCol w:w="451"/>
        <w:gridCol w:w="109"/>
        <w:gridCol w:w="406"/>
        <w:gridCol w:w="241"/>
        <w:gridCol w:w="406"/>
        <w:gridCol w:w="286"/>
      </w:tblGrid>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3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2,292</w:t>
            </w:r>
          </w:p>
        </w:tc>
        <w:tc>
          <w:tcPr>
            <w:tcW w:w="36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(4,426)</w:t>
            </w:r>
          </w:p>
        </w:tc>
        <w:tc>
          <w:tcPr>
            <w:tcW w:w="45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(855)</w:t>
            </w:r>
          </w:p>
        </w:tc>
        <w:tc>
          <w:tcPr>
            <w:tcW w:w="37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(7,868)</w:t>
            </w:r>
          </w:p>
        </w:tc>
        <w:tc>
          <w:tcPr>
            <w:tcW w:w="45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2,920</w:t>
            </w:r>
          </w:p>
        </w:tc>
        <w:tc>
          <w:tcPr>
            <w:tcW w:w="36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c>
          <w:tcPr>
            <w:tcW w:w="45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1,944</w:t>
            </w:r>
          </w:p>
        </w:tc>
        <w:tc>
          <w:tcPr>
            <w:tcW w:w="37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(582)</w:t>
            </w:r>
          </w:p>
        </w:tc>
        <w:tc>
          <w:tcPr>
            <w:tcW w:w="45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3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w:t>
            </w:r>
          </w:p>
        </w:tc>
        <w:tc>
          <w:tcPr>
            <w:tcW w:w="36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w:t>
            </w:r>
          </w:p>
        </w:tc>
        <w:tc>
          <w:tcPr>
            <w:tcW w:w="45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(110)</w:t>
            </w:r>
          </w:p>
        </w:tc>
        <w:tc>
          <w:tcPr>
            <w:tcW w:w="37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(325)</w:t>
            </w:r>
          </w:p>
        </w:tc>
        <w:tc>
          <w:tcPr>
            <w:tcW w:w="45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66</w:t>
            </w:r>
          </w:p>
        </w:tc>
        <w:tc>
          <w:tcPr>
            <w:tcW w:w="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Cinema operating income (loss)</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5,453</w:t>
            </w:r>
          </w:p>
        </w:tc>
        <w:tc>
          <w:tcPr>
            <w:tcW w:w="36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(4,609)</w:t>
            </w:r>
          </w:p>
        </w:tc>
        <w:tc>
          <w:tcPr>
            <w:tcW w:w="45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979</w:t>
            </w:r>
          </w:p>
        </w:tc>
        <w:tc>
          <w:tcPr>
            <w:tcW w:w="37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(8,775)</w:t>
            </w:r>
          </w:p>
        </w:tc>
        <w:tc>
          <w:tcPr>
            <w:tcW w:w="45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0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&gt;100</w:t>
            </w:r>
          </w:p>
        </w:tc>
        <w:tc>
          <w:tcPr>
            <w:tcW w:w="2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ended June 30, 2025, cinema revenue increased by $13.8 million, to $56.8 million compared to the same period in the prior year. This increase was primarily due to (i) a global increase in cinema revenues from increased cinema attendance driven by a stronger movie slate, (ii) increases in ATP and F&amp;B SPP in all three countries, and (iii) increases in screen advertising and other revenues in the U.S. and Australia, partially offset by a weakening of AU/NZ foreign exchange rates.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six months ended June 30, 2025, cinema revenue increased by $9.0 million, to $93.2 million compared to the same period in the prior year. This increase was primarily driven by (i) a global increase in box office due to a stronger movie slate, and (ii) increased F&amp;B SPP and advertising and other revenues in US, and offset by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 weakening of AU/NZ foreign exchange rates. </w:t>
      </w:r>
    </w:p>
    <w:p>
      <w:pPr>
        <w:pStyle w:val="TextBody"/>
        <w:bidi w:val="0"/>
        <w:spacing w:lineRule="auto" w:line="259"/>
        <w:rPr>
          <w:rFonts w:ascii="Times New Roman;serif" w:hAnsi="Times New Roman;serif"/>
          <w:b/>
          <w:i/>
          <w:sz w:val="20"/>
        </w:rPr>
      </w:pPr>
      <w:r>
        <w:rPr>
          <w:rFonts w:ascii="Times New Roman;serif" w:hAnsi="Times New Roman;serif"/>
          <w:b/>
          <w:i/>
          <w:sz w:val="20"/>
        </w:rPr>
        <w:t>Cinema Segment Operating Income/(Loss)</w:t>
      </w:r>
    </w:p>
    <w:p>
      <w:pPr>
        <w:pStyle w:val="TextBody"/>
        <w:bidi w:val="0"/>
        <w:spacing w:lineRule="auto" w:line="259"/>
        <w:rPr>
          <w:rFonts w:ascii="Times New Roman;serif" w:hAnsi="Times New Roman;serif"/>
          <w:b w:val="false"/>
          <w:i w:val="false"/>
          <w:caps w:val="false"/>
          <w:smallCaps w:val="false"/>
          <w:sz w:val="20"/>
        </w:rPr>
      </w:pPr>
      <w:bookmarkStart w:id="43" w:name="_Hlk172366133"/>
      <w:bookmarkEnd w:id="43"/>
      <w:r>
        <w:rPr>
          <w:rFonts w:ascii="Times New Roman;serif" w:hAnsi="Times New Roman;serif"/>
          <w:b w:val="false"/>
          <w:i w:val="false"/>
          <w:caps w:val="false"/>
          <w:smallCaps w:val="false"/>
          <w:sz w:val="20"/>
        </w:rPr>
        <w:t>Cinema segment operating income for the quarter ended June 30, 2025, increased by $10.1 million, from a loss of $4.6 million to an income of $5.5 million when compared to the same period in the prior year. The increase in operating income is due to an increase in cinema revenue in all three countries due to an increased attendance as a result of a stronger movie slate, and an overall decrease in depreciation in all three countries, partially offset by an increase in operating expenses globally and increased general and administrative expenses in Australia and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segment operating income for the six months ended June 30, 2025, increased by $9.8 million, from a loss of $8.8 million to an income of $1.0 million when compared to the same period in the prior year primarily due to (i) increased cinema revenues globally, (ii) efficiently managing cinema expenses to remain relatively flat globally, and (iii) a reduction in overall depreciation, amortization and G&amp;A expenses.</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expenses for the quarter ended June 30, 2025, increased by $4.0 million, to $47.9 million, compared to the same quarter in the prior year. This increase was primarily due to increased global attendance resulting in increased film rent, food and beverage cost, and other variable costs in all three countries. Operating expenses for the six months ended June 30, 2025, remained relatively flat at $85.6 million, compared to $85.8 million for the same time period in the prior year. </w:t>
      </w:r>
    </w:p>
    <w:p>
      <w:pPr>
        <w:pStyle w:val="TextBody"/>
        <w:bidi w:val="0"/>
        <w:spacing w:lineRule="auto" w:line="259"/>
        <w:rPr>
          <w:rFonts w:ascii="Times New Roman;serif" w:hAnsi="Times New Roman;serif"/>
          <w:b/>
          <w:i/>
          <w:sz w:val="20"/>
        </w:rPr>
      </w:pPr>
      <w:bookmarkStart w:id="44" w:name="_Hlk109199937"/>
      <w:bookmarkEnd w:id="44"/>
      <w:r>
        <w:rPr>
          <w:rFonts w:ascii="Times New Roman;serif" w:hAnsi="Times New Roman;serif"/>
          <w:b/>
          <w:i/>
          <w:sz w:val="20"/>
        </w:rPr>
        <w:t>Depreciation, amortization, impairment, general and administrative expense</w:t>
      </w:r>
    </w:p>
    <w:p>
      <w:pPr>
        <w:pStyle w:val="TextBody"/>
        <w:bidi w:val="0"/>
        <w:spacing w:lineRule="auto" w:line="259"/>
        <w:rPr>
          <w:rFonts w:ascii="Times New Roman;serif" w:hAnsi="Times New Roman;serif"/>
          <w:b w:val="false"/>
          <w:i w:val="false"/>
          <w:caps w:val="false"/>
          <w:smallCaps w:val="false"/>
          <w:sz w:val="20"/>
        </w:rPr>
      </w:pPr>
      <w:bookmarkStart w:id="45" w:name="_Hlk77598105"/>
      <w:bookmarkEnd w:id="45"/>
      <w:r>
        <w:rPr>
          <w:rFonts w:ascii="Times New Roman;serif" w:hAnsi="Times New Roman;serif"/>
          <w:b w:val="false"/>
          <w:i w:val="false"/>
          <w:caps w:val="false"/>
          <w:smallCaps w:val="false"/>
          <w:sz w:val="20"/>
        </w:rPr>
        <w:t>Depreciation, amortization, impairment, and general and administrative expenses for the quarter ended June 30, 2025, showed a slight decrease of $0.3 million, to $3.4 million, compared to the same quarter in the prior year.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amortization, impairment, and general and administrative expenses for the six months ended June 30, 2025, decreased $0.6 million, to $6.6 million, compared to the same quarter in the prior year.</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 xml:space="preserve">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real estate segment operating results for the quarter and six months ended June 30, 2025 and June 30, 2024, respectively:</w:t>
      </w:r>
    </w:p>
    <w:tbl>
      <w:tblPr>
        <w:tblW w:w="10205" w:type="dxa"/>
        <w:jc w:val="left"/>
        <w:tblInd w:w="0" w:type="dxa"/>
        <w:tblLayout w:type="fixed"/>
        <w:tblCellMar>
          <w:top w:w="0" w:type="dxa"/>
          <w:left w:w="0" w:type="dxa"/>
          <w:bottom w:w="0" w:type="dxa"/>
          <w:right w:w="0" w:type="dxa"/>
        </w:tblCellMar>
      </w:tblPr>
      <w:tblGrid>
        <w:gridCol w:w="124"/>
        <w:gridCol w:w="931"/>
        <w:gridCol w:w="2356"/>
        <w:gridCol w:w="181"/>
        <w:gridCol w:w="436"/>
        <w:gridCol w:w="541"/>
        <w:gridCol w:w="181"/>
        <w:gridCol w:w="436"/>
        <w:gridCol w:w="541"/>
        <w:gridCol w:w="109"/>
        <w:gridCol w:w="181"/>
        <w:gridCol w:w="436"/>
        <w:gridCol w:w="541"/>
        <w:gridCol w:w="181"/>
        <w:gridCol w:w="436"/>
        <w:gridCol w:w="541"/>
        <w:gridCol w:w="109"/>
        <w:gridCol w:w="520"/>
        <w:gridCol w:w="362"/>
        <w:gridCol w:w="580"/>
        <w:gridCol w:w="482"/>
      </w:tblGrid>
      <w:tr>
        <w:trPr/>
        <w:tc>
          <w:tcPr>
            <w:tcW w:w="1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gridSpan w:val="4"/>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16"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316"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944"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Fav/(Unfav)</w:t>
            </w:r>
          </w:p>
        </w:tc>
      </w:tr>
      <w:tr>
        <w:trPr/>
        <w:tc>
          <w:tcPr>
            <w:tcW w:w="3411"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61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w:t>
              <w:br/>
              <w:t>‎2025</w:t>
            </w:r>
          </w:p>
        </w:tc>
        <w:tc>
          <w:tcPr>
            <w:tcW w:w="5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61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w:t>
              <w:br/>
              <w:t>‎2024</w:t>
            </w:r>
          </w:p>
        </w:tc>
        <w:tc>
          <w:tcPr>
            <w:tcW w:w="5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w:t>
              <w:br/>
              <w:t>‎2025</w:t>
            </w:r>
          </w:p>
        </w:tc>
        <w:tc>
          <w:tcPr>
            <w:tcW w:w="5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61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w:t>
              <w:br/>
              <w:t>‎2024</w:t>
            </w:r>
          </w:p>
        </w:tc>
        <w:tc>
          <w:tcPr>
            <w:tcW w:w="5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Quarter Ended</w:t>
            </w:r>
          </w:p>
        </w:tc>
        <w:tc>
          <w:tcPr>
            <w:tcW w:w="106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Six Months Ended</w:t>
            </w:r>
          </w:p>
        </w:tc>
      </w:tr>
      <w:tr>
        <w:trPr/>
        <w:tc>
          <w:tcPr>
            <w:tcW w:w="3411" w:type="dxa"/>
            <w:gridSpan w:val="3"/>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23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1,173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828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w:t>
            </w:r>
          </w:p>
        </w:tc>
        <w:tc>
          <w:tcPr>
            <w:tcW w:w="3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w:t>
            </w:r>
          </w:p>
        </w:tc>
        <w:tc>
          <w:tcPr>
            <w:tcW w:w="4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1,067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2,114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2,139</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4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235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1,700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37%</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1,483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3,287</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35%</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2,967</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w:t>
            </w:r>
          </w:p>
        </w:tc>
        <w:tc>
          <w:tcPr>
            <w:tcW w:w="36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w:t>
            </w:r>
          </w:p>
        </w:tc>
        <w:tc>
          <w:tcPr>
            <w:tcW w:w="48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23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2,741</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59%</w:t>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3,177</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5,756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61%</w:t>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6,261</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63%</w:t>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48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23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212</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455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718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w:t>
            </w:r>
          </w:p>
        </w:tc>
        <w:tc>
          <w:tcPr>
            <w:tcW w:w="3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4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2356"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4,653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5,013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9,498</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9,946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w:t>
            </w:r>
          </w:p>
        </w:tc>
        <w:tc>
          <w:tcPr>
            <w:tcW w:w="362"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0"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w:t>
            </w:r>
          </w:p>
        </w:tc>
        <w:tc>
          <w:tcPr>
            <w:tcW w:w="482"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235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before="0" w:after="283"/>
              <w:jc w:val="left"/>
              <w:rPr>
                <w:sz w:val="4"/>
                <w:szCs w:val="4"/>
              </w:rPr>
            </w:pPr>
            <w:r>
              <w:rPr>
                <w:sz w:val="4"/>
                <w:szCs w:val="4"/>
              </w:rPr>
            </w:r>
          </w:p>
        </w:tc>
        <w:tc>
          <w:tcPr>
            <w:tcW w:w="362"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482" w:type="dxa"/>
            <w:tcBorders/>
            <w:shd w:fill="CCEEFF" w:val="clear"/>
            <w:vAlign w:val="center"/>
          </w:tcPr>
          <w:p>
            <w:pPr>
              <w:pStyle w:val="TableContents"/>
              <w:bidi w:val="0"/>
              <w:spacing w:before="0" w:after="283"/>
              <w:jc w:val="left"/>
              <w:rPr>
                <w:sz w:val="4"/>
                <w:szCs w:val="4"/>
              </w:rPr>
            </w:pPr>
            <w:r>
              <w:rPr>
                <w:sz w:val="4"/>
                <w:szCs w:val="4"/>
              </w:rPr>
            </w:r>
          </w:p>
        </w:tc>
      </w:tr>
      <w:tr>
        <w:trPr/>
        <w:tc>
          <w:tcPr>
            <w:tcW w:w="3411"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EXPENSE</w:t>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23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theater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48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54"/>
        <w:gridCol w:w="1928"/>
        <w:gridCol w:w="2340"/>
        <w:gridCol w:w="181"/>
        <w:gridCol w:w="513"/>
        <w:gridCol w:w="342"/>
        <w:gridCol w:w="181"/>
        <w:gridCol w:w="513"/>
        <w:gridCol w:w="342"/>
        <w:gridCol w:w="109"/>
        <w:gridCol w:w="181"/>
        <w:gridCol w:w="513"/>
        <w:gridCol w:w="342"/>
        <w:gridCol w:w="181"/>
        <w:gridCol w:w="513"/>
        <w:gridCol w:w="342"/>
        <w:gridCol w:w="109"/>
        <w:gridCol w:w="483"/>
        <w:gridCol w:w="241"/>
        <w:gridCol w:w="406"/>
        <w:gridCol w:w="291"/>
      </w:tblGrid>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(174)</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(160)</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(352)</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(354)</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65</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(106)</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(78)</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(264)</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(430)</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(752)</w:t>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(798)</w:t>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(1,408)</w:t>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(1,644)</w:t>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(479)</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(478)</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(967)</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(968)</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(278)</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(435)</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(494)</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(198)</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(299)</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(531)</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(988)</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(1,129)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(2,011)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(2,139)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(110)</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60</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82</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86</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(395)</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(276)</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(628)</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83</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(534)</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(376)</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(913)</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81</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59</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234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(1,840)</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(2,461)</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(3,795)</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(4,696)</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25</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22"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DEPRECIATION, AMORTIZATION, GENERAL AND ADMINISTRATIVE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(674)</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(677)</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(1,333)</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(1,416)</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(185)</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(212)</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(315)</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(480)</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(859)</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(889)</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(1,648)</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17%</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(1,896)</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19%</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29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(776)</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(1,142)</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(415)</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(587)</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(863)</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(1,201)</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12%</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29</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28</w:t>
            </w:r>
          </w:p>
        </w:tc>
        <w:tc>
          <w:tcPr>
            <w:tcW w:w="29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23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(117)</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(316)</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928" w:type="dxa"/>
            <w:tcBorders/>
            <w:shd w:fill="CCEEFF" w:val="clear"/>
            <w:vAlign w:val="center"/>
          </w:tcPr>
          <w:p>
            <w:pPr>
              <w:pStyle w:val="TableContents"/>
              <w:bidi w:val="0"/>
              <w:spacing w:before="0" w:after="283"/>
              <w:jc w:val="left"/>
              <w:rPr>
                <w:sz w:val="4"/>
                <w:szCs w:val="4"/>
              </w:rPr>
            </w:pPr>
            <w:r>
              <w:rPr>
                <w:sz w:val="4"/>
                <w:szCs w:val="4"/>
              </w:rPr>
            </w:r>
          </w:p>
        </w:tc>
        <w:tc>
          <w:tcPr>
            <w:tcW w:w="2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(60)</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(130)</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(118)</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(316)</w:t>
            </w:r>
          </w:p>
        </w:tc>
        <w:tc>
          <w:tcPr>
            <w:tcW w:w="34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54</w:t>
            </w:r>
          </w:p>
        </w:tc>
        <w:tc>
          <w:tcPr>
            <w:tcW w:w="2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63</w:t>
            </w:r>
          </w:p>
        </w:tc>
        <w:tc>
          <w:tcPr>
            <w:tcW w:w="29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426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(1,334)</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29%</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(1,606)</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(2,629)</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28%</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(3,413)</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22"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REAL ESTATE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406"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154" w:type="dxa"/>
            <w:tcBorders/>
            <w:vAlign w:val="center"/>
          </w:tcPr>
          <w:p>
            <w:pPr>
              <w:pStyle w:val="TableContents"/>
              <w:bidi w:val="0"/>
              <w:spacing w:before="0" w:after="283"/>
              <w:jc w:val="left"/>
              <w:rPr>
                <w:sz w:val="4"/>
                <w:szCs w:val="4"/>
              </w:rPr>
            </w:pPr>
            <w:r>
              <w:rPr>
                <w:sz w:val="4"/>
                <w:szCs w:val="4"/>
              </w:rPr>
            </w:r>
          </w:p>
        </w:tc>
        <w:tc>
          <w:tcPr>
            <w:tcW w:w="426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(204)</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(573)</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426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1,338</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29%</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1,461</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2,882</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2,921</w:t>
            </w:r>
          </w:p>
        </w:tc>
        <w:tc>
          <w:tcPr>
            <w:tcW w:w="34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vAlign w:val="center"/>
          </w:tcPr>
          <w:p>
            <w:pPr>
              <w:pStyle w:val="TableContents"/>
              <w:bidi w:val="0"/>
              <w:spacing w:before="0" w:after="283"/>
              <w:jc w:val="left"/>
              <w:rPr>
                <w:sz w:val="4"/>
                <w:szCs w:val="4"/>
              </w:rPr>
            </w:pPr>
            <w:r>
              <w:rPr>
                <w:sz w:val="4"/>
                <w:szCs w:val="4"/>
              </w:rPr>
            </w:r>
          </w:p>
        </w:tc>
        <w:tc>
          <w:tcPr>
            <w:tcW w:w="426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52</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(511)</w:t>
            </w:r>
          </w:p>
        </w:tc>
        <w:tc>
          <w:tcPr>
            <w:tcW w:w="34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w:t>
            </w:r>
          </w:p>
        </w:tc>
        <w:tc>
          <w:tcPr>
            <w:tcW w:w="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426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real estate operating income (loss)</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1,479</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946</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3,074</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1,837</w:t>
            </w:r>
          </w:p>
        </w:tc>
        <w:tc>
          <w:tcPr>
            <w:tcW w:w="34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56</w:t>
            </w:r>
          </w:p>
        </w:tc>
        <w:tc>
          <w:tcPr>
            <w:tcW w:w="2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0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 estate rent revenue for the quarter ended June 30, 2025, decreased by $0.4 million to $4.7 million, compared to the same period in the prior year.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six months ended June 30, 2025, real estate rent revenue decreased by $0.4 million, to $9.5 million, compared to the same period in the prior year. The decrease was primarily due to lower Rental Income as a result of the sales of our Wellington property assets and our Cannon Park property assets, partially offset by higher Live theatre rental and ancillary income in the U.S.</w:t>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Segment Income/(Loss)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segment operating income for the quarter ended June 30, 2025 increased by $0.5 million to $1.5 million, compared to $0.9 million in the same period in the prior year. This change was primarily due to improved live theater performance, decreased operating expenses globally, and decreased depreciation, amortization and general administration expense overall.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six months ended June 30, 2025, real estate segment operating income increased by $1.2 million, to $3.1 million, compared to $1.8 million in the same period in the prior year. This increase in operating income was due to an increase in U.S. live theatre revenue, decreased operating expense globally and reduced depreciation, amortization, and G&amp;A expense in all three countries.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results were impacted by the sale of our (i) Wellington property assets in January 2025, (ii) our Cannon Park property in May 2025 and (iii) Culver City office building in February 2024.</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Our Financing Strategy </w:t>
      </w:r>
    </w:p>
    <w:p>
      <w:pPr>
        <w:pStyle w:val="TextBody"/>
        <w:bidi w:val="0"/>
        <w:spacing w:lineRule="auto" w:line="259"/>
        <w:rPr>
          <w:rFonts w:ascii="Times New Roman;serif" w:hAnsi="Times New Roman;serif"/>
          <w:b w:val="false"/>
          <w:i w:val="false"/>
          <w:caps w:val="false"/>
          <w:smallCaps w:val="false"/>
          <w:sz w:val="20"/>
        </w:rPr>
      </w:pPr>
      <w:bookmarkStart w:id="46" w:name="_Hlk166607651"/>
      <w:bookmarkEnd w:id="46"/>
      <w:r>
        <w:rPr>
          <w:rFonts w:ascii="Times New Roman;serif" w:hAnsi="Times New Roman;serif"/>
          <w:b w:val="false"/>
          <w:i w:val="false"/>
          <w:caps w:val="false"/>
          <w:smallCaps w:val="false"/>
          <w:sz w:val="20"/>
        </w:rPr>
        <w:t xml:space="preserve">Prior to the COVID-19 pandemic, we used cash generated from operations and other excess cash, to the extent not needed, to fund capital investments contemplated by our business plan, in order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 </w:t>
      </w:r>
    </w:p>
    <w:p>
      <w:pPr>
        <w:pStyle w:val="TextBody"/>
        <w:bidi w:val="0"/>
        <w:spacing w:lineRule="auto" w:line="259"/>
        <w:rPr>
          <w:rFonts w:ascii="Times New Roman;serif" w:hAnsi="Times New Roman;serif"/>
          <w:b w:val="false"/>
          <w:i w:val="false"/>
          <w:caps w:val="false"/>
          <w:smallCaps w:val="false"/>
          <w:sz w:val="20"/>
        </w:rPr>
      </w:pPr>
      <w:bookmarkStart w:id="47" w:name="_Hlk182465573"/>
      <w:bookmarkEnd w:id="47"/>
      <w:r>
        <w:rPr>
          <w:rFonts w:ascii="Times New Roman;serif" w:hAnsi="Times New Roman;serif"/>
          <w:b w:val="false"/>
          <w:i w:val="false"/>
          <w:caps w:val="false"/>
          <w:smallCaps w:val="false"/>
          <w:sz w:val="20"/>
        </w:rPr>
        <w:t xml:space="preserve">However, disruptions to our cinema cash flow caused by the COVID-19 pandemic, the 2023 Hollywood Strikes and periods of weak theatrical releases, augmented by changing consumer habits from each foregoing, and continuing macroeconomic headwinds, have made it necessary for us to defer capital expenditures and to rely on borrowings and the proceeds of asset monetizations to cover our costs of operations, pay interest, and pay down debt.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NAB financing requires that our Company comply with certain covenants. Furthermore, our Company’s use of loan funds from NAB is limited due to restrictions on the expatriation of funds from Australia to the United States. We believe that our lenders understand that the continuing effects of the factors discussed in the preceding paragraph, and various economic factors, are not of our own making, that we are taking aggressive steps to manage these industry headwinds, and that, generally speaking, our relationships with our lenders are positive.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our Company believes that global cinema business is recovering, we still face macroeconomic pressures such as high interest rates, inflation, supply chain issues and increased film rent, labor, and operating costs, many of which are beyond our control. We have taken a variety of steps across our various operating jurisdictions to reduce our spending, including, without limitation, deferring non-essential capital expenditures, deferring certain operational expenses, renegotiating occupancy arrangements, closing certain unprofitable cinemas, deferring compensation expenses, and eliminating certain T&amp;E expenses. We are closely monitoring our debt maturity dates, and where appropriate, we may seek to arrange necessary term extensions. In May 2025, we extended our Emerald Creek Capital debt’s maturity date to November 6, 2026 with an option to extend an additional 6 months to May 6, 2027. In July 2025, we executed an amendment to our Bank of America loan to extend the maturity date to May 18, 2026, and modified the paydown schedule. In July 2025, we extended the maturity date of our Santander loan to June 1, 2026. As of June 30, 2025, we have debt of $38.2 million coming due in the next 12 months. While the Central Banks of the three countries in which we do business have reduced interest rates from recent highs, rates remain elevated when compared to pre-Covid periods.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discussed elsewhere in this Report, we believe that cinema cash flow for 2025 will be stronger than recent periods, as shown by the strength of the second quarter of 2025, even though cinema results for the first quarter of 2025 were behind those of the same period for last year, However, if our Company is unable to generate sufficient cash flow in the upcoming months, we will be required to adopt one or more alternatives, such as reducing, delaying or eliminating planned capital expenditures, monetizing additional assets, restructuring our debt and/or our lease obligations or finding additional sources of liquidity. In May 2025, we sold our Cannon Park property assets in Australia for AU$32.0 million (USD equivalent of $20.7 million)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repaid our AU$20.0 million (USD equivalent of $12.9 million) Bridge Facility. In January 2025, we sold our Wellington property assets in New Zealand for NZ$38.0 million (USD equivalent of $21.5 million) and repaid our NZ$18.8 million (USD equivalent of $10.7 million) loan to Westpac and paid down $6.1 million to Bank of America. In early 2024, understanding our reduced need for administrative space during the shift to remote-working, we decreased our overall general and administrative expense by selling our administrative building in Culver City, California, freeing up cash of approximately $1.3 million (after paying off our mortgage, brokerage commissions and transactional fees). We are currently reviewing our need for replacement office space and believe that the disposition of this asset will save us approximately $2.0 million in operating and holding costs for 2025. Also, our Newberry Yard property in Williamsport, Pennsylvania continues to be listed as an asset held for sale. This property was historically used as a rail yard, and, accordingly, improved with tracks and switches and has direct access to the area’s rail system. We carry the property on our books at a book value (the lower of cost or market, as opposed to fair market value) of $0.5 million. This asset was selected for sale since it is currently non-income producing and significant capital would be required to materially increase the value of this asset. Certain issues as to the location of various railroad rights of way have now been resolved on what we believe to be favorable terms and terms which enhanced the value of the property.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we cannot obtain sufficient net proceeds from the disposition of these assets (or determine to defer disposition due to unfavorable market conditions), in addition to other strategies, we may look to monetize other real estate assets.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please refer to </w:t>
      </w:r>
      <w:r>
        <w:rPr>
          <w:rFonts w:ascii="Times New Roman;serif" w:hAnsi="Times New Roman;serif"/>
          <w:b w:val="false"/>
          <w:i/>
          <w:sz w:val="20"/>
        </w:rPr>
        <w:t>Part I – Financial Information, Item 1 – 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13 – Borrowings</w:t>
      </w:r>
      <w:r>
        <w:rPr>
          <w:rFonts w:ascii="Times New Roman;serif" w:hAnsi="Times New Roman;serif"/>
          <w:b w:val="false"/>
          <w:i w:val="false"/>
          <w:caps w:val="false"/>
          <w:smallCaps w:val="false"/>
          <w:sz w:val="20"/>
        </w:rPr>
        <w:t xml:space="preserve">. For more information about our efforts to manage our liquidity issues, see </w:t>
      </w:r>
      <w:r>
        <w:rPr>
          <w:rFonts w:ascii="Times New Roman;serif" w:hAnsi="Times New Roman;serif"/>
          <w:b w:val="false"/>
          <w:i/>
          <w:sz w:val="20"/>
        </w:rPr>
        <w:t>Part I- Financial Information, Item 1 – Notes to Consolidated Financial Statements – Note 3 – Liquidity and Impairment Assessment</w:t>
      </w:r>
      <w:r>
        <w:rPr>
          <w:rFonts w:ascii="Times New Roman;serif" w:hAnsi="Times New Roman;serif"/>
          <w:b w:val="false"/>
          <w:i w:val="false"/>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changes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cash and cash equivalents for the six months ended June 30, 2025, and June 30, 2024, respectively, are discussed as follows:</w:t>
      </w:r>
      <w:r>
        <w:rPr>
          <w:rFonts w:ascii="Times New Roman;serif" w:hAnsi="Times New Roman;serif"/>
          <w:caps w:val="false"/>
          <w:smallCaps w:val="false"/>
          <w:sz w:val="20"/>
        </w:rPr>
        <w:t xml:space="preserve"> </w:t>
      </w:r>
      <w:bookmarkStart w:id="48" w:name="_Hlk69847856"/>
      <w:bookmarkEnd w:id="48"/>
    </w:p>
    <w:p>
      <w:pPr>
        <w:pStyle w:val="TextBody"/>
        <w:bidi w:val="0"/>
        <w:spacing w:lineRule="auto" w:line="259"/>
        <w:rPr>
          <w:caps w:val="false"/>
          <w:smallCaps w:val="false"/>
        </w:rPr>
      </w:pPr>
      <w:r>
        <w:rPr>
          <w:caps w:val="false"/>
          <w:smallCaps w:val="false"/>
        </w:rPr>
        <w:t> </w:t>
      </w:r>
    </w:p>
    <w:tbl>
      <w:tblPr>
        <w:tblW w:w="8957" w:type="dxa"/>
        <w:jc w:val="left"/>
        <w:tblInd w:w="0" w:type="dxa"/>
        <w:tblLayout w:type="fixed"/>
        <w:tblCellMar>
          <w:top w:w="0" w:type="dxa"/>
          <w:left w:w="0" w:type="dxa"/>
          <w:bottom w:w="0" w:type="dxa"/>
          <w:right w:w="0" w:type="dxa"/>
        </w:tblCellMar>
      </w:tblPr>
      <w:tblGrid>
        <w:gridCol w:w="5536"/>
        <w:gridCol w:w="109"/>
        <w:gridCol w:w="211"/>
        <w:gridCol w:w="796"/>
        <w:gridCol w:w="109"/>
        <w:gridCol w:w="211"/>
        <w:gridCol w:w="796"/>
        <w:gridCol w:w="109"/>
        <w:gridCol w:w="702"/>
        <w:gridCol w:w="378"/>
      </w:tblGrid>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5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55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c>
          <w:tcPr>
            <w:tcW w:w="37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7,398</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(34,883)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c>
          <w:tcPr>
            <w:tcW w:w="3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sz w:val="20"/>
        </w:rPr>
      </w:pPr>
      <w:bookmarkStart w:id="49" w:name="_Hlk69927655"/>
      <w:bookmarkEnd w:id="49"/>
      <w:r>
        <w:rPr>
          <w:rFonts w:ascii="Times New Roman;serif" w:hAnsi="Times New Roman;serif"/>
          <w:b/>
          <w:i/>
          <w:sz w:val="20"/>
        </w:rPr>
        <w:t>Operating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Cash used in operating activities for the six months ended June 30, 2025, decreased by $7.0 million, to</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$6.2 million compared to cash used in the same period of the prior year of $13.2 million. This was primarily driven by a $13.5 million decrease in net operating loss, partially offset by $6.5 million decrease in net payables compared to the same period in 2024.</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provided in investing activities during the six months ended June 30, 2025 was $37.8 million compared to cash provided in the same prior year period of $7.4 million. This was due to higher proceeds from sale of our Cannon Park property assets in May 2025 and the Wellington property assets in January 2025, compared to the proceeds from the sale of our Culver City office in February 2024.</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bookmarkStart w:id="50" w:name="_Hlk85485691"/>
      <w:bookmarkEnd w:id="50"/>
      <w:r>
        <w:rPr>
          <w:rFonts w:ascii="Times New Roman;serif" w:hAnsi="Times New Roman;serif"/>
          <w:b w:val="false"/>
          <w:i w:val="false"/>
          <w:caps w:val="false"/>
          <w:smallCaps w:val="false"/>
          <w:sz w:val="20"/>
        </w:rPr>
        <w:t>Cash used in financing activities for the six months ended June 30, 2025, increased by $36.0 million, to $34.9 million compared to cash provided by financing activities of $1.1 million. This was primarily due to the paydowns of our Westpac debt and NAB Bridge Facility in 2025 as discussed previously, compared to the NAB Bridge Facility draw in the same period of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presents the changes in our total available resources (cash and borrowings), debt-to-equity ratio, working capital, and other relevant information addressing our liquidity for the six months ended June 30, 2025, and preceding four years:</w:t>
      </w:r>
    </w:p>
    <w:tbl>
      <w:tblPr>
        <w:tblW w:w="9089" w:type="dxa"/>
        <w:jc w:val="left"/>
        <w:tblInd w:w="0" w:type="dxa"/>
        <w:tblLayout w:type="fixed"/>
        <w:tblCellMar>
          <w:top w:w="0" w:type="dxa"/>
          <w:left w:w="0" w:type="dxa"/>
          <w:bottom w:w="0" w:type="dxa"/>
          <w:right w:w="0" w:type="dxa"/>
        </w:tblCellMar>
      </w:tblPr>
      <w:tblGrid>
        <w:gridCol w:w="3286"/>
        <w:gridCol w:w="109"/>
        <w:gridCol w:w="274"/>
        <w:gridCol w:w="1136"/>
        <w:gridCol w:w="109"/>
        <w:gridCol w:w="196"/>
        <w:gridCol w:w="811"/>
        <w:gridCol w:w="109"/>
        <w:gridCol w:w="196"/>
        <w:gridCol w:w="736"/>
        <w:gridCol w:w="109"/>
        <w:gridCol w:w="196"/>
        <w:gridCol w:w="736"/>
        <w:gridCol w:w="109"/>
        <w:gridCol w:w="196"/>
        <w:gridCol w:w="781"/>
      </w:tblGrid>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As of and</w:t>
              <w:br/>
              <w:t>‎for the</w:t>
              <w:br/>
              <w:t>‎6-Months</w:t>
              <w:br/>
              <w:t>‎Ended</w:t>
            </w:r>
          </w:p>
        </w:tc>
        <w:tc>
          <w:tcPr>
            <w:tcW w:w="109" w:type="dxa"/>
            <w:tcBorders/>
            <w:vAlign w:val="center"/>
          </w:tcPr>
          <w:p>
            <w:pPr>
              <w:pStyle w:val="TableContents"/>
              <w:bidi w:val="0"/>
              <w:spacing w:before="0" w:after="283"/>
              <w:jc w:val="left"/>
              <w:rPr>
                <w:sz w:val="4"/>
                <w:szCs w:val="4"/>
              </w:rPr>
            </w:pPr>
            <w:r>
              <w:rPr>
                <w:sz w:val="4"/>
                <w:szCs w:val="4"/>
              </w:rPr>
            </w:r>
          </w:p>
        </w:tc>
        <w:tc>
          <w:tcPr>
            <w:tcW w:w="4175"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Year Ended December 31</w:t>
            </w:r>
          </w:p>
        </w:tc>
      </w:tr>
      <w:tr>
        <w:trPr/>
        <w:tc>
          <w:tcPr>
            <w:tcW w:w="32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 Bold" w:hAnsi="Times New Roman Bold"/>
                <w:b w:val="false"/>
                <w:i/>
                <w:color w:val="000000"/>
                <w:sz w:val="16"/>
              </w:rPr>
            </w:pPr>
            <w:r>
              <w:rPr>
                <w:rFonts w:ascii="Times New Roman Bold" w:hAnsi="Times New Roman Bold"/>
                <w:b w:val="false"/>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2021</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Total Resources (cash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9,073 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Restricted for capital projects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12,000 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period end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11,432 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95,251 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period end</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9,073 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Debt-to-Equity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175,790 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210,572 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218,159 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248,948 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173,431 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202,713 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210,300 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236,948 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38,229 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69,193 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35,070 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12,060 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135,202 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133,520 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175,230 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224,888 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32,996 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105,060 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Changes in 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Working capital (deficit)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(109,180)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(104,584)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(6,673)</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0.16 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0.94 </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14,428 </w:t>
            </w:r>
          </w:p>
        </w:tc>
      </w:tr>
    </w:tbl>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51" w:name="_Hlk69122165"/>
      <w:bookmarkEnd w:id="51"/>
      <w:r>
        <w:rPr>
          <w:rFonts w:ascii="Times New Roman;serif" w:hAnsi="Times New Roman;serif"/>
          <w:b w:val="false"/>
          <w:i w:val="false"/>
          <w:caps w:val="false"/>
          <w:smallCaps w:val="false"/>
          <w:sz w:val="16"/>
        </w:rPr>
        <w:t>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2025, we had $9.1 million in unrestricted cash and cash equivalents compared to (i) 12.3 million on December 31, 2024 and (ii) $5.9 million on March 31, 2025. On June 30, 2025, our total outstanding borrowings were $173.4 million compared to $202.7 million on December 31, 2024.</w:t>
      </w:r>
    </w:p>
    <w:p>
      <w:pPr>
        <w:pStyle w:val="TextBody"/>
        <w:bidi w:val="0"/>
        <w:spacing w:lineRule="auto" w:line="259"/>
        <w:rPr>
          <w:caps w:val="false"/>
          <w:smallCaps w:val="false"/>
        </w:rPr>
      </w:pPr>
      <w:bookmarkStart w:id="52" w:name="_Hlk102226248"/>
      <w:bookmarkEnd w:id="52"/>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CONTRACTUAL OBLIGATIONS, COMMITMENTS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with respect to the maturities and scheduled principal repayments of our recorded contractual obligations and certain of our commitments and contingencies, either recorded or off-balance sheet, as of June 30, 2025: </w:t>
      </w:r>
    </w:p>
    <w:p>
      <w:pPr>
        <w:pStyle w:val="TextBody"/>
        <w:bidi w:val="0"/>
        <w:spacing w:lineRule="auto" w:line="259"/>
        <w:rPr>
          <w:caps w:val="false"/>
          <w:smallCaps w:val="false"/>
        </w:rPr>
      </w:pPr>
      <w:r>
        <w:rPr>
          <w:caps w:val="false"/>
          <w:smallCaps w:val="false"/>
        </w:rPr>
        <w:t> </w:t>
      </w:r>
    </w:p>
    <w:tbl>
      <w:tblPr>
        <w:tblW w:w="9808" w:type="dxa"/>
        <w:jc w:val="left"/>
        <w:tblInd w:w="0" w:type="dxa"/>
        <w:tblLayout w:type="fixed"/>
        <w:tblCellMar>
          <w:top w:w="0" w:type="dxa"/>
          <w:left w:w="0" w:type="dxa"/>
          <w:bottom w:w="0" w:type="dxa"/>
          <w:right w:w="0" w:type="dxa"/>
        </w:tblCellMar>
      </w:tblPr>
      <w:tblGrid>
        <w:gridCol w:w="3151"/>
        <w:gridCol w:w="109"/>
        <w:gridCol w:w="196"/>
        <w:gridCol w:w="601"/>
        <w:gridCol w:w="109"/>
        <w:gridCol w:w="196"/>
        <w:gridCol w:w="691"/>
        <w:gridCol w:w="109"/>
        <w:gridCol w:w="196"/>
        <w:gridCol w:w="601"/>
        <w:gridCol w:w="109"/>
        <w:gridCol w:w="196"/>
        <w:gridCol w:w="601"/>
        <w:gridCol w:w="109"/>
        <w:gridCol w:w="196"/>
        <w:gridCol w:w="601"/>
        <w:gridCol w:w="109"/>
        <w:gridCol w:w="196"/>
        <w:gridCol w:w="691"/>
        <w:gridCol w:w="109"/>
        <w:gridCol w:w="196"/>
        <w:gridCol w:w="736"/>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30,888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114,630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145,518</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27,028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25,237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24,160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122,160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235,835</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leases, including imputed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2,598</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on pension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252</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Estimated interest on debt </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17,919</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Village East purchase option</w:t>
            </w:r>
            <w:r>
              <w:rPr>
                <w:rFonts w:ascii="Times New Roman;serif" w:hAnsi="Times New Roman;serif"/>
                <w:b w:val="false"/>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152,057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23,196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122,160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435,957</w:t>
            </w:r>
          </w:p>
        </w:tc>
      </w:tr>
    </w:tbl>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(2)Estimated interest on debt is based on the anticipated loan balances for future periods and current applicable interest rates.  </w:t>
      </w:r>
    </w:p>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(3)Represents the lease liability associated with the exercise of the option associated with the ground lease purchase of the Village East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Cinema, which on March 27, 2025 was extended to April 30, 2025 and our sublease of the facility was extended until September 1, 2027.The Company is working with Sutton Hill Capital, LLC on further extending the date of the closing of such option.</w:t>
      </w:r>
    </w:p>
    <w:p>
      <w:pPr>
        <w:pStyle w:val="TextBody"/>
        <w:bidi w:val="0"/>
        <w:spacing w:lineRule="auto" w:line="259"/>
        <w:rPr>
          <w:rFonts w:ascii="Times New Roman;serif" w:hAnsi="Times New Roman;serif"/>
          <w:b/>
          <w:i w:val="false"/>
          <w:caps w:val="false"/>
          <w:smallCaps w:val="false"/>
          <w:sz w:val="20"/>
        </w:rPr>
      </w:pPr>
      <w:bookmarkStart w:id="53" w:name="_Hlk69122991"/>
      <w:bookmarkEnd w:id="53"/>
      <w:r>
        <w:rPr>
          <w:rFonts w:ascii="Times New Roman;serif" w:hAnsi="Times New Roman;serif"/>
          <w:b/>
          <w:i w:val="false"/>
          <w:caps w:val="false"/>
          <w:smallCaps w:val="false"/>
          <w:sz w:val="20"/>
        </w:rPr>
        <w:t>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our 2024 Form 10-K for more information. There have been no material changes to our litigation since our 2024 Form 10-K, except as set forth in </w:t>
      </w:r>
      <w:r>
        <w:rPr>
          <w:rFonts w:ascii="Times New Roman;serif" w:hAnsi="Times New Roman;serif"/>
          <w:b w:val="false"/>
          <w:i/>
          <w:sz w:val="20"/>
        </w:rPr>
        <w:t>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16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on this Quarterly Report on Form 10-Q. This note sets out our litigation accounting policies.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 </w:t>
      </w:r>
    </w:p>
    <w:p>
      <w:pPr>
        <w:pStyle w:val="TextBody"/>
        <w:bidi w:val="0"/>
        <w:spacing w:lineRule="auto" w:line="259"/>
        <w:rPr>
          <w:rFonts w:ascii="Times New Roman;serif" w:hAnsi="Times New Roman;serif"/>
          <w:b/>
          <w:i w:val="false"/>
          <w:caps w:val="false"/>
          <w:smallCaps w:val="false"/>
          <w:sz w:val="20"/>
        </w:rPr>
      </w:pPr>
      <w:bookmarkStart w:id="54" w:name="_Hlk69123268"/>
      <w:bookmarkEnd w:id="54"/>
      <w:r>
        <w:rPr>
          <w:rFonts w:ascii="Times New Roman;serif" w:hAnsi="Times New Roman;serif"/>
          <w:b/>
          <w:i w:val="false"/>
          <w:caps w:val="false"/>
          <w:smallCaps w:val="false"/>
          <w:sz w:val="20"/>
        </w:rPr>
        <w:t>CRITICAL ACCOUNTING POLICIES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 Impairment of Long-lived Assets (other than Goodwill and Intangible Assets with indefinite lives) – </w:t>
      </w:r>
      <w:r>
        <w:rPr>
          <w:rFonts w:ascii="Times New Roman;serif" w:hAnsi="Times New Roman;serif"/>
          <w:b w:val="false"/>
          <w:i w:val="false"/>
          <w:caps w:val="false"/>
          <w:smallCaps w:val="false"/>
          <w:color w:val="000000"/>
          <w:sz w:val="20"/>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impairment losses were recorded for long-lived and finite-lived intangible assets for the quarter ended June 30, 2025.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(ii) Impairment of Goodwill and Intangible Assets with indefinite lives – </w:t>
      </w:r>
      <w:r>
        <w:rPr>
          <w:rFonts w:ascii="Times New Roman;serif" w:hAnsi="Times New Roman;serif"/>
          <w:b w:val="false"/>
          <w:i w:val="false"/>
          <w:caps w:val="false"/>
          <w:smallCaps w:val="false"/>
          <w:color w:val="000000"/>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quarter ended June 30, 2025.</w:t>
      </w:r>
    </w:p>
    <w:p>
      <w:pPr>
        <w:pStyle w:val="TextBody"/>
        <w:bidi w:val="0"/>
        <w:spacing w:lineRule="auto" w:line="259"/>
        <w:rPr>
          <w:rFonts w:ascii="Times New Roman;serif" w:hAnsi="Times New Roman;serif"/>
          <w:b/>
          <w:i w:val="false"/>
          <w:caps w:val="false"/>
          <w:smallCaps w:val="false"/>
          <w:sz w:val="20"/>
        </w:rPr>
      </w:pPr>
      <w:bookmarkStart w:id="55" w:name="_Hlk72071289"/>
      <w:bookmarkEnd w:id="55"/>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patrons returning to our theatres and continuing to use discretionary funds on entertainment outside of the home; our beliefs regarding the impact of our cinema-anchored real estate developments; our beliefs regarding the success of our diversified business strategy; our belief regarding the attractiveness of 44 Union Square to potential tenants and ability to lease space on acceptable terms; our expectations regarding the effects of our enhanced F&amp;B offerings on our operating results; our expectations regarding our ability to monetize our assets on terms acceptable to us; our expectations regarding credit facility covenant compliance and our ability to continue to obtain necessary covenant waivers and loan extensions on terms acceptable to us; and our expectations of our liquidity and capital requirements and the allocation of funds.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rPr/>
      </w:pPr>
      <w:r>
        <w:rPr>
          <w:caps w:val="false"/>
          <w:smallCaps w:val="false"/>
          <w:color w:val="000000"/>
        </w:rPr>
        <w:t></w:t>
      </w:r>
      <w:bookmarkStart w:id="56" w:name="_Hlk204614469"/>
      <w:bookmarkEnd w:id="56"/>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reduced consumer demand due to inflationary pressures and other macroeconomic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effects of external events of the past pandemic and the 2023 Hollywood strikes on our Company’s results from operations, liquidity, cash flows, financial condition, and access to credit markets;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 change in consumer behavior in favor of alternative forms or mediums of entertainment, and limited availability of wide motion picture release content;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reduction in operating margins (or negative operating margins) due to (i) decreased attendance, (ii) limited availability of wide release content, and (iii) increased operating expenses;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uncertainty as to the scope and extent of our government’s potential responses to future outbreak of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lack of availability of films in the short- or long-term as a result of (i) major film distributors releasing scheduled theatrical films on alternative channels; (ii) disruptions of film production; or (iii) rescheduling of movie releases into later periods, as experienced due to the implications of the 2023 Hollywood strikes;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amount of money spent by film distributors to promote their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among other things, government policy, consumer willingness to go to the movies;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shortages and increased labor costs related to such shortages and to increasingly costly labor laws and regulations applicable to part time non-exempt workers. Disruptions in film supply and film marketing due to the 2023 Hollywood Strikes;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a newly restructured Regal, which may have lower occupancy costs than our cinemas.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on tenants from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uncertainty as to governmental responses to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and cost of labor and materials;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obtain all permits to construct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finance improvements, including, but not limited to increased cost of borrowing and tightened lender credit policies;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to our business from construction and/or renovations;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possibility of construction delays, work stoppage, and material shortage;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environmental remediation issues;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government policy, consumer willingness to visit shopping centers.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2025 and beyond, and the impact of increasing interest rates;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 security;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future major outbreaks of contagious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applicable accounting policies and practices;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impact of the conflict events occurring in Eastern Europe and the threats of potential conflicts in the Asia-Pacific region;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Israel and the threats of other potential conflicts in the Middle East,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tariff regulations enforced by the U.S. against various nations.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made by us in this quarter report are based only on information currently available to us and are current only as of the date of this Quarterly Report on Form 10-Q for the period ended June 30, 2025.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3 –</w:t>
      </w:r>
      <w:bookmarkStart w:id="57" w:name="Item3"/>
      <w:bookmarkEnd w:id="57"/>
      <w:r>
        <w:rPr>
          <w:rFonts w:ascii="Times New Roman;serif" w:hAnsi="Times New Roman;serif"/>
          <w:caps w:val="false"/>
          <w:smallCaps w:val="false"/>
          <w:sz w:val="20"/>
          <w:u w:val="single"/>
        </w:rPr>
        <w:t xml:space="preserve"> </w:t>
      </w:r>
      <w:r>
        <w:rPr>
          <w:rFonts w:ascii="Times New Roman;serif" w:hAnsi="Times New Roman;serif"/>
          <w:b/>
          <w:i w:val="false"/>
          <w:caps w:val="false"/>
          <w:smallCaps w:val="false"/>
          <w:sz w:val="20"/>
          <w:u w:val="single"/>
        </w:rPr>
        <w:t>Quantitative and Qualitative Disclosure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It is based on a single point in time;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It does not include the effects of other complex market reactions that would arise from the changes modeled.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the results of such an analysis may be useful as a benchmark, they should not be viewed as forecasts.</w:t>
      </w:r>
    </w:p>
    <w:p>
      <w:pPr>
        <w:pStyle w:val="TextBody"/>
        <w:bidi w:val="0"/>
        <w:spacing w:lineRule="auto" w:line="259"/>
        <w:rPr>
          <w:rFonts w:ascii="Times New Roman;serif" w:hAnsi="Times New Roman;serif"/>
          <w:b/>
          <w:i/>
          <w:sz w:val="20"/>
        </w:rPr>
      </w:pPr>
      <w:r>
        <w:rPr>
          <w:rFonts w:ascii="Times New Roman;serif" w:hAnsi="Times New Roman;serif"/>
          <w:b/>
          <w:i/>
          <w:sz w:val="20"/>
        </w:rPr>
        <w:t>Currency Risk</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two currencies in relation to US dollars since 1996:</w:t>
      </w:r>
    </w:p>
    <w:p>
      <w:pPr>
        <w:pStyle w:val="TextBody"/>
        <w:bidi w:val="0"/>
        <w:spacing w:lineRule="auto" w:line="259"/>
        <w:rPr>
          <w:caps w:val="false"/>
          <w:smallCaps w:val="false"/>
        </w:rPr>
      </w:pPr>
      <w:r>
        <w:rPr>
          <w:caps w:val="false"/>
          <w:smallCaps w:val="false"/>
        </w:rPr>
        <w:drawing>
          <wp:inline distT="0" distB="0" distL="0" distR="0">
            <wp:extent cx="6858000" cy="39077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907790"/>
                    </a:xfrm>
                    <a:prstGeom prst="rect">
                      <a:avLst/>
                    </a:prstGeom>
                  </pic:spPr>
                </pic:pic>
              </a:graphicData>
            </a:graphic>
          </wp:inline>
        </w:drawing>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recent periods, we have paid material intercompany dividends and have repaid intercompany debt, using these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w:t>
      </w:r>
    </w:p>
    <w:p>
      <w:pPr>
        <w:pStyle w:val="TextBody"/>
        <w:bidi w:val="0"/>
        <w:spacing w:lineRule="auto" w:line="259"/>
        <w:rPr>
          <w:rFonts w:ascii="Times New Roman;serif" w:hAnsi="Times New Roman;serif"/>
          <w:b w:val="false"/>
          <w:i w:val="false"/>
          <w:caps w:val="false"/>
          <w:smallCaps w:val="false"/>
          <w:sz w:val="20"/>
        </w:rPr>
      </w:pPr>
      <w:bookmarkStart w:id="58" w:name="_Hlk77580730"/>
      <w:bookmarkEnd w:id="58"/>
      <w:r>
        <w:rPr>
          <w:rFonts w:ascii="Times New Roman;serif" w:hAnsi="Times New Roman;serif"/>
          <w:b w:val="false"/>
          <w:i w:val="false"/>
          <w:caps w:val="false"/>
          <w:smallCaps w:val="false"/>
          <w:sz w:val="20"/>
        </w:rPr>
        <w:t>Our Company transacts business in Australia and New Zealand and is subject to risks associated with fluctuating foreign currency exchange rates. During the second quarter of 2025, the average Australian dollar and New Zealand dollar weakened against the U.S. dollar by 2.7% and 1.9%, respectively, compared to the same prior year period.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June 30, 2025, approximately 36.5% and 5.9% of our assets were invested in assets denominated in Australian dollars (Reading Entertainment Australia) and New Zealand dollars (Reading New Zealand), respectively, including approximately $6.0 million in cash and cash equivalents. At December 31, 2024, approximately 35.6% and 8.3% of our assets were invested in assets denominated in Australian dollars (Reading Entertainment Australia) and New Zealand dollars (Reading New Zealand), respectively, including approximately $7.3 million in cash and cash equivalents.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and the current holding of U.S. dollars by certain Australian and New Zealand subsidiaries have had an effect on our current earnings. The effect of the translation adjustment on our assets and liabilities noted in our other comprehensive income was a decrease of $2.7 million for the quarter ended June 30, 2025. As we continue to progress our acquisition and development activities in Australia and New Zealand, no assurances can be given that the foreign currency effect on our earnings will not be material in the future.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record unrealized foreign currency translation gains or losses that could materially affect our financial position. As of June 30, 2025, and December 31, 2024, the balance of cumulative foreign currency translation adjustments were approximately a ($2.4) million loss and ($5.5) million loss, respectively.</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Interest Rate Risk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exposure to interest rate risk arises out of our long-term floating-rate borrowings. To manage the risk, we utilize interest rate derivative contracts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convert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certain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floating-rate borrowings into fixed-rate borrowings. It is our Company’s policy to enter into interest rate derivative transactions only to the extent considered necessary to meet its objectives as stated above. Our Company does not enter into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these transactions or any other hedging transactions for speculative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we maintain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 combination of fixed and variable interest rate loans. In connection with our variable interest rate loans, a change of approximately 1% in short-term interest rates would have resulted in an approximate $415,000 increase or decrease in our quarterly interest expense.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discussion on market risks, please refer to </w:t>
      </w:r>
      <w:r>
        <w:rPr>
          <w:rFonts w:ascii="Times New Roman;serif" w:hAnsi="Times New Roman;serif"/>
          <w:b w:val="false"/>
          <w:i/>
          <w:sz w:val="20"/>
        </w:rPr>
        <w:t xml:space="preserve">Part I, Item 1A – Risk Factors </w:t>
      </w:r>
      <w:r>
        <w:rPr>
          <w:rFonts w:ascii="Times New Roman;serif" w:hAnsi="Times New Roman;serif"/>
          <w:b w:val="false"/>
          <w:i w:val="false"/>
          <w:caps w:val="false"/>
          <w:smallCaps w:val="false"/>
          <w:sz w:val="20"/>
        </w:rPr>
        <w:t>included on our 2024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 xml:space="preserve">Item 4 – </w:t>
      </w:r>
      <w:bookmarkStart w:id="59" w:name="Item4"/>
      <w:bookmarkEnd w:id="59"/>
      <w:r>
        <w:rPr>
          <w:rFonts w:ascii="Times New Roman;serif" w:hAnsi="Times New Roman;serif"/>
          <w:b/>
          <w:i w:val="false"/>
          <w:caps w:val="false"/>
          <w:smallCaps w:val="false"/>
          <w:sz w:val="20"/>
          <w:u w:val="single"/>
        </w:rPr>
        <w:t>Controls and Procedures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maintain disclosure controls and procedures that are designed to ensure that information required to be disclosed in our Company’s reports filed under the Securities Exchange Act of 1934, as amended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Exchange Act</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upon our evaluation, our Chief Executive Officer and Chief Financial Officer concluded that our disclosure controls and procedures were not effective as of June 30, 2025, because of the material weakness in internal controls over financial reporting relating to the erroneous reversal and treatment of a liability. This material weakness existed for the periods June 30, 2024, September 30, 2024, December 31, 2024, March 31, 2025, and June 30, 2025, and resulted in the Company restating its consolidated financial statements for the June 30, 2024, and September 30, 2024 periods.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material weakness in internal control over financial reporting described above, management has concluded that we did not maintain effective internal control over financial reporting as of June 30, 2025. For a discussion regarding management’s remediation plan of the material weakness, please refer to Item 9A of the Company’s 2024 Form 10-K.</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were no other changes in our internal control over financial reporting (as defined in Rule 13a-15(f) and 15d-15(f) under the Exchange Act) that occurred during the second quarter ended June 30, 2025, that have materially affected, or are reasonably likely to materially affect, our internal control over financial reporting.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 – Other Information</w:t>
      </w:r>
      <w:bookmarkStart w:id="60" w:name="Part2"/>
      <w:bookmarkEnd w:id="60"/>
    </w:p>
    <w:p>
      <w:pPr>
        <w:pStyle w:val="TextBody"/>
        <w:bidi w:val="0"/>
        <w:spacing w:lineRule="auto" w:line="259"/>
        <w:rPr>
          <w:rFonts w:ascii="Times New Roman;serif" w:hAnsi="Times New Roman;serif"/>
          <w:b/>
          <w:i w:val="false"/>
          <w:caps w:val="false"/>
          <w:smallCaps w:val="false"/>
          <w:sz w:val="20"/>
          <w:u w:val="single"/>
        </w:rPr>
      </w:pPr>
      <w:bookmarkStart w:id="61" w:name="Part2Item1"/>
      <w:bookmarkEnd w:id="61"/>
      <w:r>
        <w:rPr>
          <w:rFonts w:ascii="Times New Roman;serif" w:hAnsi="Times New Roman;serif"/>
          <w:b/>
          <w:i w:val="false"/>
          <w:caps w:val="false"/>
          <w:smallCaps w:val="false"/>
          <w:sz w:val="20"/>
          <w:u w:val="single"/>
        </w:rPr>
        <w:t xml:space="preserve">Item 1 – Legal Proceedings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information required under Part II, Item 1</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16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Quarterly Report on Form 10-Q.</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details on our legal proceedings, 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contained in our 2024 Form 10-K.</w:t>
      </w:r>
    </w:p>
    <w:p>
      <w:pPr>
        <w:pStyle w:val="TextBody"/>
        <w:bidi w:val="0"/>
        <w:spacing w:lineRule="auto" w:line="259"/>
        <w:rPr>
          <w:rFonts w:ascii="Times New Roman;serif" w:hAnsi="Times New Roman;serif"/>
          <w:sz w:val="20"/>
        </w:rPr>
      </w:pPr>
      <w:bookmarkStart w:id="62" w:name="Part2Item1A"/>
      <w:bookmarkEnd w:id="62"/>
      <w:r>
        <w:rPr>
          <w:rFonts w:ascii="Times New Roman;serif" w:hAnsi="Times New Roman;serif"/>
          <w:b/>
          <w:i w:val="false"/>
          <w:caps w:val="false"/>
          <w:smallCaps w:val="false"/>
          <w:sz w:val="20"/>
          <w:u w:val="single"/>
        </w:rPr>
        <w:t>Item 1A – Risk Factors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to the risk factors we previously disclosed in Item 1A of our 2024 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encourage investors to review the risks and uncertainties relating to our business disclosed under the heading Risk Factors or otherwise in the 2024 Form 10-K, as well as those contained in Part I – Forward-Looking Statements thereof, as revised or supplemented by our Quarterly Reports filed with the SEC since the filing of the 2024 Form 10-K.</w:t>
      </w:r>
    </w:p>
    <w:p>
      <w:pPr>
        <w:pStyle w:val="TextBody"/>
        <w:bidi w:val="0"/>
        <w:spacing w:lineRule="auto" w:line="259"/>
        <w:rPr>
          <w:rFonts w:ascii="Times New Roman;serif" w:hAnsi="Times New Roman;serif"/>
          <w:b/>
          <w:i w:val="false"/>
          <w:caps w:val="false"/>
          <w:smallCaps w:val="false"/>
          <w:sz w:val="20"/>
          <w:u w:val="single"/>
        </w:rPr>
      </w:pPr>
      <w:bookmarkStart w:id="63" w:name="_Hlk69848374"/>
      <w:bookmarkEnd w:id="63"/>
      <w:r>
        <w:rPr>
          <w:rFonts w:ascii="Times New Roman;serif" w:hAnsi="Times New Roman;serif"/>
          <w:b/>
          <w:i w:val="false"/>
          <w:caps w:val="false"/>
          <w:smallCaps w:val="false"/>
          <w:sz w:val="20"/>
          <w:u w:val="single"/>
        </w:rPr>
        <w:t>Item 2 – Sales of Equity Securities and Use of Proceeds</w:t>
      </w:r>
      <w:bookmarkStart w:id="64" w:name="Part2Item2"/>
      <w:bookmarkEnd w:id="64"/>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5" w:name="Part2Item3"/>
      <w:bookmarkEnd w:id="65"/>
      <w:r>
        <w:rPr>
          <w:rFonts w:ascii="Times New Roman;serif" w:hAnsi="Times New Roman;serif"/>
          <w:b/>
          <w:i w:val="false"/>
          <w:caps w:val="false"/>
          <w:smallCaps w:val="false"/>
          <w:sz w:val="20"/>
          <w:u w:val="single"/>
        </w:rPr>
        <w:t>Item 3 –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6" w:name="Part2Item4"/>
      <w:bookmarkEnd w:id="66"/>
      <w:r>
        <w:rPr>
          <w:rFonts w:ascii="Times New Roman;serif" w:hAnsi="Times New Roman;serif"/>
          <w:b/>
          <w:i w:val="false"/>
          <w:caps w:val="false"/>
          <w:smallCaps w:val="false"/>
          <w:sz w:val="20"/>
          <w:u w:val="single"/>
        </w:rPr>
        <w:t>Item 4 – Mine Safety Disclosure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i w:val="false"/>
          <w:caps w:val="false"/>
          <w:smallCaps w:val="false"/>
          <w:sz w:val="20"/>
          <w:u w:val="single"/>
        </w:rPr>
      </w:pPr>
      <w:bookmarkStart w:id="67" w:name="_Hlk69848352"/>
      <w:bookmarkStart w:id="68" w:name="Part2Item5"/>
      <w:bookmarkEnd w:id="67"/>
      <w:bookmarkEnd w:id="68"/>
      <w:r>
        <w:rPr>
          <w:rFonts w:ascii="Times New Roman;serif" w:hAnsi="Times New Roman;serif"/>
          <w:b/>
          <w:i w:val="false"/>
          <w:caps w:val="false"/>
          <w:smallCaps w:val="false"/>
          <w:sz w:val="20"/>
          <w:u w:val="single"/>
        </w:rPr>
        <w:t>Item 5 – Other Information</w:t>
      </w:r>
    </w:p>
    <w:p>
      <w:pPr>
        <w:pStyle w:val="TextBody"/>
        <w:bidi w:val="0"/>
        <w:spacing w:lineRule="auto" w:line="259"/>
        <w:rPr>
          <w:rFonts w:ascii="Times New Roman;serif" w:hAnsi="Times New Roman;serif"/>
          <w:sz w:val="20"/>
        </w:rPr>
      </w:pPr>
      <w:bookmarkStart w:id="69" w:name="Part2Item5_101"/>
      <w:bookmarkEnd w:id="69"/>
      <w:r>
        <w:rPr>
          <w:rFonts w:ascii="Times New Roman;serif" w:hAnsi="Times New Roman;serif"/>
          <w:b w:val="false"/>
          <w:i w:val="false"/>
          <w:caps w:val="false"/>
          <w:smallCaps w:val="false"/>
          <w:sz w:val="20"/>
        </w:rPr>
        <w:t>During the quarter ended June 30, 2025, no director or officer of the Company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“Rule 10b5-1 trading arrangement” or a “non-Rule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(in each case, as defined in Item 408 of Regulation S-K).</w:t>
        <w:br/>
        <w:t>‎</w:t>
      </w:r>
    </w:p>
    <w:p>
      <w:pPr>
        <w:pStyle w:val="TextBody"/>
        <w:bidi w:val="0"/>
        <w:spacing w:lineRule="auto" w:line="259"/>
        <w:rPr>
          <w:caps w:val="false"/>
          <w:smallCaps w:val="false"/>
        </w:rPr>
      </w:pPr>
      <w:bookmarkStart w:id="70" w:name="_Hlk79170627"/>
      <w:bookmarkStart w:id="71" w:name="Part2Item6"/>
      <w:bookmarkEnd w:id="70"/>
      <w:bookmarkEnd w:id="71"/>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6 – Exhibits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10</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w:t>
      </w:r>
    </w:p>
    <w:tbl>
      <w:tblPr>
        <w:tblW w:w="10205" w:type="dxa"/>
        <w:jc w:val="left"/>
        <w:tblInd w:w="0" w:type="dxa"/>
        <w:tblLayout w:type="fixed"/>
        <w:tblCellMar>
          <w:top w:w="0" w:type="dxa"/>
          <w:left w:w="0" w:type="dxa"/>
          <w:bottom w:w="0" w:type="dxa"/>
          <w:right w:w="0" w:type="dxa"/>
        </w:tblCellMar>
      </w:tblPr>
      <w:tblGrid>
        <w:gridCol w:w="533"/>
        <w:gridCol w:w="9672"/>
      </w:tblGrid>
      <w:tr>
        <w:trPr/>
        <w:tc>
          <w:tcPr>
            <w:tcW w:w="533" w:type="dxa"/>
            <w:tcBorders/>
            <w:vAlign w:val="center"/>
          </w:tcPr>
          <w:p>
            <w:pPr>
              <w:pStyle w:val="TableContents"/>
              <w:bidi w:val="0"/>
              <w:spacing w:before="0" w:after="283"/>
              <w:jc w:val="left"/>
              <w:rPr>
                <w:sz w:val="4"/>
                <w:szCs w:val="4"/>
              </w:rPr>
            </w:pPr>
            <w:r>
              <w:rPr>
                <w:sz w:val="4"/>
                <w:szCs w:val="4"/>
              </w:rPr>
            </w:r>
          </w:p>
        </w:tc>
        <w:tc>
          <w:tcPr>
            <w:tcW w:w="9672" w:type="dxa"/>
            <w:tcBorders/>
            <w:vAlign w:val="center"/>
          </w:tcPr>
          <w:p>
            <w:pPr>
              <w:pStyle w:val="TableContents"/>
              <w:bidi w:val="0"/>
              <w:spacing w:before="0" w:after="283"/>
              <w:jc w:val="left"/>
              <w:rPr>
                <w:sz w:val="4"/>
                <w:szCs w:val="4"/>
              </w:rPr>
            </w:pPr>
            <w:r>
              <w:rPr>
                <w:sz w:val="4"/>
                <w:szCs w:val="4"/>
              </w:rPr>
            </w:r>
          </w:p>
        </w:tc>
      </w:tr>
      <w:tr>
        <w:trPr/>
        <w:tc>
          <w:tcPr>
            <w:tcW w:w="533" w:type="dxa"/>
            <w:tcBorders/>
            <w:vAlign w:val="center"/>
          </w:tcPr>
          <w:p>
            <w:pPr>
              <w:pStyle w:val="TableContents"/>
              <w:bidi w:val="0"/>
              <w:spacing w:before="0" w:after="283"/>
              <w:jc w:val="left"/>
              <w:rPr>
                <w:sz w:val="4"/>
                <w:szCs w:val="4"/>
              </w:rPr>
            </w:pPr>
            <w:r>
              <w:rPr>
                <w:sz w:val="4"/>
                <w:szCs w:val="4"/>
              </w:rPr>
            </w:r>
          </w:p>
        </w:tc>
        <w:tc>
          <w:tcPr>
            <w:tcW w:w="9672" w:type="dxa"/>
            <w:tcBorders/>
            <w:vAlign w:val="center"/>
          </w:tcPr>
          <w:p>
            <w:pPr>
              <w:pStyle w:val="TableContents"/>
              <w:bidi w:val="0"/>
              <w:spacing w:before="0" w:after="283"/>
              <w:jc w:val="left"/>
              <w:rPr>
                <w:sz w:val="4"/>
                <w:szCs w:val="4"/>
              </w:rPr>
            </w:pPr>
            <w:r>
              <w:rPr>
                <w:sz w:val="4"/>
                <w:szCs w:val="4"/>
              </w:rPr>
            </w:r>
          </w:p>
        </w:tc>
      </w:tr>
      <w:tr>
        <w:trPr/>
        <w:tc>
          <w:tcPr>
            <w:tcW w:w="533" w:type="dxa"/>
            <w:tcBorders/>
            <w:vAlign w:val="center"/>
          </w:tcPr>
          <w:p>
            <w:pPr>
              <w:pStyle w:val="TableContents"/>
              <w:bidi w:val="0"/>
              <w:spacing w:before="0" w:after="283"/>
              <w:jc w:val="left"/>
              <w:rPr>
                <w:sz w:val="4"/>
                <w:szCs w:val="4"/>
              </w:rPr>
            </w:pPr>
            <w:r>
              <w:rPr>
                <w:sz w:val="4"/>
                <w:szCs w:val="4"/>
              </w:rPr>
            </w:r>
          </w:p>
        </w:tc>
        <w:tc>
          <w:tcPr>
            <w:tcW w:w="9672" w:type="dxa"/>
            <w:tcBorders/>
            <w:vAlign w:val="center"/>
          </w:tcPr>
          <w:p>
            <w:pPr>
              <w:pStyle w:val="TableContents"/>
              <w:bidi w:val="0"/>
              <w:spacing w:before="0" w:after="283"/>
              <w:jc w:val="left"/>
              <w:rPr>
                <w:sz w:val="4"/>
                <w:szCs w:val="4"/>
              </w:rPr>
            </w:pPr>
            <w:r>
              <w:rPr>
                <w:sz w:val="4"/>
                <w:szCs w:val="4"/>
              </w:rPr>
            </w:r>
          </w:p>
        </w:tc>
      </w:tr>
      <w:tr>
        <w:trPr/>
        <w:tc>
          <w:tcPr>
            <w:tcW w:w="533" w:type="dxa"/>
            <w:tcBorders/>
            <w:vAlign w:val="center"/>
          </w:tcPr>
          <w:p>
            <w:pPr>
              <w:pStyle w:val="TableContents"/>
              <w:bidi w:val="0"/>
              <w:spacing w:before="0" w:after="283"/>
              <w:jc w:val="left"/>
              <w:rPr>
                <w:sz w:val="4"/>
                <w:szCs w:val="4"/>
              </w:rPr>
            </w:pPr>
            <w:r>
              <w:rPr>
                <w:sz w:val="4"/>
                <w:szCs w:val="4"/>
              </w:rPr>
            </w:r>
          </w:p>
        </w:tc>
        <w:tc>
          <w:tcPr>
            <w:tcW w:w="9672" w:type="dxa"/>
            <w:tcBorders/>
            <w:vAlign w:val="center"/>
          </w:tcPr>
          <w:p>
            <w:pPr>
              <w:pStyle w:val="TableContents"/>
              <w:bidi w:val="0"/>
              <w:spacing w:before="0" w:after="283"/>
              <w:jc w:val="left"/>
              <w:rPr>
                <w:sz w:val="4"/>
                <w:szCs w:val="4"/>
              </w:rPr>
            </w:pPr>
            <w:r>
              <w:rPr>
                <w:sz w:val="4"/>
                <w:szCs w:val="4"/>
              </w:rPr>
            </w:r>
          </w:p>
        </w:tc>
      </w:tr>
      <w:tr>
        <w:trPr/>
        <w:tc>
          <w:tcPr>
            <w:tcW w:w="5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bookmarkStart w:id="72" w:name="_Hlk206018190"/>
            <w:bookmarkStart w:id="73" w:name="_Hlk204630181"/>
            <w:bookmarkEnd w:id="72"/>
            <w:bookmarkEnd w:id="73"/>
            <w:r>
              <w:rPr>
                <w:rFonts w:ascii="Times New Roman;serif" w:hAnsi="Times New Roman;serif"/>
                <w:b w:val="false"/>
                <w:i w:val="false"/>
                <w:caps w:val="false"/>
                <w:smallCaps w:val="false"/>
                <w:sz w:val="20"/>
              </w:rPr>
              <w:t>10.1*</w:t>
            </w:r>
          </w:p>
        </w:tc>
        <w:tc>
          <w:tcPr>
            <w:tcW w:w="9672" w:type="dxa"/>
            <w:tcBorders/>
            <w:shd w:fill="CCEEFF" w:val="clear"/>
            <w:vAlign w:val="center"/>
          </w:tcPr>
          <w:p>
            <w:pPr>
              <w:pStyle w:val="TableContents"/>
              <w:bidi w:val="0"/>
              <w:spacing w:lineRule="auto" w:line="259" w:before="0" w:after="283"/>
              <w:jc w:val="left"/>
              <w:rPr/>
            </w:pPr>
            <w:hyperlink w:anchor="rdi-20250630xex10_1.htm">
              <w:r>
                <w:rPr>
                  <w:rStyle w:val="InternetLink"/>
                  <w:rFonts w:ascii="Times New Roman;serif" w:hAnsi="Times New Roman;serif"/>
                  <w:b w:val="false"/>
                  <w:i w:val="false"/>
                  <w:caps w:val="false"/>
                  <w:smallCaps w:val="false"/>
                  <w:color w:val="0000FF"/>
                  <w:sz w:val="20"/>
                  <w:u w:val="single"/>
                </w:rPr>
                <w:t>Waiver and Ninth Amendment to Second Amendment and Restated Credit Agreement, dated April 4, 2025, between Consolidated Amusement Holdings, LLC and Bank of America, N.A</w:t>
              </w:r>
            </w:hyperlink>
          </w:p>
        </w:tc>
      </w:tr>
      <w:tr>
        <w:trPr/>
        <w:tc>
          <w:tcPr>
            <w:tcW w:w="533"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10.2*</w:t>
            </w:r>
            <w:r>
              <w:rPr>
                <w:rFonts w:ascii="Times New Roman;serif" w:hAnsi="Times New Roman;serif"/>
                <w:caps w:val="false"/>
                <w:smallCaps w:val="false"/>
                <w:sz w:val="20"/>
              </w:rPr>
              <w:t>†</w:t>
            </w:r>
          </w:p>
        </w:tc>
        <w:tc>
          <w:tcPr>
            <w:tcW w:w="9672" w:type="dxa"/>
            <w:tcBorders/>
            <w:vAlign w:val="center"/>
          </w:tcPr>
          <w:p>
            <w:pPr>
              <w:pStyle w:val="TableContents"/>
              <w:bidi w:val="0"/>
              <w:spacing w:lineRule="auto" w:line="259" w:before="0" w:after="283"/>
              <w:jc w:val="left"/>
              <w:rPr/>
            </w:pPr>
            <w:hyperlink w:anchor="rdi-20250630xex10_2.htm">
              <w:r>
                <w:rPr>
                  <w:rStyle w:val="InternetLink"/>
                  <w:rFonts w:ascii="Times New Roman;serif" w:hAnsi="Times New Roman;serif"/>
                  <w:b w:val="false"/>
                  <w:i w:val="false"/>
                  <w:caps w:val="false"/>
                  <w:smallCaps w:val="false"/>
                  <w:color w:val="0000FF"/>
                  <w:sz w:val="20"/>
                  <w:u w:val="single"/>
                </w:rPr>
                <w:t>Second Omnibus Loan Modification and Extension Agreement dated May 2, 2025, by and between Reading Tammany Owner LLC and US Development, LLC, collectively as borrower, and Emerald Creek Capital 3, LLC, as administrative agent and collateral agent for the lender.</w:t>
              </w:r>
            </w:hyperlink>
          </w:p>
        </w:tc>
      </w:tr>
      <w:tr>
        <w:trPr/>
        <w:tc>
          <w:tcPr>
            <w:tcW w:w="533"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10.3*</w:t>
            </w:r>
            <w:r>
              <w:rPr>
                <w:rFonts w:ascii="Times New Roman;serif" w:hAnsi="Times New Roman;serif"/>
                <w:caps w:val="false"/>
                <w:smallCaps w:val="false"/>
                <w:sz w:val="20"/>
              </w:rPr>
              <w:t>†</w:t>
            </w:r>
          </w:p>
        </w:tc>
        <w:tc>
          <w:tcPr>
            <w:tcW w:w="9672" w:type="dxa"/>
            <w:tcBorders/>
            <w:shd w:fill="CCEEFF" w:val="clear"/>
            <w:vAlign w:val="center"/>
          </w:tcPr>
          <w:p>
            <w:pPr>
              <w:pStyle w:val="TableContents"/>
              <w:bidi w:val="0"/>
              <w:spacing w:lineRule="auto" w:line="259" w:before="0" w:after="283"/>
              <w:jc w:val="left"/>
              <w:rPr/>
            </w:pPr>
            <w:hyperlink w:anchor="rdi-20250630xex10_3.htm">
              <w:r>
                <w:rPr>
                  <w:rStyle w:val="InternetLink"/>
                  <w:rFonts w:ascii="Times New Roman;serif" w:hAnsi="Times New Roman;serif"/>
                  <w:b w:val="false"/>
                  <w:i w:val="false"/>
                  <w:caps w:val="false"/>
                  <w:smallCaps w:val="false"/>
                  <w:color w:val="0000FF"/>
                  <w:sz w:val="20"/>
                  <w:u w:val="single"/>
                </w:rPr>
                <w:t>Amendment Deed dated April 2, 2025, by and between Reading Entertainment Australia Pty Ltd and National Australia Bank Limited.</w:t>
              </w:r>
            </w:hyperlink>
          </w:p>
        </w:tc>
      </w:tr>
      <w:tr>
        <w:trPr/>
        <w:tc>
          <w:tcPr>
            <w:tcW w:w="533"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10.4*</w:t>
            </w:r>
            <w:r>
              <w:rPr>
                <w:rFonts w:ascii="Times New Roman;serif" w:hAnsi="Times New Roman;serif"/>
                <w:caps w:val="false"/>
                <w:smallCaps w:val="false"/>
                <w:sz w:val="20"/>
              </w:rPr>
              <w:t>†</w:t>
            </w:r>
          </w:p>
        </w:tc>
        <w:tc>
          <w:tcPr>
            <w:tcW w:w="9672" w:type="dxa"/>
            <w:tcBorders/>
            <w:vAlign w:val="center"/>
          </w:tcPr>
          <w:p>
            <w:pPr>
              <w:pStyle w:val="TableContents"/>
              <w:bidi w:val="0"/>
              <w:spacing w:lineRule="auto" w:line="259" w:before="0" w:after="283"/>
              <w:jc w:val="left"/>
              <w:rPr/>
            </w:pPr>
            <w:hyperlink w:anchor="rdi-20250630xex10_4.htm">
              <w:r>
                <w:rPr>
                  <w:rStyle w:val="InternetLink"/>
                  <w:rFonts w:ascii="Times New Roman;serif" w:hAnsi="Times New Roman;serif"/>
                  <w:b w:val="false"/>
                  <w:i w:val="false"/>
                  <w:caps w:val="false"/>
                  <w:smallCaps w:val="false"/>
                  <w:color w:val="0000FF"/>
                  <w:sz w:val="20"/>
                  <w:u w:val="single"/>
                </w:rPr>
                <w:t>Amendment Deed dated April 28, 2025, by and between Reading Entertainment Australia Pty Ltd and National Australia Bank Limited.</w:t>
              </w:r>
            </w:hyperlink>
          </w:p>
        </w:tc>
      </w:tr>
      <w:tr>
        <w:trPr/>
        <w:tc>
          <w:tcPr>
            <w:tcW w:w="5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c>
          <w:tcPr>
            <w:tcW w:w="9672" w:type="dxa"/>
            <w:tcBorders/>
            <w:shd w:fill="CCEEFF" w:val="clear"/>
            <w:vAlign w:val="center"/>
          </w:tcPr>
          <w:p>
            <w:pPr>
              <w:pStyle w:val="TableContents"/>
              <w:bidi w:val="0"/>
              <w:spacing w:lineRule="auto" w:line="259" w:before="0" w:after="283"/>
              <w:jc w:val="left"/>
              <w:rPr/>
            </w:pPr>
            <w:hyperlink w:anchor="rdi-20250630xex31_1.htm">
              <w:r>
                <w:rPr>
                  <w:rStyle w:val="InternetLink"/>
                  <w:rFonts w:ascii="Times New Roman;serif" w:hAnsi="Times New Roman;serif"/>
                  <w:b w:val="false"/>
                  <w:i w:val="false"/>
                  <w:caps w:val="false"/>
                  <w:smallCaps w:val="false"/>
                  <w:color w:val="0000FF"/>
                  <w:sz w:val="20"/>
                  <w:u w:val="single"/>
                </w:rPr>
                <w:t>Certification of the Principal Executive Officer Pursuant to Section 302 of the Sarbanes-Oxley Act of 2002.</w:t>
              </w:r>
            </w:hyperlink>
          </w:p>
        </w:tc>
      </w:tr>
      <w:tr>
        <w:trPr/>
        <w:tc>
          <w:tcPr>
            <w:tcW w:w="53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w:t>
            </w:r>
          </w:p>
        </w:tc>
        <w:tc>
          <w:tcPr>
            <w:tcW w:w="9672" w:type="dxa"/>
            <w:tcBorders/>
            <w:vAlign w:val="center"/>
          </w:tcPr>
          <w:p>
            <w:pPr>
              <w:pStyle w:val="TableContents"/>
              <w:bidi w:val="0"/>
              <w:spacing w:lineRule="auto" w:line="259" w:before="0" w:after="283"/>
              <w:jc w:val="left"/>
              <w:rPr/>
            </w:pPr>
            <w:hyperlink w:anchor="rdi-20250630xex31_2.htm">
              <w:r>
                <w:rPr>
                  <w:rStyle w:val="InternetLink"/>
                  <w:rFonts w:ascii="Times New Roman;serif" w:hAnsi="Times New Roman;serif"/>
                  <w:b w:val="false"/>
                  <w:i w:val="false"/>
                  <w:caps w:val="false"/>
                  <w:smallCaps w:val="false"/>
                  <w:color w:val="0000FF"/>
                  <w:sz w:val="20"/>
                  <w:u w:val="single"/>
                </w:rPr>
                <w:t>Certification of the Principal Financial Officer Pursuant to Section 302 of the Sarbanes-Oxley Act of 2002.</w:t>
              </w:r>
            </w:hyperlink>
          </w:p>
        </w:tc>
      </w:tr>
      <w:tr>
        <w:trPr/>
        <w:tc>
          <w:tcPr>
            <w:tcW w:w="53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9672" w:type="dxa"/>
            <w:tcBorders/>
            <w:shd w:fill="CCEEFF" w:val="clear"/>
            <w:vAlign w:val="center"/>
          </w:tcPr>
          <w:p>
            <w:pPr>
              <w:pStyle w:val="TableContents"/>
              <w:bidi w:val="0"/>
              <w:spacing w:lineRule="auto" w:line="259" w:before="0" w:after="283"/>
              <w:jc w:val="left"/>
              <w:rPr/>
            </w:pPr>
            <w:hyperlink w:anchor="rdi-20250630xex32.htm">
              <w:r>
                <w:rPr>
                  <w:rStyle w:val="InternetLink"/>
                  <w:rFonts w:ascii="Times New Roman;serif" w:hAnsi="Times New Roman;serif"/>
                  <w:b w:val="false"/>
                  <w:i w:val="false"/>
                  <w:caps w:val="false"/>
                  <w:smallCaps w:val="false"/>
                  <w:color w:val="0000FF"/>
                  <w:sz w:val="20"/>
                  <w:u w:val="single"/>
                </w:rPr>
                <w:t>Certifications Pursuant to Section 906 of the Sarbanes-Oxley Act of 2002.</w:t>
              </w:r>
            </w:hyperlink>
          </w:p>
        </w:tc>
      </w:tr>
      <w:tr>
        <w:trPr/>
        <w:tc>
          <w:tcPr>
            <w:tcW w:w="53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67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material from our Company’s Quarterly Report on Form 10-Q for the quarter ended June 30, 2025,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tc>
      </w:tr>
      <w:tr>
        <w:trPr/>
        <w:tc>
          <w:tcPr>
            <w:tcW w:w="5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967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Cover Page Interactive Data File (formatted in iXBRL and contained in Exhibit 101)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herewith</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Furnished herewith</w:t>
      </w:r>
    </w:p>
    <w:p>
      <w:pPr>
        <w:pStyle w:val="TextBody"/>
        <w:bidi w:val="0"/>
        <w:spacing w:lineRule="auto" w:line="259"/>
        <w:rPr/>
      </w:pPr>
      <w:bookmarkStart w:id="74" w:name="_Hlk204630127"/>
      <w:bookmarkEnd w:id="74"/>
      <w:r>
        <w:rPr>
          <w:caps w:val="false"/>
          <w:smallCaps w:val="false"/>
        </w:rPr>
        <w:t xml:space="preserve">† </w:t>
      </w:r>
      <w:r>
        <w:rPr>
          <w:rFonts w:ascii="Times New Roman;serif" w:hAnsi="Times New Roman;serif"/>
          <w:b w:val="false"/>
          <w:i w:val="false"/>
          <w:caps w:val="false"/>
          <w:smallCaps w:val="false"/>
          <w:sz w:val="18"/>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bookmarkStart w:id="75" w:name="Signatures"/>
      <w:bookmarkEnd w:id="75"/>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August 14,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and Chief Executive Officer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August 14,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TextBody"/>
        <w:bidi w:val="0"/>
        <w:spacing w:before="190" w:after="0"/>
        <w:ind w:left="1080" w:right="1080" w:hanging="0"/>
        <w:jc w:val="left"/>
        <w:rPr>
          <w:rFonts w:cs="Times New Roman"/>
          <w:szCs w:val="22"/>
        </w:rPr>
      </w:pPr>
      <w:bookmarkStart w:id="76" w:name="rdi-20250630xex10_1.htm"/>
      <w:bookmarkStart w:id="77" w:name="ksrdi20250630xex10_1"/>
      <w:bookmarkEnd w:id="76"/>
      <w:bookmarkEnd w:id="77"/>
      <w:r>
        <w:rPr>
          <w:rFonts w:cs="Times New Roman"/>
          <w:bCs/>
          <w:szCs w:val="22"/>
        </w:rPr>
        <w:t>﻿</w:t>
      </w:r>
      <w:r>
        <w:rPr>
          <w:rFonts w:cs="Times New Roman"/>
          <w:szCs w:val="22"/>
        </w:rPr>
        <w:t xml:space="preserve"> </w:t>
      </w:r>
      <w:r>
        <w:br w:type="page"/>
      </w:r>
    </w:p>
    <w:p>
      <w:pPr>
        <w:pStyle w:val="TextBody"/>
        <w:bidi w:val="0"/>
        <w:spacing w:before="1" w:after="0"/>
        <w:ind w:left="1996" w:right="1996" w:hanging="0"/>
        <w:jc w:val="center"/>
        <w:rPr>
          <w:rFonts w:ascii="Times New Roman" w:hAnsi="Times New Roman"/>
          <w:b/>
          <w:sz w:val="22"/>
        </w:rPr>
      </w:pPr>
      <w:r>
        <w:rPr>
          <w:rFonts w:ascii="Times New Roman" w:hAnsi="Times New Roman"/>
          <w:b/>
          <w:sz w:val="22"/>
        </w:rPr>
        <w:t>NINTH AMENDMENT TO</w:t>
      </w:r>
      <w:r>
        <w:rPr>
          <w:rFonts w:ascii="Times New Roman" w:hAnsi="Times New Roman"/>
          <w:b/>
          <w:sz w:val="22"/>
        </w:rPr>
        <w:t xml:space="preserve"> </w:t>
      </w:r>
    </w:p>
    <w:p>
      <w:pPr>
        <w:pStyle w:val="TextBody"/>
        <w:bidi w:val="0"/>
        <w:spacing w:before="0" w:after="0"/>
        <w:ind w:left="1996" w:right="1996" w:hanging="0"/>
        <w:jc w:val="center"/>
        <w:rPr>
          <w:rFonts w:ascii="Times New Roman" w:hAnsi="Times New Roman"/>
          <w:sz w:val="22"/>
        </w:rPr>
      </w:pPr>
      <w:r>
        <w:rPr>
          <w:rFonts w:ascii="Times New Roman" w:hAnsi="Times New Roman"/>
          <w:b/>
          <w:sz w:val="22"/>
        </w:rPr>
        <w:t>SECOND</w:t>
      </w:r>
      <w:r>
        <w:rPr>
          <w:rFonts w:ascii="Times New Roman" w:hAnsi="Times New Roman"/>
          <w:sz w:val="22"/>
        </w:rPr>
        <w:t> </w:t>
      </w:r>
      <w:r>
        <w:rPr>
          <w:rFonts w:ascii="Times New Roman" w:hAnsi="Times New Roman"/>
          <w:b/>
          <w:sz w:val="22"/>
        </w:rPr>
        <w:t>AMENDED</w:t>
      </w:r>
      <w:r>
        <w:rPr>
          <w:rFonts w:ascii="Times New Roman" w:hAnsi="Times New Roman"/>
          <w:sz w:val="22"/>
        </w:rPr>
        <w:t> </w:t>
      </w:r>
      <w:r>
        <w:rPr>
          <w:rFonts w:ascii="Times New Roman" w:hAnsi="Times New Roman"/>
          <w:b/>
          <w:sz w:val="22"/>
        </w:rPr>
        <w:t>AND</w:t>
      </w:r>
      <w:r>
        <w:rPr>
          <w:rFonts w:ascii="Times New Roman" w:hAnsi="Times New Roman"/>
          <w:sz w:val="22"/>
        </w:rPr>
        <w:t> </w:t>
      </w:r>
      <w:r>
        <w:rPr>
          <w:rFonts w:ascii="Times New Roman" w:hAnsi="Times New Roman"/>
          <w:b/>
          <w:sz w:val="22"/>
        </w:rPr>
        <w:t>RESTATED</w:t>
      </w:r>
      <w:r>
        <w:rPr>
          <w:rFonts w:ascii="Times New Roman" w:hAnsi="Times New Roman"/>
          <w:sz w:val="22"/>
        </w:rPr>
        <w:t> </w:t>
      </w:r>
      <w:r>
        <w:rPr>
          <w:rFonts w:ascii="Times New Roman" w:hAnsi="Times New Roman"/>
          <w:b/>
          <w:sz w:val="22"/>
        </w:rPr>
        <w:t>CREDIT</w:t>
      </w:r>
      <w:r>
        <w:rPr>
          <w:rFonts w:ascii="Times New Roman" w:hAnsi="Times New Roman"/>
          <w:sz w:val="22"/>
        </w:rPr>
        <w:t> </w:t>
      </w:r>
      <w:r>
        <w:rPr>
          <w:rFonts w:ascii="Times New Roman" w:hAnsi="Times New Roman"/>
          <w:b/>
          <w:sz w:val="22"/>
        </w:rPr>
        <w:t>AGREEMENT</w:t>
      </w:r>
      <w:r>
        <w:rPr>
          <w:rFonts w:ascii="Times New Roman" w:hAnsi="Times New Roman"/>
          <w:sz w:val="22"/>
        </w:rPr>
        <w:t xml:space="preserve"> </w:t>
      </w:r>
    </w:p>
    <w:p>
      <w:pPr>
        <w:pStyle w:val="TextBody"/>
        <w:pBdr/>
        <w:bidi w:val="0"/>
        <w:spacing w:before="226" w:after="0"/>
        <w:ind w:left="1080" w:right="1080" w:hanging="0"/>
        <w:jc w:val="left"/>
        <w:rPr>
          <w:rFonts w:cs="Times New Roman"/>
          <w:szCs w:val="22"/>
        </w:rPr>
      </w:pPr>
      <w:r>
        <w:rPr>
          <w:rFonts w:cs="Times New Roman"/>
          <w:bCs/>
          <w:szCs w:val="22"/>
        </w:rPr>
        <w:t>﻿</w:t>
      </w:r>
      <w:r>
        <w:rPr>
          <w:rFonts w:cs="Times New Roman"/>
          <w:szCs w:val="22"/>
        </w:rPr>
        <w:t xml:space="preserve"> </w:t>
      </w:r>
    </w:p>
    <w:p>
      <w:pPr>
        <w:pStyle w:val="TextBody"/>
        <w:pBdr/>
        <w:bidi w:val="0"/>
        <w:spacing w:before="0" w:after="0"/>
        <w:ind w:left="2160" w:right="1080" w:hanging="0"/>
        <w:jc w:val="left"/>
        <w:rPr>
          <w:rFonts w:ascii="Times New Roman" w:hAnsi="Times New Roman"/>
          <w:sz w:val="22"/>
        </w:rPr>
      </w:pPr>
      <w:r>
        <w:rPr>
          <w:rFonts w:ascii="Times New Roman" w:hAnsi="Times New Roman"/>
          <w:sz w:val="22"/>
        </w:rPr>
        <w:t xml:space="preserve">THIS    NINTH    AMENDMENT    TO    SECOND    AMENDED    AND    RESTATED    CREDIT </w:t>
      </w:r>
    </w:p>
    <w:p>
      <w:pPr>
        <w:pStyle w:val="TextBody"/>
        <w:pBdr/>
        <w:bidi w:val="0"/>
        <w:spacing w:before="0" w:after="0"/>
        <w:ind w:left="1440" w:right="1436" w:hanging="0"/>
        <w:jc w:val="both"/>
        <w:rPr>
          <w:rFonts w:ascii="Times New Roman" w:hAnsi="Times New Roman"/>
          <w:sz w:val="22"/>
        </w:rPr>
      </w:pPr>
      <w:r>
        <w:rPr>
          <w:rFonts w:ascii="Times New Roman" w:hAnsi="Times New Roman"/>
          <w:sz w:val="22"/>
        </w:rPr>
        <w:t>AGREEMENT (this “</w:t>
      </w:r>
      <w:r>
        <w:rPr>
          <w:rFonts w:ascii="Times New Roman" w:hAnsi="Times New Roman"/>
          <w:sz w:val="22"/>
          <w:u w:val="single"/>
        </w:rPr>
        <w:t>Ninth Amendment</w:t>
      </w:r>
      <w:r>
        <w:rPr>
          <w:rFonts w:ascii="Times New Roman" w:hAnsi="Times New Roman"/>
          <w:sz w:val="22"/>
        </w:rPr>
        <w:t>”), dated as of April 3, 2025, is entered into by and among Consolidated Amusement Holdings, LLC, a Nevada limited liability company (the “</w:t>
      </w:r>
      <w:r>
        <w:rPr>
          <w:rFonts w:ascii="Times New Roman" w:hAnsi="Times New Roman"/>
          <w:sz w:val="22"/>
          <w:u w:val="single"/>
        </w:rPr>
        <w:t>Borrower</w:t>
      </w:r>
      <w:r>
        <w:rPr>
          <w:rFonts w:ascii="Times New Roman" w:hAnsi="Times New Roman"/>
          <w:sz w:val="22"/>
        </w:rPr>
        <w:t>”), the Affiliates of the Borrower identified on the signature pages hereto (collectively, the “</w:t>
      </w:r>
      <w:r>
        <w:rPr>
          <w:rFonts w:ascii="Times New Roman" w:hAnsi="Times New Roman"/>
          <w:sz w:val="22"/>
          <w:u w:val="single"/>
        </w:rPr>
        <w:t>Guarantors</w:t>
      </w:r>
      <w:r>
        <w:rPr>
          <w:rFonts w:ascii="Times New Roman" w:hAnsi="Times New Roman"/>
          <w:sz w:val="22"/>
        </w:rPr>
        <w:t>”), the financial institutions identified on the signature pages hereto (collectively, the “</w:t>
      </w:r>
      <w:r>
        <w:rPr>
          <w:rFonts w:ascii="Times New Roman" w:hAnsi="Times New Roman"/>
          <w:sz w:val="22"/>
          <w:u w:val="single"/>
        </w:rPr>
        <w:t>Lenders</w:t>
      </w:r>
      <w:r>
        <w:rPr>
          <w:rFonts w:ascii="Times New Roman" w:hAnsi="Times New Roman"/>
          <w:sz w:val="22"/>
        </w:rPr>
        <w:t xml:space="preserve">”), and Bank of America, N.A., as Administrative Agent, Swingline Lender and L/C Issuer, with reference to the following facts: </w:t>
      </w:r>
    </w:p>
    <w:p>
      <w:pPr>
        <w:pStyle w:val="TextBody"/>
        <w:bidi w:val="0"/>
        <w:spacing w:before="240" w:after="0"/>
        <w:ind w:left="1996" w:right="1997" w:hanging="0"/>
        <w:jc w:val="center"/>
        <w:rPr>
          <w:rFonts w:ascii="Times New Roman" w:hAnsi="Times New Roman"/>
          <w:b/>
          <w:sz w:val="22"/>
        </w:rPr>
      </w:pPr>
      <w:r>
        <w:rPr>
          <w:rFonts w:ascii="Times New Roman" w:hAnsi="Times New Roman"/>
          <w:b/>
          <w:sz w:val="22"/>
        </w:rPr>
        <w:t>RECITALS</w:t>
      </w:r>
      <w:r>
        <w:rPr>
          <w:rFonts w:ascii="Times New Roman" w:hAnsi="Times New Roman"/>
          <w:b/>
          <w:sz w:val="22"/>
        </w:rPr>
        <w:t xml:space="preserve"> </w:t>
      </w:r>
    </w:p>
    <w:p>
      <w:pPr>
        <w:pStyle w:val="TextBody"/>
        <w:bidi w:val="0"/>
        <w:spacing w:before="107" w:after="0"/>
        <w:ind w:left="1080" w:right="1080" w:hanging="0"/>
        <w:jc w:val="left"/>
        <w:rPr>
          <w:rFonts w:cs="Times New Roman"/>
          <w:szCs w:val="22"/>
        </w:rPr>
      </w:pPr>
      <w:r>
        <w:rPr>
          <w:rFonts w:cs="Times New Roman"/>
          <w:bCs/>
          <w:szCs w:val="22"/>
        </w:rPr>
        <w:t>﻿</w:t>
      </w:r>
      <w:r>
        <w:rPr>
          <w:rFonts w:cs="Times New Roman"/>
          <w:szCs w:val="22"/>
        </w:rPr>
        <w:t xml:space="preserve"> </w:t>
      </w:r>
    </w:p>
    <w:tbl>
      <w:tblPr>
        <w:tblW w:w="10992" w:type="dxa"/>
        <w:jc w:val="left"/>
        <w:tblInd w:w="1080" w:type="dxa"/>
        <w:tblLayout w:type="fixed"/>
        <w:tblCellMar>
          <w:top w:w="0" w:type="dxa"/>
          <w:left w:w="0" w:type="dxa"/>
          <w:bottom w:w="0" w:type="dxa"/>
          <w:right w:w="0" w:type="dxa"/>
        </w:tblCellMar>
      </w:tblPr>
      <w:tblGrid>
        <w:gridCol w:w="735"/>
        <w:gridCol w:w="10257"/>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257" w:type="dxa"/>
            <w:tcBorders/>
          </w:tcPr>
          <w:p>
            <w:pPr>
              <w:pStyle w:val="TableContents"/>
              <w:pBdr/>
              <w:bidi w:val="0"/>
              <w:spacing w:before="0" w:after="0"/>
              <w:ind w:left="0" w:right="712" w:firstLine="720"/>
              <w:jc w:val="both"/>
              <w:rPr>
                <w:rFonts w:ascii="Times New Roman" w:hAnsi="Times New Roman"/>
                <w:sz w:val="22"/>
              </w:rPr>
            </w:pPr>
            <w:r>
              <w:rPr>
                <w:rFonts w:ascii="Times New Roman" w:hAnsi="Times New Roman"/>
                <w:b w:val="false"/>
                <w:i w:val="false"/>
                <w:caps w:val="false"/>
                <w:smallCaps w:val="false"/>
                <w:sz w:val="22"/>
              </w:rPr>
              <w:t>A.</w:t>
            </w:r>
            <w:r>
              <w:rPr>
                <w:rFonts w:ascii="Times New Roman" w:hAnsi="Times New Roman"/>
                <w:sz w:val="22"/>
              </w:rPr>
              <w:t xml:space="preserve"> </w:t>
            </w:r>
            <w:r>
              <w:rPr>
                <w:rFonts w:ascii="Times New Roman" w:hAnsi="Times New Roman"/>
                <w:color w:val="000000"/>
                <w:sz w:val="22"/>
              </w:rPr>
              <w:t>The Borrower, the Guarantors, the Lenders, and Bank of America as Administrative Agent, Swingline Lender and L/C Issuer are parties to a Second Amended and Restated Credit Agreement, dated as of March 6, 2020, as amended by a Waiver and First Amendment to Second Amended and Restated Credit Agreement dated as of May 15, 2020 (the “</w:t>
            </w:r>
            <w:r>
              <w:rPr>
                <w:rFonts w:ascii="Times New Roman" w:hAnsi="Times New Roman"/>
                <w:color w:val="000000"/>
                <w:sz w:val="22"/>
                <w:u w:val="single"/>
              </w:rPr>
              <w:t>First Amendment</w:t>
            </w:r>
            <w:r>
              <w:rPr>
                <w:rFonts w:ascii="Times New Roman" w:hAnsi="Times New Roman"/>
                <w:color w:val="000000"/>
                <w:sz w:val="22"/>
              </w:rPr>
              <w:t>”), by a Waiver and Second Amendment to Second Amended and Restated Credit Agreement dated as of August 7, 2020 (the “</w:t>
            </w:r>
            <w:r>
              <w:rPr>
                <w:rFonts w:ascii="Times New Roman" w:hAnsi="Times New Roman"/>
                <w:color w:val="000000"/>
                <w:sz w:val="22"/>
                <w:u w:val="single"/>
              </w:rPr>
              <w:t>Second</w:t>
            </w:r>
            <w:r>
              <w:rPr>
                <w:rFonts w:ascii="Times New Roman" w:hAnsi="Times New Roman"/>
                <w:color w:val="000000"/>
                <w:sz w:val="22"/>
              </w:rPr>
              <w:t> </w:t>
            </w:r>
            <w:r>
              <w:rPr>
                <w:rFonts w:ascii="Times New Roman" w:hAnsi="Times New Roman"/>
                <w:color w:val="000000"/>
                <w:sz w:val="22"/>
                <w:u w:val="single"/>
              </w:rPr>
              <w:t>Amendment</w:t>
            </w:r>
            <w:r>
              <w:rPr>
                <w:rFonts w:ascii="Times New Roman" w:hAnsi="Times New Roman"/>
                <w:color w:val="000000"/>
                <w:sz w:val="22"/>
              </w:rPr>
              <w:t>”), by a Waiver and Third Amendment to Second Amended and Restated Credit Agreement dated as of November 8, 2021 (the “</w:t>
            </w:r>
            <w:r>
              <w:rPr>
                <w:rFonts w:ascii="Times New Roman" w:hAnsi="Times New Roman"/>
                <w:color w:val="000000"/>
                <w:sz w:val="22"/>
                <w:u w:val="single"/>
              </w:rPr>
              <w:t>Third Amendment</w:t>
            </w:r>
            <w:r>
              <w:rPr>
                <w:rFonts w:ascii="Times New Roman" w:hAnsi="Times New Roman"/>
                <w:color w:val="000000"/>
                <w:sz w:val="22"/>
              </w:rPr>
              <w:t>”), by a Fourth Amendment to Second Amended and Restated Credit Agreement dated as of November 29, 2022 (the “</w:t>
            </w:r>
            <w:r>
              <w:rPr>
                <w:rFonts w:ascii="Times New Roman" w:hAnsi="Times New Roman"/>
                <w:color w:val="000000"/>
                <w:sz w:val="22"/>
                <w:u w:val="single"/>
              </w:rPr>
              <w:t>Fourth Amendment</w:t>
            </w:r>
            <w:r>
              <w:rPr>
                <w:rFonts w:ascii="Times New Roman" w:hAnsi="Times New Roman"/>
                <w:color w:val="000000"/>
                <w:sz w:val="22"/>
              </w:rPr>
              <w:t>”), by a Waiver and Fifth Amendment to Second Amended and Restated Credit Agreement dated as of March 30, 2023 (the “</w:t>
            </w:r>
            <w:r>
              <w:rPr>
                <w:rFonts w:ascii="Times New Roman" w:hAnsi="Times New Roman"/>
                <w:color w:val="000000"/>
                <w:sz w:val="22"/>
                <w:u w:val="single"/>
              </w:rPr>
              <w:t>Fifth Amendment</w:t>
            </w:r>
            <w:r>
              <w:rPr>
                <w:rFonts w:ascii="Times New Roman" w:hAnsi="Times New Roman"/>
                <w:color w:val="000000"/>
                <w:sz w:val="22"/>
              </w:rPr>
              <w:t>”), by a Waiver and Sixth Amendment to Second Amended and Restated Credit Agreement dated as of March 27, 2024 (the “</w:t>
            </w:r>
            <w:r>
              <w:rPr>
                <w:rFonts w:ascii="Times New Roman" w:hAnsi="Times New Roman"/>
                <w:color w:val="000000"/>
                <w:sz w:val="22"/>
                <w:u w:val="single"/>
              </w:rPr>
              <w:t>Sixth Amendment</w:t>
            </w:r>
            <w:r>
              <w:rPr>
                <w:rFonts w:ascii="Times New Roman" w:hAnsi="Times New Roman"/>
                <w:color w:val="000000"/>
                <w:sz w:val="22"/>
              </w:rPr>
              <w:t>”), by a Waiver and Seventh Amendment to Second Amended and Restated Credit Agreement dated as of October 3, 2024 (the “</w:t>
            </w:r>
            <w:r>
              <w:rPr>
                <w:rFonts w:ascii="Times New Roman" w:hAnsi="Times New Roman"/>
                <w:color w:val="000000"/>
                <w:sz w:val="22"/>
                <w:u w:val="single"/>
              </w:rPr>
              <w:t>Seventh</w:t>
            </w:r>
            <w:r>
              <w:rPr>
                <w:rFonts w:ascii="Times New Roman" w:hAnsi="Times New Roman"/>
                <w:color w:val="000000"/>
                <w:sz w:val="22"/>
              </w:rPr>
              <w:t> </w:t>
            </w:r>
            <w:r>
              <w:rPr>
                <w:rFonts w:ascii="Times New Roman" w:hAnsi="Times New Roman"/>
                <w:color w:val="000000"/>
                <w:sz w:val="22"/>
                <w:u w:val="single"/>
              </w:rPr>
              <w:t>Amendment</w:t>
            </w:r>
            <w:r>
              <w:rPr>
                <w:rFonts w:ascii="Times New Roman" w:hAnsi="Times New Roman"/>
                <w:color w:val="000000"/>
                <w:sz w:val="22"/>
              </w:rPr>
              <w:t>”), and by an Eighth Amendment to Second Amended and Restated Credit Agreement dated as of January 3, 2025 (the “</w:t>
            </w:r>
            <w:r>
              <w:rPr>
                <w:rFonts w:ascii="Times New Roman" w:hAnsi="Times New Roman"/>
                <w:color w:val="000000"/>
                <w:sz w:val="22"/>
                <w:u w:val="single"/>
              </w:rPr>
              <w:t>Eighth Amendment</w:t>
            </w:r>
            <w:r>
              <w:rPr>
                <w:rFonts w:ascii="Times New Roman" w:hAnsi="Times New Roman"/>
                <w:color w:val="000000"/>
                <w:sz w:val="22"/>
              </w:rPr>
              <w:t>”) and collectively with the First Amendment, Second Amendment, Third Amendment, Fourth Amendment, Fifth Amendment, Sixth Amendment, Seventh Amendment, Eighth Amendment, and Second Amended and Restated Credit Agreement, the “</w:t>
            </w:r>
            <w:r>
              <w:rPr>
                <w:rFonts w:ascii="Times New Roman" w:hAnsi="Times New Roman"/>
                <w:color w:val="000000"/>
                <w:sz w:val="22"/>
                <w:u w:val="single"/>
              </w:rPr>
              <w:t>Credit</w:t>
            </w:r>
            <w:r>
              <w:rPr>
                <w:rFonts w:ascii="Times New Roman" w:hAnsi="Times New Roman"/>
                <w:color w:val="000000"/>
                <w:sz w:val="22"/>
              </w:rPr>
              <w:t> </w:t>
            </w:r>
            <w:r>
              <w:rPr>
                <w:rFonts w:ascii="Times New Roman" w:hAnsi="Times New Roman"/>
                <w:color w:val="000000"/>
                <w:sz w:val="22"/>
                <w:u w:val="single"/>
              </w:rPr>
              <w:t>Agreement</w:t>
            </w:r>
            <w:r>
              <w:rPr>
                <w:rFonts w:ascii="Times New Roman" w:hAnsi="Times New Roman"/>
                <w:color w:val="000000"/>
                <w:sz w:val="22"/>
              </w:rPr>
              <w:t>”), pursuant to which the Lenders provide a revolving credit facility to the Borrower in an aggregate amount of up to $55,000,000.00.</w:t>
            </w:r>
          </w:p>
        </w:tc>
      </w:tr>
    </w:tbl>
    <w:tbl>
      <w:tblPr>
        <w:tblW w:w="10743" w:type="dxa"/>
        <w:jc w:val="left"/>
        <w:tblInd w:w="1080" w:type="dxa"/>
        <w:tblLayout w:type="fixed"/>
        <w:tblCellMar>
          <w:top w:w="0" w:type="dxa"/>
          <w:left w:w="0" w:type="dxa"/>
          <w:bottom w:w="0" w:type="dxa"/>
          <w:right w:w="0" w:type="dxa"/>
        </w:tblCellMar>
      </w:tblPr>
      <w:tblGrid>
        <w:gridCol w:w="735"/>
        <w:gridCol w:w="10008"/>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008" w:type="dxa"/>
            <w:tcBorders/>
          </w:tcPr>
          <w:p>
            <w:pPr>
              <w:pStyle w:val="TableContents"/>
              <w:pBdr/>
              <w:bidi w:val="0"/>
              <w:spacing w:before="241" w:after="0"/>
              <w:ind w:left="0" w:right="718" w:firstLine="720"/>
              <w:jc w:val="both"/>
              <w:rPr>
                <w:rFonts w:ascii="Times New Roman" w:hAnsi="Times New Roman"/>
                <w:sz w:val="22"/>
              </w:rPr>
            </w:pPr>
            <w:r>
              <w:rPr>
                <w:rFonts w:ascii="Times New Roman" w:hAnsi="Times New Roman"/>
                <w:b w:val="false"/>
                <w:i w:val="false"/>
                <w:caps w:val="false"/>
                <w:smallCaps w:val="false"/>
                <w:sz w:val="22"/>
              </w:rPr>
              <w:t>B.</w:t>
            </w:r>
            <w:r>
              <w:rPr>
                <w:rFonts w:ascii="Times New Roman" w:hAnsi="Times New Roman"/>
                <w:sz w:val="22"/>
              </w:rPr>
              <w:t xml:space="preserve"> </w:t>
            </w:r>
            <w:r>
              <w:rPr>
                <w:rFonts w:ascii="Times New Roman" w:hAnsi="Times New Roman"/>
                <w:color w:val="000000"/>
                <w:sz w:val="22"/>
              </w:rPr>
              <w:t>The parties are entering into this Ninth Amendment by which the Lenders will defer certain required principal payments, and make certain other changes to the Credit Agreement as set forth below.</w:t>
            </w:r>
          </w:p>
        </w:tc>
      </w:tr>
    </w:tbl>
    <w:p>
      <w:pPr>
        <w:pStyle w:val="TextBody"/>
        <w:bidi w:val="0"/>
        <w:spacing w:before="239" w:after="0"/>
        <w:ind w:left="2160" w:right="1080" w:hanging="0"/>
        <w:jc w:val="left"/>
        <w:rPr>
          <w:rFonts w:ascii="Times New Roman" w:hAnsi="Times New Roman"/>
          <w:sz w:val="22"/>
        </w:rPr>
      </w:pPr>
      <w:r>
        <w:rPr>
          <w:rFonts w:ascii="Times New Roman" w:hAnsi="Times New Roman"/>
          <w:i/>
          <w:color w:val="000000"/>
          <w:sz w:val="22"/>
        </w:rPr>
        <w:t>NOW,</w:t>
      </w:r>
      <w:r>
        <w:rPr>
          <w:rFonts w:ascii="Times New Roman" w:hAnsi="Times New Roman"/>
          <w:color w:val="000000"/>
          <w:sz w:val="22"/>
        </w:rPr>
        <w:t> </w:t>
      </w:r>
      <w:r>
        <w:rPr>
          <w:rFonts w:ascii="Times New Roman" w:hAnsi="Times New Roman"/>
          <w:i/>
          <w:color w:val="000000"/>
          <w:sz w:val="22"/>
        </w:rPr>
        <w:t>THEREFORE</w:t>
      </w:r>
      <w:r>
        <w:rPr>
          <w:rFonts w:ascii="Times New Roman" w:hAnsi="Times New Roman"/>
          <w:color w:val="000000"/>
          <w:sz w:val="22"/>
        </w:rPr>
        <w:t>, the parties hereby agree as follows:</w:t>
      </w:r>
      <w:r>
        <w:rPr>
          <w:rFonts w:ascii="Times New Roman" w:hAnsi="Times New Roman"/>
          <w:sz w:val="22"/>
        </w:rPr>
        <w:t xml:space="preserve"> </w:t>
      </w:r>
    </w:p>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bidi w:val="0"/>
              <w:spacing w:before="240" w:after="0"/>
              <w:ind w:left="0" w:right="356" w:hanging="0"/>
              <w:jc w:val="both"/>
              <w:rPr>
                <w:rFonts w:ascii="Times New Roman" w:hAnsi="Times New Roman"/>
                <w:sz w:val="22"/>
              </w:rPr>
            </w:pPr>
            <w:r>
              <w:rPr>
                <w:rFonts w:ascii="Times New Roman" w:hAnsi="Times New Roman"/>
                <w:b w:val="false"/>
                <w:i w:val="false"/>
                <w:caps w:val="false"/>
                <w:smallCaps w:val="false"/>
                <w:sz w:val="22"/>
              </w:rPr>
              <w:t>1.</w:t>
            </w:r>
            <w:r>
              <w:rPr>
                <w:rFonts w:ascii="Times New Roman" w:hAnsi="Times New Roman"/>
                <w:sz w:val="22"/>
              </w:rPr>
              <w:t xml:space="preserve"> </w:t>
            </w:r>
            <w:r>
              <w:rPr>
                <w:rFonts w:ascii="Times New Roman" w:hAnsi="Times New Roman"/>
                <w:b/>
                <w:color w:val="000000"/>
                <w:sz w:val="22"/>
              </w:rPr>
              <w:t>Defined Terms</w:t>
            </w:r>
            <w:r>
              <w:rPr>
                <w:rFonts w:ascii="Times New Roman" w:hAnsi="Times New Roman"/>
                <w:b/>
                <w:color w:val="000000"/>
                <w:sz w:val="22"/>
              </w:rPr>
              <w:t>.</w:t>
            </w:r>
            <w:r>
              <w:rPr>
                <w:rFonts w:ascii="Times New Roman" w:hAnsi="Times New Roman"/>
                <w:color w:val="000000"/>
                <w:sz w:val="22"/>
              </w:rPr>
              <w:t> Any and all initially capitalized terms used in this Ninth Amendment without definition (including, without limitation, in the recitals to this Ninth Amendment) shall have the respective meanings set forth for such terms in the Credit Agreement.</w:t>
            </w:r>
          </w:p>
        </w:tc>
      </w:tr>
    </w:tbl>
    <w:tbl>
      <w:tblPr>
        <w:tblW w:w="3761" w:type="dxa"/>
        <w:jc w:val="left"/>
        <w:tblInd w:w="1080" w:type="dxa"/>
        <w:tblLayout w:type="fixed"/>
        <w:tblCellMar>
          <w:top w:w="0" w:type="dxa"/>
          <w:left w:w="0" w:type="dxa"/>
          <w:bottom w:w="0" w:type="dxa"/>
          <w:right w:w="0" w:type="dxa"/>
        </w:tblCellMar>
      </w:tblPr>
      <w:tblGrid>
        <w:gridCol w:w="38"/>
        <w:gridCol w:w="260"/>
        <w:gridCol w:w="23"/>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241" w:after="0"/>
              <w:ind w:left="0" w:right="0" w:hanging="0"/>
              <w:jc w:val="left"/>
              <w:rPr>
                <w:rFonts w:ascii="Times New Roman" w:hAnsi="Times New Roman"/>
                <w:b/>
                <w:sz w:val="22"/>
              </w:rPr>
            </w:pPr>
            <w:r>
              <w:rPr>
                <w:rFonts w:ascii="Times New Roman" w:hAnsi="Times New Roman"/>
                <w:b w:val="false"/>
                <w:i w:val="false"/>
                <w:caps w:val="false"/>
                <w:smallCaps w:val="false"/>
                <w:sz w:val="22"/>
              </w:rPr>
              <w:t>2.</w:t>
            </w:r>
            <w:r>
              <w:rPr>
                <w:rFonts w:ascii="Times New Roman" w:hAnsi="Times New Roman"/>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440" w:type="dxa"/>
            <w:tcBorders/>
          </w:tcPr>
          <w:p>
            <w:pPr>
              <w:pStyle w:val="TableContents"/>
              <w:bidi w:val="0"/>
              <w:spacing w:before="241" w:after="0"/>
              <w:ind w:left="0" w:right="0" w:hanging="0"/>
              <w:jc w:val="left"/>
              <w:rPr>
                <w:rFonts w:ascii="Times New Roman" w:hAnsi="Times New Roman"/>
                <w:b/>
                <w:sz w:val="22"/>
              </w:rPr>
            </w:pPr>
            <w:r>
              <w:rPr>
                <w:rFonts w:ascii="Times New Roman" w:hAnsi="Times New Roman"/>
                <w:b/>
                <w:color w:val="000000"/>
                <w:sz w:val="22"/>
              </w:rPr>
              <w:t>Amendments to Credit Agreement</w:t>
            </w:r>
            <w:r>
              <w:rPr>
                <w:rFonts w:ascii="Times New Roman" w:hAnsi="Times New Roman"/>
                <w:b w:val="false"/>
                <w:color w:val="000000"/>
                <w:sz w:val="22"/>
              </w:rPr>
              <w:t>.</w:t>
            </w:r>
          </w:p>
        </w:tc>
      </w:tr>
    </w:tbl>
    <w:tbl>
      <w:tblPr>
        <w:tblW w:w="9798" w:type="dxa"/>
        <w:jc w:val="left"/>
        <w:tblInd w:w="1080" w:type="dxa"/>
        <w:tblLayout w:type="fixed"/>
        <w:tblCellMar>
          <w:top w:w="0" w:type="dxa"/>
          <w:left w:w="0" w:type="dxa"/>
          <w:bottom w:w="0" w:type="dxa"/>
          <w:right w:w="0" w:type="dxa"/>
        </w:tblCellMar>
      </w:tblPr>
      <w:tblGrid>
        <w:gridCol w:w="735"/>
        <w:gridCol w:w="9063"/>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9063" w:type="dxa"/>
            <w:tcBorders/>
          </w:tcPr>
          <w:p>
            <w:pPr>
              <w:pStyle w:val="TableContents"/>
              <w:bidi w:val="0"/>
              <w:spacing w:before="239" w:after="0"/>
              <w:ind w:left="0" w:right="718" w:firstLine="720"/>
              <w:jc w:val="both"/>
              <w:rPr>
                <w:rFonts w:ascii="Times New Roman" w:hAnsi="Times New Roman"/>
                <w:sz w:val="22"/>
              </w:rPr>
            </w:pPr>
            <w:r>
              <w:rPr>
                <w:rFonts w:ascii="Times New Roman" w:hAnsi="Times New Roman"/>
                <w:b w:val="false"/>
                <w:i w:val="false"/>
                <w:caps w:val="false"/>
                <w:smallCaps w:val="false"/>
                <w:sz w:val="22"/>
              </w:rPr>
              <w:t>2.1.</w:t>
            </w:r>
            <w:r>
              <w:rPr>
                <w:rFonts w:ascii="Times New Roman" w:hAnsi="Times New Roman"/>
                <w:sz w:val="22"/>
              </w:rPr>
              <w:t xml:space="preserve"> </w:t>
            </w:r>
            <w:r>
              <w:rPr>
                <w:rFonts w:ascii="Times New Roman" w:hAnsi="Times New Roman"/>
                <w:color w:val="000000"/>
                <w:sz w:val="22"/>
                <w:u w:val="single"/>
              </w:rPr>
              <w:t>Interest Payment Date</w:t>
            </w:r>
            <w:r>
              <w:rPr>
                <w:rFonts w:ascii="Times New Roman" w:hAnsi="Times New Roman"/>
                <w:color w:val="000000"/>
                <w:sz w:val="22"/>
              </w:rPr>
              <w:t>. Clause (b) of the definition of “Interest Payment Date” set forth in Section 1.01 of the Credit Agreement is amended and restated to read as follows:</w:t>
            </w:r>
          </w:p>
        </w:tc>
      </w:tr>
    </w:tbl>
    <w:p>
      <w:pPr>
        <w:pStyle w:val="TextBody"/>
        <w:pBdr/>
        <w:bidi w:val="0"/>
        <w:spacing w:before="240" w:after="0"/>
        <w:ind w:left="2880" w:right="1437" w:hanging="0"/>
        <w:jc w:val="both"/>
        <w:rPr/>
      </w:pPr>
      <w:r>
        <w:rPr>
          <w:color w:val="000000"/>
        </w:rPr>
        <w:t>“</w:t>
      </w:r>
      <w:r>
        <w:rPr>
          <w:rFonts w:ascii="Times New Roman" w:hAnsi="Times New Roman"/>
          <w:color w:val="000000"/>
          <w:sz w:val="22"/>
        </w:rPr>
        <w:t>(b) as to any Base Rate Loan or Swingline Loan, the last Business Day of each month and the Maturity Date (with Swingline Loans being deemed made under the Facility for purposes of this definition).”</w:t>
      </w:r>
      <w:r>
        <w:rPr>
          <w:rFonts w:ascii="Times New Roman" w:hAnsi="Times New Roman"/>
          <w:sz w:val="22"/>
        </w:rPr>
        <w:t xml:space="preserve"> </w:t>
      </w:r>
    </w:p>
    <w:p>
      <w:pPr>
        <w:pStyle w:val="TextBody"/>
        <w:pBdr/>
        <w:bidi w:val="0"/>
        <w:spacing w:before="0" w:after="0"/>
        <w:ind w:left="1080" w:right="1080" w:hanging="0"/>
        <w:jc w:val="left"/>
        <w:rPr>
          <w:rFonts w:cs="Times New Roman"/>
          <w:szCs w:val="16"/>
        </w:rPr>
      </w:pPr>
      <w:r>
        <w:rPr>
          <w:rFonts w:cs="Times New Roman"/>
          <w:color w:val="000000"/>
          <w:szCs w:val="16"/>
        </w:rPr>
        <w:t>﻿</w:t>
      </w:r>
      <w:r>
        <w:rPr>
          <w:rFonts w:cs="Times New Roman"/>
          <w:szCs w:val="16"/>
        </w:rPr>
        <w:t xml:space="preserve"> </w:t>
      </w:r>
    </w:p>
    <w:p>
      <w:pPr>
        <w:pStyle w:val="TextBody"/>
        <w:pBdr/>
        <w:bidi w:val="0"/>
        <w:spacing w:before="0" w:after="0"/>
        <w:ind w:left="1080" w:right="1080" w:hanging="0"/>
        <w:jc w:val="left"/>
        <w:rPr>
          <w:rFonts w:cs="Times New Roman"/>
          <w:szCs w:val="16"/>
        </w:rPr>
      </w:pPr>
      <w:r>
        <w:rPr>
          <w:rFonts w:cs="Times New Roman"/>
          <w:color w:val="000000"/>
          <w:szCs w:val="16"/>
        </w:rPr>
        <w:t>﻿</w:t>
      </w:r>
      <w:r>
        <w:rPr>
          <w:rFonts w:cs="Times New Roman"/>
          <w:szCs w:val="16"/>
        </w:rPr>
        <w:t xml:space="preserve"> </w:t>
      </w:r>
    </w:p>
    <w:p>
      <w:pPr>
        <w:pStyle w:val="TextBody"/>
        <w:pBdr/>
        <w:bidi w:val="0"/>
        <w:spacing w:before="0" w:after="0"/>
        <w:ind w:left="1080" w:right="1080" w:hanging="0"/>
        <w:jc w:val="left"/>
        <w:rPr>
          <w:rFonts w:cs="Times New Roman"/>
          <w:szCs w:val="16"/>
        </w:rPr>
      </w:pPr>
      <w:r>
        <w:rPr>
          <w:rFonts w:cs="Times New Roman"/>
          <w:color w:val="000000"/>
          <w:szCs w:val="16"/>
        </w:rPr>
        <w:t>﻿</w:t>
      </w:r>
      <w:r>
        <w:rPr>
          <w:rFonts w:cs="Times New Roman"/>
          <w:szCs w:val="16"/>
        </w:rPr>
        <w:t xml:space="preserve"> </w:t>
      </w:r>
    </w:p>
    <w:p>
      <w:pPr>
        <w:pStyle w:val="TextBody"/>
        <w:pBdr/>
        <w:bidi w:val="0"/>
        <w:spacing w:before="121" w:after="0"/>
        <w:ind w:left="1080" w:right="1080" w:hanging="0"/>
        <w:jc w:val="left"/>
        <w:rPr>
          <w:rFonts w:cs="Times New Roman"/>
          <w:szCs w:val="16"/>
        </w:rPr>
      </w:pPr>
      <w:r>
        <w:rPr>
          <w:rFonts w:cs="Times New Roman"/>
          <w:color w:val="000000"/>
          <w:szCs w:val="16"/>
        </w:rPr>
        <w:t>﻿</w:t>
      </w:r>
      <w:r>
        <w:rPr>
          <w:rFonts w:cs="Times New Roman"/>
          <w:szCs w:val="16"/>
        </w:rPr>
        <w:t xml:space="preserve"> </w:t>
      </w:r>
    </w:p>
    <w:p>
      <w:pPr>
        <w:pStyle w:val="TextBody"/>
        <w:bidi w:val="0"/>
        <w:spacing w:before="1" w:after="0"/>
        <w:ind w:left="1440" w:right="1080" w:hanging="0"/>
        <w:jc w:val="left"/>
        <w:rPr>
          <w:rFonts w:ascii="Times New Roman" w:hAnsi="Times New Roman"/>
          <w:sz w:val="16"/>
        </w:rPr>
      </w:pPr>
      <w:r>
        <w:rPr>
          <w:rFonts w:ascii="Times New Roman" w:hAnsi="Times New Roman"/>
          <w:color w:val="000000"/>
          <w:sz w:val="16"/>
        </w:rPr>
        <w:t>#87965441v4&lt;BN&gt; - Ninth Amendment to Second Amended and Restated Credit Agreement</w:t>
      </w:r>
      <w:r>
        <w:rPr>
          <w:rFonts w:ascii="Times New Roman" w:hAnsi="Times New Roman"/>
          <w:sz w:val="16"/>
        </w:rPr>
        <w:t xml:space="preserve"> </w:t>
      </w:r>
    </w:p>
    <w:p>
      <w:pPr>
        <w:pStyle w:val="TextBody"/>
        <w:bidi w:val="0"/>
        <w:spacing w:before="0" w:after="0"/>
        <w:ind w:left="1080" w:right="1080" w:hanging="0"/>
        <w:jc w:val="left"/>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80" w:after="0"/>
        <w:ind w:left="2160" w:right="1438" w:hanging="0"/>
        <w:jc w:val="both"/>
        <w:rPr>
          <w:rFonts w:ascii="Times New Roman" w:hAnsi="Times New Roman"/>
          <w:sz w:val="22"/>
        </w:rPr>
      </w:pPr>
      <w:r>
        <w:rPr>
          <w:rFonts w:ascii="Times New Roman" w:hAnsi="Times New Roman"/>
          <w:sz w:val="22"/>
        </w:rPr>
        <w:t xml:space="preserve">For the avoidance of doubt, the foregoing amendment shall take effect beginning with the interest payment due April 30, 2025. </w:t>
      </w:r>
    </w:p>
    <w:tbl>
      <w:tblPr>
        <w:tblW w:w="11532" w:type="dxa"/>
        <w:jc w:val="left"/>
        <w:tblInd w:w="1080" w:type="dxa"/>
        <w:tblLayout w:type="fixed"/>
        <w:tblCellMar>
          <w:top w:w="0" w:type="dxa"/>
          <w:left w:w="0" w:type="dxa"/>
          <w:bottom w:w="0" w:type="dxa"/>
          <w:right w:w="0" w:type="dxa"/>
        </w:tblCellMar>
      </w:tblPr>
      <w:tblGrid>
        <w:gridCol w:w="735"/>
        <w:gridCol w:w="10797"/>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797" w:type="dxa"/>
            <w:tcBorders/>
          </w:tcPr>
          <w:p>
            <w:pPr>
              <w:pStyle w:val="TableContents"/>
              <w:bidi w:val="0"/>
              <w:spacing w:before="239" w:after="0"/>
              <w:ind w:left="0" w:right="712" w:firstLine="720"/>
              <w:jc w:val="both"/>
              <w:rPr>
                <w:rFonts w:ascii="Times New Roman" w:hAnsi="Times New Roman"/>
                <w:sz w:val="22"/>
              </w:rPr>
            </w:pPr>
            <w:r>
              <w:rPr>
                <w:rFonts w:ascii="Times New Roman" w:hAnsi="Times New Roman"/>
                <w:b w:val="false"/>
                <w:i w:val="false"/>
                <w:caps w:val="false"/>
                <w:smallCaps w:val="false"/>
                <w:sz w:val="22"/>
              </w:rPr>
              <w:t>2.2.</w:t>
            </w:r>
            <w:r>
              <w:rPr>
                <w:rFonts w:ascii="Times New Roman" w:hAnsi="Times New Roman"/>
                <w:sz w:val="22"/>
              </w:rPr>
              <w:t xml:space="preserve"> </w:t>
            </w:r>
            <w:r>
              <w:rPr>
                <w:rFonts w:ascii="Times New Roman" w:hAnsi="Times New Roman"/>
                <w:color w:val="000000"/>
                <w:sz w:val="22"/>
                <w:u w:val="single"/>
              </w:rPr>
              <w:t>Payment Deferral; Additional Payments</w:t>
            </w:r>
            <w:r>
              <w:rPr>
                <w:rFonts w:ascii="Times New Roman" w:hAnsi="Times New Roman"/>
                <w:color w:val="000000"/>
                <w:sz w:val="22"/>
              </w:rPr>
              <w:t>. As a one-time accommodation, the parties agree that the required $500,000 monthly principal payments due on April 4, 2025 and May 5, 2025, as set forth in Section 4.4 of the Sixth Amendment, are deferred (the “</w:t>
            </w:r>
            <w:r>
              <w:rPr>
                <w:rFonts w:ascii="Times New Roman" w:hAnsi="Times New Roman"/>
                <w:color w:val="000000"/>
                <w:sz w:val="22"/>
                <w:u w:val="single"/>
              </w:rPr>
              <w:t>Ninth Amendment</w:t>
            </w:r>
            <w:r>
              <w:rPr>
                <w:rFonts w:ascii="Times New Roman" w:hAnsi="Times New Roman"/>
                <w:color w:val="000000"/>
                <w:sz w:val="22"/>
              </w:rPr>
              <w:t> </w:t>
            </w:r>
            <w:r>
              <w:rPr>
                <w:rFonts w:ascii="Times New Roman" w:hAnsi="Times New Roman"/>
                <w:color w:val="000000"/>
                <w:sz w:val="22"/>
                <w:u w:val="single"/>
              </w:rPr>
              <w:t>Deferred Principal Payments</w:t>
            </w:r>
            <w:r>
              <w:rPr>
                <w:rFonts w:ascii="Times New Roman" w:hAnsi="Times New Roman"/>
                <w:color w:val="000000"/>
                <w:sz w:val="22"/>
              </w:rPr>
              <w:t>”) until the earlier of: (i) the date falling five (5) Business Days after the sale by Reading or any Loan Party (including any direct or indirect subsidiary of Reading, including without limitation Reading Cannon Park Pty Ltd) of the real property located in Australia at 15 &amp; 16 High Range Drive, Thuringowa Central QLD 4817 and 34 High Range Drive, Thuringowa Central QLD 4817, commonly known as the Cannon Park property (collectively, the “</w:t>
            </w:r>
            <w:r>
              <w:rPr>
                <w:rFonts w:ascii="Times New Roman" w:hAnsi="Times New Roman"/>
                <w:color w:val="000000"/>
                <w:sz w:val="22"/>
                <w:u w:val="single"/>
              </w:rPr>
              <w:t>Cannon Park Property</w:t>
            </w:r>
            <w:r>
              <w:rPr>
                <w:rFonts w:ascii="Times New Roman" w:hAnsi="Times New Roman"/>
                <w:color w:val="000000"/>
                <w:sz w:val="22"/>
              </w:rPr>
              <w:t>”); or (ii) May 16, 2025 (the “</w:t>
            </w:r>
            <w:r>
              <w:rPr>
                <w:rFonts w:ascii="Times New Roman" w:hAnsi="Times New Roman"/>
                <w:color w:val="000000"/>
                <w:sz w:val="22"/>
                <w:u w:val="single"/>
              </w:rPr>
              <w:t>Ninth Amendment Deferral Payment Date</w:t>
            </w:r>
            <w:r>
              <w:rPr>
                <w:rFonts w:ascii="Times New Roman" w:hAnsi="Times New Roman"/>
                <w:color w:val="000000"/>
                <w:sz w:val="22"/>
              </w:rPr>
              <w:t>”). The Ninth Amendment Deferred Principal Payments shall be due and payable on the Ninth Amendment Deferral Payment Date. In consideration of the Lenders agreeing to defer the Ninth Amendment Deferred Principal Payments until the Ninth Amendment Deferral Payment Date, the Borrower Group agrees, notwithstanding anything to the contrary in the Credit Agreement, by not later than the Ninth Amendment Deferral Payment Date, to make the required $500,000 monthly principal payment due on June 5, 2025, as set forth in Section 4.4 of the Sixth Amendment.</w:t>
            </w:r>
          </w:p>
        </w:tc>
      </w:tr>
    </w:tbl>
    <w:p>
      <w:pPr>
        <w:pStyle w:val="TextBody"/>
        <w:bidi w:val="0"/>
        <w:spacing w:before="241" w:after="0"/>
        <w:ind w:left="2160" w:right="1437" w:hanging="0"/>
        <w:jc w:val="both"/>
        <w:rPr>
          <w:rFonts w:ascii="Times New Roman" w:hAnsi="Times New Roman"/>
          <w:sz w:val="22"/>
        </w:rPr>
      </w:pPr>
      <w:r>
        <w:rPr>
          <w:rFonts w:ascii="Times New Roman" w:hAnsi="Times New Roman"/>
          <w:color w:val="000000"/>
          <w:sz w:val="22"/>
        </w:rPr>
        <w:t>Commencing on July 3, 2025, Borrower shall immediately and automatically (without further notice or demand from Lenders) resume all scheduled principal payments under the Credit Agreement and/or any other Loan Document (as and when required thereunder) subject, in all events, to the specific amendments expressly set forth herein. Nothing herein shall amend or modify the required mandatory pre-payments required by the Credit Agreement upon the sale of the Reading Sale Properties.</w:t>
      </w:r>
      <w:r>
        <w:rPr>
          <w:rFonts w:ascii="Times New Roman" w:hAnsi="Times New Roman"/>
          <w:sz w:val="22"/>
        </w:rPr>
        <w:t xml:space="preserve"> </w:t>
      </w:r>
    </w:p>
    <w:tbl>
      <w:tblPr>
        <w:tblW w:w="11176" w:type="dxa"/>
        <w:jc w:val="left"/>
        <w:tblInd w:w="1080" w:type="dxa"/>
        <w:tblLayout w:type="fixed"/>
        <w:tblCellMar>
          <w:top w:w="0" w:type="dxa"/>
          <w:left w:w="0" w:type="dxa"/>
          <w:bottom w:w="0" w:type="dxa"/>
          <w:right w:w="0" w:type="dxa"/>
        </w:tblCellMar>
      </w:tblPr>
      <w:tblGrid>
        <w:gridCol w:w="735"/>
        <w:gridCol w:w="10441"/>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441" w:type="dxa"/>
            <w:tcBorders/>
          </w:tcPr>
          <w:p>
            <w:pPr>
              <w:pStyle w:val="TableContents"/>
              <w:bidi w:val="0"/>
              <w:spacing w:before="240" w:after="0"/>
              <w:ind w:left="0" w:right="356" w:hanging="0"/>
              <w:jc w:val="both"/>
              <w:rPr>
                <w:rFonts w:ascii="Times New Roman" w:hAnsi="Times New Roman"/>
                <w:sz w:val="22"/>
              </w:rPr>
            </w:pPr>
            <w:r>
              <w:rPr>
                <w:rFonts w:ascii="Times New Roman" w:hAnsi="Times New Roman"/>
                <w:b w:val="false"/>
                <w:i w:val="false"/>
                <w:caps w:val="false"/>
                <w:smallCaps w:val="false"/>
                <w:sz w:val="22"/>
              </w:rPr>
              <w:t>3.</w:t>
            </w:r>
            <w:r>
              <w:rPr>
                <w:rFonts w:ascii="Times New Roman" w:hAnsi="Times New Roman"/>
                <w:sz w:val="22"/>
              </w:rPr>
              <w:t xml:space="preserve"> </w:t>
            </w:r>
            <w:r>
              <w:rPr>
                <w:rFonts w:ascii="Times New Roman" w:hAnsi="Times New Roman"/>
                <w:b/>
                <w:color w:val="000000"/>
                <w:sz w:val="22"/>
              </w:rPr>
              <w:t>General Release</w:t>
            </w:r>
            <w:r>
              <w:rPr>
                <w:rFonts w:ascii="Times New Roman" w:hAnsi="Times New Roman"/>
                <w:color w:val="000000"/>
                <w:sz w:val="22"/>
              </w:rPr>
              <w:t>. From and after the effective date of this Ninth Amendment, the Borrower and each Guarantor hereby agrees that, without any further act, the Administrative Agent, each Lender and each other Secured Party is fully and forever released and discharged from any and all claims for damages or losses to the Borrower, any Guarantor, or to any property of the Borrower or any Guarantor (whether any such damages or losses are known or unknown, foreseen or unforeseen, or patent or latent), including, without limitation, any tort claim, demand, action or cause of action of any nature, whatsoever, arising under or relating to the Credit Agreement or the other Loan Documents or any of the transactions related thereto, in each case, prior to the date hereof, and the Borrower and each Guarantor hereby waive application of California Civil Code Section 1542. The Borrower and each Guarantor certify that they have read the following provisions of California Civil Code Section 1542:</w:t>
            </w:r>
          </w:p>
        </w:tc>
      </w:tr>
    </w:tbl>
    <w:p>
      <w:pPr>
        <w:pStyle w:val="TextBody"/>
        <w:bidi w:val="0"/>
        <w:spacing w:before="240" w:after="0"/>
        <w:ind w:left="2160" w:right="1437" w:hanging="0"/>
        <w:jc w:val="both"/>
        <w:rPr>
          <w:rFonts w:ascii="Times New Roman" w:hAnsi="Times New Roman"/>
          <w:b/>
          <w:sz w:val="22"/>
        </w:rPr>
      </w:pP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b/>
          <w:sz w:val="22"/>
        </w:rPr>
        <w:t xml:space="preserve"> </w:t>
      </w:r>
    </w:p>
    <w:p>
      <w:pPr>
        <w:pStyle w:val="TextBody"/>
        <w:pBdr/>
        <w:bidi w:val="0"/>
        <w:spacing w:before="252" w:after="0"/>
        <w:ind w:left="1440" w:right="1436" w:hanging="0"/>
        <w:jc w:val="both"/>
        <w:rPr>
          <w:rFonts w:ascii="Times New Roman" w:hAnsi="Times New Roman"/>
          <w:sz w:val="22"/>
        </w:rPr>
      </w:pPr>
      <w:r>
        <w:rPr>
          <w:rFonts w:ascii="Times New Roman" w:hAnsi="Times New Roman"/>
          <w:color w:val="000000"/>
          <w:sz w:val="22"/>
        </w:rPr>
        <w:t>The Borrower and each Guarantor understands and acknowledges that the significance and consequence of this waiver of California Civil Code Section 1542 is that even if the Borrower or such Guarantor should eventually suffer additional damages arising out of the facts referred to above, it will not be able to make any claim for those damages. Furthermore, the Borrower and each Guarantor acknowledge that they intend these consequences even as to claims for damages that may exist as of the date of this release but which the Borrower or such Guarantor does not know exist, and which, if known, would materially affect the Borrower’s or such Guarantor’s decision to execute this Ninth Amendment, regardless of whether the Borrower’s or such Guarantor’s lack of knowledge is the result of ignorance, oversight, error, negligence, or any other cause.</w:t>
      </w:r>
      <w:r>
        <w:rPr>
          <w:rFonts w:ascii="Times New Roman" w:hAnsi="Times New Roman"/>
          <w:sz w:val="22"/>
        </w:rPr>
        <w:t xml:space="preserve"> </w:t>
      </w:r>
    </w:p>
    <w:p>
      <w:pPr>
        <w:pStyle w:val="TextBody"/>
        <w:pBdr/>
        <w:bidi w:val="0"/>
        <w:spacing w:before="71" w:after="0"/>
        <w:ind w:left="1080" w:right="1080" w:hanging="0"/>
        <w:jc w:val="left"/>
        <w:rPr>
          <w:rFonts w:cs="Times New Roman"/>
          <w:szCs w:val="20"/>
        </w:rPr>
      </w:pPr>
      <w:r>
        <w:rPr>
          <w:rFonts w:cs="Times New Roman"/>
          <w:color w:val="000000"/>
          <w:szCs w:val="21"/>
        </w:rPr>
        <w:t>﻿</w:t>
      </w:r>
      <w:r>
        <w:rPr>
          <w:rFonts w:cs="Times New Roman"/>
          <w:szCs w:val="20"/>
        </w:rPr>
        <w:t xml:space="preserve"> </w:t>
      </w:r>
    </w:p>
    <w:p>
      <w:pPr>
        <w:pStyle w:val="TextBody"/>
        <w:bidi w:val="0"/>
        <w:spacing w:before="1" w:after="0"/>
        <w:ind w:left="1996" w:right="1996" w:hanging="0"/>
        <w:jc w:val="center"/>
        <w:rPr>
          <w:rFonts w:ascii="Times New Roman" w:hAnsi="Times New Roman"/>
          <w:sz w:val="20"/>
        </w:rPr>
      </w:pPr>
      <w:r>
        <w:rPr>
          <w:rFonts w:ascii="Times New Roman" w:hAnsi="Times New Roman"/>
          <w:color w:val="000000"/>
          <w:sz w:val="21"/>
        </w:rPr>
        <w:t>2</w:t>
      </w:r>
      <w:r>
        <w:rPr>
          <w:rFonts w:ascii="Times New Roman" w:hAnsi="Times New Roman"/>
          <w:sz w:val="20"/>
        </w:rPr>
        <w:t xml:space="preserve"> </w:t>
      </w:r>
    </w:p>
    <w:p>
      <w:pPr>
        <w:pStyle w:val="TextBody"/>
        <w:bidi w:val="0"/>
        <w:spacing w:before="0" w:after="0"/>
        <w:ind w:left="1080" w:right="1080" w:hanging="0"/>
        <w:jc w:val="center"/>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tbl>
      <w:tblPr>
        <w:tblW w:w="9422" w:type="dxa"/>
        <w:jc w:val="left"/>
        <w:tblInd w:w="1080" w:type="dxa"/>
        <w:tblLayout w:type="fixed"/>
        <w:tblCellMar>
          <w:top w:w="0" w:type="dxa"/>
          <w:left w:w="0" w:type="dxa"/>
          <w:bottom w:w="0" w:type="dxa"/>
          <w:right w:w="0" w:type="dxa"/>
        </w:tblCellMar>
      </w:tblPr>
      <w:tblGrid>
        <w:gridCol w:w="735"/>
        <w:gridCol w:w="8687"/>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8687" w:type="dxa"/>
            <w:tcBorders/>
          </w:tcPr>
          <w:p>
            <w:pPr>
              <w:pStyle w:val="TableContents"/>
              <w:pBdr/>
              <w:bidi w:val="0"/>
              <w:spacing w:before="80" w:after="0"/>
              <w:ind w:left="0" w:right="357" w:hanging="0"/>
              <w:jc w:val="both"/>
              <w:rPr>
                <w:rFonts w:ascii="Times New Roman" w:hAnsi="Times New Roman"/>
                <w:sz w:val="22"/>
              </w:rPr>
            </w:pPr>
            <w:r>
              <w:rPr>
                <w:rFonts w:ascii="Times New Roman" w:hAnsi="Times New Roman"/>
                <w:b w:val="false"/>
                <w:i w:val="false"/>
                <w:caps w:val="false"/>
                <w:smallCaps w:val="false"/>
                <w:sz w:val="22"/>
              </w:rPr>
              <w:t>4.</w:t>
            </w:r>
            <w:r>
              <w:rPr>
                <w:rFonts w:ascii="Times New Roman" w:hAnsi="Times New Roman"/>
                <w:sz w:val="22"/>
              </w:rPr>
              <w:t xml:space="preserve"> </w:t>
            </w:r>
            <w:r>
              <w:rPr>
                <w:rFonts w:ascii="Times New Roman" w:hAnsi="Times New Roman"/>
                <w:b/>
                <w:color w:val="000000"/>
                <w:sz w:val="22"/>
              </w:rPr>
              <w:t>Conditions</w:t>
            </w:r>
            <w:r>
              <w:rPr>
                <w:rFonts w:ascii="Times New Roman" w:hAnsi="Times New Roman"/>
                <w:color w:val="000000"/>
                <w:sz w:val="22"/>
              </w:rPr>
              <w:t> </w:t>
            </w:r>
            <w:r>
              <w:rPr>
                <w:rFonts w:ascii="Times New Roman" w:hAnsi="Times New Roman"/>
                <w:b/>
                <w:color w:val="000000"/>
                <w:sz w:val="22"/>
              </w:rPr>
              <w:t>Precedent</w:t>
            </w:r>
            <w:r>
              <w:rPr>
                <w:rFonts w:ascii="Times New Roman" w:hAnsi="Times New Roman"/>
                <w:b/>
                <w:color w:val="000000"/>
                <w:sz w:val="22"/>
              </w:rPr>
              <w:t>.</w:t>
            </w:r>
            <w:r>
              <w:rPr>
                <w:rFonts w:ascii="Times New Roman" w:hAnsi="Times New Roman"/>
                <w:color w:val="000000"/>
                <w:sz w:val="22"/>
              </w:rPr>
              <w:t> This Ninth Amendment shall become effective as of the date first set forth above upon satisfaction of the following conditions:</w:t>
            </w:r>
          </w:p>
        </w:tc>
      </w:tr>
    </w:tbl>
    <w:tbl>
      <w:tblPr>
        <w:tblW w:w="11536" w:type="dxa"/>
        <w:jc w:val="left"/>
        <w:tblInd w:w="1080" w:type="dxa"/>
        <w:tblLayout w:type="fixed"/>
        <w:tblCellMar>
          <w:top w:w="0" w:type="dxa"/>
          <w:left w:w="0" w:type="dxa"/>
          <w:bottom w:w="0" w:type="dxa"/>
          <w:right w:w="0" w:type="dxa"/>
        </w:tblCellMar>
      </w:tblPr>
      <w:tblGrid>
        <w:gridCol w:w="735"/>
        <w:gridCol w:w="10801"/>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801" w:type="dxa"/>
            <w:tcBorders/>
          </w:tcPr>
          <w:p>
            <w:pPr>
              <w:pStyle w:val="TableContents"/>
              <w:pBdr/>
              <w:bidi w:val="0"/>
              <w:spacing w:before="239" w:after="0"/>
              <w:ind w:left="0" w:right="716" w:firstLine="720"/>
              <w:jc w:val="both"/>
              <w:rPr>
                <w:rFonts w:ascii="Times New Roman" w:hAnsi="Times New Roman"/>
                <w:sz w:val="22"/>
              </w:rPr>
            </w:pPr>
            <w:r>
              <w:rPr>
                <w:rFonts w:ascii="Times New Roman" w:hAnsi="Times New Roman"/>
                <w:b w:val="false"/>
                <w:i w:val="false"/>
                <w:caps w:val="false"/>
                <w:smallCaps w:val="false"/>
                <w:sz w:val="22"/>
              </w:rPr>
              <w:t>4.1.</w:t>
            </w:r>
            <w:r>
              <w:rPr>
                <w:rFonts w:ascii="Times New Roman" w:hAnsi="Times New Roman"/>
                <w:sz w:val="22"/>
              </w:rPr>
              <w:t xml:space="preserve"> </w:t>
            </w:r>
            <w:r>
              <w:rPr>
                <w:rFonts w:ascii="Times New Roman" w:hAnsi="Times New Roman"/>
                <w:color w:val="000000"/>
                <w:sz w:val="22"/>
                <w:u w:val="single"/>
              </w:rPr>
              <w:t>This Ninth Amendment</w:t>
            </w:r>
            <w:r>
              <w:rPr>
                <w:rFonts w:ascii="Times New Roman" w:hAnsi="Times New Roman"/>
                <w:color w:val="000000"/>
                <w:sz w:val="22"/>
              </w:rPr>
              <w:t>. The Administrative Agent shall have received this Ninth Amendment duly executed by the Borrower, the Guarantors, and each of the Lenders, as applicable;</w:t>
            </w:r>
          </w:p>
        </w:tc>
      </w:tr>
    </w:tbl>
    <w:tbl>
      <w:tblPr>
        <w:tblW w:w="8045" w:type="dxa"/>
        <w:jc w:val="left"/>
        <w:tblInd w:w="1080" w:type="dxa"/>
        <w:tblLayout w:type="fixed"/>
        <w:tblCellMar>
          <w:top w:w="0" w:type="dxa"/>
          <w:left w:w="0" w:type="dxa"/>
          <w:bottom w:w="0" w:type="dxa"/>
          <w:right w:w="0" w:type="dxa"/>
        </w:tblCellMar>
      </w:tblPr>
      <w:tblGrid>
        <w:gridCol w:w="715"/>
        <w:gridCol w:w="7330"/>
      </w:tblGrid>
      <w:tr>
        <w:trPr/>
        <w:tc>
          <w:tcPr>
            <w:tcW w:w="715" w:type="dxa"/>
            <w:tcBorders/>
            <w:vAlign w:val="center"/>
          </w:tcPr>
          <w:p>
            <w:pPr>
              <w:pStyle w:val="TableContents"/>
              <w:bidi w:val="0"/>
              <w:spacing w:before="0" w:after="283"/>
              <w:ind w:left="0" w:right="0" w:firstLine="700"/>
              <w:jc w:val="left"/>
              <w:rPr>
                <w:sz w:val="4"/>
                <w:szCs w:val="4"/>
              </w:rPr>
            </w:pPr>
            <w:r>
              <w:rPr>
                <w:sz w:val="4"/>
                <w:szCs w:val="4"/>
              </w:rPr>
            </w:r>
          </w:p>
        </w:tc>
        <w:tc>
          <w:tcPr>
            <w:tcW w:w="7330" w:type="dxa"/>
            <w:tcBorders/>
          </w:tcPr>
          <w:p>
            <w:pPr>
              <w:pStyle w:val="TableContents"/>
              <w:pBdr/>
              <w:bidi w:val="0"/>
              <w:spacing w:before="240" w:after="0"/>
              <w:ind w:left="0" w:right="716" w:firstLine="700"/>
              <w:jc w:val="both"/>
              <w:rPr>
                <w:rFonts w:ascii="Times New Roman" w:hAnsi="Times New Roman"/>
                <w:sz w:val="22"/>
              </w:rPr>
            </w:pPr>
            <w:r>
              <w:rPr>
                <w:rFonts w:ascii="Times New Roman" w:hAnsi="Times New Roman"/>
                <w:b w:val="false"/>
                <w:i w:val="false"/>
                <w:caps w:val="false"/>
                <w:smallCaps w:val="false"/>
                <w:sz w:val="22"/>
              </w:rPr>
              <w:t>4.2.</w:t>
            </w:r>
            <w:r>
              <w:rPr>
                <w:rFonts w:ascii="Times New Roman" w:hAnsi="Times New Roman"/>
                <w:sz w:val="22"/>
              </w:rPr>
              <w:t xml:space="preserve"> </w:t>
            </w:r>
            <w:r>
              <w:rPr>
                <w:rFonts w:ascii="Times New Roman" w:hAnsi="Times New Roman"/>
                <w:color w:val="000000"/>
                <w:sz w:val="22"/>
                <w:u w:val="single"/>
              </w:rPr>
              <w:t>Officer’s Certificates</w:t>
            </w:r>
            <w:r>
              <w:rPr>
                <w:rFonts w:ascii="Times New Roman" w:hAnsi="Times New Roman"/>
                <w:color w:val="000000"/>
                <w:sz w:val="22"/>
              </w:rPr>
              <w:t>. Administrative Agent shall have received officer’s certificates and resolutions authorizing this Ninth Amendment; and</w:t>
            </w:r>
          </w:p>
        </w:tc>
      </w:tr>
    </w:tbl>
    <w:p>
      <w:pPr>
        <w:pStyle w:val="TextBody"/>
        <w:bidi w:val="0"/>
        <w:spacing w:before="1" w:after="0"/>
        <w:ind w:left="1080" w:right="1080" w:hanging="0"/>
        <w:jc w:val="left"/>
        <w:rPr>
          <w:rFonts w:cs="Times New Roman"/>
          <w:szCs w:val="22"/>
        </w:rPr>
      </w:pPr>
      <w:r>
        <w:rPr>
          <w:rFonts w:cs="Times New Roman"/>
          <w:color w:val="000000"/>
          <w:szCs w:val="22"/>
        </w:rPr>
        <w:t>﻿</w:t>
      </w:r>
      <w:r>
        <w:rPr>
          <w:rFonts w:cs="Times New Roman"/>
          <w:szCs w:val="22"/>
        </w:rPr>
        <w:t xml:space="preserve"> </w:t>
      </w:r>
    </w:p>
    <w:tbl>
      <w:tblPr>
        <w:tblW w:w="11382" w:type="dxa"/>
        <w:jc w:val="left"/>
        <w:tblInd w:w="1080" w:type="dxa"/>
        <w:tblLayout w:type="fixed"/>
        <w:tblCellMar>
          <w:top w:w="0" w:type="dxa"/>
          <w:left w:w="0" w:type="dxa"/>
          <w:bottom w:w="0" w:type="dxa"/>
          <w:right w:w="0" w:type="dxa"/>
        </w:tblCellMar>
      </w:tblPr>
      <w:tblGrid>
        <w:gridCol w:w="735"/>
        <w:gridCol w:w="10647"/>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647" w:type="dxa"/>
            <w:tcBorders/>
          </w:tcPr>
          <w:p>
            <w:pPr>
              <w:pStyle w:val="TableContents"/>
              <w:pBdr/>
              <w:bidi w:val="0"/>
              <w:spacing w:before="0" w:after="0"/>
              <w:ind w:left="0" w:right="712" w:firstLine="720"/>
              <w:jc w:val="both"/>
              <w:rPr>
                <w:rFonts w:ascii="Times New Roman" w:hAnsi="Times New Roman"/>
                <w:sz w:val="22"/>
              </w:rPr>
            </w:pPr>
            <w:r>
              <w:rPr>
                <w:rFonts w:ascii="Times New Roman" w:hAnsi="Times New Roman"/>
                <w:b w:val="false"/>
                <w:i w:val="false"/>
                <w:caps w:val="false"/>
                <w:smallCaps w:val="false"/>
                <w:sz w:val="22"/>
              </w:rPr>
              <w:t>4.3.</w:t>
            </w:r>
            <w:r>
              <w:rPr>
                <w:rFonts w:ascii="Times New Roman" w:hAnsi="Times New Roman"/>
                <w:sz w:val="22"/>
              </w:rPr>
              <w:t xml:space="preserve"> </w:t>
            </w:r>
            <w:r>
              <w:rPr>
                <w:rFonts w:ascii="Times New Roman" w:hAnsi="Times New Roman"/>
                <w:color w:val="000000"/>
                <w:sz w:val="22"/>
                <w:u w:val="single"/>
              </w:rPr>
              <w:t>Due Diligence</w:t>
            </w:r>
            <w:r>
              <w:rPr>
                <w:rFonts w:ascii="Times New Roman" w:hAnsi="Times New Roman"/>
                <w:color w:val="000000"/>
                <w:sz w:val="22"/>
              </w:rPr>
              <w:t xml:space="preserve">. Administrative Agent and Lenders have received and are reasonably satisfied with all reports, inspections, and examinations required by Administrative Agent and Lenders, </w:t>
            </w:r>
            <w:r>
              <w:rPr>
                <w:rFonts w:ascii="Times New Roman" w:hAnsi="Times New Roman"/>
                <w:color w:val="000000"/>
                <w:sz w:val="22"/>
                <w:u w:val="single"/>
              </w:rPr>
              <w:t>provided</w:t>
            </w:r>
            <w:r>
              <w:rPr>
                <w:rFonts w:ascii="Times New Roman" w:hAnsi="Times New Roman"/>
                <w:color w:val="000000"/>
                <w:sz w:val="22"/>
              </w:rPr>
              <w:t xml:space="preserve"> that Lenders shall not require updated certified articles of organization, so long as the Officer’s Certificates described above include a certification that there have been no changes to the articles of organization since the closing of the Eighth Amendment.</w:t>
            </w:r>
          </w:p>
        </w:tc>
      </w:tr>
    </w:tbl>
    <w:tbl>
      <w:tblPr>
        <w:tblW w:w="11251" w:type="dxa"/>
        <w:jc w:val="left"/>
        <w:tblInd w:w="1080" w:type="dxa"/>
        <w:tblLayout w:type="fixed"/>
        <w:tblCellMar>
          <w:top w:w="0" w:type="dxa"/>
          <w:left w:w="0" w:type="dxa"/>
          <w:bottom w:w="0" w:type="dxa"/>
          <w:right w:w="0" w:type="dxa"/>
        </w:tblCellMar>
      </w:tblPr>
      <w:tblGrid>
        <w:gridCol w:w="735"/>
        <w:gridCol w:w="10516"/>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516" w:type="dxa"/>
            <w:tcBorders/>
          </w:tcPr>
          <w:p>
            <w:pPr>
              <w:pStyle w:val="TableContents"/>
              <w:pBdr/>
              <w:bidi w:val="0"/>
              <w:spacing w:before="252" w:after="0"/>
              <w:ind w:left="0" w:right="356" w:hanging="0"/>
              <w:jc w:val="both"/>
              <w:rPr>
                <w:rFonts w:ascii="Times New Roman" w:hAnsi="Times New Roman"/>
                <w:sz w:val="22"/>
              </w:rPr>
            </w:pPr>
            <w:r>
              <w:rPr>
                <w:rFonts w:ascii="Times New Roman" w:hAnsi="Times New Roman"/>
                <w:b w:val="false"/>
                <w:i w:val="false"/>
                <w:caps w:val="false"/>
                <w:smallCaps w:val="false"/>
                <w:sz w:val="22"/>
              </w:rPr>
              <w:t>5.</w:t>
            </w:r>
            <w:r>
              <w:rPr>
                <w:rFonts w:ascii="Times New Roman" w:hAnsi="Times New Roman"/>
                <w:sz w:val="22"/>
              </w:rPr>
              <w:t xml:space="preserve"> </w:t>
            </w:r>
            <w:r>
              <w:rPr>
                <w:rFonts w:ascii="Times New Roman" w:hAnsi="Times New Roman"/>
                <w:b/>
                <w:color w:val="000000"/>
                <w:sz w:val="22"/>
              </w:rPr>
              <w:t>Reaffirmation and Ratification</w:t>
            </w:r>
            <w:r>
              <w:rPr>
                <w:rFonts w:ascii="Times New Roman" w:hAnsi="Times New Roman"/>
                <w:b/>
                <w:color w:val="000000"/>
                <w:sz w:val="22"/>
              </w:rPr>
              <w:t>.</w:t>
            </w:r>
            <w:r>
              <w:rPr>
                <w:rFonts w:ascii="Times New Roman" w:hAnsi="Times New Roman"/>
                <w:color w:val="000000"/>
                <w:sz w:val="22"/>
              </w:rPr>
              <w:t> The Borrower and each Guarantor hereby reaffirms, ratifies and confirms its Obligations under the Credit Agreement (to the extent it is a party) and all other Loan Documents and acknowledges that all of the terms and conditions of the Credit Agreement and all other Loan Documents, except as otherwise provided herein or therein, remain in full force and effect. The Borrower and each Guarantor further acknowledges and agrees that the liens, security interests, pledges, and assignments created by the Credit Agreement and Loan Documents are valid, effective, properly perfected, and enforceable liens, security interests, pledges, and assignments, and hereby reaffirms the grant of all liens, security interests, pledges, and assignments which each has previously granted to the Administrative Agent and Lenders.</w:t>
            </w:r>
          </w:p>
        </w:tc>
      </w:tr>
    </w:tbl>
    <w:tbl>
      <w:tblPr>
        <w:tblW w:w="11207" w:type="dxa"/>
        <w:jc w:val="left"/>
        <w:tblInd w:w="1080" w:type="dxa"/>
        <w:tblLayout w:type="fixed"/>
        <w:tblCellMar>
          <w:top w:w="0" w:type="dxa"/>
          <w:left w:w="0" w:type="dxa"/>
          <w:bottom w:w="0" w:type="dxa"/>
          <w:right w:w="0" w:type="dxa"/>
        </w:tblCellMar>
      </w:tblPr>
      <w:tblGrid>
        <w:gridCol w:w="735"/>
        <w:gridCol w:w="10472"/>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472" w:type="dxa"/>
            <w:tcBorders/>
          </w:tcPr>
          <w:p>
            <w:pPr>
              <w:pStyle w:val="TableContents"/>
              <w:pBdr/>
              <w:bidi w:val="0"/>
              <w:spacing w:before="241" w:after="0"/>
              <w:ind w:left="0" w:right="357" w:hanging="0"/>
              <w:jc w:val="both"/>
              <w:rPr>
                <w:rFonts w:ascii="Times New Roman" w:hAnsi="Times New Roman"/>
                <w:sz w:val="22"/>
              </w:rPr>
            </w:pPr>
            <w:r>
              <w:rPr>
                <w:rFonts w:ascii="Times New Roman" w:hAnsi="Times New Roman"/>
                <w:b w:val="false"/>
                <w:i w:val="false"/>
                <w:caps w:val="false"/>
                <w:smallCaps w:val="false"/>
                <w:sz w:val="22"/>
              </w:rPr>
              <w:t>6.</w:t>
            </w:r>
            <w:r>
              <w:rPr>
                <w:rFonts w:ascii="Times New Roman" w:hAnsi="Times New Roman"/>
                <w:sz w:val="22"/>
              </w:rPr>
              <w:t xml:space="preserve"> </w:t>
            </w:r>
            <w:r>
              <w:rPr>
                <w:rFonts w:ascii="Times New Roman" w:hAnsi="Times New Roman"/>
                <w:b/>
                <w:color w:val="000000"/>
                <w:sz w:val="22"/>
              </w:rPr>
              <w:t>Acknowledgements</w:t>
            </w:r>
            <w:r>
              <w:rPr>
                <w:rFonts w:ascii="Times New Roman" w:hAnsi="Times New Roman"/>
                <w:b/>
                <w:color w:val="000000"/>
                <w:sz w:val="22"/>
              </w:rPr>
              <w:t>.</w:t>
            </w:r>
            <w:r>
              <w:rPr>
                <w:rFonts w:ascii="Times New Roman" w:hAnsi="Times New Roman"/>
                <w:color w:val="000000"/>
                <w:sz w:val="22"/>
              </w:rPr>
              <w:t> The Loan Parties acknowledge and agree that as of the effective date of this Ninth Amendment: (i) the Indebtedness is just, due, and owing, without any right of any Loan Party to setoff, recoup, or counterclaim; (ii) the Administrative Agent and Lenders have fully performed all of their obligations under the Credit Agreement and Loan Documents and are not in default under any terms, provisions, or conditions of the Credit Agreement or the Loan Documents, and in addition, no circumstances exist under which Administrative Agent and Lenders may be deemed in default merely upon service of notice or passage of time or both; and (iii) the Loan Parties have no defenses to the Indebtedness, the Credit Agreement, or the Loan Documents.</w:t>
            </w:r>
          </w:p>
        </w:tc>
      </w:tr>
    </w:tbl>
    <w:tbl>
      <w:tblPr>
        <w:tblW w:w="11216" w:type="dxa"/>
        <w:jc w:val="left"/>
        <w:tblInd w:w="1080" w:type="dxa"/>
        <w:tblLayout w:type="fixed"/>
        <w:tblCellMar>
          <w:top w:w="0" w:type="dxa"/>
          <w:left w:w="0" w:type="dxa"/>
          <w:bottom w:w="0" w:type="dxa"/>
          <w:right w:w="0" w:type="dxa"/>
        </w:tblCellMar>
      </w:tblPr>
      <w:tblGrid>
        <w:gridCol w:w="715"/>
        <w:gridCol w:w="10501"/>
      </w:tblGrid>
      <w:tr>
        <w:trPr/>
        <w:tc>
          <w:tcPr>
            <w:tcW w:w="715" w:type="dxa"/>
            <w:tcBorders/>
            <w:vAlign w:val="center"/>
          </w:tcPr>
          <w:p>
            <w:pPr>
              <w:pStyle w:val="TableContents"/>
              <w:bidi w:val="0"/>
              <w:spacing w:before="0" w:after="283"/>
              <w:ind w:left="0" w:right="0" w:firstLine="700"/>
              <w:jc w:val="left"/>
              <w:rPr>
                <w:sz w:val="4"/>
                <w:szCs w:val="4"/>
              </w:rPr>
            </w:pPr>
            <w:r>
              <w:rPr>
                <w:sz w:val="4"/>
                <w:szCs w:val="4"/>
              </w:rPr>
            </w:r>
          </w:p>
        </w:tc>
        <w:tc>
          <w:tcPr>
            <w:tcW w:w="10501" w:type="dxa"/>
            <w:tcBorders/>
          </w:tcPr>
          <w:p>
            <w:pPr>
              <w:pStyle w:val="TableContents"/>
              <w:pBdr/>
              <w:bidi w:val="0"/>
              <w:spacing w:before="239" w:after="0"/>
              <w:ind w:left="0" w:right="356" w:hanging="0"/>
              <w:jc w:val="both"/>
              <w:rPr>
                <w:rFonts w:ascii="Times New Roman" w:hAnsi="Times New Roman"/>
                <w:sz w:val="22"/>
              </w:rPr>
            </w:pPr>
            <w:r>
              <w:rPr>
                <w:rFonts w:ascii="Times New Roman" w:hAnsi="Times New Roman"/>
                <w:b w:val="false"/>
                <w:i w:val="false"/>
                <w:caps w:val="false"/>
                <w:smallCaps w:val="false"/>
                <w:sz w:val="22"/>
              </w:rPr>
              <w:t>7.</w:t>
            </w:r>
            <w:r>
              <w:rPr>
                <w:rFonts w:ascii="Times New Roman" w:hAnsi="Times New Roman"/>
                <w:sz w:val="22"/>
              </w:rPr>
              <w:t xml:space="preserve"> </w:t>
            </w:r>
            <w:r>
              <w:rPr>
                <w:rFonts w:ascii="Times New Roman" w:hAnsi="Times New Roman"/>
                <w:b/>
                <w:color w:val="000000"/>
                <w:sz w:val="22"/>
              </w:rPr>
              <w:t>Representations and Warranties</w:t>
            </w:r>
            <w:r>
              <w:rPr>
                <w:rFonts w:ascii="Times New Roman" w:hAnsi="Times New Roman"/>
                <w:color w:val="000000"/>
                <w:sz w:val="22"/>
              </w:rPr>
              <w:t xml:space="preserve">. Each of the Loan Parties hereby confirms that all representations and warranties of the Loan Parties contained in Article V of the Credit Agreement (to the extent it is a party to the Credit Agreement or in the case of Reading International, Inc., all of the representations and warranties in its Continuing and Unconditional Guaranty dated March 27, 2024), as applicable, continue to be true and correct in all material respects after giving effect to this Ninth Amendment, except: (i) for representations and warranties which are qualified by the inclusion of a materiality standard, which representations and warranties shall be true and correct in all respects; and (ii) to the extent that such representations and warranties specifically refer to an earlier date, in which case they shall be true and correct in all material respects as of such earlier date; </w:t>
            </w:r>
            <w:r>
              <w:rPr>
                <w:rFonts w:ascii="Times New Roman" w:hAnsi="Times New Roman"/>
                <w:i/>
                <w:color w:val="000000"/>
                <w:sz w:val="22"/>
              </w:rPr>
              <w:t>provided</w:t>
            </w:r>
            <w:r>
              <w:rPr>
                <w:rFonts w:ascii="Times New Roman" w:hAnsi="Times New Roman"/>
                <w:color w:val="000000"/>
                <w:sz w:val="22"/>
              </w:rPr>
              <w:t>, in each case, that any representation or warranty which is qualified by reference to Material Adverse Effect shall exclude events, circumstances, occurrences or conditions arising from the COVID-19 pandemic.</w:t>
            </w:r>
          </w:p>
        </w:tc>
      </w:tr>
    </w:tbl>
    <w:tbl>
      <w:tblPr>
        <w:tblW w:w="9586" w:type="dxa"/>
        <w:jc w:val="left"/>
        <w:tblInd w:w="1080" w:type="dxa"/>
        <w:tblLayout w:type="fixed"/>
        <w:tblCellMar>
          <w:top w:w="0" w:type="dxa"/>
          <w:left w:w="0" w:type="dxa"/>
          <w:bottom w:w="0" w:type="dxa"/>
          <w:right w:w="0" w:type="dxa"/>
        </w:tblCellMar>
      </w:tblPr>
      <w:tblGrid>
        <w:gridCol w:w="735"/>
        <w:gridCol w:w="8851"/>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8851" w:type="dxa"/>
            <w:tcBorders/>
          </w:tcPr>
          <w:p>
            <w:pPr>
              <w:pStyle w:val="TableContents"/>
              <w:pBdr/>
              <w:bidi w:val="0"/>
              <w:spacing w:before="240" w:after="0"/>
              <w:ind w:left="0" w:right="356" w:hanging="0"/>
              <w:jc w:val="both"/>
              <w:rPr>
                <w:rFonts w:ascii="Times New Roman" w:hAnsi="Times New Roman"/>
                <w:sz w:val="22"/>
              </w:rPr>
            </w:pPr>
            <w:r>
              <w:rPr>
                <w:rFonts w:ascii="Times New Roman" w:hAnsi="Times New Roman"/>
                <w:b w:val="false"/>
                <w:i w:val="false"/>
                <w:caps w:val="false"/>
                <w:smallCaps w:val="false"/>
                <w:sz w:val="22"/>
              </w:rPr>
              <w:t>8.</w:t>
            </w:r>
            <w:r>
              <w:rPr>
                <w:rFonts w:ascii="Times New Roman" w:hAnsi="Times New Roman"/>
                <w:sz w:val="22"/>
              </w:rPr>
              <w:t xml:space="preserve"> </w:t>
            </w:r>
            <w:r>
              <w:rPr>
                <w:rFonts w:ascii="Times New Roman" w:hAnsi="Times New Roman"/>
                <w:b/>
                <w:color w:val="000000"/>
                <w:sz w:val="22"/>
              </w:rPr>
              <w:t>Events</w:t>
            </w:r>
            <w:r>
              <w:rPr>
                <w:rFonts w:ascii="Times New Roman" w:hAnsi="Times New Roman"/>
                <w:color w:val="000000"/>
                <w:sz w:val="22"/>
              </w:rPr>
              <w:t> </w:t>
            </w:r>
            <w:r>
              <w:rPr>
                <w:rFonts w:ascii="Times New Roman" w:hAnsi="Times New Roman"/>
                <w:b/>
                <w:color w:val="000000"/>
                <w:sz w:val="22"/>
              </w:rPr>
              <w:t>of</w:t>
            </w:r>
            <w:r>
              <w:rPr>
                <w:rFonts w:ascii="Times New Roman" w:hAnsi="Times New Roman"/>
                <w:color w:val="000000"/>
                <w:sz w:val="22"/>
              </w:rPr>
              <w:t> </w:t>
            </w:r>
            <w:r>
              <w:rPr>
                <w:rFonts w:ascii="Times New Roman" w:hAnsi="Times New Roman"/>
                <w:b/>
                <w:color w:val="000000"/>
                <w:sz w:val="22"/>
              </w:rPr>
              <w:t>Default</w:t>
            </w:r>
            <w:r>
              <w:rPr>
                <w:rFonts w:ascii="Times New Roman" w:hAnsi="Times New Roman"/>
                <w:color w:val="000000"/>
                <w:sz w:val="22"/>
              </w:rPr>
              <w:t>. After giving effect to this Ninth Amendment, no Default nor any Event of Default has occurred and is continuing under the Credit Agreement.</w:t>
            </w:r>
          </w:p>
        </w:tc>
      </w:tr>
    </w:tbl>
    <w:tbl>
      <w:tblPr>
        <w:tblW w:w="11178" w:type="dxa"/>
        <w:jc w:val="left"/>
        <w:tblInd w:w="1080" w:type="dxa"/>
        <w:tblLayout w:type="fixed"/>
        <w:tblCellMar>
          <w:top w:w="0" w:type="dxa"/>
          <w:left w:w="0" w:type="dxa"/>
          <w:bottom w:w="0" w:type="dxa"/>
          <w:right w:w="0" w:type="dxa"/>
        </w:tblCellMar>
      </w:tblPr>
      <w:tblGrid>
        <w:gridCol w:w="735"/>
        <w:gridCol w:w="10443"/>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443" w:type="dxa"/>
            <w:tcBorders/>
          </w:tcPr>
          <w:p>
            <w:pPr>
              <w:pStyle w:val="TableContents"/>
              <w:pBdr/>
              <w:bidi w:val="0"/>
              <w:spacing w:before="240" w:after="0"/>
              <w:ind w:left="0" w:right="358" w:hanging="0"/>
              <w:jc w:val="both"/>
              <w:rPr>
                <w:rFonts w:ascii="Times New Roman" w:hAnsi="Times New Roman"/>
                <w:sz w:val="22"/>
              </w:rPr>
            </w:pPr>
            <w:r>
              <w:rPr>
                <w:rFonts w:ascii="Times New Roman" w:hAnsi="Times New Roman"/>
                <w:b w:val="false"/>
                <w:i w:val="false"/>
                <w:caps w:val="false"/>
                <w:smallCaps w:val="false"/>
                <w:sz w:val="22"/>
              </w:rPr>
              <w:t>9.</w:t>
            </w:r>
            <w:r>
              <w:rPr>
                <w:rFonts w:ascii="Times New Roman" w:hAnsi="Times New Roman"/>
                <w:sz w:val="22"/>
              </w:rPr>
              <w:t xml:space="preserve"> </w:t>
            </w:r>
            <w:r>
              <w:rPr>
                <w:rFonts w:ascii="Times New Roman" w:hAnsi="Times New Roman"/>
                <w:b/>
                <w:color w:val="000000"/>
                <w:sz w:val="22"/>
              </w:rPr>
              <w:t>Integration</w:t>
            </w:r>
            <w:r>
              <w:rPr>
                <w:rFonts w:ascii="Times New Roman" w:hAnsi="Times New Roman"/>
                <w:color w:val="000000"/>
                <w:sz w:val="22"/>
              </w:rPr>
              <w:t>. This Ninth Amendment constitutes the entire agreement of the parties in connection with the subject matter hereof and cannot be changed or terminated orally. All prior agreements,</w:t>
            </w:r>
          </w:p>
        </w:tc>
      </w:tr>
    </w:tbl>
    <w:p>
      <w:pPr>
        <w:pStyle w:val="TextBody"/>
        <w:bidi w:val="0"/>
        <w:spacing w:before="97" w:after="0"/>
        <w:ind w:left="1080" w:right="1080" w:hanging="0"/>
        <w:jc w:val="left"/>
        <w:rPr>
          <w:rFonts w:cs="Times New Roman"/>
          <w:szCs w:val="20"/>
        </w:rPr>
      </w:pPr>
      <w:r>
        <w:rPr>
          <w:rFonts w:cs="Times New Roman"/>
          <w:color w:val="000000"/>
          <w:szCs w:val="21"/>
        </w:rPr>
        <w:t>﻿</w:t>
      </w:r>
      <w:r>
        <w:rPr>
          <w:rFonts w:cs="Times New Roman"/>
          <w:szCs w:val="20"/>
        </w:rPr>
        <w:t xml:space="preserve"> </w:t>
      </w:r>
    </w:p>
    <w:p>
      <w:pPr>
        <w:pStyle w:val="TextBody"/>
        <w:bidi w:val="0"/>
        <w:spacing w:before="1" w:after="0"/>
        <w:ind w:left="1996" w:right="1996" w:hanging="0"/>
        <w:jc w:val="center"/>
        <w:rPr>
          <w:rFonts w:ascii="Times New Roman" w:hAnsi="Times New Roman"/>
          <w:sz w:val="20"/>
        </w:rPr>
      </w:pPr>
      <w:r>
        <w:rPr>
          <w:rFonts w:ascii="Times New Roman" w:hAnsi="Times New Roman"/>
          <w:color w:val="000000"/>
          <w:sz w:val="21"/>
        </w:rPr>
        <w:t>3</w:t>
      </w:r>
      <w:r>
        <w:rPr>
          <w:rFonts w:ascii="Times New Roman" w:hAnsi="Times New Roman"/>
          <w:sz w:val="20"/>
        </w:rPr>
        <w:t xml:space="preserve"> </w:t>
      </w:r>
    </w:p>
    <w:p>
      <w:pPr>
        <w:pStyle w:val="TextBody"/>
        <w:bidi w:val="0"/>
        <w:spacing w:before="0" w:after="0"/>
        <w:ind w:left="1080" w:right="1080" w:hanging="0"/>
        <w:jc w:val="center"/>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80" w:after="0"/>
        <w:ind w:left="1440" w:right="1080" w:hanging="0"/>
        <w:jc w:val="left"/>
        <w:rPr>
          <w:rFonts w:ascii="Times New Roman" w:hAnsi="Times New Roman"/>
          <w:sz w:val="22"/>
        </w:rPr>
      </w:pPr>
      <w:r>
        <w:rPr>
          <w:rFonts w:ascii="Times New Roman" w:hAnsi="Times New Roman"/>
          <w:sz w:val="22"/>
        </w:rPr>
        <w:t xml:space="preserve">understandings, representations, warranties and negotiations regarding the subject matter hereof, if any, are merged into this Ninth Amendment. </w:t>
      </w:r>
    </w:p>
    <w:tbl>
      <w:tblPr>
        <w:tblW w:w="9511" w:type="dxa"/>
        <w:jc w:val="left"/>
        <w:tblInd w:w="1080" w:type="dxa"/>
        <w:tblLayout w:type="fixed"/>
        <w:tblCellMar>
          <w:top w:w="0" w:type="dxa"/>
          <w:left w:w="0" w:type="dxa"/>
          <w:bottom w:w="0" w:type="dxa"/>
          <w:right w:w="0" w:type="dxa"/>
        </w:tblCellMar>
      </w:tblPr>
      <w:tblGrid>
        <w:gridCol w:w="735"/>
        <w:gridCol w:w="8776"/>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8776" w:type="dxa"/>
            <w:tcBorders/>
          </w:tcPr>
          <w:p>
            <w:pPr>
              <w:pStyle w:val="TableContents"/>
              <w:pBdr/>
              <w:bidi w:val="0"/>
              <w:spacing w:before="239" w:after="0"/>
              <w:ind w:left="0" w:right="356" w:hanging="0"/>
              <w:jc w:val="both"/>
              <w:rPr>
                <w:rFonts w:ascii="Times New Roman" w:hAnsi="Times New Roman"/>
                <w:sz w:val="22"/>
              </w:rPr>
            </w:pPr>
            <w:r>
              <w:rPr>
                <w:rFonts w:ascii="Times New Roman" w:hAnsi="Times New Roman"/>
                <w:b w:val="false"/>
                <w:i w:val="false"/>
                <w:caps w:val="false"/>
                <w:smallCaps w:val="false"/>
                <w:sz w:val="22"/>
              </w:rPr>
              <w:t>10.</w:t>
            </w:r>
            <w:r>
              <w:rPr>
                <w:rFonts w:ascii="Times New Roman" w:hAnsi="Times New Roman"/>
                <w:sz w:val="22"/>
              </w:rPr>
              <w:t xml:space="preserve"> </w:t>
            </w:r>
            <w:r>
              <w:rPr>
                <w:rFonts w:ascii="Times New Roman" w:hAnsi="Times New Roman"/>
                <w:b/>
                <w:color w:val="000000"/>
                <w:sz w:val="22"/>
              </w:rPr>
              <w:t>Counterparts</w:t>
            </w:r>
            <w:r>
              <w:rPr>
                <w:rFonts w:ascii="Times New Roman" w:hAnsi="Times New Roman"/>
                <w:color w:val="000000"/>
                <w:sz w:val="22"/>
              </w:rPr>
              <w:t>. This Ninth Amendment may be executed in multiple counterparts, each of which when so executed and delivered shall be deemed an original, and all of which, taken together, shall constitute but one and the same agreement.</w:t>
            </w:r>
          </w:p>
        </w:tc>
      </w:tr>
    </w:tbl>
    <w:tbl>
      <w:tblPr>
        <w:tblW w:w="11116" w:type="dxa"/>
        <w:jc w:val="left"/>
        <w:tblInd w:w="1080" w:type="dxa"/>
        <w:tblLayout w:type="fixed"/>
        <w:tblCellMar>
          <w:top w:w="0" w:type="dxa"/>
          <w:left w:w="0" w:type="dxa"/>
          <w:bottom w:w="0" w:type="dxa"/>
          <w:right w:w="0" w:type="dxa"/>
        </w:tblCellMar>
      </w:tblPr>
      <w:tblGrid>
        <w:gridCol w:w="735"/>
        <w:gridCol w:w="10381"/>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381" w:type="dxa"/>
            <w:tcBorders/>
          </w:tcPr>
          <w:p>
            <w:pPr>
              <w:pStyle w:val="TableContents"/>
              <w:pBdr/>
              <w:bidi w:val="0"/>
              <w:spacing w:before="240" w:after="0"/>
              <w:ind w:left="0" w:right="356" w:hanging="0"/>
              <w:jc w:val="both"/>
              <w:rPr>
                <w:rFonts w:ascii="Times New Roman" w:hAnsi="Times New Roman"/>
                <w:sz w:val="22"/>
              </w:rPr>
            </w:pPr>
            <w:r>
              <w:rPr>
                <w:rFonts w:ascii="Times New Roman" w:hAnsi="Times New Roman"/>
                <w:b w:val="false"/>
                <w:i w:val="false"/>
                <w:caps w:val="false"/>
                <w:smallCaps w:val="false"/>
                <w:sz w:val="22"/>
              </w:rPr>
              <w:t>11.</w:t>
            </w:r>
            <w:r>
              <w:rPr>
                <w:rFonts w:ascii="Times New Roman" w:hAnsi="Times New Roman"/>
                <w:sz w:val="22"/>
              </w:rPr>
              <w:t xml:space="preserve"> </w:t>
            </w:r>
            <w:r>
              <w:rPr>
                <w:rFonts w:ascii="Times New Roman" w:hAnsi="Times New Roman"/>
                <w:b/>
                <w:color w:val="000000"/>
                <w:sz w:val="22"/>
              </w:rPr>
              <w:t>Governing Law</w:t>
            </w:r>
            <w:r>
              <w:rPr>
                <w:rFonts w:ascii="Times New Roman" w:hAnsi="Times New Roman"/>
                <w:color w:val="000000"/>
                <w:sz w:val="22"/>
              </w:rPr>
              <w:t>. This Ninth Amendment shall be governed by, and construed and enforced in accordance with, the internal laws (as opposed to the conflicts of law principles) of the State of New York.</w:t>
            </w:r>
          </w:p>
        </w:tc>
      </w:tr>
    </w:tbl>
    <w:p>
      <w:pPr>
        <w:pStyle w:val="TextBody"/>
        <w:bidi w:val="0"/>
        <w:spacing w:before="241" w:after="0"/>
        <w:ind w:left="3760" w:right="1080" w:hanging="0"/>
        <w:jc w:val="left"/>
        <w:rPr>
          <w:rFonts w:ascii="Times New Roman" w:hAnsi="Times New Roman"/>
          <w:sz w:val="22"/>
        </w:rPr>
      </w:pPr>
      <w:r>
        <w:rPr>
          <w:rFonts w:ascii="Times New Roman" w:hAnsi="Times New Roman"/>
          <w:i/>
          <w:color w:val="000000"/>
          <w:sz w:val="22"/>
        </w:rPr>
        <w:t>[Rest</w:t>
      </w:r>
      <w:r>
        <w:rPr>
          <w:rFonts w:ascii="Times New Roman" w:hAnsi="Times New Roman"/>
          <w:color w:val="000000"/>
          <w:sz w:val="22"/>
        </w:rPr>
        <w:t> </w:t>
      </w:r>
      <w:r>
        <w:rPr>
          <w:rFonts w:ascii="Times New Roman" w:hAnsi="Times New Roman"/>
          <w:i/>
          <w:color w:val="000000"/>
          <w:sz w:val="22"/>
        </w:rPr>
        <w:t>of</w:t>
      </w:r>
      <w:r>
        <w:rPr>
          <w:rFonts w:ascii="Times New Roman" w:hAnsi="Times New Roman"/>
          <w:color w:val="000000"/>
          <w:sz w:val="22"/>
        </w:rPr>
        <w:t> </w:t>
      </w:r>
      <w:r>
        <w:rPr>
          <w:rFonts w:ascii="Times New Roman" w:hAnsi="Times New Roman"/>
          <w:i/>
          <w:color w:val="000000"/>
          <w:sz w:val="22"/>
        </w:rPr>
        <w:t>page</w:t>
      </w:r>
      <w:r>
        <w:rPr>
          <w:rFonts w:ascii="Times New Roman" w:hAnsi="Times New Roman"/>
          <w:color w:val="000000"/>
          <w:sz w:val="22"/>
        </w:rPr>
        <w:t> </w:t>
      </w:r>
      <w:r>
        <w:rPr>
          <w:rFonts w:ascii="Times New Roman" w:hAnsi="Times New Roman"/>
          <w:i/>
          <w:color w:val="000000"/>
          <w:sz w:val="22"/>
        </w:rPr>
        <w:t>intentionally</w:t>
      </w:r>
      <w:r>
        <w:rPr>
          <w:rFonts w:ascii="Times New Roman" w:hAnsi="Times New Roman"/>
          <w:color w:val="000000"/>
          <w:sz w:val="22"/>
        </w:rPr>
        <w:t> </w:t>
      </w:r>
      <w:r>
        <w:rPr>
          <w:rFonts w:ascii="Times New Roman" w:hAnsi="Times New Roman"/>
          <w:i/>
          <w:color w:val="000000"/>
          <w:sz w:val="22"/>
        </w:rPr>
        <w:t>left</w:t>
      </w:r>
      <w:r>
        <w:rPr>
          <w:rFonts w:ascii="Times New Roman" w:hAnsi="Times New Roman"/>
          <w:color w:val="000000"/>
          <w:sz w:val="22"/>
        </w:rPr>
        <w:t> </w:t>
      </w:r>
      <w:r>
        <w:rPr>
          <w:rFonts w:ascii="Times New Roman" w:hAnsi="Times New Roman"/>
          <w:i/>
          <w:color w:val="000000"/>
          <w:sz w:val="22"/>
        </w:rPr>
        <w:t>blank;</w:t>
      </w:r>
      <w:r>
        <w:rPr>
          <w:rFonts w:ascii="Times New Roman" w:hAnsi="Times New Roman"/>
          <w:color w:val="000000"/>
          <w:sz w:val="22"/>
        </w:rPr>
        <w:t> </w:t>
      </w:r>
      <w:r>
        <w:rPr>
          <w:rFonts w:ascii="Times New Roman" w:hAnsi="Times New Roman"/>
          <w:i/>
          <w:color w:val="000000"/>
          <w:sz w:val="22"/>
        </w:rPr>
        <w:t>signature</w:t>
      </w:r>
      <w:r>
        <w:rPr>
          <w:rFonts w:ascii="Times New Roman" w:hAnsi="Times New Roman"/>
          <w:color w:val="000000"/>
          <w:sz w:val="22"/>
        </w:rPr>
        <w:t> </w:t>
      </w:r>
      <w:r>
        <w:rPr>
          <w:rFonts w:ascii="Times New Roman" w:hAnsi="Times New Roman"/>
          <w:i/>
          <w:color w:val="000000"/>
          <w:sz w:val="22"/>
        </w:rPr>
        <w:t>pages</w:t>
      </w:r>
      <w:r>
        <w:rPr>
          <w:rFonts w:ascii="Times New Roman" w:hAnsi="Times New Roman"/>
          <w:color w:val="000000"/>
          <w:sz w:val="22"/>
        </w:rPr>
        <w:t> </w:t>
      </w:r>
      <w:r>
        <w:rPr>
          <w:rFonts w:ascii="Times New Roman" w:hAnsi="Times New Roman"/>
          <w:i/>
          <w:color w:val="000000"/>
          <w:sz w:val="22"/>
        </w:rPr>
        <w:t>follow]</w:t>
      </w:r>
      <w:r>
        <w:rPr>
          <w:rFonts w:ascii="Times New Roman" w:hAnsi="Times New Roman"/>
          <w:sz w:val="22"/>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0"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pBdr/>
        <w:bidi w:val="0"/>
        <w:spacing w:before="23" w:after="0"/>
        <w:ind w:left="1080" w:right="1080" w:hanging="0"/>
        <w:jc w:val="left"/>
        <w:rPr>
          <w:rFonts w:cs="Times New Roman"/>
          <w:szCs w:val="20"/>
        </w:rPr>
      </w:pPr>
      <w:r>
        <w:rPr>
          <w:rFonts w:cs="Times New Roman"/>
          <w:iCs/>
          <w:color w:val="000000"/>
          <w:szCs w:val="21"/>
        </w:rPr>
        <w:t>﻿</w:t>
      </w:r>
      <w:r>
        <w:rPr>
          <w:rFonts w:cs="Times New Roman"/>
          <w:szCs w:val="20"/>
        </w:rPr>
        <w:t xml:space="preserve"> </w:t>
      </w:r>
    </w:p>
    <w:p>
      <w:pPr>
        <w:pStyle w:val="TextBody"/>
        <w:bidi w:val="0"/>
        <w:spacing w:before="0" w:after="0"/>
        <w:ind w:left="1996" w:right="1996" w:hanging="0"/>
        <w:jc w:val="center"/>
        <w:rPr>
          <w:rFonts w:ascii="Times New Roman" w:hAnsi="Times New Roman"/>
          <w:sz w:val="20"/>
        </w:rPr>
      </w:pPr>
      <w:r>
        <w:rPr>
          <w:rFonts w:ascii="Times New Roman" w:hAnsi="Times New Roman"/>
          <w:color w:val="000000"/>
          <w:sz w:val="21"/>
        </w:rPr>
        <w:t>4</w:t>
      </w:r>
      <w:r>
        <w:rPr>
          <w:rFonts w:ascii="Times New Roman" w:hAnsi="Times New Roman"/>
          <w:sz w:val="20"/>
        </w:rPr>
        <w:t xml:space="preserve"> </w:t>
      </w:r>
    </w:p>
    <w:p>
      <w:pPr>
        <w:pStyle w:val="TextBody"/>
        <w:bidi w:val="0"/>
        <w:spacing w:before="0" w:after="0"/>
        <w:ind w:left="1080" w:right="1080" w:hanging="0"/>
        <w:jc w:val="center"/>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80" w:after="0"/>
        <w:ind w:left="1439" w:right="1080" w:firstLine="720"/>
        <w:jc w:val="left"/>
        <w:rPr>
          <w:rFonts w:ascii="Times New Roman" w:hAnsi="Times New Roman"/>
          <w:sz w:val="22"/>
        </w:rPr>
      </w:pPr>
      <w:r>
        <w:rPr>
          <w:rFonts w:ascii="Times New Roman" w:hAnsi="Times New Roman"/>
          <w:i/>
          <w:sz w:val="22"/>
        </w:rPr>
        <w:t>IN</w:t>
      </w:r>
      <w:r>
        <w:rPr>
          <w:rFonts w:ascii="Times New Roman" w:hAnsi="Times New Roman"/>
          <w:sz w:val="22"/>
        </w:rPr>
        <w:t> </w:t>
      </w:r>
      <w:r>
        <w:rPr>
          <w:rFonts w:ascii="Times New Roman" w:hAnsi="Times New Roman"/>
          <w:i/>
          <w:sz w:val="22"/>
        </w:rPr>
        <w:t>WITNESS</w:t>
      </w:r>
      <w:r>
        <w:rPr>
          <w:rFonts w:ascii="Times New Roman" w:hAnsi="Times New Roman"/>
          <w:sz w:val="22"/>
        </w:rPr>
        <w:t> </w:t>
      </w:r>
      <w:r>
        <w:rPr>
          <w:rFonts w:ascii="Times New Roman" w:hAnsi="Times New Roman"/>
          <w:i/>
          <w:sz w:val="22"/>
        </w:rPr>
        <w:t>WHEREOF</w:t>
      </w:r>
      <w:r>
        <w:rPr>
          <w:rFonts w:ascii="Times New Roman" w:hAnsi="Times New Roman"/>
          <w:sz w:val="22"/>
        </w:rPr>
        <w:t xml:space="preserve">, the parties hereto have executed this Ninth Amendment by their respective duly authorized officers as of the date first above written. </w:t>
      </w:r>
    </w:p>
    <w:p>
      <w:pPr>
        <w:pStyle w:val="TextBody"/>
        <w:bidi w:val="0"/>
        <w:spacing w:before="239" w:after="0"/>
        <w:ind w:left="1996" w:right="1312" w:hanging="0"/>
        <w:jc w:val="center"/>
        <w:rPr>
          <w:rFonts w:ascii="Times New Roman" w:hAnsi="Times New Roman"/>
          <w:b/>
          <w:sz w:val="22"/>
        </w:rPr>
      </w:pPr>
      <w:r>
        <w:rPr>
          <w:rFonts w:ascii="Times New Roman" w:hAnsi="Times New Roman"/>
          <w:b/>
          <w:sz w:val="22"/>
        </w:rPr>
        <w:t>BORROWER</w:t>
      </w:r>
      <w:r>
        <w:rPr>
          <w:rFonts w:ascii="Times New Roman" w:hAnsi="Times New Roman"/>
          <w:b/>
          <w:sz w:val="22"/>
        </w:rPr>
        <w:t xml:space="preserve">: </w:t>
      </w:r>
    </w:p>
    <w:p>
      <w:pPr>
        <w:pStyle w:val="TextBody"/>
        <w:bidi w:val="0"/>
        <w:spacing w:before="0" w:after="0"/>
        <w:ind w:left="1080" w:right="108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5760" w:right="1080" w:hanging="0"/>
        <w:jc w:val="left"/>
        <w:rPr>
          <w:rFonts w:ascii="Times New Roman" w:hAnsi="Times New Roman"/>
          <w:sz w:val="22"/>
        </w:rPr>
      </w:pPr>
      <w:r>
        <w:rPr>
          <w:rFonts w:ascii="Times New Roman" w:hAnsi="Times New Roman"/>
          <w:b/>
          <w:sz w:val="22"/>
        </w:rPr>
        <w:t>CONSOLIDATED</w:t>
      </w:r>
      <w:r>
        <w:rPr>
          <w:rFonts w:ascii="Times New Roman" w:hAnsi="Times New Roman"/>
          <w:sz w:val="22"/>
        </w:rPr>
        <w:t> </w:t>
      </w:r>
      <w:r>
        <w:rPr>
          <w:rFonts w:ascii="Times New Roman" w:hAnsi="Times New Roman"/>
          <w:b/>
          <w:sz w:val="22"/>
        </w:rPr>
        <w:t>AMUSEMENT</w:t>
      </w:r>
      <w:r>
        <w:rPr>
          <w:rFonts w:ascii="Times New Roman" w:hAnsi="Times New Roman"/>
          <w:sz w:val="22"/>
        </w:rPr>
        <w:t> </w:t>
      </w:r>
      <w:r>
        <w:rPr>
          <w:rFonts w:ascii="Times New Roman" w:hAnsi="Times New Roman"/>
          <w:b/>
          <w:sz w:val="22"/>
        </w:rPr>
        <w:t>HOLDINGS</w:t>
      </w:r>
      <w:r>
        <w:rPr>
          <w:rFonts w:ascii="Times New Roman" w:hAnsi="Times New Roman"/>
          <w:sz w:val="22"/>
        </w:rPr>
        <w:t xml:space="preserve">, </w:t>
      </w:r>
    </w:p>
    <w:p>
      <w:pPr>
        <w:pStyle w:val="TextBody"/>
        <w:pBdr/>
        <w:bidi w:val="0"/>
        <w:spacing w:before="0" w:after="0"/>
        <w:ind w:left="5760" w:right="1080" w:hanging="0"/>
        <w:jc w:val="left"/>
        <w:rPr>
          <w:rFonts w:ascii="Times New Roman" w:hAnsi="Times New Roman"/>
          <w:sz w:val="22"/>
        </w:rPr>
      </w:pPr>
      <w:r>
        <w:rPr>
          <w:rFonts w:ascii="Times New Roman" w:hAnsi="Times New Roman"/>
          <w:b/>
          <w:sz w:val="22"/>
        </w:rPr>
        <w:t>LLC</w:t>
      </w:r>
      <w:r>
        <w:rPr>
          <w:rFonts w:ascii="Times New Roman" w:hAnsi="Times New Roman"/>
          <w:sz w:val="22"/>
        </w:rPr>
        <w:t xml:space="preserve">, a Nevada limited liability company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pPr>
      <w:r>
        <w:rPr/>
        <w:t> </w:t>
      </w:r>
      <w:r>
        <w:rPr>
          <w:rFonts w:ascii="Times New Roman" w:hAnsi="Times New Roman"/>
          <w:sz w:val="22"/>
        </w:rPr>
        <w:t xml:space="preserve">/s/ Gilbert Avanes </w:t>
      </w:r>
    </w:p>
    <w:p>
      <w:pPr>
        <w:pStyle w:val="TextBody"/>
        <w:pBdr/>
        <w:bidi w:val="0"/>
        <w:spacing w:before="0" w:after="0"/>
        <w:ind w:left="5760" w:right="1080" w:hanging="0"/>
        <w:jc w:val="left"/>
        <w:rPr>
          <w:rFonts w:ascii="Times New Roman" w:hAnsi="Times New Roman"/>
          <w:sz w:val="22"/>
        </w:rPr>
      </w:pPr>
      <w:r>
        <w:rPr>
          <w:rFonts w:ascii="Times New Roman" w:hAnsi="Times New Roman"/>
          <w:sz w:val="22"/>
        </w:rPr>
        <w:t xml:space="preserve">By: </w:t>
      </w:r>
    </w:p>
    <w:p>
      <w:pPr>
        <w:pStyle w:val="TextBody"/>
        <w:pBdr/>
        <w:bidi w:val="0"/>
        <w:spacing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1"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80" w:after="0"/>
        <w:ind w:left="1997" w:right="1081" w:hanging="0"/>
        <w:jc w:val="center"/>
        <w:rPr>
          <w:rFonts w:ascii="Times New Roman" w:hAnsi="Times New Roman"/>
          <w:b/>
          <w:sz w:val="22"/>
        </w:rPr>
      </w:pPr>
      <w:r>
        <w:rPr>
          <w:rFonts w:ascii="Times New Roman" w:hAnsi="Times New Roman"/>
          <w:b/>
          <w:sz w:val="22"/>
        </w:rPr>
        <w:t>GUARANTORS</w:t>
      </w:r>
      <w:r>
        <w:rPr>
          <w:rFonts w:ascii="Times New Roman" w:hAnsi="Times New Roman"/>
          <w:b/>
          <w:sz w:val="22"/>
        </w:rPr>
        <w:t xml:space="preserve">: </w:t>
      </w:r>
    </w:p>
    <w:p>
      <w:pPr>
        <w:pStyle w:val="TextBody"/>
        <w:bidi w:val="0"/>
        <w:spacing w:before="252" w:after="0"/>
        <w:ind w:left="5759" w:right="1080" w:hanging="0"/>
        <w:jc w:val="left"/>
        <w:rPr>
          <w:rFonts w:ascii="Times New Roman" w:hAnsi="Times New Roman"/>
          <w:sz w:val="22"/>
        </w:rPr>
      </w:pPr>
      <w:r>
        <w:rPr>
          <w:rFonts w:ascii="Times New Roman" w:hAnsi="Times New Roman"/>
          <w:b/>
          <w:sz w:val="22"/>
        </w:rPr>
        <w:t>CONSOLIDATED ENTERTAINMENT,</w:t>
      </w:r>
      <w:r>
        <w:rPr>
          <w:rFonts w:ascii="Times New Roman" w:hAnsi="Times New Roman"/>
          <w:sz w:val="22"/>
        </w:rPr>
        <w:t> </w:t>
      </w:r>
      <w:r>
        <w:rPr>
          <w:rFonts w:ascii="Times New Roman" w:hAnsi="Times New Roman"/>
          <w:b/>
          <w:sz w:val="22"/>
        </w:rPr>
        <w:t>LLC</w:t>
      </w:r>
      <w:r>
        <w:rPr>
          <w:rFonts w:ascii="Times New Roman" w:hAnsi="Times New Roman"/>
          <w:sz w:val="22"/>
        </w:rPr>
        <w:t xml:space="preserve">, </w:t>
      </w:r>
    </w:p>
    <w:p>
      <w:pPr>
        <w:pStyle w:val="TextBody"/>
        <w:pBdr/>
        <w:bidi w:val="0"/>
        <w:spacing w:before="0" w:after="0"/>
        <w:ind w:left="5759"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bookmarkStart w:id="78" w:name="_Hlk197535014"/>
      <w:bookmarkEnd w:id="78"/>
      <w:r>
        <w:rPr>
          <w:rFonts w:ascii="Times New Roman" w:hAnsi="Times New Roman"/>
          <w:sz w:val="22"/>
        </w:rPr>
        <w:t xml:space="preserve">/s/ Gilbert Avanes </w:t>
      </w:r>
    </w:p>
    <w:p>
      <w:pPr>
        <w:pStyle w:val="TextBody"/>
        <w:pBdr/>
        <w:bidi w:val="0"/>
        <w:spacing w:before="1"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bidi w:val="0"/>
        <w:spacing w:before="0" w:after="0"/>
        <w:ind w:left="5760" w:right="1080" w:hanging="0"/>
        <w:jc w:val="left"/>
        <w:rPr>
          <w:rFonts w:ascii="Times New Roman" w:hAnsi="Times New Roman"/>
          <w:b/>
          <w:sz w:val="22"/>
        </w:rPr>
      </w:pPr>
      <w:r>
        <w:rPr>
          <w:rFonts w:ascii="Times New Roman" w:hAnsi="Times New Roman"/>
          <w:b/>
          <w:sz w:val="22"/>
        </w:rPr>
        <w:t>ANGELIKA FILM CENTER MOSAIC, LLC</w:t>
      </w:r>
      <w:r>
        <w:rPr>
          <w:rFonts w:ascii="Times New Roman" w:hAnsi="Times New Roman"/>
          <w:b w:val="false"/>
          <w:sz w:val="22"/>
        </w:rPr>
        <w:t>,</w:t>
      </w:r>
      <w:r>
        <w:rPr>
          <w:rFonts w:ascii="Times New Roman" w:hAnsi="Times New Roman"/>
          <w:b/>
          <w:sz w:val="22"/>
        </w:rPr>
        <w:t xml:space="preserve"> </w:t>
      </w:r>
    </w:p>
    <w:p>
      <w:pPr>
        <w:pStyle w:val="TextBody"/>
        <w:pBdr/>
        <w:bidi w:val="0"/>
        <w:spacing w:before="0" w:after="0"/>
        <w:ind w:left="5760"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bidi w:val="0"/>
        <w:spacing w:before="0" w:after="0"/>
        <w:ind w:left="5760" w:right="1080" w:hanging="0"/>
        <w:jc w:val="left"/>
        <w:rPr>
          <w:rFonts w:ascii="Times New Roman" w:hAnsi="Times New Roman"/>
          <w:b/>
          <w:sz w:val="22"/>
        </w:rPr>
      </w:pPr>
      <w:r>
        <w:rPr>
          <w:rFonts w:ascii="Times New Roman" w:hAnsi="Times New Roman"/>
          <w:b/>
          <w:sz w:val="22"/>
        </w:rPr>
        <w:t>ANGELIKA FILM CENTERS LLC</w:t>
      </w:r>
      <w:r>
        <w:rPr>
          <w:rFonts w:ascii="Times New Roman" w:hAnsi="Times New Roman"/>
          <w:b w:val="false"/>
          <w:sz w:val="22"/>
        </w:rPr>
        <w:t>,</w:t>
      </w:r>
      <w:r>
        <w:rPr>
          <w:rFonts w:ascii="Times New Roman" w:hAnsi="Times New Roman"/>
          <w:b/>
          <w:sz w:val="22"/>
        </w:rPr>
        <w:t xml:space="preserve"> </w:t>
      </w:r>
    </w:p>
    <w:p>
      <w:pPr>
        <w:pStyle w:val="TextBody"/>
        <w:bidi w:val="0"/>
        <w:spacing w:before="0" w:after="0"/>
        <w:ind w:left="5760" w:right="1080" w:hanging="0"/>
        <w:jc w:val="left"/>
        <w:rPr>
          <w:rFonts w:ascii="Times New Roman" w:hAnsi="Times New Roman"/>
          <w:sz w:val="22"/>
        </w:rPr>
      </w:pPr>
      <w:r>
        <w:rPr>
          <w:rFonts w:ascii="Times New Roman" w:hAnsi="Times New Roman"/>
          <w:sz w:val="22"/>
        </w:rPr>
        <w:t xml:space="preserve">a Delaware limited liability company </w:t>
      </w:r>
    </w:p>
    <w:p>
      <w:pPr>
        <w:pStyle w:val="TextBody"/>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both"/>
        <w:rPr>
          <w:rFonts w:ascii="Times New Roman" w:hAnsi="Times New Roman"/>
          <w:sz w:val="22"/>
        </w:rPr>
      </w:pPr>
      <w:r>
        <w:rPr>
          <w:rFonts w:ascii="Times New Roman" w:hAnsi="Times New Roman"/>
          <w:sz w:val="22"/>
        </w:rPr>
        <w:t xml:space="preserve">/s/ Gilbert Avanes </w:t>
      </w:r>
    </w:p>
    <w:p>
      <w:pPr>
        <w:pStyle w:val="TextBody"/>
        <w:pBdr/>
        <w:bidi w:val="0"/>
        <w:spacing w:before="1"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252" w:after="0"/>
        <w:ind w:left="1080" w:right="1080" w:hanging="0"/>
        <w:jc w:val="left"/>
        <w:rPr>
          <w:rFonts w:cs="Times New Roman"/>
          <w:szCs w:val="22"/>
        </w:rPr>
      </w:pPr>
      <w:r>
        <w:rPr>
          <w:rFonts w:cs="Times New Roman"/>
          <w:szCs w:val="22"/>
        </w:rPr>
        <w:t xml:space="preserve">﻿ </w:t>
      </w:r>
    </w:p>
    <w:p>
      <w:pPr>
        <w:pStyle w:val="TextBody"/>
        <w:bidi w:val="0"/>
        <w:spacing w:before="1" w:after="0"/>
        <w:ind w:left="5760" w:right="1080" w:hanging="0"/>
        <w:jc w:val="left"/>
        <w:rPr>
          <w:rFonts w:ascii="Times New Roman" w:hAnsi="Times New Roman"/>
          <w:b/>
          <w:sz w:val="22"/>
        </w:rPr>
      </w:pPr>
      <w:r>
        <w:rPr>
          <w:rFonts w:ascii="Times New Roman" w:hAnsi="Times New Roman"/>
          <w:b/>
          <w:sz w:val="22"/>
        </w:rPr>
        <w:t>READING CINEMAS NJ, INC.</w:t>
      </w:r>
      <w:r>
        <w:rPr>
          <w:rFonts w:ascii="Times New Roman" w:hAnsi="Times New Roman"/>
          <w:b w:val="false"/>
          <w:sz w:val="22"/>
        </w:rPr>
        <w:t>,</w:t>
      </w:r>
      <w:r>
        <w:rPr>
          <w:rFonts w:ascii="Times New Roman" w:hAnsi="Times New Roman"/>
          <w:b/>
          <w:sz w:val="22"/>
        </w:rPr>
        <w:t xml:space="preserve"> </w:t>
      </w:r>
    </w:p>
    <w:p>
      <w:pPr>
        <w:pStyle w:val="TextBody"/>
        <w:pBdr/>
        <w:bidi w:val="0"/>
        <w:spacing w:before="0" w:after="0"/>
        <w:ind w:left="5760" w:right="1080" w:hanging="0"/>
        <w:jc w:val="left"/>
        <w:rPr>
          <w:rFonts w:ascii="Times New Roman" w:hAnsi="Times New Roman"/>
          <w:sz w:val="22"/>
        </w:rPr>
      </w:pPr>
      <w:r>
        <w:rPr>
          <w:rFonts w:ascii="Times New Roman" w:hAnsi="Times New Roman"/>
          <w:sz w:val="22"/>
        </w:rPr>
        <w:t xml:space="preserve">a Delaware corporation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1"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bidi w:val="0"/>
        <w:spacing w:lineRule="atLeast" w:line="252" w:before="0" w:after="0"/>
        <w:ind w:left="5760" w:right="1080" w:hanging="0"/>
        <w:jc w:val="left"/>
        <w:rPr>
          <w:rFonts w:ascii="Times New Roman" w:hAnsi="Times New Roman"/>
          <w:b/>
          <w:sz w:val="22"/>
        </w:rPr>
      </w:pPr>
      <w:r>
        <w:rPr>
          <w:rFonts w:ascii="Times New Roman" w:hAnsi="Times New Roman"/>
          <w:b/>
          <w:sz w:val="22"/>
        </w:rPr>
        <w:t>CONSOLIDATED CINEMA SERVICES, LLC</w:t>
      </w:r>
      <w:r>
        <w:rPr>
          <w:rFonts w:ascii="Times New Roman" w:hAnsi="Times New Roman"/>
          <w:b w:val="false"/>
          <w:sz w:val="22"/>
        </w:rPr>
        <w:t>,</w:t>
      </w:r>
      <w:r>
        <w:rPr>
          <w:rFonts w:ascii="Times New Roman" w:hAnsi="Times New Roman"/>
          <w:b/>
          <w:sz w:val="22"/>
        </w:rPr>
        <w:t xml:space="preserve"> </w:t>
      </w:r>
    </w:p>
    <w:p>
      <w:pPr>
        <w:pStyle w:val="TextBody"/>
        <w:pBdr/>
        <w:bidi w:val="0"/>
        <w:spacing w:lineRule="atLeast" w:line="252" w:before="0" w:after="0"/>
        <w:ind w:left="5760"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80" w:after="0"/>
        <w:ind w:left="5760" w:right="1080" w:hanging="0"/>
        <w:jc w:val="left"/>
        <w:rPr>
          <w:rFonts w:ascii="Times New Roman" w:hAnsi="Times New Roman"/>
          <w:b/>
          <w:sz w:val="22"/>
        </w:rPr>
      </w:pPr>
      <w:r>
        <w:rPr>
          <w:rFonts w:ascii="Times New Roman" w:hAnsi="Times New Roman"/>
          <w:b/>
          <w:sz w:val="22"/>
        </w:rPr>
        <w:t>READING MURRIETA THEATER, LLC</w:t>
      </w:r>
      <w:r>
        <w:rPr>
          <w:rFonts w:ascii="Times New Roman" w:hAnsi="Times New Roman"/>
          <w:b w:val="false"/>
          <w:sz w:val="22"/>
        </w:rPr>
        <w:t>,</w:t>
      </w:r>
      <w:r>
        <w:rPr>
          <w:rFonts w:ascii="Times New Roman" w:hAnsi="Times New Roman"/>
          <w:b/>
          <w:sz w:val="22"/>
        </w:rPr>
        <w:t xml:space="preserve"> </w:t>
      </w:r>
    </w:p>
    <w:p>
      <w:pPr>
        <w:pStyle w:val="TextBody"/>
        <w:bidi w:val="0"/>
        <w:spacing w:before="0" w:after="0"/>
        <w:ind w:left="5759"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1"/>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1"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252" w:after="0"/>
        <w:ind w:left="1080" w:right="1080" w:hanging="0"/>
        <w:jc w:val="left"/>
        <w:rPr>
          <w:rFonts w:cs="Times New Roman"/>
          <w:szCs w:val="22"/>
        </w:rPr>
      </w:pPr>
      <w:r>
        <w:rPr>
          <w:rFonts w:cs="Times New Roman"/>
          <w:szCs w:val="22"/>
        </w:rPr>
        <w:t xml:space="preserve">﻿ </w:t>
      </w:r>
    </w:p>
    <w:p>
      <w:pPr>
        <w:pStyle w:val="TextBody"/>
        <w:bidi w:val="0"/>
        <w:spacing w:before="0" w:after="0"/>
        <w:ind w:left="5760" w:right="1080" w:hanging="0"/>
        <w:jc w:val="left"/>
        <w:rPr>
          <w:rFonts w:ascii="Times New Roman" w:hAnsi="Times New Roman"/>
          <w:b/>
          <w:sz w:val="22"/>
        </w:rPr>
      </w:pPr>
      <w:r>
        <w:rPr>
          <w:rFonts w:ascii="Times New Roman" w:hAnsi="Times New Roman"/>
          <w:b/>
          <w:sz w:val="22"/>
        </w:rPr>
        <w:t>KAHALA CINEMA COMPANY, LLC</w:t>
      </w:r>
      <w:r>
        <w:rPr>
          <w:rFonts w:ascii="Times New Roman" w:hAnsi="Times New Roman"/>
          <w:b w:val="false"/>
          <w:sz w:val="22"/>
        </w:rPr>
        <w:t>,</w:t>
      </w:r>
      <w:r>
        <w:rPr>
          <w:rFonts w:ascii="Times New Roman" w:hAnsi="Times New Roman"/>
          <w:b/>
          <w:sz w:val="22"/>
        </w:rPr>
        <w:t xml:space="preserve"> </w:t>
      </w:r>
    </w:p>
    <w:p>
      <w:pPr>
        <w:pStyle w:val="TextBody"/>
        <w:pBdr/>
        <w:bidi w:val="0"/>
        <w:spacing w:before="0" w:after="0"/>
        <w:ind w:left="5760"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252" w:after="0"/>
        <w:ind w:left="1080" w:right="1080" w:hanging="0"/>
        <w:jc w:val="left"/>
        <w:rPr>
          <w:rFonts w:cs="Times New Roman"/>
          <w:szCs w:val="22"/>
        </w:rPr>
      </w:pPr>
      <w:r>
        <w:rPr>
          <w:rFonts w:cs="Times New Roman"/>
          <w:szCs w:val="22"/>
        </w:rPr>
        <w:t xml:space="preserve">﻿ </w:t>
      </w:r>
    </w:p>
    <w:p>
      <w:pPr>
        <w:pStyle w:val="TextBody"/>
        <w:bidi w:val="0"/>
        <w:spacing w:before="1" w:after="0"/>
        <w:ind w:left="5760" w:right="1080" w:hanging="0"/>
        <w:jc w:val="left"/>
        <w:rPr>
          <w:rFonts w:ascii="Times New Roman" w:hAnsi="Times New Roman"/>
          <w:b/>
          <w:sz w:val="22"/>
        </w:rPr>
      </w:pPr>
      <w:r>
        <w:rPr>
          <w:rFonts w:ascii="Times New Roman" w:hAnsi="Times New Roman"/>
          <w:b/>
          <w:sz w:val="22"/>
        </w:rPr>
        <w:t>KAAHUMANU CINEMAS, LLC</w:t>
      </w:r>
      <w:r>
        <w:rPr>
          <w:rFonts w:ascii="Times New Roman" w:hAnsi="Times New Roman"/>
          <w:b w:val="false"/>
          <w:sz w:val="22"/>
        </w:rPr>
        <w:t>,</w:t>
      </w:r>
      <w:r>
        <w:rPr>
          <w:rFonts w:ascii="Times New Roman" w:hAnsi="Times New Roman"/>
          <w:b/>
          <w:sz w:val="22"/>
        </w:rPr>
        <w:t xml:space="preserve"> </w:t>
      </w:r>
    </w:p>
    <w:p>
      <w:pPr>
        <w:pStyle w:val="TextBody"/>
        <w:pBdr/>
        <w:bidi w:val="0"/>
        <w:spacing w:before="0" w:after="0"/>
        <w:ind w:left="5760"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1" w:after="0"/>
        <w:ind w:left="1080" w:right="1080" w:hanging="0"/>
        <w:jc w:val="left"/>
        <w:rPr>
          <w:rFonts w:cs="Times New Roman"/>
          <w:szCs w:val="22"/>
        </w:rPr>
      </w:pPr>
      <w:r>
        <w:rPr>
          <w:rFonts w:cs="Times New Roman"/>
          <w:szCs w:val="22"/>
        </w:rPr>
        <w:t xml:space="preserve">﻿ </w:t>
      </w:r>
    </w:p>
    <w:p>
      <w:pPr>
        <w:pStyle w:val="TextBody"/>
        <w:bidi w:val="0"/>
        <w:spacing w:before="0" w:after="0"/>
        <w:ind w:left="5760" w:right="1080" w:hanging="0"/>
        <w:jc w:val="left"/>
        <w:rPr>
          <w:rFonts w:ascii="Times New Roman" w:hAnsi="Times New Roman"/>
          <w:b/>
          <w:sz w:val="22"/>
        </w:rPr>
      </w:pPr>
      <w:r>
        <w:rPr>
          <w:rFonts w:ascii="Times New Roman" w:hAnsi="Times New Roman"/>
          <w:b/>
          <w:sz w:val="22"/>
        </w:rPr>
        <w:t>READING CONSOLIDATING HOLDINGS, INC.</w:t>
      </w:r>
      <w:r>
        <w:rPr>
          <w:rFonts w:ascii="Times New Roman" w:hAnsi="Times New Roman"/>
          <w:b w:val="false"/>
          <w:sz w:val="22"/>
        </w:rPr>
        <w:t>,</w:t>
      </w:r>
      <w:r>
        <w:rPr>
          <w:rFonts w:ascii="Times New Roman" w:hAnsi="Times New Roman"/>
          <w:b/>
          <w:sz w:val="22"/>
        </w:rPr>
        <w:t xml:space="preserve"> </w:t>
      </w:r>
    </w:p>
    <w:p>
      <w:pPr>
        <w:pStyle w:val="TextBody"/>
        <w:pBdr/>
        <w:bidi w:val="0"/>
        <w:spacing w:before="0" w:after="0"/>
        <w:ind w:left="5759" w:right="1080" w:hanging="0"/>
        <w:jc w:val="left"/>
        <w:rPr>
          <w:rFonts w:ascii="Times New Roman" w:hAnsi="Times New Roman"/>
          <w:sz w:val="22"/>
        </w:rPr>
      </w:pPr>
      <w:r>
        <w:rPr>
          <w:rFonts w:ascii="Times New Roman" w:hAnsi="Times New Roman"/>
          <w:sz w:val="22"/>
        </w:rPr>
        <w:t xml:space="preserve">a Nevada corporation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80" w:after="0"/>
        <w:ind w:left="5760" w:right="1080" w:hanging="0"/>
        <w:jc w:val="left"/>
        <w:rPr>
          <w:rFonts w:ascii="Times New Roman" w:hAnsi="Times New Roman"/>
          <w:b/>
          <w:sz w:val="22"/>
        </w:rPr>
      </w:pPr>
      <w:r>
        <w:rPr>
          <w:rFonts w:ascii="Times New Roman" w:hAnsi="Times New Roman"/>
          <w:b/>
          <w:sz w:val="22"/>
        </w:rPr>
        <w:t xml:space="preserve">KMA CINEMAS, LLC, </w:t>
      </w:r>
    </w:p>
    <w:p>
      <w:pPr>
        <w:pStyle w:val="TextBody"/>
        <w:bidi w:val="0"/>
        <w:spacing w:before="0" w:after="0"/>
        <w:ind w:left="5760"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1"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252" w:after="0"/>
        <w:ind w:left="1080" w:right="1080" w:hanging="0"/>
        <w:jc w:val="left"/>
        <w:rPr>
          <w:rFonts w:cs="Times New Roman"/>
          <w:szCs w:val="22"/>
        </w:rPr>
      </w:pPr>
      <w:r>
        <w:rPr>
          <w:rFonts w:cs="Times New Roman"/>
          <w:szCs w:val="22"/>
        </w:rPr>
        <w:t xml:space="preserve">﻿ </w:t>
      </w:r>
    </w:p>
    <w:p>
      <w:pPr>
        <w:pStyle w:val="TextBody"/>
        <w:bidi w:val="0"/>
        <w:spacing w:before="0" w:after="0"/>
        <w:ind w:left="5760" w:right="1080" w:hanging="0"/>
        <w:jc w:val="left"/>
        <w:rPr>
          <w:rFonts w:ascii="Times New Roman" w:hAnsi="Times New Roman"/>
          <w:b/>
          <w:sz w:val="22"/>
        </w:rPr>
      </w:pPr>
      <w:r>
        <w:rPr>
          <w:rFonts w:ascii="Times New Roman" w:hAnsi="Times New Roman"/>
          <w:b/>
          <w:sz w:val="22"/>
        </w:rPr>
        <w:t xml:space="preserve">CARMEL THEATRES, LLC, </w:t>
      </w:r>
    </w:p>
    <w:p>
      <w:pPr>
        <w:pStyle w:val="TextBody"/>
        <w:pBdr/>
        <w:bidi w:val="0"/>
        <w:spacing w:before="0" w:after="0"/>
        <w:ind w:left="5760"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252" w:after="0"/>
        <w:ind w:left="1080" w:right="1080" w:hanging="0"/>
        <w:jc w:val="left"/>
        <w:rPr>
          <w:rFonts w:cs="Times New Roman"/>
          <w:szCs w:val="22"/>
        </w:rPr>
      </w:pPr>
      <w:r>
        <w:rPr>
          <w:rFonts w:cs="Times New Roman"/>
          <w:szCs w:val="22"/>
        </w:rPr>
        <w:t xml:space="preserve">﻿ </w:t>
      </w:r>
    </w:p>
    <w:p>
      <w:pPr>
        <w:pStyle w:val="TextBody"/>
        <w:bidi w:val="0"/>
        <w:spacing w:before="1" w:after="0"/>
        <w:ind w:left="5760" w:right="1080" w:hanging="0"/>
        <w:jc w:val="left"/>
        <w:rPr>
          <w:rFonts w:ascii="Times New Roman" w:hAnsi="Times New Roman"/>
          <w:b/>
          <w:sz w:val="22"/>
        </w:rPr>
      </w:pPr>
      <w:r>
        <w:rPr>
          <w:rFonts w:ascii="Times New Roman" w:hAnsi="Times New Roman"/>
          <w:b/>
          <w:sz w:val="22"/>
        </w:rPr>
        <w:t xml:space="preserve">READING FOOD SERVICES, LLC, </w:t>
      </w:r>
    </w:p>
    <w:p>
      <w:pPr>
        <w:pStyle w:val="TextBody"/>
        <w:pBdr/>
        <w:bidi w:val="0"/>
        <w:spacing w:before="0" w:after="0"/>
        <w:ind w:left="5760" w:right="1080" w:hanging="0"/>
        <w:jc w:val="left"/>
        <w:rPr>
          <w:rFonts w:ascii="Times New Roman" w:hAnsi="Times New Roman"/>
          <w:sz w:val="22"/>
        </w:rPr>
      </w:pPr>
      <w:r>
        <w:rPr>
          <w:rFonts w:ascii="Times New Roman" w:hAnsi="Times New Roman"/>
          <w:sz w:val="22"/>
        </w:rPr>
        <w:t xml:space="preserve">a Nevada limited liability company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0"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1" w:after="0"/>
        <w:ind w:left="1080" w:right="1080" w:hanging="0"/>
        <w:jc w:val="left"/>
        <w:rPr>
          <w:rFonts w:cs="Times New Roman"/>
          <w:szCs w:val="22"/>
        </w:rPr>
      </w:pPr>
      <w:r>
        <w:rPr>
          <w:rFonts w:cs="Times New Roman"/>
          <w:szCs w:val="22"/>
        </w:rPr>
        <w:t xml:space="preserve">﻿ </w:t>
      </w:r>
    </w:p>
    <w:p>
      <w:pPr>
        <w:pStyle w:val="TextBody"/>
        <w:bidi w:val="0"/>
        <w:spacing w:before="0" w:after="0"/>
        <w:ind w:left="5760" w:right="1080" w:hanging="0"/>
        <w:jc w:val="left"/>
        <w:rPr>
          <w:rFonts w:ascii="Times New Roman" w:hAnsi="Times New Roman"/>
          <w:b/>
          <w:sz w:val="22"/>
        </w:rPr>
      </w:pPr>
      <w:r>
        <w:rPr>
          <w:rFonts w:ascii="Times New Roman" w:hAnsi="Times New Roman"/>
          <w:b/>
          <w:sz w:val="22"/>
        </w:rPr>
        <w:t xml:space="preserve">READING INTERNATIONAL, INC., </w:t>
      </w:r>
    </w:p>
    <w:p>
      <w:pPr>
        <w:pStyle w:val="TextBody"/>
        <w:bidi w:val="0"/>
        <w:spacing w:before="0" w:after="0"/>
        <w:ind w:left="5760" w:right="1080" w:hanging="0"/>
        <w:jc w:val="left"/>
        <w:rPr>
          <w:rFonts w:ascii="Times New Roman" w:hAnsi="Times New Roman"/>
          <w:sz w:val="22"/>
        </w:rPr>
      </w:pPr>
      <w:r>
        <w:rPr>
          <w:rFonts w:ascii="Times New Roman" w:hAnsi="Times New Roman"/>
          <w:sz w:val="22"/>
        </w:rPr>
        <w:t xml:space="preserve">a Nevada corporation </w:t>
      </w:r>
    </w:p>
    <w:p>
      <w:pPr>
        <w:pStyle w:val="TextBody"/>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6120" w:right="1080" w:hanging="0"/>
        <w:jc w:val="left"/>
        <w:rPr>
          <w:rFonts w:ascii="Times New Roman" w:hAnsi="Times New Roman"/>
          <w:sz w:val="22"/>
        </w:rPr>
      </w:pPr>
      <w:r>
        <w:rPr>
          <w:rFonts w:ascii="Times New Roman" w:hAnsi="Times New Roman"/>
          <w:sz w:val="22"/>
        </w:rPr>
        <w:t xml:space="preserve">/s/ Gilbert Avanes </w:t>
      </w:r>
    </w:p>
    <w:p>
      <w:pPr>
        <w:pStyle w:val="TextBody"/>
        <w:pBdr/>
        <w:bidi w:val="0"/>
        <w:spacing w:before="1" w:after="0"/>
        <w:ind w:left="6480" w:right="2158" w:hanging="720"/>
        <w:jc w:val="left"/>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lineRule="atLeast" w:line="252" w:before="0" w:after="0"/>
        <w:ind w:left="6480" w:right="1080" w:hanging="0"/>
        <w:jc w:val="left"/>
        <w:rPr>
          <w:rFonts w:ascii="Times New Roman" w:hAnsi="Times New Roman"/>
          <w:sz w:val="22"/>
        </w:rPr>
      </w:pPr>
      <w:r>
        <w:rPr>
          <w:rFonts w:ascii="Times New Roman" w:hAnsi="Times New Roman"/>
          <w:sz w:val="22"/>
        </w:rPr>
        <w:t xml:space="preserve">Gilbert Avanes </w:t>
      </w:r>
    </w:p>
    <w:p>
      <w:pPr>
        <w:pStyle w:val="TextBody"/>
        <w:pBdr/>
        <w:bidi w:val="0"/>
        <w:spacing w:before="0" w:after="0"/>
        <w:ind w:left="6480" w:right="1080" w:hanging="0"/>
        <w:jc w:val="left"/>
        <w:rPr>
          <w:rFonts w:ascii="Times New Roman" w:hAnsi="Times New Roman"/>
          <w:sz w:val="22"/>
        </w:rPr>
      </w:pPr>
      <w:r>
        <w:rPr>
          <w:rFonts w:ascii="Times New Roman" w:hAnsi="Times New Roman"/>
          <w:sz w:val="22"/>
        </w:rPr>
        <w:t xml:space="preserve">Chief Financial Officer </w:t>
      </w:r>
    </w:p>
    <w:p>
      <w:pPr>
        <w:pStyle w:val="TextBody"/>
        <w:pBdr/>
        <w:bidi w:val="0"/>
        <w:spacing w:before="0" w:after="0"/>
        <w:ind w:left="1080" w:right="1080" w:hanging="0"/>
        <w:jc w:val="left"/>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125" w:after="0"/>
        <w:ind w:left="5760" w:right="1080" w:hanging="0"/>
        <w:jc w:val="left"/>
        <w:rPr>
          <w:rFonts w:ascii="Times New Roman" w:hAnsi="Times New Roman"/>
          <w:b/>
          <w:sz w:val="22"/>
        </w:rPr>
      </w:pPr>
      <w:r>
        <w:rPr>
          <w:rFonts w:ascii="Times New Roman" w:hAnsi="Times New Roman"/>
          <w:b/>
          <w:sz w:val="22"/>
        </w:rPr>
        <w:t>ADMINISTRATIVE AGENT AND LENDERS</w:t>
      </w:r>
      <w:r>
        <w:rPr>
          <w:rFonts w:ascii="Times New Roman" w:hAnsi="Times New Roman"/>
          <w:b w:val="false"/>
          <w:sz w:val="22"/>
        </w:rPr>
        <w:t>:</w:t>
      </w:r>
      <w:r>
        <w:rPr>
          <w:rFonts w:ascii="Times New Roman" w:hAnsi="Times New Roman"/>
          <w:b/>
          <w:sz w:val="22"/>
        </w:rPr>
        <w:t xml:space="preserve"> </w:t>
      </w:r>
    </w:p>
    <w:p>
      <w:pPr>
        <w:pStyle w:val="TextBody"/>
        <w:bidi w:val="0"/>
        <w:spacing w:before="0" w:after="0"/>
        <w:ind w:left="1080" w:right="1080" w:hanging="0"/>
        <w:jc w:val="left"/>
        <w:rPr>
          <w:rFonts w:cs="Times New Roman"/>
          <w:szCs w:val="22"/>
        </w:rPr>
      </w:pPr>
      <w:r>
        <w:rPr>
          <w:rFonts w:cs="Times New Roman"/>
          <w:szCs w:val="22"/>
        </w:rPr>
        <w:t xml:space="preserve">﻿ </w:t>
      </w:r>
    </w:p>
    <w:p>
      <w:pPr>
        <w:pStyle w:val="TextBody"/>
        <w:bidi w:val="0"/>
        <w:spacing w:before="0" w:after="0"/>
        <w:ind w:left="5760" w:right="1080" w:hanging="0"/>
        <w:jc w:val="both"/>
        <w:rPr>
          <w:rFonts w:ascii="Times New Roman" w:hAnsi="Times New Roman"/>
          <w:sz w:val="22"/>
        </w:rPr>
      </w:pPr>
      <w:r>
        <w:rPr>
          <w:rFonts w:ascii="Times New Roman" w:hAnsi="Times New Roman"/>
          <w:b/>
          <w:sz w:val="22"/>
        </w:rPr>
        <w:t>BANK</w:t>
      </w:r>
      <w:r>
        <w:rPr>
          <w:rFonts w:ascii="Times New Roman" w:hAnsi="Times New Roman"/>
          <w:sz w:val="22"/>
        </w:rPr>
        <w:t> </w:t>
      </w:r>
      <w:r>
        <w:rPr>
          <w:rFonts w:ascii="Times New Roman" w:hAnsi="Times New Roman"/>
          <w:b/>
          <w:sz w:val="22"/>
        </w:rPr>
        <w:t>OF</w:t>
      </w:r>
      <w:r>
        <w:rPr>
          <w:rFonts w:ascii="Times New Roman" w:hAnsi="Times New Roman"/>
          <w:sz w:val="22"/>
        </w:rPr>
        <w:t> </w:t>
      </w:r>
      <w:r>
        <w:rPr>
          <w:rFonts w:ascii="Times New Roman" w:hAnsi="Times New Roman"/>
          <w:b/>
          <w:sz w:val="22"/>
        </w:rPr>
        <w:t>AMERICA,</w:t>
      </w:r>
      <w:r>
        <w:rPr>
          <w:rFonts w:ascii="Times New Roman" w:hAnsi="Times New Roman"/>
          <w:sz w:val="22"/>
        </w:rPr>
        <w:t> </w:t>
      </w:r>
      <w:r>
        <w:rPr>
          <w:rFonts w:ascii="Times New Roman" w:hAnsi="Times New Roman"/>
          <w:b/>
          <w:sz w:val="22"/>
        </w:rPr>
        <w:t>N.A.,</w:t>
      </w:r>
      <w:r>
        <w:rPr>
          <w:rFonts w:ascii="Times New Roman" w:hAnsi="Times New Roman"/>
          <w:sz w:val="22"/>
        </w:rPr>
        <w:t xml:space="preserve"> </w:t>
      </w:r>
    </w:p>
    <w:p>
      <w:pPr>
        <w:pStyle w:val="TextBody"/>
        <w:pBdr/>
        <w:bidi w:val="0"/>
        <w:spacing w:before="0" w:after="0"/>
        <w:ind w:left="5760" w:right="1080" w:hanging="0"/>
        <w:jc w:val="both"/>
        <w:rPr>
          <w:rFonts w:ascii="Times New Roman" w:hAnsi="Times New Roman"/>
          <w:sz w:val="22"/>
        </w:rPr>
      </w:pPr>
      <w:r>
        <w:rPr>
          <w:rFonts w:ascii="Times New Roman" w:hAnsi="Times New Roman"/>
          <w:sz w:val="22"/>
        </w:rPr>
        <w:t xml:space="preserve">as Administrative Agent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Name:</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Title:</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bidi w:val="0"/>
        <w:spacing w:before="0" w:after="0"/>
        <w:ind w:left="5760" w:right="1080" w:hanging="0"/>
        <w:jc w:val="both"/>
        <w:rPr>
          <w:rFonts w:ascii="Times New Roman" w:hAnsi="Times New Roman"/>
          <w:b/>
          <w:sz w:val="22"/>
        </w:rPr>
      </w:pPr>
      <w:r>
        <w:rPr>
          <w:rFonts w:ascii="Times New Roman" w:hAnsi="Times New Roman"/>
          <w:b/>
          <w:sz w:val="22"/>
        </w:rPr>
        <w:t xml:space="preserve">BANK OF AMERICA, N.A., </w:t>
      </w:r>
    </w:p>
    <w:p>
      <w:pPr>
        <w:pStyle w:val="TextBody"/>
        <w:pBdr/>
        <w:bidi w:val="0"/>
        <w:spacing w:before="0" w:after="0"/>
        <w:ind w:left="5760" w:right="1080" w:hanging="0"/>
        <w:jc w:val="both"/>
        <w:rPr>
          <w:rFonts w:ascii="Times New Roman" w:hAnsi="Times New Roman"/>
          <w:sz w:val="22"/>
        </w:rPr>
      </w:pPr>
      <w:r>
        <w:rPr>
          <w:rFonts w:ascii="Times New Roman" w:hAnsi="Times New Roman"/>
          <w:sz w:val="22"/>
        </w:rPr>
        <w:t xml:space="preserve">as a Lender, L/C Issuer and Swingline Lender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1080" w:right="1080" w:hanging="0"/>
        <w:jc w:val="left"/>
        <w:rPr>
          <w:rFonts w:cs="Times New Roman"/>
          <w:szCs w:val="22"/>
        </w:rPr>
      </w:pPr>
      <w:r>
        <w:rPr>
          <w:rFonts w:cs="Times New Roman"/>
          <w:szCs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Name:</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Title:</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1" w:after="0"/>
        <w:ind w:left="5760" w:right="2158" w:hanging="0"/>
        <w:jc w:val="both"/>
        <w:rPr>
          <w:rFonts w:cs="Times New Roman"/>
          <w:szCs w:val="22"/>
        </w:rPr>
      </w:pPr>
      <w:r>
        <w:rPr>
          <w:rFonts w:cs="Times New Roman"/>
          <w:szCs w:val="22"/>
        </w:rPr>
        <w:t xml:space="preserve">﻿ </w:t>
      </w:r>
    </w:p>
    <w:p>
      <w:pPr>
        <w:pStyle w:val="TextBody"/>
        <w:pBdr/>
        <w:bidi w:val="0"/>
        <w:spacing w:before="0" w:after="0"/>
        <w:ind w:left="1080" w:right="1080" w:hanging="0"/>
        <w:jc w:val="both"/>
        <w:rPr/>
      </w:pPr>
      <w:r>
        <w:rPr/>
        <w:t xml:space="preserve">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80" w:after="0"/>
        <w:ind w:left="5760" w:right="1080" w:hanging="0"/>
        <w:jc w:val="both"/>
        <w:rPr>
          <w:rFonts w:ascii="Times New Roman" w:hAnsi="Times New Roman"/>
          <w:b/>
          <w:sz w:val="22"/>
        </w:rPr>
      </w:pPr>
      <w:r>
        <w:rPr>
          <w:rFonts w:ascii="Times New Roman" w:hAnsi="Times New Roman"/>
          <w:b/>
          <w:sz w:val="22"/>
        </w:rPr>
        <w:t xml:space="preserve">BANK OF HAWAII, </w:t>
      </w:r>
    </w:p>
    <w:p>
      <w:pPr>
        <w:pStyle w:val="TextBody"/>
        <w:pBdr/>
        <w:bidi w:val="0"/>
        <w:spacing w:before="0" w:after="0"/>
        <w:ind w:left="5760" w:right="1080" w:hanging="0"/>
        <w:jc w:val="both"/>
        <w:rPr>
          <w:rFonts w:ascii="Times New Roman" w:hAnsi="Times New Roman"/>
          <w:sz w:val="22"/>
        </w:rPr>
      </w:pPr>
      <w:r>
        <w:rPr>
          <w:rFonts w:ascii="Times New Roman" w:hAnsi="Times New Roman"/>
          <w:sz w:val="22"/>
        </w:rPr>
        <w:t xml:space="preserve">as a Lender </w:t>
      </w:r>
    </w:p>
    <w:p>
      <w:pPr>
        <w:pStyle w:val="TextBody"/>
        <w:pBdr/>
        <w:bidi w:val="0"/>
        <w:spacing w:before="252" w:after="0"/>
        <w:ind w:left="1080" w:right="1080" w:hanging="0"/>
        <w:jc w:val="left"/>
        <w:rPr>
          <w:rFonts w:cs="Times New Roman"/>
          <w:szCs w:val="22"/>
        </w:rPr>
      </w:pPr>
      <w:r>
        <w:rPr>
          <w:rFonts w:cs="Times New Roman"/>
          <w:szCs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By:</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Name:</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0" w:after="0"/>
        <w:ind w:left="5760" w:right="2158" w:hanging="0"/>
        <w:jc w:val="both"/>
        <w:rPr>
          <w:rFonts w:ascii="Times New Roman" w:hAnsi="Times New Roman"/>
          <w:sz w:val="22"/>
        </w:rPr>
      </w:pPr>
      <w:r>
        <w:rPr>
          <w:rFonts w:ascii="Times New Roman" w:hAnsi="Times New Roman"/>
          <w:sz w:val="22"/>
        </w:rPr>
        <w:t>Title:</w:t>
      </w:r>
      <w:r>
        <w:rPr>
          <w:rFonts w:ascii="Times New Roman" w:hAnsi="Times New Roman"/>
          <w:sz w:val="22"/>
          <w:u w:val="single"/>
        </w:rPr>
        <w:t xml:space="preserve">                                                                    </w:t>
      </w:r>
      <w:r>
        <w:rPr>
          <w:rFonts w:ascii="Times New Roman" w:hAnsi="Times New Roman"/>
          <w:sz w:val="22"/>
        </w:rPr>
        <w:t xml:space="preserve"> </w:t>
      </w:r>
    </w:p>
    <w:p>
      <w:pPr>
        <w:pStyle w:val="TextBody"/>
        <w:pBdr/>
        <w:bidi w:val="0"/>
        <w:spacing w:before="0" w:after="0"/>
        <w:ind w:left="5760" w:right="2158" w:hanging="0"/>
        <w:jc w:val="both"/>
        <w:rPr>
          <w:rFonts w:cs="Times New Roman"/>
          <w:szCs w:val="22"/>
        </w:rPr>
      </w:pPr>
      <w:r>
        <w:rPr>
          <w:rFonts w:cs="Times New Roman"/>
          <w:szCs w:val="22"/>
        </w:rPr>
        <w:t xml:space="preserve">﻿ </w:t>
      </w:r>
    </w:p>
    <w:p>
      <w:pPr>
        <w:pStyle w:val="HorizontalLine"/>
        <w:pBdr>
          <w:bottom w:val="double" w:sz="6" w:space="0" w:color="808080"/>
        </w:pBdr>
        <w:bidi w:val="0"/>
        <w:ind w:left="1080" w:right="1080" w:hanging="0"/>
        <w:jc w:val="left"/>
        <w:rPr/>
      </w:pPr>
      <w:r>
        <w:rPr/>
      </w:r>
    </w:p>
    <w:p>
      <w:pPr>
        <w:pStyle w:val="TextBody"/>
        <w:bidi w:val="0"/>
        <w:spacing w:before="0" w:after="0"/>
        <w:ind w:left="1080" w:right="1080" w:hanging="0"/>
        <w:jc w:val="both"/>
        <w:rPr>
          <w:rFonts w:ascii="Times New Roman" w:hAnsi="Times New Roman"/>
          <w:sz w:val="22"/>
        </w:rPr>
      </w:pPr>
      <w:bookmarkStart w:id="79" w:name="rdi-20250630xex10_2.htm"/>
      <w:bookmarkStart w:id="80" w:name="ksrdi20250630xex10_2"/>
      <w:bookmarkEnd w:id="79"/>
      <w:bookmarkEnd w:id="80"/>
      <w:r>
        <w:rPr>
          <w:rFonts w:ascii="Times New Roman" w:hAnsi="Times New Roman"/>
          <w:b/>
          <w:color w:val="000000"/>
          <w:sz w:val="23"/>
        </w:rPr>
        <w:t>PORTIONS OF THIS EXHIBIT HAVE BEEN OMITTED BECAUSE THEY ARE BOTH (I) NOT MATERIAL AND (II) WOULD BE COMPETITIVELY HARMFUL IF PUBLICLY DISCLOSED. INFORMATION THAT HAS BEEN OMITTED HAS BEEN NOTED IN THIS DOCUMENT WITH A PLACEHOLDER IDENTIFIED BY THE MARK “[***]”</w:t>
      </w:r>
      <w:r>
        <w:rPr>
          <w:rFonts w:ascii="Times New Roman" w:hAnsi="Times New Roman"/>
          <w:sz w:val="22"/>
        </w:rPr>
        <w:t xml:space="preserve"> </w:t>
      </w:r>
      <w:r>
        <w:br w:type="page"/>
      </w:r>
    </w:p>
    <w:p>
      <w:pPr>
        <w:pStyle w:val="TextBody"/>
        <w:pBdr/>
        <w:bidi w:val="0"/>
        <w:spacing w:before="71" w:after="0"/>
        <w:ind w:left="1801" w:right="1793" w:hanging="0"/>
        <w:jc w:val="center"/>
        <w:rPr>
          <w:rFonts w:cs="Times New Roman"/>
          <w:bCs/>
          <w:szCs w:val="24"/>
          <w:u w:val="single"/>
        </w:rPr>
      </w:pPr>
      <w:r>
        <w:rPr>
          <w:rFonts w:cs="Times New Roman"/>
          <w:bCs/>
          <w:szCs w:val="24"/>
          <w:u w:val="single"/>
        </w:rPr>
        <w:t>﻿</w:t>
      </w:r>
      <w:r>
        <w:rPr>
          <w:rFonts w:cs="Times New Roman"/>
          <w:bCs/>
          <w:szCs w:val="24"/>
          <w:u w:val="single"/>
        </w:rPr>
        <w:t xml:space="preserve"> </w:t>
      </w:r>
    </w:p>
    <w:p>
      <w:pPr>
        <w:pStyle w:val="TextBody"/>
        <w:pBdr/>
        <w:bidi w:val="0"/>
        <w:spacing w:before="71" w:after="0"/>
        <w:ind w:left="1801" w:right="1793" w:hanging="0"/>
        <w:jc w:val="center"/>
        <w:rPr>
          <w:rFonts w:ascii="Times New Roman" w:hAnsi="Times New Roman"/>
          <w:b/>
          <w:strike w:val="false"/>
          <w:dstrike w:val="false"/>
          <w:sz w:val="22"/>
          <w:u w:val="none"/>
          <w:effect w:val="none"/>
        </w:rPr>
      </w:pPr>
      <w:r>
        <w:rPr>
          <w:rFonts w:ascii="Times New Roman" w:hAnsi="Times New Roman"/>
          <w:b/>
          <w:strike w:val="false"/>
          <w:dstrike w:val="false"/>
          <w:sz w:val="23"/>
          <w:u w:val="none"/>
          <w:effect w:val="none"/>
        </w:rPr>
        <w:t>SECOND</w:t>
      </w:r>
      <w:r>
        <w:rPr>
          <w:rFonts w:ascii="Times New Roman" w:hAnsi="Times New Roman"/>
          <w:b/>
          <w:strike w:val="false"/>
          <w:dstrike w:val="false"/>
          <w:sz w:val="22"/>
          <w:u w:val="none"/>
          <w:effect w:val="none"/>
        </w:rPr>
        <w:t> </w:t>
      </w:r>
      <w:r>
        <w:rPr>
          <w:rFonts w:ascii="Times New Roman" w:hAnsi="Times New Roman"/>
          <w:b/>
          <w:strike w:val="false"/>
          <w:dstrike w:val="false"/>
          <w:sz w:val="23"/>
          <w:u w:val="none"/>
          <w:effect w:val="none"/>
        </w:rPr>
        <w:t>OMNIBUS</w:t>
      </w:r>
      <w:r>
        <w:rPr>
          <w:rFonts w:ascii="Times New Roman" w:hAnsi="Times New Roman"/>
          <w:b/>
          <w:strike w:val="false"/>
          <w:dstrike w:val="false"/>
          <w:sz w:val="22"/>
          <w:u w:val="none"/>
          <w:effect w:val="none"/>
        </w:rPr>
        <w:t> </w:t>
      </w:r>
      <w:r>
        <w:rPr>
          <w:rFonts w:ascii="Times New Roman" w:hAnsi="Times New Roman"/>
          <w:b/>
          <w:strike w:val="false"/>
          <w:dstrike w:val="false"/>
          <w:sz w:val="23"/>
          <w:u w:val="none"/>
          <w:effect w:val="none"/>
        </w:rPr>
        <w:t>LOAN</w:t>
      </w:r>
      <w:r>
        <w:rPr>
          <w:rFonts w:ascii="Times New Roman" w:hAnsi="Times New Roman"/>
          <w:b/>
          <w:strike w:val="false"/>
          <w:dstrike w:val="false"/>
          <w:sz w:val="22"/>
          <w:u w:val="none"/>
          <w:effect w:val="none"/>
        </w:rPr>
        <w:t> </w:t>
      </w:r>
      <w:r>
        <w:rPr>
          <w:rFonts w:ascii="Times New Roman" w:hAnsi="Times New Roman"/>
          <w:b/>
          <w:strike w:val="false"/>
          <w:dstrike w:val="false"/>
          <w:sz w:val="23"/>
          <w:u w:val="none"/>
          <w:effect w:val="none"/>
        </w:rPr>
        <w:t>MODIFICATION</w:t>
      </w:r>
      <w:r>
        <w:rPr>
          <w:rFonts w:ascii="Times New Roman" w:hAnsi="Times New Roman"/>
          <w:b/>
          <w:strike w:val="false"/>
          <w:dstrike w:val="false"/>
          <w:sz w:val="22"/>
          <w:u w:val="none"/>
          <w:effect w:val="none"/>
        </w:rPr>
        <w:t> </w:t>
      </w:r>
      <w:r>
        <w:rPr>
          <w:rFonts w:ascii="Times New Roman" w:hAnsi="Times New Roman"/>
          <w:b/>
          <w:strike w:val="false"/>
          <w:dstrike w:val="false"/>
          <w:sz w:val="23"/>
          <w:u w:val="none"/>
          <w:effect w:val="none"/>
        </w:rPr>
        <w:t>AND</w:t>
      </w:r>
      <w:r>
        <w:rPr>
          <w:rFonts w:ascii="Times New Roman" w:hAnsi="Times New Roman"/>
          <w:b/>
          <w:strike w:val="false"/>
          <w:dstrike w:val="false"/>
          <w:sz w:val="22"/>
          <w:u w:val="none"/>
          <w:effect w:val="none"/>
        </w:rPr>
        <w:t> </w:t>
      </w:r>
      <w:r>
        <w:rPr>
          <w:rFonts w:ascii="Times New Roman" w:hAnsi="Times New Roman"/>
          <w:b/>
          <w:strike w:val="false"/>
          <w:dstrike w:val="false"/>
          <w:sz w:val="23"/>
          <w:u w:val="none"/>
          <w:effect w:val="none"/>
        </w:rPr>
        <w:t>EXTENSION</w:t>
      </w:r>
      <w:r>
        <w:rPr>
          <w:rFonts w:ascii="Times New Roman" w:hAnsi="Times New Roman"/>
          <w:b/>
          <w:strike w:val="false"/>
          <w:dstrike w:val="false"/>
          <w:sz w:val="22"/>
          <w:u w:val="none"/>
          <w:effect w:val="none"/>
        </w:rPr>
        <w:t> </w:t>
      </w:r>
      <w:r>
        <w:rPr>
          <w:rFonts w:ascii="Times New Roman" w:hAnsi="Times New Roman"/>
          <w:b/>
          <w:strike w:val="false"/>
          <w:dstrike w:val="false"/>
          <w:sz w:val="23"/>
          <w:u w:val="none"/>
          <w:effect w:val="none"/>
        </w:rPr>
        <w:t>AGREEMENT</w:t>
      </w:r>
      <w:r>
        <w:rPr>
          <w:rFonts w:ascii="Times New Roman" w:hAnsi="Times New Roman"/>
          <w:b/>
          <w:strike w:val="false"/>
          <w:dstrike w:val="false"/>
          <w:sz w:val="22"/>
          <w:u w:val="none"/>
          <w:effect w:val="none"/>
        </w:rPr>
        <w:t xml:space="preserve"> </w:t>
      </w:r>
    </w:p>
    <w:p>
      <w:pPr>
        <w:pStyle w:val="TextBody"/>
        <w:pBdr/>
        <w:bidi w:val="0"/>
        <w:spacing w:before="237" w:after="0"/>
        <w:ind w:left="2155" w:right="1080" w:hanging="0"/>
        <w:jc w:val="left"/>
        <w:rPr>
          <w:rFonts w:ascii="Times New Roman" w:hAnsi="Times New Roman"/>
          <w:sz w:val="22"/>
        </w:rPr>
      </w:pPr>
      <w:r>
        <w:rPr>
          <w:rFonts w:ascii="Times New Roman" w:hAnsi="Times New Roman"/>
          <w:sz w:val="23"/>
        </w:rPr>
        <w:t>THIS</w:t>
      </w:r>
      <w:r>
        <w:rPr>
          <w:rFonts w:ascii="Times New Roman" w:hAnsi="Times New Roman"/>
          <w:sz w:val="23"/>
        </w:rPr>
        <w:t>SECONDOMNIBUSLOANMODIFICATIONANDEXTENSION</w:t>
      </w:r>
      <w:r>
        <w:rPr>
          <w:rFonts w:ascii="Times New Roman" w:hAnsi="Times New Roman"/>
          <w:sz w:val="22"/>
        </w:rPr>
        <w:t xml:space="preserve"> </w:t>
      </w:r>
    </w:p>
    <w:p>
      <w:pPr>
        <w:pStyle w:val="TextBody"/>
        <w:pBdr/>
        <w:bidi w:val="0"/>
        <w:spacing w:lineRule="auto" w:line="252" w:before="23" w:after="0"/>
        <w:ind w:left="1435" w:right="1080" w:hanging="10"/>
        <w:jc w:val="left"/>
        <w:rPr>
          <w:rFonts w:ascii="Times New Roman" w:hAnsi="Times New Roman"/>
          <w:sz w:val="22"/>
        </w:rPr>
      </w:pPr>
      <w:r>
        <w:rPr>
          <w:rFonts w:ascii="Times New Roman" w:hAnsi="Times New Roman"/>
          <w:sz w:val="23"/>
        </w:rPr>
        <w:t>AGREEMENT</w:t>
      </w:r>
      <w:r>
        <w:rPr>
          <w:rFonts w:ascii="Times New Roman" w:hAnsi="Times New Roman"/>
          <w:sz w:val="22"/>
        </w:rPr>
        <w:t> </w:t>
      </w:r>
      <w:r>
        <w:rPr>
          <w:rFonts w:ascii="Times New Roman" w:hAnsi="Times New Roman"/>
          <w:sz w:val="23"/>
        </w:rPr>
        <w:t>(this “</w:t>
      </w:r>
      <w:r>
        <w:rPr>
          <w:rFonts w:ascii="Times New Roman" w:hAnsi="Times New Roman"/>
          <w:b/>
          <w:sz w:val="23"/>
        </w:rPr>
        <w:t>Agreement</w:t>
      </w:r>
      <w:r>
        <w:rPr>
          <w:rFonts w:ascii="Times New Roman" w:hAnsi="Times New Roman"/>
          <w:sz w:val="22"/>
        </w:rPr>
        <w:t>”</w:t>
      </w:r>
      <w:r>
        <w:rPr>
          <w:rFonts w:ascii="Times New Roman" w:hAnsi="Times New Roman"/>
          <w:sz w:val="23"/>
        </w:rPr>
        <w:t>) dated as of May 2, 2025 by and between Reading</w:t>
      </w:r>
      <w:r>
        <w:rPr>
          <w:rFonts w:ascii="Times New Roman" w:hAnsi="Times New Roman"/>
          <w:sz w:val="22"/>
        </w:rPr>
        <w:t> </w:t>
      </w:r>
      <w:r>
        <w:rPr>
          <w:rFonts w:ascii="Times New Roman" w:hAnsi="Times New Roman"/>
          <w:sz w:val="23"/>
        </w:rPr>
        <w:t>Tammany Owner</w:t>
      </w:r>
      <w:r>
        <w:rPr>
          <w:rFonts w:ascii="Times New Roman" w:hAnsi="Times New Roman"/>
          <w:sz w:val="22"/>
        </w:rPr>
        <w:t> </w:t>
      </w:r>
      <w:r>
        <w:rPr>
          <w:rFonts w:ascii="Times New Roman" w:hAnsi="Times New Roman"/>
          <w:sz w:val="23"/>
        </w:rPr>
        <w:t>LLC,</w:t>
      </w:r>
      <w:r>
        <w:rPr>
          <w:rFonts w:ascii="Times New Roman" w:hAnsi="Times New Roman"/>
          <w:sz w:val="22"/>
        </w:rPr>
        <w:t> </w:t>
      </w:r>
      <w:r>
        <w:rPr>
          <w:rFonts w:ascii="Times New Roman" w:hAnsi="Times New Roman"/>
          <w:sz w:val="23"/>
        </w:rPr>
        <w:t>a</w:t>
      </w:r>
      <w:r>
        <w:rPr>
          <w:rFonts w:ascii="Times New Roman" w:hAnsi="Times New Roman"/>
          <w:sz w:val="22"/>
        </w:rPr>
        <w:t> </w:t>
      </w:r>
      <w:r>
        <w:rPr>
          <w:rFonts w:ascii="Times New Roman" w:hAnsi="Times New Roman"/>
          <w:sz w:val="23"/>
        </w:rPr>
        <w:t>Delaware</w:t>
      </w:r>
      <w:r>
        <w:rPr>
          <w:rFonts w:ascii="Times New Roman" w:hAnsi="Times New Roman"/>
          <w:sz w:val="22"/>
        </w:rPr>
        <w:t> </w:t>
      </w:r>
      <w:r>
        <w:rPr>
          <w:rFonts w:ascii="Times New Roman" w:hAnsi="Times New Roman"/>
          <w:sz w:val="23"/>
        </w:rPr>
        <w:t>limited</w:t>
      </w:r>
      <w:r>
        <w:rPr>
          <w:rFonts w:ascii="Times New Roman" w:hAnsi="Times New Roman"/>
          <w:sz w:val="22"/>
        </w:rPr>
        <w:t> </w:t>
      </w:r>
      <w:r>
        <w:rPr>
          <w:rFonts w:ascii="Times New Roman" w:hAnsi="Times New Roman"/>
          <w:sz w:val="23"/>
        </w:rPr>
        <w:t>liability</w:t>
      </w:r>
      <w:r>
        <w:rPr>
          <w:rFonts w:ascii="Times New Roman" w:hAnsi="Times New Roman"/>
          <w:sz w:val="22"/>
        </w:rPr>
        <w:t> </w:t>
      </w:r>
      <w:r>
        <w:rPr>
          <w:rFonts w:ascii="Times New Roman" w:hAnsi="Times New Roman"/>
          <w:sz w:val="23"/>
        </w:rPr>
        <w:t>company</w:t>
      </w:r>
      <w:r>
        <w:rPr>
          <w:rFonts w:ascii="Times New Roman" w:hAnsi="Times New Roman"/>
          <w:sz w:val="22"/>
        </w:rPr>
        <w:t> </w:t>
      </w:r>
      <w:r>
        <w:rPr>
          <w:rFonts w:ascii="Times New Roman" w:hAnsi="Times New Roman"/>
          <w:sz w:val="23"/>
        </w:rPr>
        <w:t>and</w:t>
      </w:r>
      <w:r>
        <w:rPr>
          <w:rFonts w:ascii="Times New Roman" w:hAnsi="Times New Roman"/>
          <w:sz w:val="22"/>
        </w:rPr>
        <w:t> </w:t>
      </w:r>
      <w:r>
        <w:rPr>
          <w:rFonts w:ascii="Times New Roman" w:hAnsi="Times New Roman"/>
          <w:sz w:val="23"/>
        </w:rPr>
        <w:t>US</w:t>
      </w:r>
      <w:r>
        <w:rPr>
          <w:rFonts w:ascii="Times New Roman" w:hAnsi="Times New Roman"/>
          <w:sz w:val="22"/>
        </w:rPr>
        <w:t> </w:t>
      </w:r>
      <w:r>
        <w:rPr>
          <w:rFonts w:ascii="Times New Roman" w:hAnsi="Times New Roman"/>
          <w:sz w:val="23"/>
        </w:rPr>
        <w:t>Development,</w:t>
      </w:r>
      <w:r>
        <w:rPr>
          <w:rFonts w:ascii="Times New Roman" w:hAnsi="Times New Roman"/>
          <w:sz w:val="22"/>
        </w:rPr>
        <w:t> </w:t>
      </w:r>
      <w:r>
        <w:rPr>
          <w:rFonts w:ascii="Times New Roman" w:hAnsi="Times New Roman"/>
          <w:sz w:val="23"/>
        </w:rPr>
        <w:t>LLC,</w:t>
      </w:r>
      <w:r>
        <w:rPr>
          <w:rFonts w:ascii="Times New Roman" w:hAnsi="Times New Roman"/>
          <w:sz w:val="22"/>
        </w:rPr>
        <w:t> </w:t>
      </w:r>
      <w:r>
        <w:rPr>
          <w:rFonts w:ascii="Times New Roman" w:hAnsi="Times New Roman"/>
          <w:sz w:val="23"/>
        </w:rPr>
        <w:t>a</w:t>
      </w:r>
      <w:r>
        <w:rPr>
          <w:rFonts w:ascii="Times New Roman" w:hAnsi="Times New Roman"/>
          <w:sz w:val="22"/>
        </w:rPr>
        <w:t> </w:t>
      </w:r>
      <w:r>
        <w:rPr>
          <w:rFonts w:ascii="Times New Roman" w:hAnsi="Times New Roman"/>
          <w:sz w:val="23"/>
        </w:rPr>
        <w:t>Nevada</w:t>
      </w:r>
      <w:r>
        <w:rPr>
          <w:rFonts w:ascii="Times New Roman" w:hAnsi="Times New Roman"/>
          <w:sz w:val="22"/>
        </w:rPr>
        <w:t> </w:t>
      </w:r>
      <w:r>
        <w:rPr>
          <w:rFonts w:ascii="Times New Roman" w:hAnsi="Times New Roman"/>
          <w:sz w:val="23"/>
        </w:rPr>
        <w:t>limited liability</w:t>
      </w:r>
      <w:r>
        <w:rPr>
          <w:rFonts w:ascii="Times New Roman" w:hAnsi="Times New Roman"/>
          <w:sz w:val="22"/>
        </w:rPr>
        <w:t> </w:t>
      </w:r>
      <w:r>
        <w:rPr>
          <w:rFonts w:ascii="Times New Roman" w:hAnsi="Times New Roman"/>
          <w:sz w:val="23"/>
        </w:rPr>
        <w:t>company</w:t>
      </w:r>
      <w:r>
        <w:rPr>
          <w:rFonts w:ascii="Times New Roman" w:hAnsi="Times New Roman"/>
          <w:sz w:val="22"/>
        </w:rPr>
        <w:t> </w:t>
      </w:r>
      <w:r>
        <w:rPr>
          <w:rFonts w:ascii="Times New Roman" w:hAnsi="Times New Roman"/>
          <w:sz w:val="23"/>
        </w:rPr>
        <w:t>(collectively,</w:t>
      </w:r>
      <w:r>
        <w:rPr>
          <w:rFonts w:ascii="Times New Roman" w:hAnsi="Times New Roman"/>
          <w:sz w:val="22"/>
        </w:rPr>
        <w:t> </w:t>
      </w:r>
      <w:r>
        <w:rPr>
          <w:rFonts w:ascii="Times New Roman" w:hAnsi="Times New Roman"/>
          <w:sz w:val="23"/>
        </w:rPr>
        <w:t>the</w:t>
      </w:r>
      <w:r>
        <w:rPr>
          <w:rFonts w:ascii="Times New Roman" w:hAnsi="Times New Roman"/>
          <w:sz w:val="22"/>
        </w:rPr>
        <w:t> “</w:t>
      </w:r>
      <w:r>
        <w:rPr>
          <w:rFonts w:ascii="Times New Roman" w:hAnsi="Times New Roman"/>
          <w:b/>
          <w:sz w:val="23"/>
        </w:rPr>
        <w:t>Borrower</w:t>
      </w:r>
      <w:r>
        <w:rPr>
          <w:rFonts w:ascii="Times New Roman" w:hAnsi="Times New Roman"/>
          <w:sz w:val="22"/>
        </w:rPr>
        <w:t>”</w:t>
      </w:r>
      <w:r>
        <w:rPr>
          <w:rFonts w:ascii="Times New Roman" w:hAnsi="Times New Roman"/>
          <w:sz w:val="23"/>
        </w:rPr>
        <w:t>)</w:t>
      </w:r>
      <w:r>
        <w:rPr>
          <w:rFonts w:ascii="Times New Roman" w:hAnsi="Times New Roman"/>
          <w:sz w:val="22"/>
        </w:rPr>
        <w:t> </w:t>
      </w:r>
      <w:r>
        <w:rPr>
          <w:rFonts w:ascii="Times New Roman" w:hAnsi="Times New Roman"/>
          <w:sz w:val="23"/>
        </w:rPr>
        <w:t>and</w:t>
      </w:r>
      <w:r>
        <w:rPr>
          <w:rFonts w:ascii="Times New Roman" w:hAnsi="Times New Roman"/>
          <w:sz w:val="22"/>
        </w:rPr>
        <w:t> </w:t>
      </w:r>
      <w:r>
        <w:rPr>
          <w:rFonts w:ascii="Times New Roman" w:hAnsi="Times New Roman"/>
          <w:sz w:val="23"/>
        </w:rPr>
        <w:t>EMERALD</w:t>
      </w:r>
      <w:r>
        <w:rPr>
          <w:rFonts w:ascii="Times New Roman" w:hAnsi="Times New Roman"/>
          <w:sz w:val="22"/>
        </w:rPr>
        <w:t> </w:t>
      </w:r>
      <w:r>
        <w:rPr>
          <w:rFonts w:ascii="Times New Roman" w:hAnsi="Times New Roman"/>
          <w:sz w:val="23"/>
        </w:rPr>
        <w:t>CREEK</w:t>
      </w:r>
      <w:r>
        <w:rPr>
          <w:rFonts w:ascii="Times New Roman" w:hAnsi="Times New Roman"/>
          <w:sz w:val="22"/>
        </w:rPr>
        <w:t> </w:t>
      </w:r>
      <w:r>
        <w:rPr>
          <w:rFonts w:ascii="Times New Roman" w:hAnsi="Times New Roman"/>
          <w:sz w:val="23"/>
        </w:rPr>
        <w:t>CAPITAL</w:t>
      </w:r>
      <w:r>
        <w:rPr>
          <w:rFonts w:ascii="Times New Roman" w:hAnsi="Times New Roman"/>
          <w:sz w:val="22"/>
        </w:rPr>
        <w:t> </w:t>
      </w:r>
      <w:r>
        <w:rPr>
          <w:rFonts w:ascii="Times New Roman" w:hAnsi="Times New Roman"/>
          <w:sz w:val="23"/>
        </w:rPr>
        <w:t>3,</w:t>
      </w:r>
      <w:r>
        <w:rPr>
          <w:rFonts w:ascii="Times New Roman" w:hAnsi="Times New Roman"/>
          <w:sz w:val="22"/>
        </w:rPr>
        <w:t> </w:t>
      </w:r>
      <w:r>
        <w:rPr>
          <w:rFonts w:ascii="Times New Roman" w:hAnsi="Times New Roman"/>
          <w:sz w:val="23"/>
        </w:rPr>
        <w:t>LLC,</w:t>
      </w:r>
      <w:r>
        <w:rPr>
          <w:rFonts w:ascii="Times New Roman" w:hAnsi="Times New Roman"/>
          <w:sz w:val="22"/>
        </w:rPr>
        <w:t> </w:t>
      </w:r>
      <w:r>
        <w:rPr>
          <w:rFonts w:ascii="Times New Roman" w:hAnsi="Times New Roman"/>
          <w:sz w:val="23"/>
        </w:rPr>
        <w:t>as administrative agent (“</w:t>
      </w:r>
      <w:r>
        <w:rPr>
          <w:rFonts w:ascii="Times New Roman" w:hAnsi="Times New Roman"/>
          <w:b/>
          <w:sz w:val="23"/>
        </w:rPr>
        <w:t>Administrative</w:t>
      </w:r>
      <w:r>
        <w:rPr>
          <w:rFonts w:ascii="Times New Roman" w:hAnsi="Times New Roman"/>
          <w:sz w:val="22"/>
        </w:rPr>
        <w:t> </w:t>
      </w:r>
      <w:r>
        <w:rPr>
          <w:rFonts w:ascii="Times New Roman" w:hAnsi="Times New Roman"/>
          <w:b/>
          <w:sz w:val="23"/>
        </w:rPr>
        <w:t>Agent</w:t>
      </w:r>
      <w:r>
        <w:rPr>
          <w:rFonts w:ascii="Times New Roman" w:hAnsi="Times New Roman"/>
          <w:sz w:val="22"/>
        </w:rPr>
        <w:t>”</w:t>
      </w:r>
      <w:r>
        <w:rPr>
          <w:rFonts w:ascii="Times New Roman" w:hAnsi="Times New Roman"/>
          <w:sz w:val="23"/>
        </w:rPr>
        <w:t>) and Lender (as defined in the Loan</w:t>
      </w:r>
      <w:r>
        <w:rPr>
          <w:rFonts w:ascii="Times New Roman" w:hAnsi="Times New Roman"/>
          <w:sz w:val="22"/>
        </w:rPr>
        <w:t> </w:t>
      </w:r>
      <w:r>
        <w:rPr>
          <w:rFonts w:ascii="Times New Roman" w:hAnsi="Times New Roman"/>
          <w:sz w:val="23"/>
        </w:rPr>
        <w:t>Agreement).</w:t>
      </w:r>
      <w:r>
        <w:rPr>
          <w:rFonts w:ascii="Times New Roman" w:hAnsi="Times New Roman"/>
          <w:sz w:val="22"/>
        </w:rPr>
        <w:t xml:space="preserve"> </w:t>
      </w:r>
    </w:p>
    <w:p>
      <w:pPr>
        <w:pStyle w:val="TextBody"/>
        <w:pBdr/>
        <w:bidi w:val="0"/>
        <w:spacing w:before="22" w:after="0"/>
        <w:ind w:left="1080" w:right="1080" w:hanging="0"/>
        <w:jc w:val="left"/>
        <w:rPr>
          <w:rFonts w:cs="Times New Roman"/>
          <w:szCs w:val="22"/>
        </w:rPr>
      </w:pPr>
      <w:r>
        <w:rPr>
          <w:rFonts w:cs="Times New Roman"/>
          <w:szCs w:val="23"/>
        </w:rPr>
        <w:t>﻿</w:t>
      </w:r>
      <w:r>
        <w:rPr>
          <w:rFonts w:cs="Times New Roman"/>
          <w:szCs w:val="22"/>
        </w:rPr>
        <w:t xml:space="preserve"> </w:t>
      </w:r>
    </w:p>
    <w:p>
      <w:pPr>
        <w:pStyle w:val="TextBody"/>
        <w:bidi w:val="0"/>
        <w:spacing w:before="0" w:after="0"/>
        <w:ind w:left="1801" w:right="1795" w:hanging="0"/>
        <w:jc w:val="center"/>
        <w:rPr>
          <w:rFonts w:ascii="Times New Roman" w:hAnsi="Times New Roman"/>
          <w:sz w:val="22"/>
        </w:rPr>
      </w:pPr>
      <w:r>
        <w:rPr>
          <w:rFonts w:ascii="Times New Roman" w:hAnsi="Times New Roman"/>
          <w:b/>
          <w:sz w:val="23"/>
        </w:rPr>
        <w:t>RECITALS:</w:t>
      </w:r>
      <w:r>
        <w:rPr>
          <w:rFonts w:ascii="Times New Roman" w:hAnsi="Times New Roman"/>
          <w:sz w:val="22"/>
        </w:rPr>
        <w:t xml:space="preserve"> </w:t>
      </w:r>
    </w:p>
    <w:p>
      <w:pPr>
        <w:pStyle w:val="TextBody"/>
        <w:bidi w:val="0"/>
        <w:spacing w:before="1" w:after="0"/>
        <w:ind w:left="1080" w:right="1080" w:hanging="0"/>
        <w:jc w:val="left"/>
        <w:rPr>
          <w:rFonts w:cs="Times New Roman"/>
          <w:szCs w:val="22"/>
        </w:rPr>
      </w:pPr>
      <w:r>
        <w:rPr>
          <w:rFonts w:cs="Times New Roman"/>
          <w:bCs/>
          <w:szCs w:val="23"/>
        </w:rPr>
        <w:t>﻿</w:t>
      </w:r>
      <w:r>
        <w:rPr>
          <w:rFonts w:cs="Times New Roman"/>
          <w:szCs w:val="22"/>
        </w:rPr>
        <w:t xml:space="preserve"> </w:t>
      </w:r>
    </w:p>
    <w:tbl>
      <w:tblPr>
        <w:tblW w:w="11439" w:type="dxa"/>
        <w:jc w:val="left"/>
        <w:tblInd w:w="1080" w:type="dxa"/>
        <w:tblLayout w:type="fixed"/>
        <w:tblCellMar>
          <w:top w:w="0" w:type="dxa"/>
          <w:left w:w="0" w:type="dxa"/>
          <w:bottom w:w="0" w:type="dxa"/>
          <w:right w:w="0" w:type="dxa"/>
        </w:tblCellMar>
      </w:tblPr>
      <w:tblGrid>
        <w:gridCol w:w="735"/>
        <w:gridCol w:w="10704"/>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704" w:type="dxa"/>
            <w:tcBorders/>
          </w:tcPr>
          <w:p>
            <w:pPr>
              <w:pStyle w:val="TableContents"/>
              <w:bidi w:val="0"/>
              <w:spacing w:lineRule="auto" w:line="247" w:before="0" w:after="0"/>
              <w:ind w:left="0" w:right="694" w:firstLine="720"/>
              <w:jc w:val="both"/>
              <w:rPr>
                <w:rFonts w:ascii="Times New Roman" w:hAnsi="Times New Roman"/>
                <w:sz w:val="22"/>
              </w:rPr>
            </w:pPr>
            <w:r>
              <w:rPr>
                <w:rFonts w:ascii="Times New Roman" w:hAnsi="Times New Roman"/>
                <w:b w:val="false"/>
                <w:i w:val="false"/>
                <w:caps w:val="false"/>
                <w:smallCaps w:val="false"/>
                <w:sz w:val="24"/>
              </w:rPr>
              <w:t>A.</w:t>
            </w:r>
            <w:r>
              <w:rPr>
                <w:rFonts w:ascii="Times New Roman" w:hAnsi="Times New Roman"/>
                <w:sz w:val="22"/>
              </w:rPr>
              <w:t xml:space="preserve"> </w:t>
            </w:r>
            <w:r>
              <w:rPr>
                <w:rFonts w:ascii="Times New Roman" w:hAnsi="Times New Roman"/>
                <w:color w:val="000000"/>
                <w:sz w:val="23"/>
              </w:rPr>
              <w:t>Pursuant</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that</w:t>
            </w:r>
            <w:r>
              <w:rPr>
                <w:rFonts w:ascii="Times New Roman" w:hAnsi="Times New Roman"/>
                <w:color w:val="000000"/>
                <w:sz w:val="22"/>
              </w:rPr>
              <w:t> </w:t>
            </w:r>
            <w:r>
              <w:rPr>
                <w:rFonts w:ascii="Times New Roman" w:hAnsi="Times New Roman"/>
                <w:color w:val="000000"/>
                <w:sz w:val="23"/>
              </w:rPr>
              <w:t>certain</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Agreement,</w:t>
            </w:r>
            <w:r>
              <w:rPr>
                <w:rFonts w:ascii="Times New Roman" w:hAnsi="Times New Roman"/>
                <w:color w:val="000000"/>
                <w:sz w:val="22"/>
              </w:rPr>
              <w:t> </w:t>
            </w:r>
            <w:r>
              <w:rPr>
                <w:rFonts w:ascii="Times New Roman" w:hAnsi="Times New Roman"/>
                <w:color w:val="000000"/>
                <w:sz w:val="23"/>
              </w:rPr>
              <w:t>that</w:t>
            </w:r>
            <w:r>
              <w:rPr>
                <w:rFonts w:ascii="Times New Roman" w:hAnsi="Times New Roman"/>
                <w:color w:val="000000"/>
                <w:sz w:val="22"/>
              </w:rPr>
              <w:t> </w:t>
            </w:r>
            <w:r>
              <w:rPr>
                <w:rFonts w:ascii="Times New Roman" w:hAnsi="Times New Roman"/>
                <w:color w:val="000000"/>
                <w:sz w:val="23"/>
              </w:rPr>
              <w:t>certain</w:t>
            </w:r>
            <w:r>
              <w:rPr>
                <w:rFonts w:ascii="Times New Roman" w:hAnsi="Times New Roman"/>
                <w:color w:val="000000"/>
                <w:sz w:val="22"/>
              </w:rPr>
              <w:t> </w:t>
            </w:r>
            <w:r>
              <w:rPr>
                <w:rFonts w:ascii="Times New Roman" w:hAnsi="Times New Roman"/>
                <w:color w:val="000000"/>
                <w:sz w:val="23"/>
              </w:rPr>
              <w:t>Building</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Agreement,</w:t>
            </w:r>
            <w:r>
              <w:rPr>
                <w:rFonts w:ascii="Times New Roman" w:hAnsi="Times New Roman"/>
                <w:color w:val="000000"/>
                <w:sz w:val="22"/>
              </w:rPr>
              <w:t> </w:t>
            </w:r>
            <w:r>
              <w:rPr>
                <w:rFonts w:ascii="Times New Roman" w:hAnsi="Times New Roman"/>
                <w:color w:val="000000"/>
                <w:sz w:val="23"/>
              </w:rPr>
              <w:t>and that</w:t>
            </w:r>
            <w:r>
              <w:rPr>
                <w:rFonts w:ascii="Times New Roman" w:hAnsi="Times New Roman"/>
                <w:color w:val="000000"/>
                <w:sz w:val="22"/>
              </w:rPr>
              <w:t> </w:t>
            </w:r>
            <w:r>
              <w:rPr>
                <w:rFonts w:ascii="Times New Roman" w:hAnsi="Times New Roman"/>
                <w:color w:val="000000"/>
                <w:sz w:val="23"/>
              </w:rPr>
              <w:t>certain</w:t>
            </w:r>
            <w:r>
              <w:rPr>
                <w:rFonts w:ascii="Times New Roman" w:hAnsi="Times New Roman"/>
                <w:color w:val="000000"/>
                <w:sz w:val="22"/>
              </w:rPr>
              <w:t> </w:t>
            </w:r>
            <w:r>
              <w:rPr>
                <w:rFonts w:ascii="Times New Roman" w:hAnsi="Times New Roman"/>
                <w:color w:val="000000"/>
                <w:sz w:val="23"/>
              </w:rPr>
              <w:t>First</w:t>
            </w:r>
            <w:r>
              <w:rPr>
                <w:rFonts w:ascii="Times New Roman" w:hAnsi="Times New Roman"/>
                <w:color w:val="000000"/>
                <w:sz w:val="22"/>
              </w:rPr>
              <w:t> </w:t>
            </w:r>
            <w:r>
              <w:rPr>
                <w:rFonts w:ascii="Times New Roman" w:hAnsi="Times New Roman"/>
                <w:color w:val="000000"/>
                <w:sz w:val="23"/>
              </w:rPr>
              <w:t>Amendment</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Agreement,</w:t>
            </w:r>
            <w:r>
              <w:rPr>
                <w:rFonts w:ascii="Times New Roman" w:hAnsi="Times New Roman"/>
                <w:color w:val="000000"/>
                <w:sz w:val="22"/>
              </w:rPr>
              <w:t> </w:t>
            </w:r>
            <w:r>
              <w:rPr>
                <w:rFonts w:ascii="Times New Roman" w:hAnsi="Times New Roman"/>
                <w:color w:val="000000"/>
                <w:sz w:val="23"/>
              </w:rPr>
              <w:t>by</w:t>
            </w:r>
            <w:r>
              <w:rPr>
                <w:rFonts w:ascii="Times New Roman" w:hAnsi="Times New Roman"/>
                <w:color w:val="000000"/>
                <w:sz w:val="22"/>
              </w:rPr>
              <w:t> </w:t>
            </w:r>
            <w:r>
              <w:rPr>
                <w:rFonts w:ascii="Times New Roman" w:hAnsi="Times New Roman"/>
                <w:color w:val="000000"/>
                <w:sz w:val="23"/>
              </w:rPr>
              <w:t>and</w:t>
            </w:r>
            <w:r>
              <w:rPr>
                <w:rFonts w:ascii="Times New Roman" w:hAnsi="Times New Roman"/>
                <w:color w:val="000000"/>
                <w:sz w:val="22"/>
              </w:rPr>
              <w:t> </w:t>
            </w:r>
            <w:r>
              <w:rPr>
                <w:rFonts w:ascii="Times New Roman" w:hAnsi="Times New Roman"/>
                <w:color w:val="000000"/>
                <w:sz w:val="23"/>
              </w:rPr>
              <w:t>among</w:t>
            </w:r>
            <w:r>
              <w:rPr>
                <w:rFonts w:ascii="Times New Roman" w:hAnsi="Times New Roman"/>
                <w:color w:val="000000"/>
                <w:sz w:val="22"/>
              </w:rPr>
              <w:t> </w:t>
            </w:r>
            <w:r>
              <w:rPr>
                <w:rFonts w:ascii="Times New Roman" w:hAnsi="Times New Roman"/>
                <w:color w:val="000000"/>
                <w:sz w:val="23"/>
              </w:rPr>
              <w:t>Lender,</w:t>
            </w:r>
            <w:r>
              <w:rPr>
                <w:rFonts w:ascii="Times New Roman" w:hAnsi="Times New Roman"/>
                <w:color w:val="000000"/>
                <w:sz w:val="22"/>
              </w:rPr>
              <w:t> </w:t>
            </w:r>
            <w:r>
              <w:rPr>
                <w:rFonts w:ascii="Times New Roman" w:hAnsi="Times New Roman"/>
                <w:color w:val="000000"/>
                <w:sz w:val="23"/>
              </w:rPr>
              <w:t>Administrative</w:t>
            </w:r>
            <w:r>
              <w:rPr>
                <w:rFonts w:ascii="Times New Roman" w:hAnsi="Times New Roman"/>
                <w:color w:val="000000"/>
                <w:sz w:val="22"/>
              </w:rPr>
              <w:t> </w:t>
            </w:r>
            <w:r>
              <w:rPr>
                <w:rFonts w:ascii="Times New Roman" w:hAnsi="Times New Roman"/>
                <w:color w:val="000000"/>
                <w:sz w:val="23"/>
              </w:rPr>
              <w:t>Agent and Borrower, dated as of May 7, 2021, April 13, 2023, May 13, 2022, and May 2, 2025, respectively (as amended hereby and as the same may be further amended, modified, restated, supplemented, replaced or otherwise modified from time to time, collectively, the “</w:t>
            </w:r>
            <w:r>
              <w:rPr>
                <w:rFonts w:ascii="Times New Roman" w:hAnsi="Times New Roman"/>
                <w:b/>
                <w:color w:val="000000"/>
                <w:sz w:val="23"/>
              </w:rPr>
              <w:t>Loan Agreement</w:t>
            </w:r>
            <w:r>
              <w:rPr>
                <w:rFonts w:ascii="Times New Roman" w:hAnsi="Times New Roman"/>
                <w:color w:val="000000"/>
                <w:sz w:val="22"/>
              </w:rPr>
              <w:t>”</w:t>
            </w:r>
            <w:r>
              <w:rPr>
                <w:rFonts w:ascii="Times New Roman" w:hAnsi="Times New Roman"/>
                <w:color w:val="000000"/>
                <w:sz w:val="23"/>
              </w:rPr>
              <w:t>),</w:t>
            </w:r>
            <w:r>
              <w:rPr>
                <w:rFonts w:ascii="Times New Roman" w:hAnsi="Times New Roman"/>
                <w:color w:val="000000"/>
                <w:sz w:val="22"/>
              </w:rPr>
              <w:t> </w:t>
            </w:r>
            <w:r>
              <w:rPr>
                <w:rFonts w:ascii="Times New Roman" w:hAnsi="Times New Roman"/>
                <w:color w:val="000000"/>
                <w:sz w:val="23"/>
              </w:rPr>
              <w:t>Lender</w:t>
            </w:r>
            <w:r>
              <w:rPr>
                <w:rFonts w:ascii="Times New Roman" w:hAnsi="Times New Roman"/>
                <w:color w:val="000000"/>
                <w:sz w:val="22"/>
              </w:rPr>
              <w:t> </w:t>
            </w:r>
            <w:r>
              <w:rPr>
                <w:rFonts w:ascii="Times New Roman" w:hAnsi="Times New Roman"/>
                <w:color w:val="000000"/>
                <w:sz w:val="23"/>
              </w:rPr>
              <w:t>made</w:t>
            </w:r>
            <w:r>
              <w:rPr>
                <w:rFonts w:ascii="Times New Roman" w:hAnsi="Times New Roman"/>
                <w:color w:val="000000"/>
                <w:sz w:val="22"/>
              </w:rPr>
              <w:t> </w:t>
            </w:r>
            <w:r>
              <w:rPr>
                <w:rFonts w:ascii="Times New Roman" w:hAnsi="Times New Roman"/>
                <w:color w:val="000000"/>
                <w:sz w:val="23"/>
              </w:rPr>
              <w:t>a</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Borrower</w:t>
            </w:r>
            <w:r>
              <w:rPr>
                <w:rFonts w:ascii="Times New Roman" w:hAnsi="Times New Roman"/>
                <w:color w:val="000000"/>
                <w:sz w:val="22"/>
              </w:rPr>
              <w:t> </w:t>
            </w:r>
            <w:r>
              <w:rPr>
                <w:rFonts w:ascii="Times New Roman" w:hAnsi="Times New Roman"/>
                <w:color w:val="000000"/>
                <w:sz w:val="23"/>
              </w:rPr>
              <w:t>in</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aggregate</w:t>
            </w:r>
            <w:r>
              <w:rPr>
                <w:rFonts w:ascii="Times New Roman" w:hAnsi="Times New Roman"/>
                <w:color w:val="000000"/>
                <w:sz w:val="22"/>
              </w:rPr>
              <w:t> </w:t>
            </w:r>
            <w:r>
              <w:rPr>
                <w:rFonts w:ascii="Times New Roman" w:hAnsi="Times New Roman"/>
                <w:color w:val="000000"/>
                <w:sz w:val="23"/>
              </w:rPr>
              <w:t>principal</w:t>
            </w:r>
            <w:r>
              <w:rPr>
                <w:rFonts w:ascii="Times New Roman" w:hAnsi="Times New Roman"/>
                <w:color w:val="000000"/>
                <w:sz w:val="22"/>
              </w:rPr>
              <w:t> </w:t>
            </w:r>
            <w:r>
              <w:rPr>
                <w:rFonts w:ascii="Times New Roman" w:hAnsi="Times New Roman"/>
                <w:color w:val="000000"/>
                <w:sz w:val="23"/>
              </w:rPr>
              <w:t>amount</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up</w:t>
            </w:r>
            <w:r>
              <w:rPr>
                <w:rFonts w:ascii="Times New Roman" w:hAnsi="Times New Roman"/>
                <w:color w:val="000000"/>
                <w:sz w:val="22"/>
              </w:rPr>
              <w:t> </w:t>
            </w:r>
            <w:r>
              <w:rPr>
                <w:rFonts w:ascii="Times New Roman" w:hAnsi="Times New Roman"/>
                <w:color w:val="000000"/>
                <w:sz w:val="23"/>
              </w:rPr>
              <w:t>to</w:t>
            </w:r>
          </w:p>
        </w:tc>
      </w:tr>
    </w:tbl>
    <w:p>
      <w:pPr>
        <w:pStyle w:val="TextBody"/>
        <w:pBdr/>
        <w:bidi w:val="0"/>
        <w:spacing w:lineRule="auto" w:line="254" w:before="0" w:after="0"/>
        <w:ind w:left="1425" w:right="1200" w:hanging="0"/>
        <w:jc w:val="left"/>
        <w:rPr>
          <w:rFonts w:ascii="Times New Roman" w:hAnsi="Times New Roman"/>
          <w:sz w:val="22"/>
        </w:rPr>
      </w:pPr>
      <w:r>
        <w:rPr>
          <w:rFonts w:ascii="Times New Roman" w:hAnsi="Times New Roman"/>
          <w:color w:val="000000"/>
          <w:sz w:val="23"/>
        </w:rPr>
        <w:t>$43,000,000.00</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Senior</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and</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up</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$6,000,000.00</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Junior</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(collectively, the</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which</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is</w:t>
      </w:r>
      <w:r>
        <w:rPr>
          <w:rFonts w:ascii="Times New Roman" w:hAnsi="Times New Roman"/>
          <w:color w:val="000000"/>
          <w:sz w:val="22"/>
        </w:rPr>
        <w:t> </w:t>
      </w:r>
      <w:r>
        <w:rPr>
          <w:rFonts w:ascii="Times New Roman" w:hAnsi="Times New Roman"/>
          <w:color w:val="000000"/>
          <w:sz w:val="23"/>
        </w:rPr>
        <w:t>evidenced</w:t>
      </w:r>
      <w:r>
        <w:rPr>
          <w:rFonts w:ascii="Times New Roman" w:hAnsi="Times New Roman"/>
          <w:color w:val="000000"/>
          <w:sz w:val="22"/>
        </w:rPr>
        <w:t> </w:t>
      </w:r>
      <w:r>
        <w:rPr>
          <w:rFonts w:ascii="Times New Roman" w:hAnsi="Times New Roman"/>
          <w:color w:val="000000"/>
          <w:sz w:val="23"/>
        </w:rPr>
        <w:t>by,</w:t>
      </w:r>
      <w:r>
        <w:rPr>
          <w:rFonts w:ascii="Times New Roman" w:hAnsi="Times New Roman"/>
          <w:color w:val="000000"/>
          <w:sz w:val="22"/>
        </w:rPr>
        <w:t> </w:t>
      </w:r>
      <w:r>
        <w:rPr>
          <w:rFonts w:ascii="Times New Roman" w:hAnsi="Times New Roman"/>
          <w:color w:val="000000"/>
          <w:sz w:val="23"/>
        </w:rPr>
        <w:t>among</w:t>
      </w:r>
      <w:r>
        <w:rPr>
          <w:rFonts w:ascii="Times New Roman" w:hAnsi="Times New Roman"/>
          <w:color w:val="000000"/>
          <w:sz w:val="22"/>
        </w:rPr>
        <w:t> </w:t>
      </w:r>
      <w:r>
        <w:rPr>
          <w:rFonts w:ascii="Times New Roman" w:hAnsi="Times New Roman"/>
          <w:color w:val="000000"/>
          <w:sz w:val="23"/>
        </w:rPr>
        <w:t>other</w:t>
      </w:r>
      <w:r>
        <w:rPr>
          <w:rFonts w:ascii="Times New Roman" w:hAnsi="Times New Roman"/>
          <w:color w:val="000000"/>
          <w:sz w:val="22"/>
        </w:rPr>
        <w:t> </w:t>
      </w:r>
      <w:r>
        <w:rPr>
          <w:rFonts w:ascii="Times New Roman" w:hAnsi="Times New Roman"/>
          <w:color w:val="000000"/>
          <w:sz w:val="23"/>
        </w:rPr>
        <w:t>things,</w:t>
      </w:r>
      <w:r>
        <w:rPr>
          <w:rFonts w:ascii="Times New Roman" w:hAnsi="Times New Roman"/>
          <w:color w:val="000000"/>
          <w:sz w:val="22"/>
        </w:rPr>
        <w:t> </w:t>
      </w:r>
      <w:r>
        <w:rPr>
          <w:rFonts w:ascii="Times New Roman" w:hAnsi="Times New Roman"/>
          <w:color w:val="000000"/>
          <w:sz w:val="23"/>
        </w:rPr>
        <w:t>that</w:t>
      </w:r>
      <w:r>
        <w:rPr>
          <w:rFonts w:ascii="Times New Roman" w:hAnsi="Times New Roman"/>
          <w:color w:val="000000"/>
          <w:sz w:val="22"/>
        </w:rPr>
        <w:t> </w:t>
      </w:r>
      <w:r>
        <w:rPr>
          <w:rFonts w:ascii="Times New Roman" w:hAnsi="Times New Roman"/>
          <w:color w:val="000000"/>
          <w:sz w:val="23"/>
        </w:rPr>
        <w:t>certain</w:t>
      </w:r>
      <w:r>
        <w:rPr>
          <w:rFonts w:ascii="Times New Roman" w:hAnsi="Times New Roman"/>
          <w:color w:val="000000"/>
          <w:sz w:val="22"/>
        </w:rPr>
        <w:t> </w:t>
      </w:r>
      <w:r>
        <w:rPr>
          <w:rFonts w:ascii="Times New Roman" w:hAnsi="Times New Roman"/>
          <w:color w:val="000000"/>
          <w:sz w:val="23"/>
        </w:rPr>
        <w:t>Amended,</w:t>
      </w:r>
      <w:r>
        <w:rPr>
          <w:rFonts w:ascii="Times New Roman" w:hAnsi="Times New Roman"/>
          <w:color w:val="000000"/>
          <w:sz w:val="22"/>
        </w:rPr>
        <w:t> </w:t>
      </w:r>
      <w:r>
        <w:rPr>
          <w:rFonts w:ascii="Times New Roman" w:hAnsi="Times New Roman"/>
          <w:color w:val="000000"/>
          <w:sz w:val="23"/>
        </w:rPr>
        <w:t>Restated</w:t>
      </w:r>
      <w:r>
        <w:rPr>
          <w:rFonts w:ascii="Times New Roman" w:hAnsi="Times New Roman"/>
          <w:color w:val="000000"/>
          <w:sz w:val="22"/>
        </w:rPr>
        <w:t> </w:t>
      </w:r>
      <w:r>
        <w:rPr>
          <w:rFonts w:ascii="Times New Roman" w:hAnsi="Times New Roman"/>
          <w:color w:val="000000"/>
          <w:sz w:val="23"/>
        </w:rPr>
        <w:t>and Consolidated</w:t>
      </w:r>
      <w:r>
        <w:rPr>
          <w:rFonts w:ascii="Times New Roman" w:hAnsi="Times New Roman"/>
          <w:color w:val="000000"/>
          <w:sz w:val="22"/>
        </w:rPr>
        <w:t> </w:t>
      </w:r>
      <w:r>
        <w:rPr>
          <w:rFonts w:ascii="Times New Roman" w:hAnsi="Times New Roman"/>
          <w:color w:val="000000"/>
          <w:sz w:val="23"/>
        </w:rPr>
        <w:t>Note</w:t>
      </w:r>
      <w:r>
        <w:rPr>
          <w:rFonts w:ascii="Times New Roman" w:hAnsi="Times New Roman"/>
          <w:color w:val="000000"/>
          <w:sz w:val="22"/>
        </w:rPr>
        <w:t> </w:t>
      </w:r>
      <w:r>
        <w:rPr>
          <w:rFonts w:ascii="Times New Roman" w:hAnsi="Times New Roman"/>
          <w:color w:val="000000"/>
          <w:sz w:val="23"/>
        </w:rPr>
        <w:t>in</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amount</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up</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$43,000,000.00,</w:t>
      </w:r>
      <w:r>
        <w:rPr>
          <w:rFonts w:ascii="Times New Roman" w:hAnsi="Times New Roman"/>
          <w:color w:val="000000"/>
          <w:sz w:val="22"/>
        </w:rPr>
        <w:t> </w:t>
      </w:r>
      <w:r>
        <w:rPr>
          <w:rFonts w:ascii="Times New Roman" w:hAnsi="Times New Roman"/>
          <w:color w:val="000000"/>
          <w:sz w:val="23"/>
        </w:rPr>
        <w:t>dated</w:t>
      </w:r>
      <w:r>
        <w:rPr>
          <w:rFonts w:ascii="Times New Roman" w:hAnsi="Times New Roman"/>
          <w:color w:val="000000"/>
          <w:sz w:val="22"/>
        </w:rPr>
        <w:t> </w:t>
      </w:r>
      <w:r>
        <w:rPr>
          <w:rFonts w:ascii="Times New Roman" w:hAnsi="Times New Roman"/>
          <w:color w:val="000000"/>
          <w:sz w:val="23"/>
        </w:rPr>
        <w:t>as</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May</w:t>
      </w:r>
      <w:r>
        <w:rPr>
          <w:rFonts w:ascii="Times New Roman" w:hAnsi="Times New Roman"/>
          <w:color w:val="000000"/>
          <w:sz w:val="22"/>
        </w:rPr>
        <w:t> </w:t>
      </w:r>
      <w:r>
        <w:rPr>
          <w:rFonts w:ascii="Times New Roman" w:hAnsi="Times New Roman"/>
          <w:color w:val="000000"/>
          <w:sz w:val="23"/>
        </w:rPr>
        <w:t>7,</w:t>
      </w:r>
      <w:r>
        <w:rPr>
          <w:rFonts w:ascii="Times New Roman" w:hAnsi="Times New Roman"/>
          <w:color w:val="000000"/>
          <w:sz w:val="22"/>
        </w:rPr>
        <w:t> </w:t>
      </w:r>
      <w:r>
        <w:rPr>
          <w:rFonts w:ascii="Times New Roman" w:hAnsi="Times New Roman"/>
          <w:color w:val="000000"/>
          <w:sz w:val="23"/>
        </w:rPr>
        <w:t>2021,</w:t>
      </w:r>
      <w:r>
        <w:rPr>
          <w:rFonts w:ascii="Times New Roman" w:hAnsi="Times New Roman"/>
          <w:color w:val="000000"/>
          <w:sz w:val="22"/>
        </w:rPr>
        <w:t> </w:t>
      </w:r>
      <w:r>
        <w:rPr>
          <w:rFonts w:ascii="Times New Roman" w:hAnsi="Times New Roman"/>
          <w:color w:val="000000"/>
          <w:sz w:val="23"/>
        </w:rPr>
        <w:t>and</w:t>
      </w:r>
      <w:r>
        <w:rPr>
          <w:rFonts w:ascii="Times New Roman" w:hAnsi="Times New Roman"/>
          <w:color w:val="000000"/>
          <w:sz w:val="22"/>
        </w:rPr>
        <w:t> </w:t>
      </w:r>
      <w:r>
        <w:rPr>
          <w:rFonts w:ascii="Times New Roman" w:hAnsi="Times New Roman"/>
          <w:color w:val="000000"/>
          <w:sz w:val="23"/>
        </w:rPr>
        <w:t>that</w:t>
      </w:r>
      <w:r>
        <w:rPr>
          <w:rFonts w:ascii="Times New Roman" w:hAnsi="Times New Roman"/>
          <w:color w:val="000000"/>
          <w:sz w:val="22"/>
        </w:rPr>
        <w:t> </w:t>
      </w:r>
      <w:r>
        <w:rPr>
          <w:rFonts w:ascii="Times New Roman" w:hAnsi="Times New Roman"/>
          <w:color w:val="000000"/>
          <w:sz w:val="23"/>
        </w:rPr>
        <w:t>certain Building Loan Note in the amount of up to $6,000,000.00, dated as of</w:t>
      </w:r>
      <w:r>
        <w:rPr>
          <w:rFonts w:ascii="Times New Roman" w:hAnsi="Times New Roman"/>
          <w:color w:val="000000"/>
          <w:sz w:val="22"/>
        </w:rPr>
        <w:t> </w:t>
      </w:r>
      <w:r>
        <w:rPr>
          <w:rFonts w:ascii="Times New Roman" w:hAnsi="Times New Roman"/>
          <w:color w:val="000000"/>
          <w:sz w:val="23"/>
        </w:rPr>
        <w:t>April 13, 2023, made by Borrower</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order</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Administrative</w:t>
      </w:r>
      <w:r>
        <w:rPr>
          <w:rFonts w:ascii="Times New Roman" w:hAnsi="Times New Roman"/>
          <w:color w:val="000000"/>
          <w:sz w:val="22"/>
        </w:rPr>
        <w:t> </w:t>
      </w:r>
      <w:r>
        <w:rPr>
          <w:rFonts w:ascii="Times New Roman" w:hAnsi="Times New Roman"/>
          <w:color w:val="000000"/>
          <w:sz w:val="23"/>
        </w:rPr>
        <w:t>Agent</w:t>
      </w:r>
      <w:r>
        <w:rPr>
          <w:rFonts w:ascii="Times New Roman" w:hAnsi="Times New Roman"/>
          <w:color w:val="000000"/>
          <w:sz w:val="22"/>
        </w:rPr>
        <w:t> </w:t>
      </w:r>
      <w:r>
        <w:rPr>
          <w:rFonts w:ascii="Times New Roman" w:hAnsi="Times New Roman"/>
          <w:color w:val="000000"/>
          <w:sz w:val="23"/>
        </w:rPr>
        <w:t>for</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benefit</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Lender</w:t>
      </w:r>
      <w:r>
        <w:rPr>
          <w:rFonts w:ascii="Times New Roman" w:hAnsi="Times New Roman"/>
          <w:color w:val="000000"/>
          <w:sz w:val="22"/>
        </w:rPr>
        <w:t> </w:t>
      </w:r>
      <w:r>
        <w:rPr>
          <w:rFonts w:ascii="Times New Roman" w:hAnsi="Times New Roman"/>
          <w:color w:val="000000"/>
          <w:sz w:val="23"/>
        </w:rPr>
        <w:t>(collectively,</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b/>
          <w:color w:val="000000"/>
          <w:sz w:val="23"/>
        </w:rPr>
        <w:t>Note</w:t>
      </w:r>
      <w:r>
        <w:rPr>
          <w:rFonts w:ascii="Times New Roman" w:hAnsi="Times New Roman"/>
          <w:color w:val="000000"/>
          <w:sz w:val="22"/>
        </w:rPr>
        <w:t>”</w:t>
      </w:r>
      <w:r>
        <w:rPr>
          <w:rFonts w:ascii="Times New Roman" w:hAnsi="Times New Roman"/>
          <w:color w:val="000000"/>
          <w:sz w:val="23"/>
        </w:rPr>
        <w:t>).</w:t>
      </w:r>
      <w:r>
        <w:rPr>
          <w:rFonts w:ascii="Times New Roman" w:hAnsi="Times New Roman"/>
          <w:sz w:val="22"/>
        </w:rPr>
        <w:t xml:space="preserve"> </w:t>
      </w:r>
    </w:p>
    <w:p>
      <w:pPr>
        <w:pStyle w:val="TextBody"/>
        <w:pBdr/>
        <w:bidi w:val="0"/>
        <w:spacing w:before="10" w:after="0"/>
        <w:ind w:left="1080" w:right="1080" w:hanging="0"/>
        <w:jc w:val="left"/>
        <w:rPr>
          <w:rFonts w:cs="Times New Roman"/>
          <w:szCs w:val="22"/>
        </w:rPr>
      </w:pPr>
      <w:r>
        <w:rPr>
          <w:rFonts w:cs="Times New Roman"/>
          <w:color w:val="000000"/>
          <w:szCs w:val="23"/>
        </w:rPr>
        <w:t>﻿</w:t>
      </w:r>
      <w:r>
        <w:rPr>
          <w:rFonts w:cs="Times New Roman"/>
          <w:szCs w:val="22"/>
        </w:rPr>
        <w:t xml:space="preserve"> </w:t>
      </w:r>
    </w:p>
    <w:tbl>
      <w:tblPr>
        <w:tblW w:w="10042" w:type="dxa"/>
        <w:jc w:val="left"/>
        <w:tblInd w:w="1080" w:type="dxa"/>
        <w:tblLayout w:type="fixed"/>
        <w:tblCellMar>
          <w:top w:w="0" w:type="dxa"/>
          <w:left w:w="0" w:type="dxa"/>
          <w:bottom w:w="0" w:type="dxa"/>
          <w:right w:w="0" w:type="dxa"/>
        </w:tblCellMar>
      </w:tblPr>
      <w:tblGrid>
        <w:gridCol w:w="735"/>
        <w:gridCol w:w="9307"/>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9307" w:type="dxa"/>
            <w:tcBorders/>
          </w:tcPr>
          <w:p>
            <w:pPr>
              <w:pStyle w:val="TableContents"/>
              <w:pBdr/>
              <w:bidi w:val="0"/>
              <w:spacing w:lineRule="auto" w:line="247" w:before="1" w:after="0"/>
              <w:ind w:left="0" w:right="692" w:firstLine="720"/>
              <w:jc w:val="both"/>
              <w:rPr>
                <w:rFonts w:ascii="Times New Roman" w:hAnsi="Times New Roman"/>
                <w:sz w:val="22"/>
              </w:rPr>
            </w:pPr>
            <w:r>
              <w:rPr>
                <w:rFonts w:ascii="Times New Roman" w:hAnsi="Times New Roman"/>
                <w:b w:val="false"/>
                <w:i w:val="false"/>
                <w:caps w:val="false"/>
                <w:smallCaps w:val="false"/>
                <w:sz w:val="24"/>
              </w:rPr>
              <w:t>B.</w:t>
            </w:r>
            <w:r>
              <w:rPr>
                <w:rFonts w:ascii="Times New Roman" w:hAnsi="Times New Roman"/>
                <w:sz w:val="22"/>
              </w:rPr>
              <w:t xml:space="preserve"> </w:t>
            </w:r>
            <w:r>
              <w:rPr>
                <w:rFonts w:ascii="Times New Roman" w:hAnsi="Times New Roman"/>
                <w:color w:val="000000"/>
                <w:sz w:val="23"/>
              </w:rPr>
              <w:t>Capitalized</w:t>
            </w:r>
            <w:r>
              <w:rPr>
                <w:rFonts w:ascii="Times New Roman" w:hAnsi="Times New Roman"/>
                <w:color w:val="000000"/>
                <w:sz w:val="22"/>
              </w:rPr>
              <w:t> </w:t>
            </w:r>
            <w:r>
              <w:rPr>
                <w:rFonts w:ascii="Times New Roman" w:hAnsi="Times New Roman"/>
                <w:color w:val="000000"/>
                <w:sz w:val="23"/>
              </w:rPr>
              <w:t>terms</w:t>
            </w:r>
            <w:r>
              <w:rPr>
                <w:rFonts w:ascii="Times New Roman" w:hAnsi="Times New Roman"/>
                <w:color w:val="000000"/>
                <w:sz w:val="22"/>
              </w:rPr>
              <w:t> </w:t>
            </w:r>
            <w:r>
              <w:rPr>
                <w:rFonts w:ascii="Times New Roman" w:hAnsi="Times New Roman"/>
                <w:color w:val="000000"/>
                <w:sz w:val="23"/>
              </w:rPr>
              <w:t>used</w:t>
            </w:r>
            <w:r>
              <w:rPr>
                <w:rFonts w:ascii="Times New Roman" w:hAnsi="Times New Roman"/>
                <w:color w:val="000000"/>
                <w:sz w:val="22"/>
              </w:rPr>
              <w:t> </w:t>
            </w:r>
            <w:r>
              <w:rPr>
                <w:rFonts w:ascii="Times New Roman" w:hAnsi="Times New Roman"/>
                <w:color w:val="000000"/>
                <w:sz w:val="23"/>
              </w:rPr>
              <w:t>and</w:t>
            </w:r>
            <w:r>
              <w:rPr>
                <w:rFonts w:ascii="Times New Roman" w:hAnsi="Times New Roman"/>
                <w:color w:val="000000"/>
                <w:sz w:val="22"/>
              </w:rPr>
              <w:t> </w:t>
            </w:r>
            <w:r>
              <w:rPr>
                <w:rFonts w:ascii="Times New Roman" w:hAnsi="Times New Roman"/>
                <w:color w:val="000000"/>
                <w:sz w:val="23"/>
              </w:rPr>
              <w:t>not</w:t>
            </w:r>
            <w:r>
              <w:rPr>
                <w:rFonts w:ascii="Times New Roman" w:hAnsi="Times New Roman"/>
                <w:color w:val="000000"/>
                <w:sz w:val="22"/>
              </w:rPr>
              <w:t> </w:t>
            </w:r>
            <w:r>
              <w:rPr>
                <w:rFonts w:ascii="Times New Roman" w:hAnsi="Times New Roman"/>
                <w:color w:val="000000"/>
                <w:sz w:val="23"/>
              </w:rPr>
              <w:t>defined</w:t>
            </w:r>
            <w:r>
              <w:rPr>
                <w:rFonts w:ascii="Times New Roman" w:hAnsi="Times New Roman"/>
                <w:color w:val="000000"/>
                <w:sz w:val="22"/>
              </w:rPr>
              <w:t> </w:t>
            </w:r>
            <w:r>
              <w:rPr>
                <w:rFonts w:ascii="Times New Roman" w:hAnsi="Times New Roman"/>
                <w:color w:val="000000"/>
                <w:sz w:val="23"/>
              </w:rPr>
              <w:t>herein</w:t>
            </w:r>
            <w:r>
              <w:rPr>
                <w:rFonts w:ascii="Times New Roman" w:hAnsi="Times New Roman"/>
                <w:color w:val="000000"/>
                <w:sz w:val="22"/>
              </w:rPr>
              <w:t> </w:t>
            </w:r>
            <w:r>
              <w:rPr>
                <w:rFonts w:ascii="Times New Roman" w:hAnsi="Times New Roman"/>
                <w:color w:val="000000"/>
                <w:sz w:val="23"/>
              </w:rPr>
              <w:t>have</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meaning</w:t>
            </w:r>
            <w:r>
              <w:rPr>
                <w:rFonts w:ascii="Times New Roman" w:hAnsi="Times New Roman"/>
                <w:color w:val="000000"/>
                <w:sz w:val="22"/>
              </w:rPr>
              <w:t> </w:t>
            </w:r>
            <w:r>
              <w:rPr>
                <w:rFonts w:ascii="Times New Roman" w:hAnsi="Times New Roman"/>
                <w:color w:val="000000"/>
                <w:sz w:val="23"/>
              </w:rPr>
              <w:t>ascribed</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them</w:t>
            </w:r>
            <w:r>
              <w:rPr>
                <w:rFonts w:ascii="Times New Roman" w:hAnsi="Times New Roman"/>
                <w:color w:val="000000"/>
                <w:sz w:val="22"/>
              </w:rPr>
              <w:t> </w:t>
            </w:r>
            <w:r>
              <w:rPr>
                <w:rFonts w:ascii="Times New Roman" w:hAnsi="Times New Roman"/>
                <w:color w:val="000000"/>
                <w:sz w:val="23"/>
              </w:rPr>
              <w:t>in the Loan Agreement.</w:t>
            </w:r>
          </w:p>
        </w:tc>
      </w:tr>
    </w:tbl>
    <w:tbl>
      <w:tblPr>
        <w:tblW w:w="10175" w:type="dxa"/>
        <w:jc w:val="left"/>
        <w:tblInd w:w="1080" w:type="dxa"/>
        <w:tblLayout w:type="fixed"/>
        <w:tblCellMar>
          <w:top w:w="0" w:type="dxa"/>
          <w:left w:w="0" w:type="dxa"/>
          <w:bottom w:w="0" w:type="dxa"/>
          <w:right w:w="0" w:type="dxa"/>
        </w:tblCellMar>
      </w:tblPr>
      <w:tblGrid>
        <w:gridCol w:w="735"/>
        <w:gridCol w:w="944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9440" w:type="dxa"/>
            <w:tcBorders/>
          </w:tcPr>
          <w:p>
            <w:pPr>
              <w:pStyle w:val="TableContents"/>
              <w:pBdr/>
              <w:bidi w:val="0"/>
              <w:spacing w:lineRule="auto" w:line="247" w:before="267" w:after="0"/>
              <w:ind w:left="0" w:right="690" w:firstLine="720"/>
              <w:jc w:val="both"/>
              <w:rPr>
                <w:rFonts w:ascii="Times New Roman" w:hAnsi="Times New Roman"/>
                <w:sz w:val="22"/>
              </w:rPr>
            </w:pPr>
            <w:r>
              <w:rPr>
                <w:rFonts w:ascii="Times New Roman" w:hAnsi="Times New Roman"/>
                <w:b w:val="false"/>
                <w:i w:val="false"/>
                <w:caps w:val="false"/>
                <w:smallCaps w:val="false"/>
                <w:sz w:val="24"/>
              </w:rPr>
              <w:t>C.</w:t>
            </w:r>
            <w:r>
              <w:rPr>
                <w:rFonts w:ascii="Times New Roman" w:hAnsi="Times New Roman"/>
                <w:sz w:val="22"/>
              </w:rPr>
              <w:t xml:space="preserve">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is</w:t>
            </w:r>
            <w:r>
              <w:rPr>
                <w:rFonts w:ascii="Times New Roman" w:hAnsi="Times New Roman"/>
                <w:color w:val="000000"/>
                <w:sz w:val="22"/>
              </w:rPr>
              <w:t> </w:t>
            </w:r>
            <w:r>
              <w:rPr>
                <w:rFonts w:ascii="Times New Roman" w:hAnsi="Times New Roman"/>
                <w:color w:val="000000"/>
                <w:sz w:val="23"/>
              </w:rPr>
              <w:t>secured</w:t>
            </w:r>
            <w:r>
              <w:rPr>
                <w:rFonts w:ascii="Times New Roman" w:hAnsi="Times New Roman"/>
                <w:color w:val="000000"/>
                <w:sz w:val="22"/>
              </w:rPr>
              <w:t> </w:t>
            </w:r>
            <w:r>
              <w:rPr>
                <w:rFonts w:ascii="Times New Roman" w:hAnsi="Times New Roman"/>
                <w:color w:val="000000"/>
                <w:sz w:val="23"/>
              </w:rPr>
              <w:t>by,</w:t>
            </w:r>
            <w:r>
              <w:rPr>
                <w:rFonts w:ascii="Times New Roman" w:hAnsi="Times New Roman"/>
                <w:color w:val="000000"/>
                <w:sz w:val="22"/>
              </w:rPr>
              <w:t> </w:t>
            </w:r>
            <w:r>
              <w:rPr>
                <w:rFonts w:ascii="Times New Roman" w:hAnsi="Times New Roman"/>
                <w:color w:val="000000"/>
                <w:sz w:val="23"/>
              </w:rPr>
              <w:t>among</w:t>
            </w:r>
            <w:r>
              <w:rPr>
                <w:rFonts w:ascii="Times New Roman" w:hAnsi="Times New Roman"/>
                <w:color w:val="000000"/>
                <w:sz w:val="22"/>
              </w:rPr>
              <w:t> </w:t>
            </w:r>
            <w:r>
              <w:rPr>
                <w:rFonts w:ascii="Times New Roman" w:hAnsi="Times New Roman"/>
                <w:color w:val="000000"/>
                <w:sz w:val="23"/>
              </w:rPr>
              <w:t>other</w:t>
            </w:r>
            <w:r>
              <w:rPr>
                <w:rFonts w:ascii="Times New Roman" w:hAnsi="Times New Roman"/>
                <w:color w:val="000000"/>
                <w:sz w:val="22"/>
              </w:rPr>
              <w:t> </w:t>
            </w:r>
            <w:r>
              <w:rPr>
                <w:rFonts w:ascii="Times New Roman" w:hAnsi="Times New Roman"/>
                <w:color w:val="000000"/>
                <w:sz w:val="23"/>
              </w:rPr>
              <w:t>things,</w:t>
            </w:r>
            <w:r>
              <w:rPr>
                <w:rFonts w:ascii="Times New Roman" w:hAnsi="Times New Roman"/>
                <w:color w:val="000000"/>
                <w:sz w:val="22"/>
              </w:rPr>
              <w:t> </w:t>
            </w:r>
            <w:r>
              <w:rPr>
                <w:rFonts w:ascii="Times New Roman" w:hAnsi="Times New Roman"/>
                <w:color w:val="000000"/>
                <w:sz w:val="23"/>
              </w:rPr>
              <w:t>that</w:t>
            </w:r>
            <w:r>
              <w:rPr>
                <w:rFonts w:ascii="Times New Roman" w:hAnsi="Times New Roman"/>
                <w:color w:val="000000"/>
                <w:sz w:val="22"/>
              </w:rPr>
              <w:t> </w:t>
            </w:r>
            <w:r>
              <w:rPr>
                <w:rFonts w:ascii="Times New Roman" w:hAnsi="Times New Roman"/>
                <w:color w:val="000000"/>
                <w:sz w:val="23"/>
              </w:rPr>
              <w:t>certain</w:t>
            </w:r>
            <w:r>
              <w:rPr>
                <w:rFonts w:ascii="Times New Roman" w:hAnsi="Times New Roman"/>
                <w:color w:val="000000"/>
                <w:sz w:val="22"/>
              </w:rPr>
              <w:t> </w:t>
            </w:r>
            <w:r>
              <w:rPr>
                <w:rFonts w:ascii="Times New Roman" w:hAnsi="Times New Roman"/>
                <w:color w:val="000000"/>
                <w:sz w:val="23"/>
              </w:rPr>
              <w:t>Agreement</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Consolidation and Modification of Mortgage, and that certain Building Loan Mortgage,</w:t>
            </w:r>
            <w:r>
              <w:rPr>
                <w:rFonts w:ascii="Times New Roman" w:hAnsi="Times New Roman"/>
                <w:color w:val="000000"/>
                <w:sz w:val="22"/>
              </w:rPr>
              <w:t> </w:t>
            </w:r>
            <w:r>
              <w:rPr>
                <w:rFonts w:ascii="Times New Roman" w:hAnsi="Times New Roman"/>
                <w:color w:val="000000"/>
                <w:sz w:val="23"/>
              </w:rPr>
              <w:t>Assignment of Leases and Rents and Security Agreement (collectively, the “</w:t>
            </w:r>
            <w:r>
              <w:rPr>
                <w:rFonts w:ascii="Times New Roman" w:hAnsi="Times New Roman"/>
                <w:b/>
                <w:color w:val="000000"/>
                <w:sz w:val="23"/>
              </w:rPr>
              <w:t>Mortgage</w:t>
            </w:r>
            <w:r>
              <w:rPr>
                <w:rFonts w:ascii="Times New Roman" w:hAnsi="Times New Roman"/>
                <w:color w:val="000000"/>
                <w:sz w:val="22"/>
              </w:rPr>
              <w:t>”</w:t>
            </w:r>
            <w:r>
              <w:rPr>
                <w:rFonts w:ascii="Times New Roman" w:hAnsi="Times New Roman"/>
                <w:color w:val="000000"/>
                <w:sz w:val="23"/>
              </w:rPr>
              <w:t>), which encumbers certain property owned by Borrower known as 44-48 Union Square (a/k/a 44-48 Union</w:t>
            </w:r>
          </w:p>
        </w:tc>
      </w:tr>
    </w:tbl>
    <w:p>
      <w:pPr>
        <w:pStyle w:val="TextBody"/>
        <w:bidi w:val="0"/>
        <w:spacing w:lineRule="auto" w:line="247" w:before="1" w:after="0"/>
        <w:ind w:left="1425" w:right="1427" w:hanging="0"/>
        <w:jc w:val="both"/>
        <w:rPr>
          <w:rFonts w:ascii="Times New Roman" w:hAnsi="Times New Roman"/>
          <w:sz w:val="22"/>
        </w:rPr>
      </w:pPr>
      <w:r>
        <w:rPr>
          <w:rFonts w:ascii="Times New Roman" w:hAnsi="Times New Roman"/>
          <w:color w:val="000000"/>
          <w:sz w:val="23"/>
        </w:rPr>
        <w:t>Square East), New</w:t>
      </w:r>
      <w:r>
        <w:rPr>
          <w:rFonts w:ascii="Times New Roman" w:hAnsi="Times New Roman"/>
          <w:color w:val="000000"/>
          <w:sz w:val="22"/>
        </w:rPr>
        <w:t> </w:t>
      </w:r>
      <w:r>
        <w:rPr>
          <w:rFonts w:ascii="Times New Roman" w:hAnsi="Times New Roman"/>
          <w:color w:val="000000"/>
          <w:sz w:val="23"/>
        </w:rPr>
        <w:t>York, New</w:t>
      </w:r>
      <w:r>
        <w:rPr>
          <w:rFonts w:ascii="Times New Roman" w:hAnsi="Times New Roman"/>
          <w:color w:val="000000"/>
          <w:sz w:val="22"/>
        </w:rPr>
        <w:t> </w:t>
      </w:r>
      <w:r>
        <w:rPr>
          <w:rFonts w:ascii="Times New Roman" w:hAnsi="Times New Roman"/>
          <w:color w:val="000000"/>
          <w:sz w:val="23"/>
        </w:rPr>
        <w:t>York 10003, which is more specifically described in the Mortgage (the “</w:t>
      </w:r>
      <w:r>
        <w:rPr>
          <w:rFonts w:ascii="Times New Roman" w:hAnsi="Times New Roman"/>
          <w:b/>
          <w:color w:val="000000"/>
          <w:sz w:val="23"/>
        </w:rPr>
        <w:t>Property</w:t>
      </w:r>
      <w:r>
        <w:rPr>
          <w:rFonts w:ascii="Times New Roman" w:hAnsi="Times New Roman"/>
          <w:color w:val="000000"/>
          <w:sz w:val="22"/>
        </w:rPr>
        <w:t>”</w:t>
      </w:r>
      <w:r>
        <w:rPr>
          <w:rFonts w:ascii="Times New Roman" w:hAnsi="Times New Roman"/>
          <w:color w:val="000000"/>
          <w:sz w:val="23"/>
        </w:rPr>
        <w:t>), and an Assignment of Leases and Rents, and Building Loan Assignment of Leases and Rents (collectively, the “</w:t>
      </w:r>
      <w:r>
        <w:rPr>
          <w:rFonts w:ascii="Times New Roman" w:hAnsi="Times New Roman"/>
          <w:b/>
          <w:color w:val="000000"/>
          <w:sz w:val="23"/>
        </w:rPr>
        <w:t>Assignment of Rents</w:t>
      </w:r>
      <w:r>
        <w:rPr>
          <w:rFonts w:ascii="Times New Roman" w:hAnsi="Times New Roman"/>
          <w:color w:val="000000"/>
          <w:sz w:val="22"/>
        </w:rPr>
        <w:t>”</w:t>
      </w:r>
      <w:r>
        <w:rPr>
          <w:rFonts w:ascii="Times New Roman" w:hAnsi="Times New Roman"/>
          <w:color w:val="000000"/>
          <w:sz w:val="23"/>
        </w:rPr>
        <w:t>).</w:t>
      </w:r>
      <w:r>
        <w:rPr>
          <w:rFonts w:ascii="Times New Roman" w:hAnsi="Times New Roman"/>
          <w:sz w:val="22"/>
        </w:rPr>
        <w:t xml:space="preserve"> </w:t>
      </w:r>
    </w:p>
    <w:tbl>
      <w:tblPr>
        <w:tblW w:w="11469" w:type="dxa"/>
        <w:jc w:val="left"/>
        <w:tblInd w:w="1080" w:type="dxa"/>
        <w:tblLayout w:type="fixed"/>
        <w:tblCellMar>
          <w:top w:w="0" w:type="dxa"/>
          <w:left w:w="0" w:type="dxa"/>
          <w:bottom w:w="0" w:type="dxa"/>
          <w:right w:w="0" w:type="dxa"/>
        </w:tblCellMar>
      </w:tblPr>
      <w:tblGrid>
        <w:gridCol w:w="735"/>
        <w:gridCol w:w="10734"/>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734" w:type="dxa"/>
            <w:tcBorders/>
          </w:tcPr>
          <w:p>
            <w:pPr>
              <w:pStyle w:val="TableContents"/>
              <w:pBdr/>
              <w:bidi w:val="0"/>
              <w:spacing w:lineRule="auto" w:line="247" w:before="226" w:after="0"/>
              <w:ind w:left="0" w:right="694" w:firstLine="720"/>
              <w:jc w:val="both"/>
              <w:rPr>
                <w:rFonts w:ascii="Times New Roman" w:hAnsi="Times New Roman"/>
                <w:sz w:val="22"/>
              </w:rPr>
            </w:pPr>
            <w:r>
              <w:rPr>
                <w:rFonts w:ascii="Times New Roman" w:hAnsi="Times New Roman"/>
                <w:b w:val="false"/>
                <w:i w:val="false"/>
                <w:caps w:val="false"/>
                <w:smallCaps w:val="false"/>
                <w:sz w:val="24"/>
              </w:rPr>
              <w:t>D.</w:t>
            </w:r>
            <w:r>
              <w:rPr>
                <w:rFonts w:ascii="Times New Roman" w:hAnsi="Times New Roman"/>
                <w:sz w:val="22"/>
              </w:rPr>
              <w:t xml:space="preserve"> </w:t>
            </w:r>
            <w:r>
              <w:rPr>
                <w:rFonts w:ascii="Times New Roman" w:hAnsi="Times New Roman"/>
                <w:color w:val="000000"/>
                <w:sz w:val="23"/>
              </w:rPr>
              <w:t>The Loan Agreement, Note, Mortgage, Assignment of Rents, and the other instruments,</w:t>
            </w:r>
            <w:r>
              <w:rPr>
                <w:rFonts w:ascii="Times New Roman" w:hAnsi="Times New Roman"/>
                <w:color w:val="000000"/>
                <w:sz w:val="22"/>
              </w:rPr>
              <w:t> </w:t>
            </w:r>
            <w:r>
              <w:rPr>
                <w:rFonts w:ascii="Times New Roman" w:hAnsi="Times New Roman"/>
                <w:color w:val="000000"/>
                <w:sz w:val="23"/>
              </w:rPr>
              <w:t>documents</w:t>
            </w:r>
            <w:r>
              <w:rPr>
                <w:rFonts w:ascii="Times New Roman" w:hAnsi="Times New Roman"/>
                <w:color w:val="000000"/>
                <w:sz w:val="22"/>
              </w:rPr>
              <w:t> </w:t>
            </w:r>
            <w:r>
              <w:rPr>
                <w:rFonts w:ascii="Times New Roman" w:hAnsi="Times New Roman"/>
                <w:color w:val="000000"/>
                <w:sz w:val="23"/>
              </w:rPr>
              <w:t>and</w:t>
            </w:r>
            <w:r>
              <w:rPr>
                <w:rFonts w:ascii="Times New Roman" w:hAnsi="Times New Roman"/>
                <w:color w:val="000000"/>
                <w:sz w:val="22"/>
              </w:rPr>
              <w:t> </w:t>
            </w:r>
            <w:r>
              <w:rPr>
                <w:rFonts w:ascii="Times New Roman" w:hAnsi="Times New Roman"/>
                <w:color w:val="000000"/>
                <w:sz w:val="23"/>
              </w:rPr>
              <w:t>agreements</w:t>
            </w:r>
            <w:r>
              <w:rPr>
                <w:rFonts w:ascii="Times New Roman" w:hAnsi="Times New Roman"/>
                <w:color w:val="000000"/>
                <w:sz w:val="22"/>
              </w:rPr>
              <w:t> </w:t>
            </w:r>
            <w:r>
              <w:rPr>
                <w:rFonts w:ascii="Times New Roman" w:hAnsi="Times New Roman"/>
                <w:color w:val="000000"/>
                <w:sz w:val="23"/>
              </w:rPr>
              <w:t>that</w:t>
            </w:r>
            <w:r>
              <w:rPr>
                <w:rFonts w:ascii="Times New Roman" w:hAnsi="Times New Roman"/>
                <w:color w:val="000000"/>
                <w:sz w:val="22"/>
              </w:rPr>
              <w:t> </w:t>
            </w:r>
            <w:r>
              <w:rPr>
                <w:rFonts w:ascii="Times New Roman" w:hAnsi="Times New Roman"/>
                <w:color w:val="000000"/>
                <w:sz w:val="23"/>
              </w:rPr>
              <w:t>evidence</w:t>
            </w:r>
            <w:r>
              <w:rPr>
                <w:rFonts w:ascii="Times New Roman" w:hAnsi="Times New Roman"/>
                <w:color w:val="000000"/>
                <w:sz w:val="22"/>
              </w:rPr>
              <w:t> </w:t>
            </w:r>
            <w:r>
              <w:rPr>
                <w:rFonts w:ascii="Times New Roman" w:hAnsi="Times New Roman"/>
                <w:color w:val="000000"/>
                <w:sz w:val="23"/>
              </w:rPr>
              <w:t>and</w:t>
            </w:r>
            <w:r>
              <w:rPr>
                <w:rFonts w:ascii="Times New Roman" w:hAnsi="Times New Roman"/>
                <w:color w:val="000000"/>
                <w:sz w:val="22"/>
              </w:rPr>
              <w:t> </w:t>
            </w:r>
            <w:r>
              <w:rPr>
                <w:rFonts w:ascii="Times New Roman" w:hAnsi="Times New Roman"/>
                <w:color w:val="000000"/>
                <w:sz w:val="23"/>
              </w:rPr>
              <w:t>secure</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Loan</w:t>
            </w:r>
            <w:r>
              <w:rPr>
                <w:rFonts w:ascii="Times New Roman" w:hAnsi="Times New Roman"/>
                <w:color w:val="000000"/>
                <w:sz w:val="22"/>
              </w:rPr>
              <w:t> </w:t>
            </w:r>
            <w:r>
              <w:rPr>
                <w:rFonts w:ascii="Times New Roman" w:hAnsi="Times New Roman"/>
                <w:color w:val="000000"/>
                <w:sz w:val="23"/>
              </w:rPr>
              <w:t>are</w:t>
            </w:r>
            <w:r>
              <w:rPr>
                <w:rFonts w:ascii="Times New Roman" w:hAnsi="Times New Roman"/>
                <w:color w:val="000000"/>
                <w:sz w:val="22"/>
              </w:rPr>
              <w:t> </w:t>
            </w:r>
            <w:r>
              <w:rPr>
                <w:rFonts w:ascii="Times New Roman" w:hAnsi="Times New Roman"/>
                <w:color w:val="000000"/>
                <w:sz w:val="23"/>
              </w:rPr>
              <w:t>collectively</w:t>
            </w:r>
            <w:r>
              <w:rPr>
                <w:rFonts w:ascii="Times New Roman" w:hAnsi="Times New Roman"/>
                <w:color w:val="000000"/>
                <w:sz w:val="22"/>
              </w:rPr>
              <w:t> </w:t>
            </w:r>
            <w:r>
              <w:rPr>
                <w:rFonts w:ascii="Times New Roman" w:hAnsi="Times New Roman"/>
                <w:color w:val="000000"/>
                <w:sz w:val="23"/>
              </w:rPr>
              <w:t>referred to as the “</w:t>
            </w:r>
            <w:r>
              <w:rPr>
                <w:rFonts w:ascii="Times New Roman" w:hAnsi="Times New Roman"/>
                <w:b/>
                <w:color w:val="000000"/>
                <w:sz w:val="23"/>
              </w:rPr>
              <w:t>Loan Documents</w:t>
            </w:r>
            <w:r>
              <w:rPr>
                <w:rFonts w:ascii="Times New Roman" w:hAnsi="Times New Roman"/>
                <w:color w:val="000000"/>
                <w:sz w:val="22"/>
              </w:rPr>
              <w:t>”</w:t>
            </w:r>
            <w:r>
              <w:rPr>
                <w:rFonts w:ascii="Times New Roman" w:hAnsi="Times New Roman"/>
                <w:color w:val="000000"/>
                <w:sz w:val="23"/>
              </w:rPr>
              <w:t>.</w:t>
            </w:r>
          </w:p>
        </w:tc>
      </w:tr>
    </w:tbl>
    <w:tbl>
      <w:tblPr>
        <w:tblW w:w="6834" w:type="dxa"/>
        <w:jc w:val="left"/>
        <w:tblInd w:w="1080" w:type="dxa"/>
        <w:tblLayout w:type="fixed"/>
        <w:tblCellMar>
          <w:top w:w="0" w:type="dxa"/>
          <w:left w:w="0" w:type="dxa"/>
          <w:bottom w:w="0" w:type="dxa"/>
          <w:right w:w="0" w:type="dxa"/>
        </w:tblCellMar>
      </w:tblPr>
      <w:tblGrid>
        <w:gridCol w:w="735"/>
        <w:gridCol w:w="6099"/>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099" w:type="dxa"/>
            <w:tcBorders/>
          </w:tcPr>
          <w:p>
            <w:pPr>
              <w:pStyle w:val="TableContents"/>
              <w:pBdr/>
              <w:bidi w:val="0"/>
              <w:spacing w:lineRule="auto" w:line="247" w:before="226" w:after="0"/>
              <w:ind w:left="0" w:right="694" w:firstLine="720"/>
              <w:jc w:val="both"/>
              <w:rPr>
                <w:rFonts w:ascii="Times New Roman" w:hAnsi="Times New Roman"/>
                <w:sz w:val="22"/>
              </w:rPr>
            </w:pPr>
            <w:r>
              <w:rPr>
                <w:rFonts w:ascii="Times New Roman" w:hAnsi="Times New Roman"/>
                <w:b w:val="false"/>
                <w:i w:val="false"/>
                <w:caps w:val="false"/>
                <w:smallCaps w:val="false"/>
                <w:sz w:val="24"/>
              </w:rPr>
              <w:t>E.</w:t>
            </w:r>
            <w:r>
              <w:rPr>
                <w:rFonts w:ascii="Times New Roman" w:hAnsi="Times New Roman"/>
                <w:sz w:val="22"/>
              </w:rPr>
              <w:t xml:space="preserve"> </w:t>
            </w:r>
            <w:r>
              <w:rPr>
                <w:rFonts w:ascii="Times New Roman" w:hAnsi="Times New Roman"/>
                <w:color w:val="000000"/>
                <w:sz w:val="23"/>
              </w:rPr>
              <w:t>The Maturity Date of the Loan is May 6, 2025.</w:t>
            </w:r>
          </w:p>
        </w:tc>
      </w:tr>
    </w:tbl>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pBdr/>
              <w:bidi w:val="0"/>
              <w:spacing w:lineRule="auto" w:line="244" w:before="247" w:after="0"/>
              <w:ind w:left="0" w:right="694" w:firstLine="720"/>
              <w:jc w:val="both"/>
              <w:rPr>
                <w:rFonts w:ascii="Times New Roman" w:hAnsi="Times New Roman"/>
                <w:sz w:val="22"/>
              </w:rPr>
            </w:pPr>
            <w:r>
              <w:rPr>
                <w:rFonts w:ascii="Times New Roman" w:hAnsi="Times New Roman"/>
                <w:b w:val="false"/>
                <w:i w:val="false"/>
                <w:caps w:val="false"/>
                <w:smallCaps w:val="false"/>
                <w:sz w:val="24"/>
              </w:rPr>
              <w:t>F.</w:t>
            </w:r>
            <w:r>
              <w:rPr>
                <w:rFonts w:ascii="Times New Roman" w:hAnsi="Times New Roman"/>
                <w:sz w:val="22"/>
              </w:rPr>
              <w:t xml:space="preserve"> </w:t>
            </w:r>
            <w:r>
              <w:rPr>
                <w:rFonts w:ascii="Times New Roman" w:hAnsi="Times New Roman"/>
                <w:color w:val="000000"/>
                <w:sz w:val="23"/>
              </w:rPr>
              <w:t>Subject to terms and conditions set forth herein,</w:t>
            </w:r>
            <w:r>
              <w:rPr>
                <w:rFonts w:ascii="Times New Roman" w:hAnsi="Times New Roman"/>
                <w:color w:val="000000"/>
                <w:sz w:val="22"/>
              </w:rPr>
              <w:t> </w:t>
            </w:r>
            <w:r>
              <w:rPr>
                <w:rFonts w:ascii="Times New Roman" w:hAnsi="Times New Roman"/>
                <w:color w:val="000000"/>
                <w:sz w:val="23"/>
              </w:rPr>
              <w:t>Administrative</w:t>
            </w:r>
            <w:r>
              <w:rPr>
                <w:rFonts w:ascii="Times New Roman" w:hAnsi="Times New Roman"/>
                <w:color w:val="000000"/>
                <w:sz w:val="22"/>
              </w:rPr>
              <w:t> </w:t>
            </w:r>
            <w:r>
              <w:rPr>
                <w:rFonts w:ascii="Times New Roman" w:hAnsi="Times New Roman"/>
                <w:color w:val="000000"/>
                <w:sz w:val="23"/>
              </w:rPr>
              <w:t>Agent and Lender agree to extend the term of the Loan for a period of eighteen months to November 6, 2026</w:t>
            </w:r>
          </w:p>
        </w:tc>
      </w:tr>
    </w:tbl>
    <w:p>
      <w:pPr>
        <w:pStyle w:val="TextBody"/>
        <w:bidi w:val="0"/>
        <w:spacing w:before="9" w:after="0"/>
        <w:ind w:left="1439" w:right="1080" w:hanging="0"/>
        <w:jc w:val="both"/>
        <w:rPr>
          <w:rFonts w:ascii="Times New Roman" w:hAnsi="Times New Roman"/>
          <w:sz w:val="24"/>
        </w:rPr>
      </w:pPr>
      <w:r>
        <w:rPr>
          <w:rFonts w:ascii="Times New Roman" w:hAnsi="Times New Roman"/>
          <w:color w:val="000000"/>
          <w:sz w:val="24"/>
        </w:rPr>
        <w:t>(the “</w:t>
      </w:r>
      <w:r>
        <w:rPr>
          <w:rFonts w:ascii="Times New Roman" w:hAnsi="Times New Roman"/>
          <w:b/>
          <w:color w:val="000000"/>
          <w:sz w:val="24"/>
        </w:rPr>
        <w:t>Extension”</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ind w:left="1080" w:right="1080" w:hanging="0"/>
        <w:jc w:val="both"/>
        <w:rPr/>
      </w:pPr>
      <w:r>
        <w:rPr/>
        <w:t xml:space="preserve">  </w:t>
      </w:r>
    </w:p>
    <w:p>
      <w:pPr>
        <w:pStyle w:val="TextBody"/>
        <w:bidi w:val="0"/>
        <w:spacing w:before="0" w:after="0"/>
        <w:ind w:left="1080" w:right="1080" w:hanging="0"/>
        <w:jc w:val="center"/>
        <w:rPr>
          <w:rFonts w:ascii="Times New Roman" w:hAnsi="Times New Roman"/>
          <w:sz w:val="22"/>
        </w:rPr>
      </w:pPr>
      <w:r>
        <w:rPr>
          <w:rFonts w:ascii="Times New Roman" w:hAnsi="Times New Roman"/>
          <w:sz w:val="22"/>
        </w:rPr>
        <w:t xml:space="preserve">1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lineRule="auto" w:line="247" w:before="71" w:after="0"/>
        <w:ind w:left="1425" w:right="1428" w:firstLine="720"/>
        <w:jc w:val="both"/>
        <w:rPr>
          <w:rFonts w:ascii="Times New Roman" w:hAnsi="Times New Roman"/>
          <w:sz w:val="24"/>
        </w:rPr>
      </w:pPr>
      <w:r>
        <w:rPr>
          <w:rFonts w:ascii="Times New Roman" w:hAnsi="Times New Roman"/>
          <w:sz w:val="24"/>
        </w:rPr>
        <w:t xml:space="preserve">NOW, THEREFORE, in consideration of the foregoing and for other good and valuable consideration the receipt and sufficiency of which are hereby acknowledged, Borrower and Lender hereby covenant and agree as follows: </w:t>
      </w:r>
    </w:p>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bidi w:val="0"/>
              <w:spacing w:lineRule="auto" w:line="247" w:before="3" w:after="0"/>
              <w:ind w:left="0" w:right="692" w:firstLine="720"/>
              <w:jc w:val="both"/>
              <w:rPr>
                <w:rFonts w:ascii="Times New Roman" w:hAnsi="Times New Roman"/>
                <w:sz w:val="24"/>
              </w:rPr>
            </w:pPr>
            <w:r>
              <w:rPr>
                <w:rFonts w:ascii="Times New Roman" w:hAnsi="Times New Roman"/>
                <w:b w:val="false"/>
                <w:i w:val="false"/>
                <w:caps w:val="false"/>
                <w:smallCaps w:val="false"/>
                <w:sz w:val="24"/>
              </w:rPr>
              <w:t>1.</w:t>
            </w:r>
            <w:r>
              <w:rPr>
                <w:rFonts w:ascii="Times New Roman" w:hAnsi="Times New Roman"/>
                <w:sz w:val="24"/>
              </w:rPr>
              <w:t xml:space="preserve"> </w:t>
            </w:r>
            <w:r>
              <w:rPr>
                <w:rFonts w:ascii="Times New Roman" w:hAnsi="Times New Roman"/>
                <w:color w:val="000000"/>
                <w:sz w:val="24"/>
                <w:u w:val="single"/>
              </w:rPr>
              <w:t>Incorporation</w:t>
            </w:r>
            <w:r>
              <w:rPr>
                <w:rFonts w:ascii="Times New Roman" w:hAnsi="Times New Roman"/>
                <w:color w:val="000000"/>
                <w:sz w:val="24"/>
              </w:rPr>
              <w:t>. The Recitals set forth at the beginning of this Agreement are hereby incorporated in and made a part of this Agreement by this reference.</w:t>
            </w:r>
          </w:p>
        </w:tc>
      </w:tr>
    </w:tbl>
    <w:p>
      <w:pPr>
        <w:pStyle w:val="TextBody"/>
        <w:bidi w:val="0"/>
        <w:spacing w:before="26"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0601" w:type="dxa"/>
        <w:jc w:val="left"/>
        <w:tblInd w:w="1080" w:type="dxa"/>
        <w:tblLayout w:type="fixed"/>
        <w:tblCellMar>
          <w:top w:w="0" w:type="dxa"/>
          <w:left w:w="0" w:type="dxa"/>
          <w:bottom w:w="0" w:type="dxa"/>
          <w:right w:w="0" w:type="dxa"/>
        </w:tblCellMar>
      </w:tblPr>
      <w:tblGrid>
        <w:gridCol w:w="735"/>
        <w:gridCol w:w="9866"/>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9866" w:type="dxa"/>
            <w:tcBorders/>
          </w:tcPr>
          <w:p>
            <w:pPr>
              <w:pStyle w:val="TableContents"/>
              <w:bidi w:val="0"/>
              <w:spacing w:lineRule="auto" w:line="244" w:before="0" w:after="0"/>
              <w:ind w:left="0" w:right="696" w:firstLine="720"/>
              <w:jc w:val="both"/>
              <w:rPr>
                <w:rFonts w:ascii="Times New Roman" w:hAnsi="Times New Roman"/>
                <w:sz w:val="24"/>
              </w:rPr>
            </w:pPr>
            <w:r>
              <w:rPr>
                <w:rFonts w:ascii="Times New Roman" w:hAnsi="Times New Roman"/>
                <w:b w:val="false"/>
                <w:i w:val="false"/>
                <w:caps w:val="false"/>
                <w:smallCaps w:val="false"/>
                <w:sz w:val="24"/>
              </w:rPr>
              <w:t>2.</w:t>
            </w:r>
            <w:r>
              <w:rPr>
                <w:rFonts w:ascii="Times New Roman" w:hAnsi="Times New Roman"/>
                <w:sz w:val="24"/>
              </w:rPr>
              <w:t xml:space="preserve"> </w:t>
            </w:r>
            <w:r>
              <w:rPr>
                <w:rFonts w:ascii="Times New Roman" w:hAnsi="Times New Roman"/>
                <w:color w:val="000000"/>
                <w:sz w:val="24"/>
                <w:u w:val="single"/>
              </w:rPr>
              <w:t>Acknowledgment of Outstanding Principal Balance; Funds</w:t>
            </w:r>
            <w:r>
              <w:rPr>
                <w:rFonts w:ascii="Times New Roman" w:hAnsi="Times New Roman"/>
                <w:color w:val="000000"/>
                <w:sz w:val="24"/>
              </w:rPr>
              <w:t>. Borrower and Lender agree that as of April 30, 2025, (i) the outstanding principal balance of the Senior Loan is</w:t>
            </w:r>
          </w:p>
        </w:tc>
      </w:tr>
    </w:tbl>
    <w:p>
      <w:pPr>
        <w:pStyle w:val="TextBody"/>
        <w:bidi w:val="0"/>
        <w:spacing w:lineRule="auto" w:line="247" w:before="4" w:after="0"/>
        <w:ind w:left="1425" w:right="1428" w:hanging="0"/>
        <w:jc w:val="both"/>
        <w:rPr>
          <w:rFonts w:ascii="Times New Roman" w:hAnsi="Times New Roman"/>
          <w:sz w:val="24"/>
        </w:rPr>
      </w:pPr>
      <w:r>
        <w:rPr>
          <w:rFonts w:ascii="Times New Roman" w:hAnsi="Times New Roman"/>
          <w:color w:val="000000"/>
          <w:sz w:val="24"/>
        </w:rPr>
        <w:t>$43,000,000.00, (ii) the outstanding principal balance of the Junior Loan is $4,140,910.80, (iii) the remaining balance of the Senior Loan Interest Reserve Funds is $291,524.48, (iv) the remaining balance of the Junior Loan Interest Reserve Funds is $55,864.34, and (v) the remaining balance of the Tax Reserve Funds is $0.00.</w:t>
      </w:r>
      <w:r>
        <w:rPr>
          <w:rFonts w:ascii="Times New Roman" w:hAnsi="Times New Roman"/>
          <w:sz w:val="24"/>
        </w:rPr>
        <w:t xml:space="preserve"> </w:t>
      </w:r>
    </w:p>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bidi w:val="0"/>
              <w:spacing w:lineRule="auto" w:line="247" w:before="266" w:after="0"/>
              <w:ind w:left="0" w:right="694" w:firstLine="720"/>
              <w:jc w:val="both"/>
              <w:rPr>
                <w:rFonts w:ascii="Times New Roman" w:hAnsi="Times New Roman"/>
                <w:sz w:val="24"/>
              </w:rPr>
            </w:pPr>
            <w:r>
              <w:rPr>
                <w:rFonts w:ascii="Times New Roman" w:hAnsi="Times New Roman"/>
                <w:b w:val="false"/>
                <w:i w:val="false"/>
                <w:caps w:val="false"/>
                <w:smallCaps w:val="false"/>
                <w:sz w:val="24"/>
              </w:rPr>
              <w:t>3.</w:t>
            </w:r>
            <w:r>
              <w:rPr>
                <w:rFonts w:ascii="Times New Roman" w:hAnsi="Times New Roman"/>
                <w:sz w:val="24"/>
              </w:rPr>
              <w:t xml:space="preserve"> </w:t>
            </w:r>
            <w:r>
              <w:rPr>
                <w:rFonts w:ascii="Times New Roman" w:hAnsi="Times New Roman"/>
                <w:color w:val="000000"/>
                <w:sz w:val="24"/>
                <w:u w:val="single"/>
              </w:rPr>
              <w:t>Conditions Precedent</w:t>
            </w:r>
            <w:r>
              <w:rPr>
                <w:rFonts w:ascii="Times New Roman" w:hAnsi="Times New Roman"/>
                <w:color w:val="000000"/>
                <w:sz w:val="24"/>
              </w:rPr>
              <w:t>. This Agreement shall become effective on the date the following conditions are satisfied (the satisfaction of which shall, solely for purposes of the effectiveness of this Agreement, be evidenced by Administrative Agent's execution of this Agreement):</w:t>
            </w:r>
          </w:p>
        </w:tc>
      </w:tr>
    </w:tbl>
    <w:p>
      <w:pPr>
        <w:pStyle w:val="TextBody"/>
        <w:bidi w:val="0"/>
        <w:spacing w:before="23"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8045" w:type="dxa"/>
        <w:jc w:val="left"/>
        <w:tblInd w:w="1080" w:type="dxa"/>
        <w:tblLayout w:type="fixed"/>
        <w:tblCellMar>
          <w:top w:w="0" w:type="dxa"/>
          <w:left w:w="0" w:type="dxa"/>
          <w:bottom w:w="0" w:type="dxa"/>
          <w:right w:w="0" w:type="dxa"/>
        </w:tblCellMar>
      </w:tblPr>
      <w:tblGrid>
        <w:gridCol w:w="38"/>
        <w:gridCol w:w="321"/>
        <w:gridCol w:w="23"/>
        <w:gridCol w:w="7663"/>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tcPr>
          <w:p>
            <w:pPr>
              <w:pStyle w:val="TableContents"/>
              <w:bidi w:val="0"/>
              <w:spacing w:before="1" w:after="0"/>
              <w:ind w:left="0" w:right="0" w:hanging="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3" w:type="dxa"/>
            <w:tcBorders/>
          </w:tcPr>
          <w:p>
            <w:pPr>
              <w:pStyle w:val="TableContents"/>
              <w:bidi w:val="0"/>
              <w:spacing w:before="1" w:after="0"/>
              <w:ind w:left="0" w:right="0" w:hanging="0"/>
              <w:jc w:val="both"/>
              <w:rPr>
                <w:rFonts w:ascii="Times New Roman" w:hAnsi="Times New Roman"/>
                <w:color w:val="000000"/>
                <w:sz w:val="24"/>
              </w:rPr>
            </w:pPr>
            <w:r>
              <w:rPr>
                <w:rFonts w:ascii="Times New Roman" w:hAnsi="Times New Roman"/>
                <w:color w:val="000000"/>
                <w:sz w:val="24"/>
              </w:rPr>
              <w:t>Borrower shall have executed and delivered this Agreement to Administrative Agent.</w:t>
            </w:r>
          </w:p>
        </w:tc>
      </w:tr>
    </w:tbl>
    <w:p>
      <w:pPr>
        <w:pStyle w:val="TextBody"/>
        <w:bidi w:val="0"/>
        <w:spacing w:before="37"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1394" w:type="dxa"/>
        <w:jc w:val="left"/>
        <w:tblInd w:w="1080" w:type="dxa"/>
        <w:tblLayout w:type="fixed"/>
        <w:tblCellMar>
          <w:top w:w="0" w:type="dxa"/>
          <w:left w:w="0" w:type="dxa"/>
          <w:bottom w:w="0" w:type="dxa"/>
          <w:right w:w="0" w:type="dxa"/>
        </w:tblCellMar>
      </w:tblPr>
      <w:tblGrid>
        <w:gridCol w:w="735"/>
        <w:gridCol w:w="10659"/>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659" w:type="dxa"/>
            <w:tcBorders/>
          </w:tcPr>
          <w:p>
            <w:pPr>
              <w:pStyle w:val="TableContents"/>
              <w:bidi w:val="0"/>
              <w:spacing w:lineRule="auto" w:line="247" w:before="0" w:after="0"/>
              <w:ind w:left="0" w:right="694" w:firstLine="720"/>
              <w:jc w:val="both"/>
              <w:rPr>
                <w:rFonts w:ascii="Times New Roman" w:hAnsi="Times New Roman"/>
                <w:sz w:val="24"/>
              </w:rPr>
            </w:pPr>
            <w:r>
              <w:rPr>
                <w:rFonts w:ascii="Times New Roman" w:hAnsi="Times New Roman"/>
                <w:b w:val="false"/>
                <w:i w:val="false"/>
                <w:caps w:val="false"/>
                <w:smallCaps w:val="false"/>
                <w:sz w:val="24"/>
              </w:rPr>
              <w:t>(b)</w:t>
            </w:r>
            <w:r>
              <w:rPr>
                <w:rFonts w:ascii="Times New Roman" w:hAnsi="Times New Roman"/>
                <w:sz w:val="24"/>
              </w:rPr>
              <w:t xml:space="preserve"> </w:t>
            </w:r>
            <w:r>
              <w:rPr>
                <w:rFonts w:ascii="Times New Roman" w:hAnsi="Times New Roman"/>
                <w:color w:val="000000"/>
                <w:sz w:val="24"/>
              </w:rPr>
              <w:t>Borrower shall have taken, or caused to be taken such other actions and executed and delivered such other documentation as may be reasonably requested by Administrative Agent or its counsel in order to give effect to this Agreement, and to perform, preserve and protect the continued priority and effectiveness of the Loan Documents, as hereby amended.</w:t>
            </w:r>
          </w:p>
        </w:tc>
      </w:tr>
    </w:tbl>
    <w:p>
      <w:pPr>
        <w:pStyle w:val="TextBody"/>
        <w:bidi w:val="0"/>
        <w:spacing w:before="24"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pBdr/>
              <w:bidi w:val="0"/>
              <w:spacing w:lineRule="auto" w:line="247" w:before="0" w:after="0"/>
              <w:ind w:left="0" w:right="696" w:firstLine="720"/>
              <w:jc w:val="both"/>
              <w:rPr>
                <w:rFonts w:ascii="Times New Roman" w:hAnsi="Times New Roman"/>
                <w:sz w:val="24"/>
              </w:rPr>
            </w:pPr>
            <w:r>
              <w:rPr>
                <w:rFonts w:ascii="Times New Roman" w:hAnsi="Times New Roman"/>
                <w:b w:val="false"/>
                <w:i w:val="false"/>
                <w:caps w:val="false"/>
                <w:smallCaps w:val="false"/>
                <w:sz w:val="24"/>
              </w:rPr>
              <w:t>(c)</w:t>
            </w:r>
            <w:r>
              <w:rPr>
                <w:rFonts w:ascii="Times New Roman" w:hAnsi="Times New Roman"/>
                <w:sz w:val="24"/>
              </w:rPr>
              <w:t xml:space="preserve"> </w:t>
            </w:r>
            <w:r>
              <w:rPr>
                <w:rFonts w:ascii="Times New Roman" w:hAnsi="Times New Roman"/>
                <w:color w:val="000000"/>
                <w:sz w:val="24"/>
              </w:rPr>
              <w:t>Borrower shall have delivered to Administrative Agent a bring down of title for the Property showing that there have been no liens or encumbrances against the Property from and after the Closing Date, unless consented to in writing by Administrative Agent.</w:t>
            </w:r>
          </w:p>
        </w:tc>
      </w:tr>
    </w:tbl>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pBdr/>
              <w:bidi w:val="0"/>
              <w:spacing w:lineRule="auto" w:line="247" w:before="266" w:after="0"/>
              <w:ind w:left="0" w:right="694" w:firstLine="720"/>
              <w:jc w:val="both"/>
              <w:rPr>
                <w:rFonts w:ascii="Times New Roman" w:hAnsi="Times New Roman"/>
                <w:sz w:val="24"/>
              </w:rPr>
            </w:pPr>
            <w:r>
              <w:rPr>
                <w:rFonts w:ascii="Times New Roman" w:hAnsi="Times New Roman"/>
                <w:b w:val="false"/>
                <w:i w:val="false"/>
                <w:caps w:val="false"/>
                <w:smallCaps w:val="false"/>
                <w:sz w:val="24"/>
              </w:rPr>
              <w:t>(d)</w:t>
            </w:r>
            <w:r>
              <w:rPr>
                <w:rFonts w:ascii="Times New Roman" w:hAnsi="Times New Roman"/>
                <w:sz w:val="24"/>
              </w:rPr>
              <w:t xml:space="preserve"> </w:t>
            </w:r>
            <w:r>
              <w:rPr>
                <w:rFonts w:ascii="Times New Roman" w:hAnsi="Times New Roman"/>
                <w:color w:val="000000"/>
                <w:sz w:val="24"/>
              </w:rPr>
              <w:t>Borrower shall submit to Administrative Agent evidence satisfactory to Lender that the Policies (as defined in the Loan Agreement) are still in full force and effect and all Insurance Premiums (as defined in the Loan Agreement) have been paid in full, so that the coverage of the Policies will extend beyond the Maturity Date.</w:t>
            </w:r>
          </w:p>
        </w:tc>
      </w:tr>
    </w:tbl>
    <w:p>
      <w:pPr>
        <w:pStyle w:val="TextBody"/>
        <w:bidi w:val="0"/>
        <w:spacing w:before="109"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1574" w:type="dxa"/>
        <w:jc w:val="left"/>
        <w:tblInd w:w="1080" w:type="dxa"/>
        <w:tblLayout w:type="fixed"/>
        <w:tblCellMar>
          <w:top w:w="0" w:type="dxa"/>
          <w:left w:w="0" w:type="dxa"/>
          <w:bottom w:w="0" w:type="dxa"/>
          <w:right w:w="0" w:type="dxa"/>
        </w:tblCellMar>
      </w:tblPr>
      <w:tblGrid>
        <w:gridCol w:w="735"/>
        <w:gridCol w:w="10839"/>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839" w:type="dxa"/>
            <w:tcBorders/>
          </w:tcPr>
          <w:p>
            <w:pPr>
              <w:pStyle w:val="TableContents"/>
              <w:bidi w:val="0"/>
              <w:spacing w:lineRule="auto" w:line="247" w:before="0" w:after="0"/>
              <w:ind w:left="0" w:right="694" w:firstLine="720"/>
              <w:jc w:val="both"/>
              <w:rPr>
                <w:rFonts w:ascii="Times New Roman" w:hAnsi="Times New Roman"/>
                <w:sz w:val="24"/>
              </w:rPr>
            </w:pPr>
            <w:r>
              <w:rPr>
                <w:rFonts w:ascii="Times New Roman" w:hAnsi="Times New Roman"/>
                <w:b w:val="false"/>
                <w:i w:val="false"/>
                <w:caps w:val="false"/>
                <w:smallCaps w:val="false"/>
                <w:sz w:val="24"/>
              </w:rPr>
              <w:t>(e)</w:t>
            </w:r>
            <w:r>
              <w:rPr>
                <w:rFonts w:ascii="Times New Roman" w:hAnsi="Times New Roman"/>
                <w:sz w:val="24"/>
              </w:rPr>
              <w:t xml:space="preserve"> </w:t>
            </w:r>
            <w:r>
              <w:rPr>
                <w:rFonts w:ascii="Times New Roman" w:hAnsi="Times New Roman"/>
                <w:color w:val="000000"/>
                <w:sz w:val="24"/>
              </w:rPr>
              <w:t>Borrower shall have paid to Administrative Agent’s counsel reasonable legal fees incurred in connection with this Agreement. Borrower agrees to pay to Administrative Agent’s counsel reasonable legal fees related to the review of the Downtown Magic Association, LLC lease as incurred.</w:t>
            </w:r>
          </w:p>
        </w:tc>
      </w:tr>
    </w:tbl>
    <w:p>
      <w:pPr>
        <w:pStyle w:val="TextBody"/>
        <w:bidi w:val="0"/>
        <w:spacing w:before="25"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5981" w:type="dxa"/>
        <w:jc w:val="left"/>
        <w:tblInd w:w="1080" w:type="dxa"/>
        <w:tblLayout w:type="fixed"/>
        <w:tblCellMar>
          <w:top w:w="0" w:type="dxa"/>
          <w:left w:w="0" w:type="dxa"/>
          <w:bottom w:w="0" w:type="dxa"/>
          <w:right w:w="0" w:type="dxa"/>
        </w:tblCellMar>
      </w:tblPr>
      <w:tblGrid>
        <w:gridCol w:w="38"/>
        <w:gridCol w:w="260"/>
        <w:gridCol w:w="23"/>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b w:val="false"/>
                <w:i w:val="false"/>
                <w:caps w:val="false"/>
                <w:smallCaps w:val="false"/>
                <w:sz w:val="24"/>
              </w:rPr>
              <w:t>4.</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6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color w:val="000000"/>
                <w:sz w:val="24"/>
                <w:u w:val="single"/>
              </w:rPr>
              <w:t>Modification to the Loan Agreement and Loan Documents</w:t>
            </w:r>
            <w:r>
              <w:rPr>
                <w:rFonts w:ascii="Times New Roman" w:hAnsi="Times New Roman"/>
                <w:color w:val="000000"/>
                <w:sz w:val="24"/>
              </w:rPr>
              <w:t>.</w:t>
            </w:r>
          </w:p>
        </w:tc>
      </w:tr>
    </w:tbl>
    <w:p>
      <w:pPr>
        <w:pStyle w:val="TextBody"/>
        <w:bidi w:val="0"/>
        <w:spacing w:before="43"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5381" w:type="dxa"/>
        <w:jc w:val="left"/>
        <w:tblInd w:w="1080" w:type="dxa"/>
        <w:tblLayout w:type="fixed"/>
        <w:tblCellMar>
          <w:top w:w="0" w:type="dxa"/>
          <w:left w:w="0" w:type="dxa"/>
          <w:bottom w:w="0" w:type="dxa"/>
          <w:right w:w="0" w:type="dxa"/>
        </w:tblCellMar>
      </w:tblPr>
      <w:tblGrid>
        <w:gridCol w:w="38"/>
        <w:gridCol w:w="335"/>
        <w:gridCol w:w="23"/>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0" w:after="0"/>
              <w:ind w:left="0" w:right="0" w:hanging="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85" w:type="dxa"/>
            <w:tcBorders/>
          </w:tcPr>
          <w:p>
            <w:pPr>
              <w:pStyle w:val="TableContents"/>
              <w:pBdr/>
              <w:bidi w:val="0"/>
              <w:spacing w:before="0" w:after="0"/>
              <w:ind w:left="0" w:right="0" w:hanging="0"/>
              <w:jc w:val="both"/>
              <w:rPr>
                <w:rFonts w:ascii="Times New Roman" w:hAnsi="Times New Roman"/>
                <w:color w:val="000000"/>
                <w:sz w:val="24"/>
              </w:rPr>
            </w:pPr>
            <w:r>
              <w:rPr>
                <w:rFonts w:ascii="Times New Roman" w:hAnsi="Times New Roman"/>
                <w:color w:val="000000"/>
                <w:sz w:val="24"/>
              </w:rPr>
              <w:t>The Loan Agreement is hereby amended as follows:</w:t>
            </w:r>
          </w:p>
        </w:tc>
      </w:tr>
    </w:tbl>
    <w:p>
      <w:pPr>
        <w:pStyle w:val="TextBody"/>
        <w:pBdr/>
        <w:bidi w:val="0"/>
        <w:spacing w:before="0" w:after="0"/>
        <w:ind w:left="1425" w:right="1427" w:firstLine="720"/>
        <w:jc w:val="left"/>
        <w:rPr/>
      </w:pPr>
      <w:r>
        <w:rPr/>
        <w:t xml:space="preserve">  </w:t>
      </w:r>
    </w:p>
    <w:p>
      <w:pPr>
        <w:pStyle w:val="TextBody"/>
        <w:bidi w:val="0"/>
        <w:spacing w:before="0" w:after="0"/>
        <w:ind w:left="1080" w:right="1080" w:hanging="0"/>
        <w:jc w:val="center"/>
        <w:rPr>
          <w:rFonts w:ascii="Times New Roman" w:hAnsi="Times New Roman"/>
          <w:sz w:val="22"/>
        </w:rPr>
      </w:pPr>
      <w:r>
        <w:rPr>
          <w:rFonts w:ascii="Times New Roman" w:hAnsi="Times New Roman"/>
          <w:sz w:val="22"/>
        </w:rPr>
        <w:t xml:space="preserve">2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tbl>
      <w:tblPr>
        <w:tblW w:w="8289" w:type="dxa"/>
        <w:jc w:val="left"/>
        <w:tblInd w:w="1080" w:type="dxa"/>
        <w:tblLayout w:type="fixed"/>
        <w:tblCellMar>
          <w:top w:w="0" w:type="dxa"/>
          <w:left w:w="0" w:type="dxa"/>
          <w:bottom w:w="0" w:type="dxa"/>
          <w:right w:w="0" w:type="dxa"/>
        </w:tblCellMar>
      </w:tblPr>
      <w:tblGrid>
        <w:gridCol w:w="735"/>
        <w:gridCol w:w="7554"/>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554" w:type="dxa"/>
            <w:tcBorders/>
          </w:tcPr>
          <w:p>
            <w:pPr>
              <w:pStyle w:val="TableContents"/>
              <w:pBdr/>
              <w:bidi w:val="0"/>
              <w:spacing w:lineRule="auto" w:line="247" w:before="71" w:after="0"/>
              <w:ind w:left="0" w:right="694" w:firstLine="720"/>
              <w:jc w:val="both"/>
              <w:rPr>
                <w:rFonts w:ascii="Times New Roman" w:hAnsi="Times New Roman"/>
                <w:sz w:val="24"/>
              </w:rPr>
            </w:pPr>
            <w:r>
              <w:rPr>
                <w:rFonts w:ascii="Times New Roman" w:hAnsi="Times New Roman"/>
                <w:b w:val="false"/>
                <w:i w:val="false"/>
                <w:caps w:val="false"/>
                <w:smallCaps w:val="false"/>
                <w:sz w:val="24"/>
              </w:rPr>
              <w:t>(i)</w:t>
            </w:r>
            <w:r>
              <w:rPr>
                <w:rFonts w:ascii="Times New Roman" w:hAnsi="Times New Roman"/>
                <w:sz w:val="24"/>
              </w:rPr>
              <w:t xml:space="preserve"> </w:t>
            </w:r>
            <w:r>
              <w:rPr>
                <w:rFonts w:ascii="Times New Roman" w:hAnsi="Times New Roman"/>
                <w:color w:val="000000"/>
                <w:sz w:val="24"/>
              </w:rPr>
              <w:t>The definition of “</w:t>
            </w:r>
            <w:r>
              <w:rPr>
                <w:rFonts w:ascii="Times New Roman" w:hAnsi="Times New Roman"/>
                <w:b/>
                <w:color w:val="000000"/>
                <w:sz w:val="24"/>
              </w:rPr>
              <w:t>Maturity</w:t>
            </w:r>
            <w:r>
              <w:rPr>
                <w:rFonts w:ascii="Times New Roman" w:hAnsi="Times New Roman"/>
                <w:color w:val="000000"/>
                <w:sz w:val="24"/>
              </w:rPr>
              <w:t> </w:t>
            </w:r>
            <w:r>
              <w:rPr>
                <w:rFonts w:ascii="Times New Roman" w:hAnsi="Times New Roman"/>
                <w:b/>
                <w:color w:val="000000"/>
                <w:sz w:val="24"/>
              </w:rPr>
              <w:t>Date</w:t>
            </w:r>
            <w:r>
              <w:rPr>
                <w:rFonts w:ascii="Times New Roman" w:hAnsi="Times New Roman"/>
                <w:color w:val="000000"/>
                <w:sz w:val="24"/>
              </w:rPr>
              <w:t>” is amended and restated in its entirety to read as follows: “</w:t>
            </w:r>
            <w:r>
              <w:rPr>
                <w:rFonts w:ascii="Times New Roman" w:hAnsi="Times New Roman"/>
                <w:color w:val="000000"/>
                <w:sz w:val="24"/>
                <w:u w:val="single"/>
              </w:rPr>
              <w:t>Maturity Date</w:t>
            </w:r>
            <w:r>
              <w:rPr>
                <w:rFonts w:ascii="Times New Roman" w:hAnsi="Times New Roman"/>
                <w:color w:val="000000"/>
                <w:sz w:val="24"/>
              </w:rPr>
              <w:t>” shall mean November 6, 2026 or such other date on which the final payment of principal of the Note becomes due and payable as therein or herein provided, whether at such stated maturity date, by declaration of acceleration, or otherwise.”</w:t>
            </w:r>
          </w:p>
        </w:tc>
      </w:tr>
    </w:tbl>
    <w:tbl>
      <w:tblPr>
        <w:tblW w:w="6881" w:type="dxa"/>
        <w:jc w:val="left"/>
        <w:tblInd w:w="1080" w:type="dxa"/>
        <w:tblLayout w:type="fixed"/>
        <w:tblCellMar>
          <w:top w:w="0" w:type="dxa"/>
          <w:left w:w="0" w:type="dxa"/>
          <w:bottom w:w="0" w:type="dxa"/>
          <w:right w:w="0" w:type="dxa"/>
        </w:tblCellMar>
      </w:tblPr>
      <w:tblGrid>
        <w:gridCol w:w="38"/>
        <w:gridCol w:w="350"/>
        <w:gridCol w:w="23"/>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263" w:after="0"/>
              <w:ind w:left="0" w:right="0" w:hanging="0"/>
              <w:jc w:val="both"/>
              <w:rPr>
                <w:rFonts w:ascii="Times New Roman" w:hAnsi="Times New Roman"/>
                <w:sz w:val="24"/>
              </w:rPr>
            </w:pPr>
            <w:r>
              <w:rPr>
                <w:rFonts w:ascii="Times New Roman" w:hAnsi="Times New Roman"/>
                <w:b w:val="false"/>
                <w:i w:val="false"/>
                <w:caps w:val="false"/>
                <w:smallCaps w:val="false"/>
                <w:sz w:val="24"/>
              </w:rPr>
              <w:t>(ii)</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70" w:type="dxa"/>
            <w:tcBorders/>
          </w:tcPr>
          <w:p>
            <w:pPr>
              <w:pStyle w:val="TableContents"/>
              <w:pBdr/>
              <w:bidi w:val="0"/>
              <w:spacing w:before="263" w:after="0"/>
              <w:ind w:left="0" w:right="0" w:hanging="0"/>
              <w:jc w:val="both"/>
              <w:rPr>
                <w:rFonts w:ascii="Times New Roman" w:hAnsi="Times New Roman"/>
                <w:color w:val="000000"/>
                <w:sz w:val="24"/>
              </w:rPr>
            </w:pPr>
            <w:r>
              <w:rPr>
                <w:rFonts w:ascii="Times New Roman" w:hAnsi="Times New Roman"/>
                <w:color w:val="000000"/>
                <w:sz w:val="24"/>
              </w:rPr>
              <w:t>Section 2.5 is amended and restated in its entirety to read as follows:</w:t>
            </w:r>
          </w:p>
        </w:tc>
      </w:tr>
    </w:tbl>
    <w:p>
      <w:pPr>
        <w:pStyle w:val="TextBody"/>
        <w:pBdr/>
        <w:bidi w:val="0"/>
        <w:spacing w:before="37" w:after="0"/>
        <w:ind w:left="1080" w:right="108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lineRule="auto" w:line="247" w:before="0" w:after="0"/>
        <w:ind w:left="1425" w:right="1425" w:firstLine="720"/>
        <w:jc w:val="both"/>
        <w:rPr>
          <w:rFonts w:ascii="Times New Roman" w:hAnsi="Times New Roman"/>
          <w:sz w:val="24"/>
        </w:rPr>
      </w:pPr>
      <w:r>
        <w:rPr>
          <w:rFonts w:ascii="Times New Roman" w:hAnsi="Times New Roman"/>
          <w:color w:val="000000"/>
          <w:sz w:val="24"/>
        </w:rPr>
        <w:t>Subject to the provisions of this Section 2.5, Borrower will have the option to (i) extend the term of the Loan beyond the Maturity Date for one (1) successive term (the “Extension Option”) of six (6) months (the “Extension Term”) to May 6, 2027 (the “Extended Maturity Date”). In order to exercise the Extension Option, Borrower shall deliver to Administrative Agent written notice of its intent to exercise the Extension Option no earlier than one hundred twenty (120) days, and no later than forty-five (45) days, prior to the then applicable Maturity Date, and upon the giving of such notice of extension, the Maturity Date as theretofore in effect shall be extended as set forth above, subject to the satisfaction of the following conditions on or before such Maturity Date:</w:t>
      </w:r>
      <w:r>
        <w:rPr>
          <w:rFonts w:ascii="Times New Roman" w:hAnsi="Times New Roman"/>
          <w:sz w:val="24"/>
        </w:rPr>
        <w:t xml:space="preserve"> </w:t>
      </w:r>
    </w:p>
    <w:p>
      <w:pPr>
        <w:pStyle w:val="TextBody"/>
        <w:pBdr/>
        <w:bidi w:val="0"/>
        <w:spacing w:before="21"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0050" w:type="dxa"/>
        <w:jc w:val="left"/>
        <w:tblInd w:w="1080" w:type="dxa"/>
        <w:tblLayout w:type="fixed"/>
        <w:tblCellMar>
          <w:top w:w="0" w:type="dxa"/>
          <w:left w:w="0" w:type="dxa"/>
          <w:bottom w:w="0" w:type="dxa"/>
          <w:right w:w="0" w:type="dxa"/>
        </w:tblCellMar>
      </w:tblPr>
      <w:tblGrid>
        <w:gridCol w:w="735"/>
        <w:gridCol w:w="931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9315" w:type="dxa"/>
            <w:tcBorders/>
          </w:tcPr>
          <w:p>
            <w:pPr>
              <w:pStyle w:val="TableContents"/>
              <w:pBdr/>
              <w:bidi w:val="0"/>
              <w:spacing w:lineRule="auto" w:line="247" w:before="0" w:after="0"/>
              <w:ind w:left="0" w:right="700" w:firstLine="72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r>
              <w:rPr>
                <w:rFonts w:ascii="Times New Roman" w:hAnsi="Times New Roman"/>
                <w:color w:val="000000"/>
                <w:sz w:val="24"/>
              </w:rPr>
              <w:t>no monetary Default, material non-monetary Default or Event of Default shall have occurred and be continuing on Maturity Date, as applicable;</w:t>
            </w:r>
          </w:p>
        </w:tc>
      </w:tr>
    </w:tbl>
    <w:tbl>
      <w:tblPr>
        <w:tblW w:w="11394" w:type="dxa"/>
        <w:jc w:val="left"/>
        <w:tblInd w:w="1080" w:type="dxa"/>
        <w:tblLayout w:type="fixed"/>
        <w:tblCellMar>
          <w:top w:w="0" w:type="dxa"/>
          <w:left w:w="0" w:type="dxa"/>
          <w:bottom w:w="0" w:type="dxa"/>
          <w:right w:w="0" w:type="dxa"/>
        </w:tblCellMar>
      </w:tblPr>
      <w:tblGrid>
        <w:gridCol w:w="735"/>
        <w:gridCol w:w="10659"/>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659" w:type="dxa"/>
            <w:tcBorders/>
          </w:tcPr>
          <w:p>
            <w:pPr>
              <w:pStyle w:val="TableContents"/>
              <w:pBdr/>
              <w:bidi w:val="0"/>
              <w:spacing w:lineRule="auto" w:line="247" w:before="267" w:after="0"/>
              <w:ind w:left="0" w:right="694" w:firstLine="720"/>
              <w:jc w:val="both"/>
              <w:rPr>
                <w:rFonts w:ascii="Times New Roman" w:hAnsi="Times New Roman"/>
                <w:sz w:val="24"/>
              </w:rPr>
            </w:pPr>
            <w:r>
              <w:rPr>
                <w:rFonts w:ascii="Times New Roman" w:hAnsi="Times New Roman"/>
                <w:b w:val="false"/>
                <w:i w:val="false"/>
                <w:caps w:val="false"/>
                <w:smallCaps w:val="false"/>
                <w:sz w:val="24"/>
              </w:rPr>
              <w:t>(b)</w:t>
            </w:r>
            <w:r>
              <w:rPr>
                <w:rFonts w:ascii="Times New Roman" w:hAnsi="Times New Roman"/>
                <w:sz w:val="24"/>
              </w:rPr>
              <w:t xml:space="preserve"> </w:t>
            </w:r>
            <w:r>
              <w:rPr>
                <w:rFonts w:ascii="Times New Roman" w:hAnsi="Times New Roman"/>
                <w:color w:val="000000"/>
                <w:sz w:val="24"/>
              </w:rPr>
              <w:t>Borrower shall have made an additional deposit to the Interest Reserve Funds in an amount reasonably determined by Administrative Agent. Borrower acknowledges that this replenishment amount will equate to the first three months’ interest reserve replenishment amount; to be followed by an additional deposit for the remainder of the Extension Term once depleted;</w:t>
            </w:r>
          </w:p>
        </w:tc>
      </w:tr>
    </w:tbl>
    <w:p>
      <w:pPr>
        <w:pStyle w:val="TextBody"/>
        <w:bidi w:val="0"/>
        <w:spacing w:before="25"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0689" w:type="dxa"/>
        <w:jc w:val="left"/>
        <w:tblInd w:w="1080" w:type="dxa"/>
        <w:tblLayout w:type="fixed"/>
        <w:tblCellMar>
          <w:top w:w="0" w:type="dxa"/>
          <w:left w:w="0" w:type="dxa"/>
          <w:bottom w:w="0" w:type="dxa"/>
          <w:right w:w="0" w:type="dxa"/>
        </w:tblCellMar>
      </w:tblPr>
      <w:tblGrid>
        <w:gridCol w:w="735"/>
        <w:gridCol w:w="9954"/>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9954" w:type="dxa"/>
            <w:tcBorders/>
          </w:tcPr>
          <w:p>
            <w:pPr>
              <w:pStyle w:val="TableContents"/>
              <w:bidi w:val="0"/>
              <w:spacing w:lineRule="auto" w:line="247" w:before="0" w:after="0"/>
              <w:ind w:left="0" w:right="694" w:firstLine="720"/>
              <w:jc w:val="both"/>
              <w:rPr>
                <w:rFonts w:ascii="Times New Roman" w:hAnsi="Times New Roman"/>
                <w:sz w:val="24"/>
              </w:rPr>
            </w:pPr>
            <w:r>
              <w:rPr>
                <w:rFonts w:ascii="Times New Roman" w:hAnsi="Times New Roman"/>
                <w:b w:val="false"/>
                <w:i w:val="false"/>
                <w:caps w:val="false"/>
                <w:smallCaps w:val="false"/>
                <w:sz w:val="24"/>
              </w:rPr>
              <w:t>(c)</w:t>
            </w:r>
            <w:r>
              <w:rPr>
                <w:rFonts w:ascii="Times New Roman" w:hAnsi="Times New Roman"/>
                <w:sz w:val="24"/>
              </w:rPr>
              <w:t xml:space="preserve"> </w:t>
            </w:r>
            <w:r>
              <w:rPr>
                <w:rFonts w:ascii="Times New Roman" w:hAnsi="Times New Roman"/>
                <w:color w:val="000000"/>
                <w:sz w:val="24"/>
              </w:rPr>
              <w:t>Borrower shall have paid to Administrative Agent all out-of-pocket expenses (including reasonable legal fees and disbursements of Administrative Agent’s outside counsel) incurred by Administrative Agent in connection with Borrower’s exercise of the Extension Option;</w:t>
            </w:r>
          </w:p>
        </w:tc>
      </w:tr>
    </w:tbl>
    <w:p>
      <w:pPr>
        <w:pStyle w:val="TextBody"/>
        <w:bidi w:val="0"/>
        <w:spacing w:before="49"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bidi w:val="0"/>
              <w:spacing w:lineRule="auto" w:line="247" w:before="1" w:after="0"/>
              <w:ind w:left="0" w:right="698" w:firstLine="720"/>
              <w:jc w:val="both"/>
              <w:rPr>
                <w:rFonts w:ascii="Times New Roman" w:hAnsi="Times New Roman"/>
                <w:sz w:val="24"/>
              </w:rPr>
            </w:pPr>
            <w:r>
              <w:rPr>
                <w:rFonts w:ascii="Times New Roman" w:hAnsi="Times New Roman"/>
                <w:b w:val="false"/>
                <w:i w:val="false"/>
                <w:caps w:val="false"/>
                <w:smallCaps w:val="false"/>
                <w:sz w:val="24"/>
              </w:rPr>
              <w:t>(d)</w:t>
            </w:r>
            <w:r>
              <w:rPr>
                <w:rFonts w:ascii="Times New Roman" w:hAnsi="Times New Roman"/>
                <w:sz w:val="24"/>
              </w:rPr>
              <w:t xml:space="preserve"> </w:t>
            </w:r>
            <w:r>
              <w:rPr>
                <w:rFonts w:ascii="Times New Roman" w:hAnsi="Times New Roman"/>
                <w:color w:val="000000"/>
                <w:sz w:val="24"/>
              </w:rPr>
              <w:t>Following Administrative Agent’s confirmation that Borrower has satisfied the conditions set forth in Section 2.5 (a), (f) and (g) hereof, Borrower shall have made a principal paydown of the loan in the amount of $500,000.00;</w:t>
            </w:r>
          </w:p>
        </w:tc>
      </w:tr>
    </w:tbl>
    <w:p>
      <w:pPr>
        <w:pStyle w:val="TextBody"/>
        <w:bidi w:val="0"/>
        <w:spacing w:before="26"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bidi w:val="0"/>
              <w:spacing w:lineRule="auto" w:line="235" w:before="0" w:after="0"/>
              <w:ind w:left="0" w:right="698" w:firstLine="720"/>
              <w:jc w:val="both"/>
              <w:rPr>
                <w:rFonts w:ascii="Times New Roman" w:hAnsi="Times New Roman"/>
                <w:sz w:val="22"/>
              </w:rPr>
            </w:pPr>
            <w:r>
              <w:rPr>
                <w:rFonts w:ascii="Times New Roman" w:hAnsi="Times New Roman"/>
                <w:b w:val="false"/>
                <w:i w:val="false"/>
                <w:caps w:val="false"/>
                <w:smallCaps w:val="false"/>
                <w:sz w:val="24"/>
              </w:rPr>
              <w:t>(e)</w:t>
            </w:r>
            <w:r>
              <w:rPr>
                <w:rFonts w:ascii="Times New Roman" w:hAnsi="Times New Roman"/>
                <w:sz w:val="22"/>
              </w:rPr>
              <w:t xml:space="preserve"> </w:t>
            </w:r>
            <w:r>
              <w:rPr>
                <w:rFonts w:ascii="Times New Roman" w:hAnsi="Times New Roman"/>
                <w:color w:val="000000"/>
                <w:sz w:val="22"/>
              </w:rPr>
              <w:t>Borrower shall have paid to Administrative Agent, (i) in connection with the Extension Option, an amount equal to one quarter of one percent (0.25%) of the outstanding principal balance of the Loan at the time of the extension (taking into account the principal paydown in clause (d));</w:t>
            </w:r>
          </w:p>
        </w:tc>
      </w:tr>
    </w:tbl>
    <w:p>
      <w:pPr>
        <w:pStyle w:val="TextBody"/>
        <w:bidi w:val="0"/>
        <w:spacing w:before="86" w:after="0"/>
        <w:ind w:left="1080" w:right="1080" w:hanging="0"/>
        <w:jc w:val="left"/>
        <w:rPr>
          <w:rFonts w:cs="Times New Roman"/>
          <w:szCs w:val="22"/>
        </w:rPr>
      </w:pPr>
      <w:r>
        <w:rPr>
          <w:rFonts w:cs="Times New Roman"/>
          <w:color w:val="000000"/>
          <w:szCs w:val="22"/>
        </w:rPr>
        <w:t>﻿</w:t>
      </w:r>
      <w:r>
        <w:rPr>
          <w:rFonts w:cs="Times New Roman"/>
          <w:szCs w:val="22"/>
        </w:rPr>
        <w:t xml:space="preserve"> </w:t>
      </w:r>
    </w:p>
    <w:tbl>
      <w:tblPr>
        <w:tblW w:w="12116" w:type="dxa"/>
        <w:jc w:val="left"/>
        <w:tblInd w:w="1080" w:type="dxa"/>
        <w:tblLayout w:type="fixed"/>
        <w:tblCellMar>
          <w:top w:w="0" w:type="dxa"/>
          <w:left w:w="0" w:type="dxa"/>
          <w:bottom w:w="0" w:type="dxa"/>
          <w:right w:w="0" w:type="dxa"/>
        </w:tblCellMar>
      </w:tblPr>
      <w:tblGrid>
        <w:gridCol w:w="735"/>
        <w:gridCol w:w="11381"/>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1381" w:type="dxa"/>
            <w:tcBorders/>
          </w:tcPr>
          <w:p>
            <w:pPr>
              <w:pStyle w:val="TableContents"/>
              <w:bidi w:val="0"/>
              <w:spacing w:lineRule="auto" w:line="235" w:before="0" w:after="0"/>
              <w:ind w:left="0" w:right="696" w:firstLine="720"/>
              <w:jc w:val="both"/>
              <w:rPr>
                <w:rFonts w:ascii="Times New Roman" w:hAnsi="Times New Roman"/>
                <w:sz w:val="22"/>
              </w:rPr>
            </w:pPr>
            <w:r>
              <w:rPr>
                <w:rFonts w:ascii="Times New Roman" w:hAnsi="Times New Roman"/>
                <w:b w:val="false"/>
                <w:i w:val="false"/>
                <w:caps w:val="false"/>
                <w:smallCaps w:val="false"/>
                <w:sz w:val="24"/>
              </w:rPr>
              <w:t>(f)</w:t>
            </w:r>
            <w:r>
              <w:rPr>
                <w:rFonts w:ascii="Times New Roman" w:hAnsi="Times New Roman"/>
                <w:sz w:val="22"/>
              </w:rPr>
              <w:t xml:space="preserve"> </w:t>
            </w:r>
            <w:r>
              <w:rPr>
                <w:rFonts w:ascii="Times New Roman" w:hAnsi="Times New Roman"/>
                <w:color w:val="000000"/>
                <w:sz w:val="22"/>
              </w:rPr>
              <w:t>Borrower shall have entered into a lease with [***] (or its affiliated entity) or another tenant acceptable to Administrative Agent in their sole and absolute discretion, and Borrower shall have delivered possession of the space demised under such lease to such tenant; and</w:t>
            </w:r>
          </w:p>
        </w:tc>
      </w:tr>
    </w:tbl>
    <w:p>
      <w:pPr>
        <w:pStyle w:val="TextBody"/>
        <w:bidi w:val="0"/>
        <w:spacing w:before="65" w:after="0"/>
        <w:ind w:left="1080" w:right="1080" w:hanging="0"/>
        <w:jc w:val="left"/>
        <w:rPr>
          <w:rFonts w:cs="Times New Roman"/>
          <w:szCs w:val="22"/>
        </w:rPr>
      </w:pPr>
      <w:r>
        <w:rPr>
          <w:rFonts w:cs="Times New Roman"/>
          <w:color w:val="000000"/>
          <w:szCs w:val="22"/>
        </w:rPr>
        <w:t>﻿</w:t>
      </w:r>
      <w:r>
        <w:rPr>
          <w:rFonts w:cs="Times New Roman"/>
          <w:szCs w:val="22"/>
        </w:rPr>
        <w:t xml:space="preserve"> </w:t>
      </w:r>
    </w:p>
    <w:tbl>
      <w:tblPr>
        <w:tblW w:w="12360" w:type="dxa"/>
        <w:jc w:val="left"/>
        <w:tblInd w:w="1080" w:type="dxa"/>
        <w:tblLayout w:type="fixed"/>
        <w:tblCellMar>
          <w:top w:w="0" w:type="dxa"/>
          <w:left w:w="0" w:type="dxa"/>
          <w:bottom w:w="0" w:type="dxa"/>
          <w:right w:w="0" w:type="dxa"/>
        </w:tblCellMar>
      </w:tblPr>
      <w:tblGrid>
        <w:gridCol w:w="735"/>
        <w:gridCol w:w="1162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1625" w:type="dxa"/>
            <w:tcBorders/>
          </w:tcPr>
          <w:p>
            <w:pPr>
              <w:pStyle w:val="TableContents"/>
              <w:pBdr/>
              <w:bidi w:val="0"/>
              <w:spacing w:before="0" w:after="0"/>
              <w:ind w:left="0" w:right="700" w:firstLine="720"/>
              <w:jc w:val="both"/>
              <w:rPr>
                <w:rFonts w:ascii="Times New Roman" w:hAnsi="Times New Roman"/>
                <w:sz w:val="24"/>
              </w:rPr>
            </w:pPr>
            <w:r>
              <w:rPr>
                <w:rFonts w:ascii="Times New Roman" w:hAnsi="Times New Roman"/>
                <w:b w:val="false"/>
                <w:i w:val="false"/>
                <w:caps w:val="false"/>
                <w:smallCaps w:val="false"/>
                <w:sz w:val="24"/>
              </w:rPr>
              <w:t>(g)</w:t>
            </w:r>
            <w:r>
              <w:rPr>
                <w:rFonts w:ascii="Times New Roman" w:hAnsi="Times New Roman"/>
                <w:sz w:val="24"/>
              </w:rPr>
              <w:t xml:space="preserve"> </w:t>
            </w:r>
            <w:r>
              <w:rPr>
                <w:rFonts w:ascii="Times New Roman" w:hAnsi="Times New Roman"/>
                <w:color w:val="000000"/>
                <w:sz w:val="24"/>
              </w:rPr>
              <w:t>Administrative Agent shall have completed substantively the same “know your customer” due diligence review and completion of a credit check which was conducted in connection with the closing of the Loan with respect to Borrower and Guarantor and, to the extent such review differs from the review conducted in connection with the closing of the Loan, then such review shall be substantively consistent Administrative Agent’s review process with respect to similar loans across</w:t>
            </w:r>
          </w:p>
        </w:tc>
      </w:tr>
    </w:tbl>
    <w:p>
      <w:pPr>
        <w:pStyle w:val="TextBody"/>
        <w:pBdr/>
        <w:bidi w:val="0"/>
        <w:spacing w:before="0" w:after="0"/>
        <w:ind w:left="1425" w:right="1427" w:firstLine="720"/>
        <w:jc w:val="both"/>
        <w:rPr/>
      </w:pPr>
      <w:r>
        <w:rPr/>
        <w:t xml:space="preserve">  </w:t>
      </w:r>
    </w:p>
    <w:p>
      <w:pPr>
        <w:pStyle w:val="TextBody"/>
        <w:bidi w:val="0"/>
        <w:spacing w:before="0" w:after="0"/>
        <w:ind w:left="1080" w:right="1080" w:hanging="0"/>
        <w:jc w:val="center"/>
        <w:rPr>
          <w:rFonts w:ascii="Times New Roman" w:hAnsi="Times New Roman"/>
          <w:sz w:val="22"/>
        </w:rPr>
      </w:pPr>
      <w:r>
        <w:rPr>
          <w:rFonts w:ascii="Times New Roman" w:hAnsi="Times New Roman"/>
          <w:sz w:val="22"/>
        </w:rPr>
        <w:t xml:space="preserve">3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bidi w:val="0"/>
        <w:spacing w:before="70" w:after="0"/>
        <w:ind w:left="1425" w:right="1430" w:hanging="0"/>
        <w:jc w:val="both"/>
        <w:rPr>
          <w:rFonts w:ascii="Times New Roman" w:hAnsi="Times New Roman"/>
          <w:sz w:val="22"/>
        </w:rPr>
      </w:pPr>
      <w:r>
        <w:rPr>
          <w:rFonts w:ascii="Times New Roman" w:hAnsi="Times New Roman"/>
          <w:sz w:val="22"/>
        </w:rPr>
        <w:t xml:space="preserve">its portfolio; provided, that, for the avoidance of doubt the foregoing review process shall not permit Administrative Agent to require any further conditions to the extension of the Loan which increase the obligations of Borrower or Guarantor under the Loan Documents. </w:t>
      </w:r>
    </w:p>
    <w:p>
      <w:pPr>
        <w:pStyle w:val="TextBody"/>
        <w:bidi w:val="0"/>
        <w:spacing w:before="65" w:after="0"/>
        <w:ind w:left="1080" w:right="1080" w:hanging="0"/>
        <w:jc w:val="left"/>
        <w:rPr>
          <w:rFonts w:cs="Times New Roman"/>
          <w:szCs w:val="22"/>
        </w:rPr>
      </w:pPr>
      <w:r>
        <w:rPr>
          <w:rFonts w:cs="Times New Roman"/>
          <w:szCs w:val="22"/>
        </w:rPr>
        <w:t xml:space="preserve">﻿ </w:t>
      </w:r>
    </w:p>
    <w:tbl>
      <w:tblPr>
        <w:tblW w:w="11374" w:type="dxa"/>
        <w:jc w:val="left"/>
        <w:tblInd w:w="1080" w:type="dxa"/>
        <w:tblLayout w:type="fixed"/>
        <w:tblCellMar>
          <w:top w:w="0" w:type="dxa"/>
          <w:left w:w="0" w:type="dxa"/>
          <w:bottom w:w="0" w:type="dxa"/>
          <w:right w:w="0" w:type="dxa"/>
        </w:tblCellMar>
      </w:tblPr>
      <w:tblGrid>
        <w:gridCol w:w="635"/>
        <w:gridCol w:w="10739"/>
      </w:tblGrid>
      <w:tr>
        <w:trPr/>
        <w:tc>
          <w:tcPr>
            <w:tcW w:w="635" w:type="dxa"/>
            <w:tcBorders/>
            <w:vAlign w:val="center"/>
          </w:tcPr>
          <w:p>
            <w:pPr>
              <w:pStyle w:val="TableContents"/>
              <w:bidi w:val="0"/>
              <w:spacing w:before="0" w:after="283"/>
              <w:ind w:left="0" w:right="0" w:firstLine="620"/>
              <w:jc w:val="left"/>
              <w:rPr>
                <w:sz w:val="4"/>
                <w:szCs w:val="4"/>
              </w:rPr>
            </w:pPr>
            <w:r>
              <w:rPr>
                <w:sz w:val="4"/>
                <w:szCs w:val="4"/>
              </w:rPr>
            </w:r>
          </w:p>
        </w:tc>
        <w:tc>
          <w:tcPr>
            <w:tcW w:w="10739" w:type="dxa"/>
            <w:tcBorders/>
          </w:tcPr>
          <w:p>
            <w:pPr>
              <w:pStyle w:val="TableContents"/>
              <w:bidi w:val="0"/>
              <w:spacing w:lineRule="auto" w:line="252" w:before="0" w:after="0"/>
              <w:ind w:left="0" w:right="694" w:firstLine="620"/>
              <w:jc w:val="both"/>
              <w:rPr>
                <w:rFonts w:ascii="Times New Roman" w:hAnsi="Times New Roman"/>
                <w:sz w:val="24"/>
              </w:rPr>
            </w:pPr>
            <w:r>
              <w:rPr>
                <w:rFonts w:ascii="Times New Roman" w:hAnsi="Times New Roman"/>
                <w:b w:val="false"/>
                <w:i w:val="false"/>
                <w:caps w:val="false"/>
                <w:smallCaps w:val="false"/>
                <w:sz w:val="24"/>
              </w:rPr>
              <w:t>5.</w:t>
            </w:r>
            <w:r>
              <w:rPr>
                <w:rFonts w:ascii="Times New Roman" w:hAnsi="Times New Roman"/>
                <w:sz w:val="24"/>
              </w:rPr>
              <w:t xml:space="preserve"> </w:t>
            </w:r>
            <w:r>
              <w:rPr>
                <w:rFonts w:ascii="Times New Roman" w:hAnsi="Times New Roman"/>
                <w:color w:val="000000"/>
                <w:sz w:val="24"/>
                <w:u w:val="single"/>
              </w:rPr>
              <w:t>Principal Paydown</w:t>
            </w:r>
            <w:r>
              <w:rPr>
                <w:rFonts w:ascii="Times New Roman" w:hAnsi="Times New Roman"/>
                <w:color w:val="000000"/>
                <w:sz w:val="24"/>
              </w:rPr>
              <w:t>. As a material inducement to Lender and Administrative Agent to enter into this Agreement, Borrower hereby agrees that it shall make the following $1,000,000 principal paydown of the Loan in two equal installments as follows: (a) $500,000 on or before May 21, 2025; and (b) $500,000 on or before February 6, 2026.</w:t>
            </w:r>
          </w:p>
        </w:tc>
      </w:tr>
    </w:tbl>
    <w:p>
      <w:pPr>
        <w:pStyle w:val="TextBody"/>
        <w:bidi w:val="0"/>
        <w:spacing w:before="22"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1434" w:type="dxa"/>
        <w:jc w:val="left"/>
        <w:tblInd w:w="1080" w:type="dxa"/>
        <w:tblLayout w:type="fixed"/>
        <w:tblCellMar>
          <w:top w:w="0" w:type="dxa"/>
          <w:left w:w="0" w:type="dxa"/>
          <w:bottom w:w="0" w:type="dxa"/>
          <w:right w:w="0" w:type="dxa"/>
        </w:tblCellMar>
      </w:tblPr>
      <w:tblGrid>
        <w:gridCol w:w="635"/>
        <w:gridCol w:w="10799"/>
      </w:tblGrid>
      <w:tr>
        <w:trPr/>
        <w:tc>
          <w:tcPr>
            <w:tcW w:w="635" w:type="dxa"/>
            <w:tcBorders/>
            <w:vAlign w:val="center"/>
          </w:tcPr>
          <w:p>
            <w:pPr>
              <w:pStyle w:val="TableContents"/>
              <w:bidi w:val="0"/>
              <w:spacing w:before="0" w:after="283"/>
              <w:ind w:left="0" w:right="0" w:firstLine="620"/>
              <w:jc w:val="left"/>
              <w:rPr>
                <w:sz w:val="4"/>
                <w:szCs w:val="4"/>
              </w:rPr>
            </w:pPr>
            <w:r>
              <w:rPr>
                <w:sz w:val="4"/>
                <w:szCs w:val="4"/>
              </w:rPr>
            </w:r>
          </w:p>
        </w:tc>
        <w:tc>
          <w:tcPr>
            <w:tcW w:w="10799" w:type="dxa"/>
            <w:tcBorders/>
          </w:tcPr>
          <w:p>
            <w:pPr>
              <w:pStyle w:val="TableContents"/>
              <w:bidi w:val="0"/>
              <w:spacing w:lineRule="auto" w:line="247" w:before="0" w:after="0"/>
              <w:ind w:left="0" w:right="694" w:firstLine="620"/>
              <w:jc w:val="both"/>
              <w:rPr>
                <w:rFonts w:ascii="Times New Roman" w:hAnsi="Times New Roman"/>
                <w:sz w:val="24"/>
              </w:rPr>
            </w:pPr>
            <w:r>
              <w:rPr>
                <w:rFonts w:ascii="Times New Roman" w:hAnsi="Times New Roman"/>
                <w:b w:val="false"/>
                <w:i w:val="false"/>
                <w:caps w:val="false"/>
                <w:smallCaps w:val="false"/>
                <w:sz w:val="24"/>
              </w:rPr>
              <w:t>6.</w:t>
            </w:r>
            <w:r>
              <w:rPr>
                <w:rFonts w:ascii="Times New Roman" w:hAnsi="Times New Roman"/>
                <w:sz w:val="24"/>
              </w:rPr>
              <w:t xml:space="preserve"> </w:t>
            </w:r>
            <w:r>
              <w:rPr>
                <w:rFonts w:ascii="Times New Roman" w:hAnsi="Times New Roman"/>
                <w:color w:val="000000"/>
                <w:sz w:val="24"/>
                <w:u w:val="single"/>
              </w:rPr>
              <w:t>Property Taxes</w:t>
            </w:r>
            <w:r>
              <w:rPr>
                <w:rFonts w:ascii="Times New Roman" w:hAnsi="Times New Roman"/>
                <w:color w:val="000000"/>
                <w:sz w:val="24"/>
              </w:rPr>
              <w:t>. On or before May 21, 2025, Borrower will pay $308,804 for Taxes due on July 1, 2025 to Administrative Agent and Administrative Agent shall make the required payment to the New York City Department of Finance on Borrower’s behalf, as long as the funds held are sufficient to cover the amount of Taxes due. For the Taxes due following the July 1, 2025 payment, Borrower will pay such Taxes to the New York City Department of Finance not later than 10 Business Days prior to the due date Borrower shall make such payment of real property Taxes due and provide evidence of such payment to Administrative Agent.</w:t>
            </w:r>
          </w:p>
        </w:tc>
      </w:tr>
    </w:tbl>
    <w:p>
      <w:pPr>
        <w:pStyle w:val="TextBody"/>
        <w:bidi w:val="0"/>
        <w:spacing w:before="22"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1224" w:type="dxa"/>
        <w:jc w:val="left"/>
        <w:tblInd w:w="1080" w:type="dxa"/>
        <w:tblLayout w:type="fixed"/>
        <w:tblCellMar>
          <w:top w:w="0" w:type="dxa"/>
          <w:left w:w="0" w:type="dxa"/>
          <w:bottom w:w="0" w:type="dxa"/>
          <w:right w:w="0" w:type="dxa"/>
        </w:tblCellMar>
      </w:tblPr>
      <w:tblGrid>
        <w:gridCol w:w="635"/>
        <w:gridCol w:w="10589"/>
      </w:tblGrid>
      <w:tr>
        <w:trPr/>
        <w:tc>
          <w:tcPr>
            <w:tcW w:w="635" w:type="dxa"/>
            <w:tcBorders/>
            <w:vAlign w:val="center"/>
          </w:tcPr>
          <w:p>
            <w:pPr>
              <w:pStyle w:val="TableContents"/>
              <w:bidi w:val="0"/>
              <w:spacing w:before="0" w:after="283"/>
              <w:ind w:left="0" w:right="0" w:firstLine="620"/>
              <w:jc w:val="left"/>
              <w:rPr>
                <w:sz w:val="4"/>
                <w:szCs w:val="4"/>
              </w:rPr>
            </w:pPr>
            <w:r>
              <w:rPr>
                <w:sz w:val="4"/>
                <w:szCs w:val="4"/>
              </w:rPr>
            </w:r>
          </w:p>
        </w:tc>
        <w:tc>
          <w:tcPr>
            <w:tcW w:w="10589" w:type="dxa"/>
            <w:tcBorders/>
          </w:tcPr>
          <w:p>
            <w:pPr>
              <w:pStyle w:val="TableContents"/>
              <w:bidi w:val="0"/>
              <w:spacing w:lineRule="auto" w:line="247" w:before="1" w:after="0"/>
              <w:ind w:left="0" w:right="694" w:firstLine="620"/>
              <w:jc w:val="both"/>
              <w:rPr>
                <w:rFonts w:ascii="Times New Roman" w:hAnsi="Times New Roman"/>
                <w:sz w:val="24"/>
              </w:rPr>
            </w:pPr>
            <w:r>
              <w:rPr>
                <w:rFonts w:ascii="Times New Roman" w:hAnsi="Times New Roman"/>
                <w:b w:val="false"/>
                <w:i w:val="false"/>
                <w:caps w:val="false"/>
                <w:smallCaps w:val="false"/>
                <w:sz w:val="24"/>
              </w:rPr>
              <w:t>7.</w:t>
            </w:r>
            <w:r>
              <w:rPr>
                <w:rFonts w:ascii="Times New Roman" w:hAnsi="Times New Roman"/>
                <w:sz w:val="24"/>
              </w:rPr>
              <w:t xml:space="preserve"> </w:t>
            </w:r>
            <w:r>
              <w:rPr>
                <w:rFonts w:ascii="Times New Roman" w:hAnsi="Times New Roman"/>
                <w:color w:val="000000"/>
                <w:sz w:val="24"/>
                <w:u w:val="single"/>
              </w:rPr>
              <w:t>Interest Reserve Fund</w:t>
            </w:r>
            <w:r>
              <w:rPr>
                <w:rFonts w:ascii="Times New Roman" w:hAnsi="Times New Roman"/>
                <w:color w:val="000000"/>
                <w:sz w:val="24"/>
              </w:rPr>
              <w:t>. On or before May 21, 2025, Borrower shall have deposited with Administrative Agent an additional $719,969.99 in Interest Reserve Funds into the Account for the Senior Loan, and an additional $208,845.36 in Interest Reserve Funds for the Junior Loan. Borrower acknowledges that this replenishment amount equates to the first six months’ interest reserve replenishment amount; to be followed by quarterly reserve replenishments.</w:t>
            </w:r>
          </w:p>
        </w:tc>
      </w:tr>
    </w:tbl>
    <w:p>
      <w:pPr>
        <w:pStyle w:val="TextBody"/>
        <w:bidi w:val="0"/>
        <w:spacing w:before="22"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0787" w:type="dxa"/>
        <w:jc w:val="left"/>
        <w:tblInd w:w="1080" w:type="dxa"/>
        <w:tblLayout w:type="fixed"/>
        <w:tblCellMar>
          <w:top w:w="0" w:type="dxa"/>
          <w:left w:w="0" w:type="dxa"/>
          <w:bottom w:w="0" w:type="dxa"/>
          <w:right w:w="0" w:type="dxa"/>
        </w:tblCellMar>
      </w:tblPr>
      <w:tblGrid>
        <w:gridCol w:w="635"/>
        <w:gridCol w:w="10152"/>
      </w:tblGrid>
      <w:tr>
        <w:trPr/>
        <w:tc>
          <w:tcPr>
            <w:tcW w:w="635" w:type="dxa"/>
            <w:tcBorders/>
            <w:vAlign w:val="center"/>
          </w:tcPr>
          <w:p>
            <w:pPr>
              <w:pStyle w:val="TableContents"/>
              <w:bidi w:val="0"/>
              <w:spacing w:before="0" w:after="283"/>
              <w:ind w:left="0" w:right="0" w:firstLine="620"/>
              <w:jc w:val="left"/>
              <w:rPr>
                <w:sz w:val="4"/>
                <w:szCs w:val="4"/>
              </w:rPr>
            </w:pPr>
            <w:r>
              <w:rPr>
                <w:sz w:val="4"/>
                <w:szCs w:val="4"/>
              </w:rPr>
            </w:r>
          </w:p>
        </w:tc>
        <w:tc>
          <w:tcPr>
            <w:tcW w:w="10152" w:type="dxa"/>
            <w:tcBorders/>
          </w:tcPr>
          <w:p>
            <w:pPr>
              <w:pStyle w:val="TableContents"/>
              <w:bidi w:val="0"/>
              <w:spacing w:lineRule="auto" w:line="247" w:before="1" w:after="0"/>
              <w:ind w:left="0" w:right="692" w:firstLine="620"/>
              <w:jc w:val="both"/>
              <w:rPr>
                <w:rFonts w:ascii="Times New Roman" w:hAnsi="Times New Roman"/>
                <w:sz w:val="24"/>
              </w:rPr>
            </w:pPr>
            <w:r>
              <w:rPr>
                <w:rFonts w:ascii="Times New Roman" w:hAnsi="Times New Roman"/>
                <w:b w:val="false"/>
                <w:i w:val="false"/>
                <w:caps w:val="false"/>
                <w:smallCaps w:val="false"/>
                <w:sz w:val="24"/>
              </w:rPr>
              <w:t>8.</w:t>
            </w:r>
            <w:r>
              <w:rPr>
                <w:rFonts w:ascii="Times New Roman" w:hAnsi="Times New Roman"/>
                <w:sz w:val="24"/>
              </w:rPr>
              <w:t xml:space="preserve"> </w:t>
            </w:r>
            <w:r>
              <w:rPr>
                <w:rFonts w:ascii="Times New Roman" w:hAnsi="Times New Roman"/>
                <w:color w:val="000000"/>
                <w:sz w:val="24"/>
                <w:u w:val="single"/>
              </w:rPr>
              <w:t>Extension Fee</w:t>
            </w:r>
            <w:r>
              <w:rPr>
                <w:rFonts w:ascii="Times New Roman" w:hAnsi="Times New Roman"/>
                <w:color w:val="000000"/>
                <w:sz w:val="24"/>
              </w:rPr>
              <w:t>. On or before May 21, 2025, Borrower shall have paid to Administrative Agent an extension fee in the amount of $645,000.00 for the Senior Loan and</w:t>
            </w:r>
          </w:p>
        </w:tc>
      </w:tr>
    </w:tbl>
    <w:p>
      <w:pPr>
        <w:pStyle w:val="TextBody"/>
        <w:pBdr/>
        <w:bidi w:val="0"/>
        <w:spacing w:lineRule="atLeast" w:line="274" w:before="0" w:after="0"/>
        <w:ind w:left="1425" w:right="1080" w:hanging="0"/>
        <w:jc w:val="both"/>
        <w:rPr>
          <w:rFonts w:ascii="Times New Roman" w:hAnsi="Times New Roman"/>
          <w:sz w:val="24"/>
        </w:rPr>
      </w:pPr>
      <w:r>
        <w:rPr>
          <w:rFonts w:ascii="Times New Roman" w:hAnsi="Times New Roman"/>
          <w:color w:val="000000"/>
          <w:sz w:val="24"/>
        </w:rPr>
        <w:t>$54,613.66 for the Junior Loan.</w:t>
      </w:r>
      <w:r>
        <w:rPr>
          <w:rFonts w:ascii="Times New Roman" w:hAnsi="Times New Roman"/>
          <w:sz w:val="24"/>
        </w:rPr>
        <w:t xml:space="preserve"> </w:t>
      </w:r>
    </w:p>
    <w:p>
      <w:pPr>
        <w:pStyle w:val="TextBody"/>
        <w:pBdr/>
        <w:bidi w:val="0"/>
        <w:spacing w:before="0" w:after="0"/>
        <w:ind w:left="1080" w:right="108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58"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1164" w:type="dxa"/>
        <w:jc w:val="left"/>
        <w:tblInd w:w="1080" w:type="dxa"/>
        <w:tblLayout w:type="fixed"/>
        <w:tblCellMar>
          <w:top w:w="0" w:type="dxa"/>
          <w:left w:w="0" w:type="dxa"/>
          <w:bottom w:w="0" w:type="dxa"/>
          <w:right w:w="0" w:type="dxa"/>
        </w:tblCellMar>
      </w:tblPr>
      <w:tblGrid>
        <w:gridCol w:w="635"/>
        <w:gridCol w:w="10529"/>
      </w:tblGrid>
      <w:tr>
        <w:trPr/>
        <w:tc>
          <w:tcPr>
            <w:tcW w:w="635" w:type="dxa"/>
            <w:tcBorders/>
            <w:vAlign w:val="center"/>
          </w:tcPr>
          <w:p>
            <w:pPr>
              <w:pStyle w:val="TableContents"/>
              <w:bidi w:val="0"/>
              <w:spacing w:before="0" w:after="283"/>
              <w:ind w:left="0" w:right="0" w:firstLine="620"/>
              <w:jc w:val="left"/>
              <w:rPr>
                <w:sz w:val="4"/>
                <w:szCs w:val="4"/>
              </w:rPr>
            </w:pPr>
            <w:r>
              <w:rPr>
                <w:sz w:val="4"/>
                <w:szCs w:val="4"/>
              </w:rPr>
            </w:r>
          </w:p>
        </w:tc>
        <w:tc>
          <w:tcPr>
            <w:tcW w:w="10529" w:type="dxa"/>
            <w:tcBorders/>
          </w:tcPr>
          <w:p>
            <w:pPr>
              <w:pStyle w:val="TableContents"/>
              <w:bidi w:val="0"/>
              <w:spacing w:lineRule="auto" w:line="247" w:before="0" w:after="0"/>
              <w:ind w:left="0" w:right="694" w:firstLine="620"/>
              <w:jc w:val="both"/>
              <w:rPr>
                <w:rFonts w:ascii="Times New Roman" w:hAnsi="Times New Roman"/>
                <w:sz w:val="24"/>
              </w:rPr>
            </w:pPr>
            <w:r>
              <w:rPr>
                <w:rFonts w:ascii="Times New Roman" w:hAnsi="Times New Roman"/>
                <w:b w:val="false"/>
                <w:i w:val="false"/>
                <w:caps w:val="false"/>
                <w:smallCaps w:val="false"/>
                <w:sz w:val="24"/>
              </w:rPr>
              <w:t>9.</w:t>
            </w:r>
            <w:r>
              <w:rPr>
                <w:rFonts w:ascii="Times New Roman" w:hAnsi="Times New Roman"/>
                <w:sz w:val="24"/>
              </w:rPr>
              <w:t xml:space="preserve"> </w:t>
            </w:r>
            <w:r>
              <w:rPr>
                <w:rFonts w:ascii="Times New Roman" w:hAnsi="Times New Roman"/>
                <w:color w:val="000000"/>
                <w:sz w:val="24"/>
                <w:u w:val="single"/>
              </w:rPr>
              <w:t>No Defenses, Counterclaims or Rights of Offset</w:t>
            </w:r>
            <w:r>
              <w:rPr>
                <w:rFonts w:ascii="Times New Roman" w:hAnsi="Times New Roman"/>
                <w:color w:val="000000"/>
                <w:sz w:val="24"/>
              </w:rPr>
              <w:t>. As a material inducement to Lender and Administrative Agent to enter into this Agreement, Borrower hereby acknowledges, admits, and agrees that, as of the date of the execution and delivery of this Agreement, there exists no rights of offset, defense, counterclaims, claims, or objections in favor of Borrower against the Lender or Administrative Agent with respect to the Loan Documents, as amended to date or alternatively, that any and all such rights of offset, defenses, counterclaims, claims, or objections are hereby unconditionally and irrevocably waived and released.</w:t>
            </w:r>
          </w:p>
        </w:tc>
      </w:tr>
    </w:tbl>
    <w:p>
      <w:pPr>
        <w:pStyle w:val="TextBody"/>
        <w:bidi w:val="0"/>
        <w:spacing w:before="23"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8045" w:type="dxa"/>
        <w:jc w:val="left"/>
        <w:tblInd w:w="1080" w:type="dxa"/>
        <w:tblLayout w:type="fixed"/>
        <w:tblCellMar>
          <w:top w:w="0" w:type="dxa"/>
          <w:left w:w="0" w:type="dxa"/>
          <w:bottom w:w="0" w:type="dxa"/>
          <w:right w:w="0" w:type="dxa"/>
        </w:tblCellMar>
      </w:tblPr>
      <w:tblGrid>
        <w:gridCol w:w="635"/>
        <w:gridCol w:w="7410"/>
      </w:tblGrid>
      <w:tr>
        <w:trPr/>
        <w:tc>
          <w:tcPr>
            <w:tcW w:w="635" w:type="dxa"/>
            <w:tcBorders/>
            <w:vAlign w:val="center"/>
          </w:tcPr>
          <w:p>
            <w:pPr>
              <w:pStyle w:val="TableContents"/>
              <w:bidi w:val="0"/>
              <w:spacing w:before="0" w:after="283"/>
              <w:ind w:left="0" w:right="0" w:firstLine="620"/>
              <w:jc w:val="left"/>
              <w:rPr>
                <w:sz w:val="4"/>
                <w:szCs w:val="4"/>
              </w:rPr>
            </w:pPr>
            <w:r>
              <w:rPr>
                <w:sz w:val="4"/>
                <w:szCs w:val="4"/>
              </w:rPr>
            </w:r>
          </w:p>
        </w:tc>
        <w:tc>
          <w:tcPr>
            <w:tcW w:w="7410" w:type="dxa"/>
            <w:tcBorders/>
          </w:tcPr>
          <w:p>
            <w:pPr>
              <w:pStyle w:val="TableContents"/>
              <w:bidi w:val="0"/>
              <w:spacing w:lineRule="auto" w:line="247" w:before="0" w:after="0"/>
              <w:ind w:left="0" w:right="696" w:firstLine="620"/>
              <w:jc w:val="both"/>
              <w:rPr>
                <w:rFonts w:ascii="Times New Roman" w:hAnsi="Times New Roman"/>
                <w:sz w:val="24"/>
              </w:rPr>
            </w:pPr>
            <w:r>
              <w:rPr>
                <w:rFonts w:ascii="Times New Roman" w:hAnsi="Times New Roman"/>
                <w:b w:val="false"/>
                <w:i w:val="false"/>
                <w:caps w:val="false"/>
                <w:smallCaps w:val="false"/>
                <w:sz w:val="24"/>
              </w:rPr>
              <w:t>10.</w:t>
            </w:r>
            <w:r>
              <w:rPr>
                <w:rFonts w:ascii="Times New Roman" w:hAnsi="Times New Roman"/>
                <w:sz w:val="24"/>
              </w:rPr>
              <w:t xml:space="preserve"> </w:t>
            </w:r>
            <w:r>
              <w:rPr>
                <w:rFonts w:ascii="Times New Roman" w:hAnsi="Times New Roman"/>
                <w:color w:val="000000"/>
                <w:sz w:val="24"/>
                <w:u w:val="single"/>
              </w:rPr>
              <w:t>No Other Changes or Modification</w:t>
            </w:r>
            <w:r>
              <w:rPr>
                <w:rFonts w:ascii="Times New Roman" w:hAnsi="Times New Roman"/>
                <w:color w:val="000000"/>
                <w:sz w:val="24"/>
              </w:rPr>
              <w:t>. Nothing contained in this Agreement shall (a) be deemed to cancel, extinguish, release, discharge or constitute payment or satisfaction of the Notes or to affect the obligations represented by the Notes, or (b) be deemed to impair in any manner the validity, enforceability or priority in the Loan Agreement, the Mortgage, any other Loan Document or any lien thereof.</w:t>
            </w:r>
          </w:p>
        </w:tc>
      </w:tr>
    </w:tbl>
    <w:p>
      <w:pPr>
        <w:pStyle w:val="TextBody"/>
        <w:bidi w:val="0"/>
        <w:spacing w:before="23"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0909" w:type="dxa"/>
        <w:jc w:val="left"/>
        <w:tblInd w:w="1080" w:type="dxa"/>
        <w:tblLayout w:type="fixed"/>
        <w:tblCellMar>
          <w:top w:w="0" w:type="dxa"/>
          <w:left w:w="0" w:type="dxa"/>
          <w:bottom w:w="0" w:type="dxa"/>
          <w:right w:w="0" w:type="dxa"/>
        </w:tblCellMar>
      </w:tblPr>
      <w:tblGrid>
        <w:gridCol w:w="635"/>
        <w:gridCol w:w="10274"/>
      </w:tblGrid>
      <w:tr>
        <w:trPr/>
        <w:tc>
          <w:tcPr>
            <w:tcW w:w="635" w:type="dxa"/>
            <w:tcBorders/>
            <w:vAlign w:val="center"/>
          </w:tcPr>
          <w:p>
            <w:pPr>
              <w:pStyle w:val="TableContents"/>
              <w:bidi w:val="0"/>
              <w:spacing w:before="0" w:after="283"/>
              <w:ind w:left="0" w:right="0" w:firstLine="620"/>
              <w:jc w:val="left"/>
              <w:rPr>
                <w:sz w:val="4"/>
                <w:szCs w:val="4"/>
              </w:rPr>
            </w:pPr>
            <w:r>
              <w:rPr>
                <w:sz w:val="4"/>
                <w:szCs w:val="4"/>
              </w:rPr>
            </w:r>
          </w:p>
        </w:tc>
        <w:tc>
          <w:tcPr>
            <w:tcW w:w="10274" w:type="dxa"/>
            <w:tcBorders/>
          </w:tcPr>
          <w:p>
            <w:pPr>
              <w:pStyle w:val="TableContents"/>
              <w:pBdr/>
              <w:bidi w:val="0"/>
              <w:spacing w:lineRule="auto" w:line="247" w:before="0" w:after="0"/>
              <w:ind w:left="0" w:right="694" w:firstLine="620"/>
              <w:jc w:val="both"/>
              <w:rPr>
                <w:rFonts w:ascii="Times New Roman" w:hAnsi="Times New Roman"/>
                <w:sz w:val="24"/>
              </w:rPr>
            </w:pPr>
            <w:r>
              <w:rPr>
                <w:rFonts w:ascii="Times New Roman" w:hAnsi="Times New Roman"/>
                <w:b w:val="false"/>
                <w:i w:val="false"/>
                <w:caps w:val="false"/>
                <w:smallCaps w:val="false"/>
                <w:sz w:val="24"/>
              </w:rPr>
              <w:t>11.</w:t>
            </w:r>
            <w:r>
              <w:rPr>
                <w:rFonts w:ascii="Times New Roman" w:hAnsi="Times New Roman"/>
                <w:sz w:val="24"/>
              </w:rPr>
              <w:t xml:space="preserve"> </w:t>
            </w:r>
            <w:r>
              <w:rPr>
                <w:rFonts w:ascii="Times New Roman" w:hAnsi="Times New Roman"/>
                <w:color w:val="000000"/>
                <w:sz w:val="24"/>
                <w:u w:val="single"/>
              </w:rPr>
              <w:t>Confirmation and Reaffirmation</w:t>
            </w:r>
            <w:r>
              <w:rPr>
                <w:rFonts w:ascii="Times New Roman" w:hAnsi="Times New Roman"/>
                <w:color w:val="000000"/>
                <w:sz w:val="24"/>
              </w:rPr>
              <w:t>. All of the terms, covenants, conditions, waivers and consents contained in the Loan Documents shall, remain in full force and effect. The Loan</w:t>
            </w:r>
          </w:p>
        </w:tc>
      </w:tr>
    </w:tbl>
    <w:p>
      <w:pPr>
        <w:pStyle w:val="TextBody"/>
        <w:pBdr/>
        <w:bidi w:val="0"/>
        <w:spacing w:lineRule="auto" w:line="247" w:before="0" w:after="0"/>
        <w:ind w:left="1425" w:right="1427" w:firstLine="720"/>
        <w:jc w:val="both"/>
        <w:rPr/>
      </w:pPr>
      <w:r>
        <w:rPr/>
        <w:t xml:space="preserve">  </w:t>
      </w:r>
    </w:p>
    <w:p>
      <w:pPr>
        <w:pStyle w:val="TextBody"/>
        <w:bidi w:val="0"/>
        <w:spacing w:before="0" w:after="0"/>
        <w:ind w:left="1080" w:right="1080" w:hanging="0"/>
        <w:jc w:val="center"/>
        <w:rPr>
          <w:rFonts w:ascii="Times New Roman" w:hAnsi="Times New Roman"/>
          <w:sz w:val="22"/>
        </w:rPr>
      </w:pPr>
      <w:r>
        <w:rPr>
          <w:rFonts w:ascii="Times New Roman" w:hAnsi="Times New Roman"/>
          <w:sz w:val="22"/>
        </w:rPr>
        <w:t xml:space="preserve">4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pBdr/>
        <w:bidi w:val="0"/>
        <w:spacing w:lineRule="auto" w:line="247" w:before="71" w:after="0"/>
        <w:ind w:left="1425" w:right="1427" w:hanging="0"/>
        <w:jc w:val="both"/>
        <w:rPr>
          <w:rFonts w:ascii="Times New Roman" w:hAnsi="Times New Roman"/>
          <w:sz w:val="24"/>
        </w:rPr>
      </w:pPr>
      <w:r>
        <w:rPr>
          <w:rFonts w:ascii="Times New Roman" w:hAnsi="Times New Roman"/>
          <w:sz w:val="24"/>
        </w:rPr>
        <w:t xml:space="preserve">Documents, as hereby amended, and the indebtedness evidenced thereby are hereby ratified and confirmed, and each and every grant, provision, covenant, condition, obligation, right and power contained therein or existing with respect thereto shall continue in full force and effect. Borrower hereby acknowledges and agrees that the Loan Documents, as amended, are enforceable against Borrower in accordance with their terms. </w:t>
      </w:r>
    </w:p>
    <w:p>
      <w:pPr>
        <w:pStyle w:val="TextBody"/>
        <w:pBdr/>
        <w:bidi w:val="0"/>
        <w:spacing w:before="24" w:after="0"/>
        <w:ind w:left="1080" w:right="1080" w:hanging="0"/>
        <w:jc w:val="left"/>
        <w:rPr>
          <w:rFonts w:cs="Times New Roman"/>
          <w:szCs w:val="24"/>
        </w:rPr>
      </w:pPr>
      <w:r>
        <w:rPr>
          <w:rFonts w:cs="Times New Roman"/>
          <w:szCs w:val="24"/>
        </w:rPr>
        <w:t xml:space="preserve">﻿ </w:t>
      </w:r>
    </w:p>
    <w:tbl>
      <w:tblPr>
        <w:tblW w:w="11415" w:type="dxa"/>
        <w:jc w:val="left"/>
        <w:tblInd w:w="1080" w:type="dxa"/>
        <w:tblLayout w:type="fixed"/>
        <w:tblCellMar>
          <w:top w:w="0" w:type="dxa"/>
          <w:left w:w="0" w:type="dxa"/>
          <w:bottom w:w="0" w:type="dxa"/>
          <w:right w:w="0" w:type="dxa"/>
        </w:tblCellMar>
      </w:tblPr>
      <w:tblGrid>
        <w:gridCol w:w="635"/>
        <w:gridCol w:w="10780"/>
      </w:tblGrid>
      <w:tr>
        <w:trPr/>
        <w:tc>
          <w:tcPr>
            <w:tcW w:w="635" w:type="dxa"/>
            <w:tcBorders/>
            <w:vAlign w:val="center"/>
          </w:tcPr>
          <w:p>
            <w:pPr>
              <w:pStyle w:val="TableContents"/>
              <w:bidi w:val="0"/>
              <w:spacing w:before="0" w:after="283"/>
              <w:ind w:left="0" w:right="0" w:firstLine="620"/>
              <w:jc w:val="left"/>
              <w:rPr>
                <w:sz w:val="4"/>
                <w:szCs w:val="4"/>
              </w:rPr>
            </w:pPr>
            <w:r>
              <w:rPr>
                <w:sz w:val="4"/>
                <w:szCs w:val="4"/>
              </w:rPr>
            </w:r>
          </w:p>
        </w:tc>
        <w:tc>
          <w:tcPr>
            <w:tcW w:w="10780" w:type="dxa"/>
            <w:tcBorders/>
          </w:tcPr>
          <w:p>
            <w:pPr>
              <w:pStyle w:val="TableContents"/>
              <w:bidi w:val="0"/>
              <w:spacing w:lineRule="auto" w:line="247" w:before="0" w:after="0"/>
              <w:ind w:left="0" w:right="690" w:firstLine="620"/>
              <w:jc w:val="both"/>
              <w:rPr>
                <w:rFonts w:ascii="Times New Roman" w:hAnsi="Times New Roman"/>
                <w:sz w:val="24"/>
              </w:rPr>
            </w:pPr>
            <w:r>
              <w:rPr>
                <w:rFonts w:ascii="Times New Roman" w:hAnsi="Times New Roman"/>
                <w:b w:val="false"/>
                <w:i w:val="false"/>
                <w:caps w:val="false"/>
                <w:smallCaps w:val="false"/>
                <w:sz w:val="24"/>
              </w:rPr>
              <w:t>12.</w:t>
            </w:r>
            <w:r>
              <w:rPr>
                <w:rFonts w:ascii="Times New Roman" w:hAnsi="Times New Roman"/>
                <w:sz w:val="24"/>
              </w:rPr>
              <w:t xml:space="preserve"> </w:t>
            </w:r>
            <w:r>
              <w:rPr>
                <w:rFonts w:ascii="Times New Roman" w:hAnsi="Times New Roman"/>
                <w:color w:val="000000"/>
                <w:sz w:val="24"/>
                <w:u w:val="single"/>
              </w:rPr>
              <w:t>Further Assurances</w:t>
            </w:r>
            <w:r>
              <w:rPr>
                <w:rFonts w:ascii="Times New Roman" w:hAnsi="Times New Roman"/>
                <w:color w:val="000000"/>
                <w:sz w:val="24"/>
              </w:rPr>
              <w:t>. Upon request of the Administrative Agent, Borrower shall make, execute, and deliver (or shall cause to be made, executed, and delivered) to Administrative Agent any and all such other documents and instruments that they may consider reasonably necessary to correct any errors in or omissions from this Agreement, or any of the Loan Documents, or to effectuate, complete, perfect, continue or preserve their respective obligations thereunder or any of the liens, security interests, grants, rights, or other interests of or in favor of Administrative Agent thereunder. Borrower shall take all such actions that Administrative Agent may reasonably request from time to time in order to accomplish and satisfy the provisions of this Agreement.</w:t>
            </w:r>
          </w:p>
        </w:tc>
      </w:tr>
    </w:tbl>
    <w:p>
      <w:pPr>
        <w:pStyle w:val="TextBody"/>
        <w:bidi w:val="0"/>
        <w:spacing w:before="21"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886" w:type="dxa"/>
        <w:jc w:val="left"/>
        <w:tblInd w:w="1080" w:type="dxa"/>
        <w:tblLayout w:type="fixed"/>
        <w:tblCellMar>
          <w:top w:w="0" w:type="dxa"/>
          <w:left w:w="0" w:type="dxa"/>
          <w:bottom w:w="0" w:type="dxa"/>
          <w:right w:w="0" w:type="dxa"/>
        </w:tblCellMar>
      </w:tblPr>
      <w:tblGrid>
        <w:gridCol w:w="38"/>
        <w:gridCol w:w="380"/>
        <w:gridCol w:w="23"/>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b w:val="false"/>
                <w:i w:val="false"/>
                <w:caps w:val="false"/>
                <w:smallCaps w:val="false"/>
                <w:sz w:val="24"/>
              </w:rPr>
              <w:t>13.</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4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color w:val="000000"/>
                <w:sz w:val="24"/>
                <w:u w:val="single"/>
              </w:rPr>
              <w:t>Miscellaneous</w:t>
            </w:r>
            <w:r>
              <w:rPr>
                <w:rFonts w:ascii="Times New Roman" w:hAnsi="Times New Roman"/>
                <w:color w:val="000000"/>
                <w:sz w:val="24"/>
              </w:rPr>
              <w:t>.</w:t>
            </w:r>
          </w:p>
        </w:tc>
      </w:tr>
    </w:tbl>
    <w:p>
      <w:pPr>
        <w:pStyle w:val="TextBody"/>
        <w:bidi w:val="0"/>
        <w:spacing w:before="7"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8045" w:type="dxa"/>
        <w:jc w:val="left"/>
        <w:tblInd w:w="1080" w:type="dxa"/>
        <w:tblLayout w:type="fixed"/>
        <w:tblCellMar>
          <w:top w:w="0" w:type="dxa"/>
          <w:left w:w="0" w:type="dxa"/>
          <w:bottom w:w="0" w:type="dxa"/>
          <w:right w:w="0" w:type="dxa"/>
        </w:tblCellMar>
      </w:tblPr>
      <w:tblGrid>
        <w:gridCol w:w="735"/>
        <w:gridCol w:w="73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7310" w:type="dxa"/>
            <w:tcBorders/>
          </w:tcPr>
          <w:p>
            <w:pPr>
              <w:pStyle w:val="TableContents"/>
              <w:bidi w:val="0"/>
              <w:spacing w:lineRule="auto" w:line="247" w:before="0" w:after="0"/>
              <w:ind w:left="0" w:right="694" w:firstLine="72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r>
              <w:rPr>
                <w:rFonts w:ascii="Times New Roman" w:hAnsi="Times New Roman"/>
                <w:color w:val="000000"/>
                <w:sz w:val="24"/>
              </w:rPr>
              <w:t>The caption and section headings in this Agreement are for convenience only and are not intended to define, alter, limit or enlarge in any way the scope of the meaning of this Agreement or any term or provisions set forth in this Agreement.</w:t>
            </w:r>
          </w:p>
        </w:tc>
      </w:tr>
    </w:tbl>
    <w:p>
      <w:pPr>
        <w:pStyle w:val="TextBody"/>
        <w:bidi w:val="0"/>
        <w:spacing w:before="64"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1493" w:type="dxa"/>
        <w:jc w:val="left"/>
        <w:tblInd w:w="1080" w:type="dxa"/>
        <w:tblLayout w:type="fixed"/>
        <w:tblCellMar>
          <w:top w:w="0" w:type="dxa"/>
          <w:left w:w="0" w:type="dxa"/>
          <w:bottom w:w="0" w:type="dxa"/>
          <w:right w:w="0" w:type="dxa"/>
        </w:tblCellMar>
      </w:tblPr>
      <w:tblGrid>
        <w:gridCol w:w="735"/>
        <w:gridCol w:w="10758"/>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758" w:type="dxa"/>
            <w:tcBorders/>
          </w:tcPr>
          <w:p>
            <w:pPr>
              <w:pStyle w:val="TableContents"/>
              <w:bidi w:val="0"/>
              <w:spacing w:lineRule="auto" w:line="247" w:before="1" w:after="0"/>
              <w:ind w:left="0" w:right="658" w:firstLine="720"/>
              <w:jc w:val="both"/>
              <w:rPr>
                <w:rFonts w:ascii="Times New Roman" w:hAnsi="Times New Roman"/>
                <w:sz w:val="24"/>
              </w:rPr>
            </w:pPr>
            <w:r>
              <w:rPr>
                <w:rFonts w:ascii="Times New Roman" w:hAnsi="Times New Roman"/>
                <w:b w:val="false"/>
                <w:i w:val="false"/>
                <w:caps w:val="false"/>
                <w:smallCaps w:val="false"/>
                <w:sz w:val="24"/>
              </w:rPr>
              <w:t>(b)</w:t>
            </w:r>
            <w:r>
              <w:rPr>
                <w:rFonts w:ascii="Times New Roman" w:hAnsi="Times New Roman"/>
                <w:sz w:val="24"/>
              </w:rPr>
              <w:t xml:space="preserve"> </w:t>
            </w:r>
            <w:r>
              <w:rPr>
                <w:rFonts w:ascii="Times New Roman" w:hAnsi="Times New Roman"/>
                <w:color w:val="000000"/>
                <w:sz w:val="24"/>
              </w:rPr>
              <w:t>This Agreement may be executed simultaneously in any number of counterparts and sent via facsimile (and/or electronic email/pdf) to the parties, each of which when so executed and delivered shall be taken to be an original, but such counterparts shall together constitute but one and the same document. Telefacsimile transmissions (or such electronic copies) of any executed original counterpart signature page to this Agreement and/or retransmission of such any executed telefacsimile transmission (or such electronic copies) shall be deemed to be the same as the delivery of an executed original and the parties may not claim any defect based upon the other parties’ inability to produce a “</w:t>
            </w:r>
            <w:r>
              <w:rPr>
                <w:rFonts w:ascii="Times New Roman" w:hAnsi="Times New Roman"/>
                <w:color w:val="000000"/>
                <w:sz w:val="24"/>
                <w:u w:val="single"/>
              </w:rPr>
              <w:t>hard</w:t>
            </w:r>
            <w:r>
              <w:rPr>
                <w:rFonts w:ascii="Times New Roman" w:hAnsi="Times New Roman"/>
                <w:color w:val="000000"/>
                <w:sz w:val="24"/>
              </w:rPr>
              <w:t>” signature copy.</w:t>
            </w:r>
          </w:p>
        </w:tc>
      </w:tr>
    </w:tbl>
    <w:p>
      <w:pPr>
        <w:pStyle w:val="TextBody"/>
        <w:bidi w:val="0"/>
        <w:spacing w:before="20"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1334" w:type="dxa"/>
        <w:jc w:val="left"/>
        <w:tblInd w:w="1080" w:type="dxa"/>
        <w:tblLayout w:type="fixed"/>
        <w:tblCellMar>
          <w:top w:w="0" w:type="dxa"/>
          <w:left w:w="0" w:type="dxa"/>
          <w:bottom w:w="0" w:type="dxa"/>
          <w:right w:w="0" w:type="dxa"/>
        </w:tblCellMar>
      </w:tblPr>
      <w:tblGrid>
        <w:gridCol w:w="735"/>
        <w:gridCol w:w="10599"/>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10599" w:type="dxa"/>
            <w:tcBorders/>
          </w:tcPr>
          <w:p>
            <w:pPr>
              <w:pStyle w:val="TableContents"/>
              <w:bidi w:val="0"/>
              <w:spacing w:lineRule="auto" w:line="247" w:before="1" w:after="0"/>
              <w:ind w:left="0" w:right="694" w:firstLine="720"/>
              <w:jc w:val="both"/>
              <w:rPr>
                <w:rFonts w:ascii="Times New Roman" w:hAnsi="Times New Roman"/>
                <w:sz w:val="24"/>
              </w:rPr>
            </w:pPr>
            <w:r>
              <w:rPr>
                <w:rFonts w:ascii="Times New Roman" w:hAnsi="Times New Roman"/>
                <w:b w:val="false"/>
                <w:i w:val="false"/>
                <w:caps w:val="false"/>
                <w:smallCaps w:val="false"/>
                <w:sz w:val="24"/>
              </w:rPr>
              <w:t>(c)</w:t>
            </w:r>
            <w:r>
              <w:rPr>
                <w:rFonts w:ascii="Times New Roman" w:hAnsi="Times New Roman"/>
                <w:sz w:val="24"/>
              </w:rPr>
              <w:t xml:space="preserve"> </w:t>
            </w:r>
            <w:r>
              <w:rPr>
                <w:rFonts w:ascii="Times New Roman" w:hAnsi="Times New Roman"/>
                <w:color w:val="000000"/>
                <w:sz w:val="24"/>
              </w:rPr>
              <w:t>This Agreement shall bind and inure to the benefit of the parties hereto and their respective successors and assigns. This Agreement and obligations of such parties hereunder are and at all times shall be deemed to be for the exclusive benefit of such parties and their respective successors and assigns, and nothing set forth herein shall be deemed to be for the benefit of any other person.</w:t>
            </w:r>
          </w:p>
        </w:tc>
      </w:tr>
    </w:tbl>
    <w:p>
      <w:pPr>
        <w:pStyle w:val="TextBody"/>
        <w:bidi w:val="0"/>
        <w:spacing w:before="24" w:after="0"/>
        <w:ind w:left="1080" w:right="1080" w:hanging="0"/>
        <w:jc w:val="left"/>
        <w:rPr>
          <w:rFonts w:cs="Times New Roman"/>
          <w:szCs w:val="24"/>
        </w:rPr>
      </w:pPr>
      <w:r>
        <w:rPr>
          <w:rFonts w:cs="Times New Roman"/>
          <w:color w:val="000000"/>
          <w:szCs w:val="24"/>
        </w:rPr>
        <w:t>﻿</w:t>
      </w:r>
      <w:r>
        <w:rPr>
          <w:rFonts w:cs="Times New Roman"/>
          <w:szCs w:val="24"/>
        </w:rPr>
        <w:t xml:space="preserve"> </w:t>
      </w:r>
    </w:p>
    <w:tbl>
      <w:tblPr>
        <w:tblW w:w="10108" w:type="dxa"/>
        <w:jc w:val="left"/>
        <w:tblInd w:w="1080" w:type="dxa"/>
        <w:tblLayout w:type="fixed"/>
        <w:tblCellMar>
          <w:top w:w="0" w:type="dxa"/>
          <w:left w:w="0" w:type="dxa"/>
          <w:bottom w:w="0" w:type="dxa"/>
          <w:right w:w="0" w:type="dxa"/>
        </w:tblCellMar>
      </w:tblPr>
      <w:tblGrid>
        <w:gridCol w:w="735"/>
        <w:gridCol w:w="9373"/>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9373" w:type="dxa"/>
            <w:tcBorders/>
          </w:tcPr>
          <w:p>
            <w:pPr>
              <w:pStyle w:val="TableContents"/>
              <w:bidi w:val="0"/>
              <w:spacing w:lineRule="auto" w:line="244" w:before="0" w:after="0"/>
              <w:ind w:left="0" w:right="698" w:firstLine="720"/>
              <w:jc w:val="both"/>
              <w:rPr>
                <w:rFonts w:ascii="Times New Roman" w:hAnsi="Times New Roman"/>
                <w:sz w:val="24"/>
              </w:rPr>
            </w:pPr>
            <w:r>
              <w:rPr>
                <w:rFonts w:ascii="Times New Roman" w:hAnsi="Times New Roman"/>
                <w:b w:val="false"/>
                <w:i w:val="false"/>
                <w:caps w:val="false"/>
                <w:smallCaps w:val="false"/>
                <w:sz w:val="24"/>
              </w:rPr>
              <w:t>(d)</w:t>
            </w:r>
            <w:r>
              <w:rPr>
                <w:rFonts w:ascii="Times New Roman" w:hAnsi="Times New Roman"/>
                <w:sz w:val="24"/>
              </w:rPr>
              <w:t xml:space="preserve"> </w:t>
            </w:r>
            <w:r>
              <w:rPr>
                <w:rFonts w:ascii="Times New Roman" w:hAnsi="Times New Roman"/>
                <w:color w:val="000000"/>
                <w:sz w:val="24"/>
              </w:rPr>
              <w:t>This Agreement shall be governed and construed in accordance with the laws of the State of New York, without regard to principles of conflicts of law.</w:t>
            </w:r>
          </w:p>
        </w:tc>
      </w:tr>
    </w:tbl>
    <w:p>
      <w:pPr>
        <w:pStyle w:val="TextBody"/>
        <w:pBdr/>
        <w:bidi w:val="0"/>
        <w:spacing w:before="30" w:after="0"/>
        <w:ind w:left="1080" w:right="108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0"/>
        <w:ind w:left="1801" w:right="1080" w:hanging="0"/>
        <w:jc w:val="center"/>
        <w:rPr>
          <w:rFonts w:ascii="Times New Roman" w:hAnsi="Times New Roman"/>
          <w:sz w:val="24"/>
        </w:rPr>
      </w:pPr>
      <w:r>
        <w:rPr>
          <w:rFonts w:ascii="Times New Roman" w:hAnsi="Times New Roman"/>
          <w:color w:val="000000"/>
          <w:sz w:val="24"/>
        </w:rPr>
        <w:t>[Signature page follows]</w:t>
      </w:r>
      <w:r>
        <w:rPr>
          <w:rFonts w:ascii="Times New Roman" w:hAnsi="Times New Roman"/>
          <w:sz w:val="24"/>
        </w:rPr>
        <w:t xml:space="preserve"> </w:t>
      </w:r>
    </w:p>
    <w:p>
      <w:pPr>
        <w:pStyle w:val="TextBody"/>
        <w:pBdr/>
        <w:bidi w:val="0"/>
        <w:spacing w:lineRule="auto" w:line="247" w:before="32" w:after="0"/>
        <w:ind w:left="1425" w:right="1427" w:firstLine="720"/>
        <w:jc w:val="both"/>
        <w:rPr>
          <w:rFonts w:ascii="Times New Roman" w:hAnsi="Times New Roman"/>
          <w:sz w:val="24"/>
        </w:rPr>
      </w:pPr>
      <w:r>
        <w:rPr>
          <w:rFonts w:ascii="Times New Roman" w:hAnsi="Times New Roman"/>
          <w:color w:val="000000"/>
          <w:sz w:val="24"/>
        </w:rPr>
        <w:t>IN WITNESS WHEREOF this Second Omnibus Loan Modification and Extension Agreement has been duly executed and delivered as of the date set forth in the introductory paragraph hereof.</w:t>
      </w:r>
      <w:r>
        <w:rPr>
          <w:rFonts w:ascii="Times New Roman" w:hAnsi="Times New Roman"/>
          <w:sz w:val="24"/>
        </w:rPr>
        <w:t xml:space="preserve"> </w:t>
      </w:r>
    </w:p>
    <w:p>
      <w:pPr>
        <w:pStyle w:val="TextBody"/>
        <w:pBdr/>
        <w:bidi w:val="0"/>
        <w:spacing w:lineRule="auto" w:line="247" w:before="0" w:after="0"/>
        <w:ind w:left="1080" w:right="1080" w:hanging="0"/>
        <w:jc w:val="both"/>
        <w:rPr/>
      </w:pPr>
      <w:r>
        <w:rPr/>
        <w:t xml:space="preserve">  </w:t>
      </w:r>
    </w:p>
    <w:p>
      <w:pPr>
        <w:pStyle w:val="TextBody"/>
        <w:bidi w:val="0"/>
        <w:spacing w:before="0" w:after="0"/>
        <w:ind w:left="1080" w:right="1080" w:hanging="0"/>
        <w:jc w:val="center"/>
        <w:rPr>
          <w:rFonts w:ascii="Times New Roman" w:hAnsi="Times New Roman"/>
          <w:sz w:val="22"/>
        </w:rPr>
      </w:pPr>
      <w:r>
        <w:rPr>
          <w:rFonts w:ascii="Times New Roman" w:hAnsi="Times New Roman"/>
          <w:sz w:val="22"/>
        </w:rPr>
        <w:t xml:space="preserve">5 </w:t>
      </w:r>
    </w:p>
    <w:p>
      <w:pPr>
        <w:pStyle w:val="HorizontalLine"/>
        <w:pBdr>
          <w:bottom w:val="double" w:sz="6" w:space="0" w:color="808080"/>
        </w:pBdr>
        <w:bidi w:val="0"/>
        <w:ind w:left="1080" w:right="1080" w:hanging="0"/>
        <w:jc w:val="left"/>
        <w:rPr/>
      </w:pPr>
      <w:r>
        <w:rPr/>
      </w:r>
    </w:p>
    <w:p>
      <w:pPr>
        <w:pStyle w:val="TextBody"/>
        <w:bidi w:val="0"/>
        <w:ind w:left="1080" w:right="1080" w:hanging="0"/>
        <w:jc w:val="left"/>
        <w:rPr/>
      </w:pPr>
      <w:r>
        <w:rPr/>
        <w:t> </w:t>
      </w:r>
      <w:r>
        <w:br w:type="page"/>
      </w:r>
    </w:p>
    <w:p>
      <w:pPr>
        <w:pStyle w:val="TextBody"/>
        <w:pBdr/>
        <w:bidi w:val="0"/>
        <w:spacing w:before="71" w:after="0"/>
        <w:ind w:left="5031" w:right="1080" w:hanging="0"/>
        <w:jc w:val="left"/>
        <w:rPr>
          <w:rFonts w:ascii="Times New Roman" w:hAnsi="Times New Roman"/>
          <w:sz w:val="24"/>
        </w:rPr>
      </w:pPr>
      <w:r>
        <w:rPr>
          <w:rFonts w:ascii="Times New Roman" w:hAnsi="Times New Roman"/>
          <w:sz w:val="24"/>
        </w:rPr>
        <w:t xml:space="preserve">BORROWER: </w:t>
      </w:r>
    </w:p>
    <w:p>
      <w:pPr>
        <w:pStyle w:val="TextBody"/>
        <w:pBdr/>
        <w:bidi w:val="0"/>
        <w:spacing w:before="54" w:after="0"/>
        <w:ind w:left="1080" w:right="1080" w:hanging="0"/>
        <w:jc w:val="left"/>
        <w:rPr>
          <w:rFonts w:cs="Times New Roman"/>
          <w:szCs w:val="24"/>
        </w:rPr>
      </w:pPr>
      <w:r>
        <w:rPr>
          <w:rFonts w:cs="Times New Roman"/>
          <w:szCs w:val="24"/>
        </w:rPr>
        <w:t xml:space="preserve">﻿ </w:t>
      </w:r>
    </w:p>
    <w:p>
      <w:pPr>
        <w:pStyle w:val="TextBody"/>
        <w:pBdr/>
        <w:bidi w:val="0"/>
        <w:spacing w:before="0" w:after="0"/>
        <w:ind w:left="5053" w:right="1080" w:hanging="0"/>
        <w:jc w:val="left"/>
        <w:rPr>
          <w:rFonts w:ascii="Times New Roman" w:hAnsi="Times New Roman"/>
          <w:sz w:val="24"/>
        </w:rPr>
      </w:pPr>
      <w:r>
        <w:rPr>
          <w:rFonts w:ascii="Times New Roman" w:hAnsi="Times New Roman"/>
          <w:sz w:val="24"/>
        </w:rPr>
        <w:t xml:space="preserve">Reading Tammany Owner LLC </w:t>
      </w:r>
    </w:p>
    <w:p>
      <w:pPr>
        <w:pStyle w:val="TextBody"/>
        <w:pBdr/>
        <w:bidi w:val="0"/>
        <w:spacing w:before="258" w:after="0"/>
        <w:ind w:left="6120" w:right="1080" w:hanging="0"/>
        <w:jc w:val="left"/>
        <w:rPr>
          <w:rFonts w:ascii="Times New Roman" w:hAnsi="Times New Roman"/>
          <w:sz w:val="24"/>
        </w:rPr>
      </w:pPr>
      <w:r>
        <w:rPr>
          <w:rFonts w:ascii="Times New Roman" w:hAnsi="Times New Roman"/>
          <w:sz w:val="24"/>
        </w:rPr>
        <w:t xml:space="preserve">/s/ Gilbert Avanes </w:t>
      </w:r>
    </w:p>
    <w:p>
      <w:pPr>
        <w:pStyle w:val="TextBody"/>
        <w:pBdr/>
        <w:bidi w:val="0"/>
        <w:spacing w:before="0" w:after="0"/>
        <w:ind w:left="5428" w:right="1080" w:hanging="0"/>
        <w:jc w:val="left"/>
        <w:rPr>
          <w:rFonts w:ascii="Times New Roman" w:hAnsi="Times New Roman"/>
          <w:sz w:val="24"/>
        </w:rPr>
      </w:pPr>
      <w:r>
        <w:rPr>
          <w:rFonts w:ascii="Times New Roman" w:hAnsi="Times New Roman"/>
          <w:sz w:val="24"/>
        </w:rPr>
        <w:t xml:space="preserve">By: </w:t>
      </w:r>
    </w:p>
    <w:p>
      <w:pPr>
        <w:pStyle w:val="TextBody"/>
        <w:pBdr/>
        <w:bidi w:val="0"/>
        <w:spacing w:lineRule="auto" w:line="264" w:before="32" w:after="0"/>
        <w:ind w:left="6047" w:right="3557" w:hanging="57"/>
        <w:jc w:val="left"/>
        <w:rPr>
          <w:rFonts w:ascii="Times New Roman" w:hAnsi="Times New Roman"/>
          <w:sz w:val="24"/>
        </w:rPr>
      </w:pPr>
      <w:r>
        <w:rPr>
          <w:rFonts w:ascii="Times New Roman" w:hAnsi="Times New Roman"/>
          <w:sz w:val="24"/>
        </w:rPr>
        <w:t xml:space="preserve">Name: Gilbert Avanes Title: Authorized Signatory </w:t>
      </w:r>
    </w:p>
    <w:p>
      <w:pPr>
        <w:pStyle w:val="TextBody"/>
        <w:pBdr/>
        <w:bidi w:val="0"/>
        <w:spacing w:before="248" w:after="0"/>
        <w:ind w:left="5042" w:right="1080" w:hanging="0"/>
        <w:jc w:val="left"/>
        <w:rPr>
          <w:rFonts w:ascii="Times New Roman" w:hAnsi="Times New Roman"/>
          <w:sz w:val="24"/>
        </w:rPr>
      </w:pPr>
      <w:r>
        <w:rPr>
          <w:rFonts w:ascii="Times New Roman" w:hAnsi="Times New Roman"/>
          <w:sz w:val="24"/>
        </w:rPr>
        <w:t xml:space="preserve">US Development, LLC </w:t>
      </w:r>
    </w:p>
    <w:p>
      <w:pPr>
        <w:pStyle w:val="TextBody"/>
        <w:pBdr/>
        <w:bidi w:val="0"/>
        <w:spacing w:before="258" w:after="0"/>
        <w:ind w:left="6120" w:right="1080" w:hanging="0"/>
        <w:jc w:val="left"/>
        <w:rPr>
          <w:rFonts w:ascii="Times New Roman" w:hAnsi="Times New Roman"/>
          <w:sz w:val="24"/>
        </w:rPr>
      </w:pPr>
      <w:r>
        <w:rPr>
          <w:rFonts w:ascii="Times New Roman" w:hAnsi="Times New Roman"/>
          <w:sz w:val="24"/>
        </w:rPr>
        <w:t xml:space="preserve">/s/ Gilbert Avanes </w:t>
      </w:r>
    </w:p>
    <w:p>
      <w:pPr>
        <w:pStyle w:val="TextBody"/>
        <w:pBdr/>
        <w:bidi w:val="0"/>
        <w:spacing w:before="0" w:after="0"/>
        <w:ind w:left="5428" w:right="1080" w:hanging="0"/>
        <w:jc w:val="left"/>
        <w:rPr>
          <w:rFonts w:ascii="Times New Roman" w:hAnsi="Times New Roman"/>
          <w:sz w:val="24"/>
        </w:rPr>
      </w:pPr>
      <w:r>
        <w:rPr>
          <w:rFonts w:ascii="Times New Roman" w:hAnsi="Times New Roman"/>
          <w:sz w:val="24"/>
        </w:rPr>
        <w:t xml:space="preserve">By: </w:t>
      </w:r>
    </w:p>
    <w:p>
      <w:pPr>
        <w:pStyle w:val="TextBody"/>
        <w:pBdr/>
        <w:bidi w:val="0"/>
        <w:spacing w:lineRule="auto" w:line="264" w:before="33" w:after="0"/>
        <w:ind w:left="6047" w:right="3557" w:hanging="57"/>
        <w:jc w:val="left"/>
        <w:rPr>
          <w:rFonts w:ascii="Times New Roman" w:hAnsi="Times New Roman"/>
          <w:sz w:val="24"/>
        </w:rPr>
      </w:pPr>
      <w:r>
        <w:rPr>
          <w:rFonts w:ascii="Times New Roman" w:hAnsi="Times New Roman"/>
          <w:sz w:val="24"/>
        </w:rPr>
        <w:t xml:space="preserve">Name: Gilbert Avanes Title: Authorized Signatory </w:t>
      </w:r>
    </w:p>
    <w:p>
      <w:pPr>
        <w:pStyle w:val="TextBody"/>
        <w:pBdr/>
        <w:bidi w:val="0"/>
        <w:spacing w:before="24" w:after="0"/>
        <w:ind w:left="1080" w:right="1080" w:hanging="0"/>
        <w:jc w:val="left"/>
        <w:rPr>
          <w:rFonts w:cs="Times New Roman"/>
          <w:szCs w:val="24"/>
        </w:rPr>
      </w:pPr>
      <w:r>
        <w:rPr>
          <w:rFonts w:cs="Times New Roman"/>
          <w:szCs w:val="24"/>
        </w:rPr>
        <w:t xml:space="preserve">﻿ </w:t>
      </w:r>
    </w:p>
    <w:p>
      <w:pPr>
        <w:pStyle w:val="TextBody"/>
        <w:pBdr/>
        <w:bidi w:val="0"/>
        <w:spacing w:before="0" w:after="0"/>
        <w:ind w:left="5034" w:right="1080" w:hanging="0"/>
        <w:jc w:val="left"/>
        <w:rPr>
          <w:rFonts w:ascii="Times New Roman" w:hAnsi="Times New Roman"/>
          <w:sz w:val="24"/>
        </w:rPr>
      </w:pPr>
      <w:r>
        <w:rPr>
          <w:rFonts w:ascii="Times New Roman" w:hAnsi="Times New Roman"/>
          <w:sz w:val="24"/>
        </w:rPr>
        <w:t xml:space="preserve">LENDER: </w:t>
      </w:r>
    </w:p>
    <w:p>
      <w:pPr>
        <w:pStyle w:val="TextBody"/>
        <w:pBdr/>
        <w:bidi w:val="0"/>
        <w:spacing w:before="143" w:after="0"/>
        <w:ind w:left="1080" w:right="1080" w:hanging="0"/>
        <w:jc w:val="left"/>
        <w:rPr>
          <w:rFonts w:cs="Times New Roman"/>
          <w:szCs w:val="24"/>
        </w:rPr>
      </w:pPr>
      <w:r>
        <w:rPr>
          <w:rFonts w:cs="Times New Roman"/>
          <w:szCs w:val="24"/>
        </w:rPr>
        <w:t xml:space="preserve">﻿ </w:t>
      </w:r>
    </w:p>
    <w:p>
      <w:pPr>
        <w:pStyle w:val="TextBody"/>
        <w:pBdr/>
        <w:bidi w:val="0"/>
        <w:spacing w:before="0" w:after="0"/>
        <w:ind w:left="5089" w:right="1080" w:hanging="0"/>
        <w:jc w:val="left"/>
        <w:rPr>
          <w:rFonts w:ascii="Times New Roman" w:hAnsi="Times New Roman"/>
          <w:sz w:val="24"/>
        </w:rPr>
      </w:pPr>
      <w:r>
        <w:rPr>
          <w:rFonts w:ascii="Times New Roman" w:hAnsi="Times New Roman"/>
          <w:sz w:val="24"/>
        </w:rPr>
        <w:t xml:space="preserve">EMERALD CREEK CAPITAL 3, LLC </w:t>
      </w:r>
    </w:p>
    <w:p>
      <w:pPr>
        <w:pStyle w:val="TextBody"/>
        <w:pBdr/>
        <w:bidi w:val="0"/>
        <w:spacing w:before="20" w:after="0"/>
        <w:ind w:left="5411" w:right="2650" w:hanging="323"/>
        <w:jc w:val="left"/>
        <w:rPr>
          <w:rFonts w:ascii="Times New Roman" w:hAnsi="Times New Roman"/>
          <w:sz w:val="24"/>
        </w:rPr>
      </w:pPr>
      <w:r>
        <w:rPr>
          <w:rFonts w:ascii="Times New Roman" w:hAnsi="Times New Roman"/>
          <w:sz w:val="24"/>
        </w:rPr>
        <w:t xml:space="preserve">By: Emerald Creek Advisors LLC, its Manager </w:t>
      </w:r>
    </w:p>
    <w:p>
      <w:pPr>
        <w:pStyle w:val="TextBody"/>
        <w:pBdr/>
        <w:bidi w:val="0"/>
        <w:spacing w:before="258" w:after="0"/>
        <w:ind w:left="5400" w:right="1080" w:firstLine="720"/>
        <w:jc w:val="left"/>
        <w:rPr>
          <w:rFonts w:ascii="Times New Roman" w:hAnsi="Times New Roman"/>
          <w:sz w:val="24"/>
        </w:rPr>
      </w:pPr>
      <w:r>
        <w:rPr>
          <w:rFonts w:ascii="Times New Roman" w:hAnsi="Times New Roman"/>
          <w:sz w:val="24"/>
        </w:rPr>
        <w:t xml:space="preserve">/s/ Mark Bahiri </w:t>
      </w:r>
    </w:p>
    <w:p>
      <w:pPr>
        <w:pStyle w:val="TextBody"/>
        <w:pBdr/>
        <w:bidi w:val="0"/>
        <w:spacing w:before="0" w:after="0"/>
        <w:ind w:left="5428" w:right="1080" w:hanging="0"/>
        <w:jc w:val="left"/>
        <w:rPr>
          <w:rFonts w:ascii="Times New Roman" w:hAnsi="Times New Roman"/>
          <w:sz w:val="24"/>
        </w:rPr>
      </w:pPr>
      <w:r>
        <w:rPr>
          <w:rFonts w:ascii="Times New Roman" w:hAnsi="Times New Roman"/>
          <w:sz w:val="24"/>
        </w:rPr>
        <w:t xml:space="preserve">By: </w:t>
      </w:r>
    </w:p>
    <w:p>
      <w:pPr>
        <w:pStyle w:val="TextBody"/>
        <w:pBdr/>
        <w:bidi w:val="0"/>
        <w:spacing w:lineRule="auto" w:line="264" w:before="33" w:after="0"/>
        <w:ind w:left="6047" w:right="3557" w:hanging="57"/>
        <w:jc w:val="left"/>
        <w:rPr>
          <w:rFonts w:ascii="Times New Roman" w:hAnsi="Times New Roman"/>
          <w:sz w:val="24"/>
        </w:rPr>
      </w:pPr>
      <w:r>
        <w:rPr>
          <w:rFonts w:ascii="Times New Roman" w:hAnsi="Times New Roman"/>
          <w:sz w:val="24"/>
        </w:rPr>
        <w:t>Name: Mark Bahiri </w:t>
        <w:br/>
        <w:t xml:space="preserve">Title: Managing Member </w:t>
      </w:r>
    </w:p>
    <w:p>
      <w:pPr>
        <w:pStyle w:val="TextBody"/>
        <w:pBdr/>
        <w:bidi w:val="0"/>
        <w:spacing w:before="124" w:after="0"/>
        <w:ind w:left="1080" w:right="1080" w:hanging="0"/>
        <w:jc w:val="left"/>
        <w:rPr>
          <w:rFonts w:cs="Times New Roman"/>
          <w:szCs w:val="24"/>
        </w:rPr>
      </w:pPr>
      <w:r>
        <w:rPr>
          <w:rFonts w:cs="Times New Roman"/>
          <w:szCs w:val="24"/>
        </w:rPr>
        <w:t xml:space="preserve">﻿ </w:t>
      </w:r>
    </w:p>
    <w:p>
      <w:pPr>
        <w:pStyle w:val="TextBody"/>
        <w:pBdr/>
        <w:bidi w:val="0"/>
        <w:spacing w:before="0" w:after="0"/>
        <w:ind w:left="5089" w:right="3342" w:hanging="29"/>
        <w:jc w:val="left"/>
        <w:rPr>
          <w:rFonts w:ascii="Times New Roman" w:hAnsi="Times New Roman"/>
          <w:sz w:val="24"/>
        </w:rPr>
      </w:pPr>
      <w:r>
        <w:rPr>
          <w:rFonts w:ascii="Times New Roman" w:hAnsi="Times New Roman"/>
          <w:sz w:val="24"/>
        </w:rPr>
        <w:t xml:space="preserve">ADMINISTRATIVE AGENT: EMERALD CREEK CAPITAL 3, LLC </w:t>
      </w:r>
    </w:p>
    <w:p>
      <w:pPr>
        <w:pStyle w:val="TextBody"/>
        <w:pBdr/>
        <w:bidi w:val="0"/>
        <w:spacing w:before="258" w:after="0"/>
        <w:ind w:left="5400" w:right="1080" w:firstLine="720"/>
        <w:jc w:val="left"/>
        <w:rPr>
          <w:rFonts w:ascii="Times New Roman" w:hAnsi="Times New Roman"/>
          <w:sz w:val="24"/>
        </w:rPr>
      </w:pPr>
      <w:r>
        <w:rPr>
          <w:rFonts w:ascii="Times New Roman" w:hAnsi="Times New Roman"/>
          <w:sz w:val="24"/>
        </w:rPr>
        <w:t xml:space="preserve">By: Emerald Creek Advisors LLC, its Manager /s/ </w:t>
      </w:r>
    </w:p>
    <w:p>
      <w:pPr>
        <w:pStyle w:val="TextBody"/>
        <w:pBdr/>
        <w:bidi w:val="0"/>
        <w:spacing w:before="258" w:after="0"/>
        <w:ind w:left="5400" w:right="1080" w:firstLine="720"/>
        <w:jc w:val="left"/>
        <w:rPr>
          <w:rFonts w:ascii="Times New Roman" w:hAnsi="Times New Roman"/>
          <w:sz w:val="24"/>
        </w:rPr>
      </w:pPr>
      <w:r>
        <w:rPr>
          <w:rFonts w:ascii="Times New Roman" w:hAnsi="Times New Roman"/>
          <w:sz w:val="24"/>
        </w:rPr>
        <w:t xml:space="preserve">/s/ Mark Bahiri </w:t>
      </w:r>
    </w:p>
    <w:p>
      <w:pPr>
        <w:pStyle w:val="TextBody"/>
        <w:pBdr/>
        <w:bidi w:val="0"/>
        <w:spacing w:before="0" w:after="0"/>
        <w:ind w:left="5428" w:right="1080" w:hanging="0"/>
        <w:jc w:val="left"/>
        <w:rPr>
          <w:rFonts w:ascii="Times New Roman" w:hAnsi="Times New Roman"/>
          <w:sz w:val="24"/>
        </w:rPr>
      </w:pPr>
      <w:r>
        <w:rPr>
          <w:rFonts w:ascii="Times New Roman" w:hAnsi="Times New Roman"/>
          <w:sz w:val="24"/>
        </w:rPr>
        <w:t xml:space="preserve">By: </w:t>
      </w:r>
    </w:p>
    <w:p>
      <w:pPr>
        <w:pStyle w:val="TextBody"/>
        <w:pBdr/>
        <w:bidi w:val="0"/>
        <w:spacing w:lineRule="auto" w:line="264" w:before="33" w:after="0"/>
        <w:ind w:left="6047" w:right="3557" w:hanging="57"/>
        <w:jc w:val="left"/>
        <w:rPr>
          <w:rFonts w:ascii="Times New Roman" w:hAnsi="Times New Roman"/>
          <w:sz w:val="24"/>
        </w:rPr>
      </w:pPr>
      <w:r>
        <w:rPr>
          <w:rFonts w:ascii="Times New Roman" w:hAnsi="Times New Roman"/>
          <w:sz w:val="24"/>
        </w:rPr>
        <w:t>Name: Mark Bahiri </w:t>
        <w:br/>
        <w:t xml:space="preserve">Title: Managing Member </w:t>
      </w:r>
    </w:p>
    <w:p>
      <w:pPr>
        <w:pStyle w:val="TextBody"/>
        <w:pBdr/>
        <w:bidi w:val="0"/>
        <w:spacing w:before="26" w:after="0"/>
        <w:ind w:left="5411" w:right="2650" w:hanging="323"/>
        <w:jc w:val="left"/>
        <w:rPr>
          <w:rFonts w:cs="Times New Roman"/>
          <w:szCs w:val="24"/>
        </w:rPr>
      </w:pPr>
      <w:r>
        <w:rPr>
          <w:rFonts w:cs="Times New Roman"/>
          <w:szCs w:val="24"/>
        </w:rPr>
        <w:t xml:space="preserve">﻿ </w:t>
      </w:r>
    </w:p>
    <w:p>
      <w:pPr>
        <w:pStyle w:val="TextBody"/>
        <w:bidi w:val="0"/>
        <w:spacing w:before="0" w:after="0"/>
        <w:ind w:left="1080" w:right="1080" w:hanging="0"/>
        <w:jc w:val="center"/>
        <w:rPr>
          <w:rFonts w:ascii="Times New Roman" w:hAnsi="Times New Roman"/>
          <w:sz w:val="22"/>
        </w:rPr>
      </w:pPr>
      <w:r>
        <w:rPr>
          <w:rFonts w:ascii="Times New Roman" w:hAnsi="Times New Roman"/>
          <w:sz w:val="22"/>
        </w:rPr>
        <w:t xml:space="preserve">6 </w:t>
      </w:r>
    </w:p>
    <w:p>
      <w:pPr>
        <w:pStyle w:val="HorizontalLine"/>
        <w:pBdr>
          <w:bottom w:val="double" w:sz="6" w:space="0" w:color="808080"/>
        </w:pBdr>
        <w:bidi w:val="0"/>
        <w:ind w:left="1080" w:right="1080" w:hanging="0"/>
        <w:jc w:val="left"/>
        <w:rPr/>
      </w:pPr>
      <w:r>
        <w:rPr/>
      </w:r>
    </w:p>
    <w:p>
      <w:pPr>
        <w:pStyle w:val="TextBody"/>
        <w:bidi w:val="0"/>
        <w:spacing w:lineRule="auto" w:line="12" w:before="0" w:after="0"/>
        <w:ind w:left="360" w:right="360" w:hanging="0"/>
        <w:jc w:val="left"/>
        <w:rPr/>
      </w:pPr>
      <w:bookmarkStart w:id="81" w:name="rdi-20250630xex10_3.htm"/>
      <w:bookmarkStart w:id="82" w:name="ksrdi20250630xex10_3"/>
      <w:bookmarkEnd w:id="81"/>
      <w:bookmarkEnd w:id="82"/>
      <w:r>
        <w:rPr/>
        <w:drawing>
          <wp:inline distT="0" distB="0" distL="0" distR="0">
            <wp:extent cx="2142490" cy="717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10895" cy="88265"/>
                    </a:xfrm>
                    <a:prstGeom prst="rect">
                      <a:avLst/>
                    </a:prstGeom>
                  </pic:spPr>
                </pic:pic>
              </a:graphicData>
            </a:graphic>
          </wp:inline>
        </w:drawing>
      </w:r>
      <w:r>
        <w:rPr/>
        <w:t xml:space="preserve"> </w:t>
      </w:r>
      <w:r>
        <w:br w:type="page"/>
      </w:r>
    </w:p>
    <w:p>
      <w:pPr>
        <w:pStyle w:val="TextBody"/>
        <w:bidi w:val="0"/>
        <w:spacing w:before="153" w:after="0"/>
        <w:ind w:left="360" w:right="360" w:hanging="0"/>
        <w:jc w:val="left"/>
        <w:rPr>
          <w:rFonts w:cs="Arial"/>
          <w:szCs w:val="20"/>
        </w:rPr>
      </w:pPr>
      <w:r>
        <w:rPr>
          <w:rFonts w:cs="Times New Roman"/>
          <w:szCs w:val="20"/>
        </w:rPr>
        <w:t>﻿</w:t>
      </w:r>
      <w:r>
        <w:rPr>
          <w:rFonts w:cs="Arial"/>
          <w:szCs w:val="20"/>
        </w:rPr>
        <w:t xml:space="preserve"> </w:t>
      </w:r>
    </w:p>
    <w:p>
      <w:pPr>
        <w:pStyle w:val="TextBody"/>
        <w:bidi w:val="0"/>
        <w:spacing w:before="0" w:after="0"/>
        <w:ind w:left="360" w:right="360" w:hanging="0"/>
        <w:jc w:val="both"/>
        <w:rPr>
          <w:rFonts w:ascii="Arial" w:hAnsi="Arial"/>
          <w:sz w:val="24"/>
        </w:rPr>
      </w:pPr>
      <w:r>
        <w:rPr>
          <w:rFonts w:ascii="Aptos" w:hAnsi="Aptos"/>
          <w:b/>
          <w:color w:val="000000"/>
          <w:sz w:val="24"/>
        </w:rPr>
        <w:t>PORTIONS OF THIS EXHIBIT HAVE BEEN OMITTED BECAUSE THEY ARE BOTH (I) NOT MATERIAL AND (II) WOULD BE COMPETITIVELY HARMFUL IF PUBLICLY DISCLOSED. INFORMATION THAT HAS BEEN OMITTED HAS BEEN NOTED IN THIS DOCUMENT WITH A PLACEHOLDER IDENTIFIED BY THE MARK “[***]”</w:t>
      </w:r>
      <w:r>
        <w:rPr>
          <w:rFonts w:ascii="Arial" w:hAnsi="Arial"/>
          <w:sz w:val="24"/>
        </w:rPr>
        <w:t xml:space="preserve"> </w:t>
      </w:r>
    </w:p>
    <w:p>
      <w:pPr>
        <w:pStyle w:val="TextBody"/>
        <w:pBdr/>
        <w:bidi w:val="0"/>
        <w:spacing w:before="0" w:after="0"/>
        <w:ind w:left="360" w:right="360" w:hanging="0"/>
        <w:jc w:val="left"/>
        <w:rPr>
          <w:rFonts w:cs="Arial"/>
          <w:szCs w:val="20"/>
        </w:rPr>
      </w:pPr>
      <w:r>
        <w:rPr>
          <w:rFonts w:cs="Times New Roman"/>
          <w:szCs w:val="20"/>
        </w:rPr>
        <w:t>﻿</w:t>
      </w:r>
      <w:r>
        <w:rPr>
          <w:rFonts w:cs="Arial"/>
          <w:szCs w:val="20"/>
        </w:rPr>
        <w:t xml:space="preserve"> </w:t>
      </w:r>
    </w:p>
    <w:p>
      <w:pPr>
        <w:pStyle w:val="TextBody"/>
        <w:pBdr/>
        <w:bidi w:val="0"/>
        <w:spacing w:before="0" w:after="0"/>
        <w:ind w:left="360" w:right="360" w:hanging="0"/>
        <w:jc w:val="left"/>
        <w:rPr>
          <w:rFonts w:cs="Arial"/>
          <w:szCs w:val="20"/>
        </w:rPr>
      </w:pPr>
      <w:r>
        <w:rPr>
          <w:rFonts w:cs="Times New Roman"/>
          <w:szCs w:val="20"/>
        </w:rPr>
        <w:t>﻿</w:t>
      </w:r>
      <w:r>
        <w:rPr>
          <w:rFonts w:cs="Arial"/>
          <w:szCs w:val="20"/>
        </w:rPr>
        <w:t xml:space="preserve"> </w:t>
      </w:r>
    </w:p>
    <w:p>
      <w:pPr>
        <w:pStyle w:val="TextBody"/>
        <w:pBdr/>
        <w:bidi w:val="0"/>
        <w:spacing w:before="0" w:after="0"/>
        <w:ind w:left="360" w:right="360" w:hanging="0"/>
        <w:jc w:val="left"/>
        <w:rPr>
          <w:rFonts w:cs="Arial"/>
          <w:szCs w:val="20"/>
        </w:rPr>
      </w:pPr>
      <w:r>
        <w:rPr>
          <w:rFonts w:cs="Times New Roman"/>
          <w:szCs w:val="20"/>
        </w:rPr>
        <w:t>﻿</w:t>
      </w:r>
      <w:r>
        <w:rPr>
          <w:rFonts w:cs="Arial"/>
          <w:szCs w:val="20"/>
        </w:rPr>
        <w:t xml:space="preserve"> </w:t>
      </w:r>
      <w:r>
        <mc:AlternateContent>
          <mc:Choice Requires="wps">
            <w:drawing>
              <wp:anchor behindDoc="0" distT="0" distB="0" distL="0" distR="0" simplePos="0" locked="0" layoutInCell="1" allowOverlap="1" relativeHeight="143">
                <wp:simplePos x="0" y="0"/>
                <wp:positionH relativeFrom="column">
                  <wp:align>right</wp:align>
                </wp:positionH>
                <wp:positionV relativeFrom="line">
                  <wp:posOffset>635</wp:posOffset>
                </wp:positionV>
                <wp:extent cx="5645785" cy="1233170"/>
                <wp:effectExtent l="0" t="0" r="0" b="0"/>
                <wp:wrapSquare wrapText="left"/>
                <wp:docPr id="5" name="Frame1"/>
                <a:graphic xmlns:a="http://schemas.openxmlformats.org/drawingml/2006/main">
                  <a:graphicData uri="http://schemas.microsoft.com/office/word/2010/wordprocessingShape">
                    <wps:wsp>
                      <wps:cNvSpPr txBox="1"/>
                      <wps:spPr>
                        <a:xfrm>
                          <a:off x="0" y="0"/>
                          <a:ext cx="5645785" cy="1233170"/>
                        </a:xfrm>
                        <a:prstGeom prst="rect"/>
                        <a:solidFill>
                          <a:srgbClr val="FFFFFF"/>
                        </a:solidFill>
                      </wps:spPr>
                      <wps:txbx>
                        <w:txbxContent>
                          <w:tbl>
                            <w:tblPr>
                              <w:tblW w:w="8891" w:type="dxa"/>
                              <w:jc w:val="left"/>
                              <w:tblInd w:w="0" w:type="dxa"/>
                              <w:tblLayout w:type="fixed"/>
                              <w:tblCellMar>
                                <w:top w:w="0" w:type="dxa"/>
                                <w:left w:w="0" w:type="dxa"/>
                                <w:bottom w:w="0" w:type="dxa"/>
                                <w:right w:w="0" w:type="dxa"/>
                              </w:tblCellMar>
                            </w:tblPr>
                            <w:tblGrid>
                              <w:gridCol w:w="38"/>
                              <w:gridCol w:w="7040"/>
                              <w:gridCol w:w="1738"/>
                              <w:gridCol w:w="75"/>
                            </w:tblGrid>
                            <w:tr>
                              <w:trPr/>
                              <w:tc>
                                <w:tcPr>
                                  <w:tcW w:w="38" w:type="dxa"/>
                                  <w:tcBorders/>
                                </w:tcPr>
                                <w:p>
                                  <w:pPr>
                                    <w:pStyle w:val="TableContents"/>
                                    <w:bidi w:val="0"/>
                                    <w:spacing w:before="0" w:after="0"/>
                                    <w:ind w:left="0" w:right="0" w:hanging="0"/>
                                    <w:jc w:val="left"/>
                                    <w:rPr>
                                      <w:rFonts w:cs="Arial"/>
                                      <w:szCs w:val="16"/>
                                    </w:rPr>
                                  </w:pPr>
                                  <w:r>
                                    <w:rPr>
                                      <w:rFonts w:cs="Arial"/>
                                      <w:szCs w:val="16"/>
                                    </w:rPr>
                                    <w:t>﻿</w:t>
                                  </w:r>
                                </w:p>
                              </w:tc>
                              <w:tc>
                                <w:tcPr>
                                  <w:tcW w:w="7040" w:type="dxa"/>
                                  <w:tcBorders/>
                                </w:tcPr>
                                <w:p>
                                  <w:pPr>
                                    <w:pStyle w:val="TableContents"/>
                                    <w:bidi w:val="0"/>
                                    <w:spacing w:before="0" w:after="0"/>
                                    <w:ind w:left="0" w:right="0" w:hanging="0"/>
                                    <w:jc w:val="right"/>
                                    <w:rPr>
                                      <w:rFonts w:ascii="Arial" w:hAnsi="Arial"/>
                                      <w:sz w:val="16"/>
                                    </w:rPr>
                                  </w:pPr>
                                  <w:r>
                                    <w:rPr>
                                      <w:rFonts w:ascii="Arial" w:hAnsi="Arial"/>
                                      <w:sz w:val="16"/>
                                    </w:rPr>
                                    <w:t>567 Collins Street, Melbourne VIC 3000, Australia GPO Box 9925, Melbourne VIC 3001, Australia</w:t>
                                  </w:r>
                                </w:p>
                                <w:p>
                                  <w:pPr>
                                    <w:pStyle w:val="TableContents"/>
                                    <w:bidi w:val="0"/>
                                    <w:spacing w:before="0" w:after="0"/>
                                    <w:ind w:left="0" w:right="0" w:hanging="0"/>
                                    <w:jc w:val="right"/>
                                    <w:rPr>
                                      <w:rFonts w:ascii="Arial" w:hAnsi="Arial"/>
                                      <w:sz w:val="16"/>
                                    </w:rPr>
                                  </w:pPr>
                                  <w:r>
                                    <w:rPr>
                                      <w:rFonts w:ascii="Arial" w:hAnsi="Arial"/>
                                      <w:sz w:val="16"/>
                                    </w:rPr>
                                    <w:t>Tel +61 3 9672 3000</w:t>
                                  </w:r>
                                </w:p>
                                <w:p>
                                  <w:pPr>
                                    <w:pStyle w:val="TableContents"/>
                                    <w:bidi w:val="0"/>
                                    <w:spacing w:before="0" w:after="0"/>
                                    <w:ind w:left="0" w:right="0" w:hanging="0"/>
                                    <w:jc w:val="right"/>
                                    <w:rPr>
                                      <w:rFonts w:ascii="Arial" w:hAnsi="Arial"/>
                                      <w:sz w:val="16"/>
                                    </w:rPr>
                                  </w:pPr>
                                  <w:r>
                                    <w:rPr>
                                      <w:rFonts w:ascii="Arial" w:hAnsi="Arial"/>
                                      <w:sz w:val="16"/>
                                    </w:rPr>
                                    <w:t>Fax +61 3 9672 3010</w:t>
                                  </w:r>
                                </w:p>
                                <w:p>
                                  <w:pPr>
                                    <w:pStyle w:val="TableContents"/>
                                    <w:bidi w:val="0"/>
                                    <w:spacing w:before="0" w:after="0"/>
                                    <w:ind w:left="0" w:right="0" w:hanging="0"/>
                                    <w:jc w:val="right"/>
                                    <w:rPr>
                                      <w:rFonts w:ascii="Arial" w:hAnsi="Arial"/>
                                      <w:b/>
                                      <w:sz w:val="16"/>
                                    </w:rPr>
                                  </w:pPr>
                                  <w:r>
                                    <w:rPr>
                                      <w:rFonts w:ascii="Arial" w:hAnsi="Arial"/>
                                      <w:b/>
                                      <w:sz w:val="16"/>
                                    </w:rPr>
                                    <w:t>www.corrs.com.au</w:t>
                                  </w:r>
                                </w:p>
                              </w:tc>
                              <w:tc>
                                <w:tcPr>
                                  <w:tcW w:w="1738" w:type="dxa"/>
                                  <w:tcBorders/>
                                </w:tcPr>
                                <w:p>
                                  <w:pPr>
                                    <w:pStyle w:val="TableContents"/>
                                    <w:bidi w:val="0"/>
                                    <w:spacing w:before="0" w:after="0"/>
                                    <w:ind w:left="0" w:right="0" w:hanging="0"/>
                                    <w:jc w:val="right"/>
                                    <w:rPr/>
                                  </w:pPr>
                                  <w:r>
                                    <w:rPr/>
                                    <w:drawing>
                                      <wp:inline distT="0" distB="0" distL="0" distR="0">
                                        <wp:extent cx="1103630" cy="61849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103630" cy="618490"/>
                                                </a:xfrm>
                                                <a:prstGeom prst="rect">
                                                  <a:avLst/>
                                                </a:prstGeom>
                                              </pic:spPr>
                                            </pic:pic>
                                          </a:graphicData>
                                        </a:graphic>
                                      </wp:inline>
                                    </w:drawing>
                                  </w:r>
                                </w:p>
                              </w:tc>
                              <w:tc>
                                <w:tcPr>
                                  <w:tcW w:w="75" w:type="dxa"/>
                                  <w:tcBorders/>
                                </w:tcPr>
                                <w:p>
                                  <w:pPr>
                                    <w:pStyle w:val="TableContents"/>
                                    <w:bidi w:val="0"/>
                                    <w:spacing w:before="0" w:after="0"/>
                                    <w:ind w:left="0" w:right="0" w:hanging="0"/>
                                    <w:jc w:val="center"/>
                                    <w:rPr/>
                                  </w:pPr>
                                  <w:r>
                                    <w:rPr/>
                                    <w:t> </w:t>
                                  </w:r>
                                </w:p>
                              </w:tc>
                            </w:tr>
                            <w:tr>
                              <w:trPr/>
                              <w:tc>
                                <w:tcPr>
                                  <w:tcW w:w="38" w:type="dxa"/>
                                  <w:tcBorders/>
                                </w:tcPr>
                                <w:p>
                                  <w:pPr>
                                    <w:pStyle w:val="TableContents"/>
                                    <w:bidi w:val="0"/>
                                    <w:spacing w:before="0" w:after="0"/>
                                    <w:ind w:left="0" w:right="0" w:hanging="0"/>
                                    <w:jc w:val="left"/>
                                    <w:rPr>
                                      <w:rFonts w:cs="Arial"/>
                                      <w:szCs w:val="16"/>
                                    </w:rPr>
                                  </w:pPr>
                                  <w:r>
                                    <w:rPr>
                                      <w:rFonts w:cs="Arial"/>
                                      <w:szCs w:val="16"/>
                                    </w:rPr>
                                    <w:t>﻿</w:t>
                                  </w:r>
                                </w:p>
                              </w:tc>
                              <w:tc>
                                <w:tcPr>
                                  <w:tcW w:w="7040" w:type="dxa"/>
                                  <w:tcBorders/>
                                </w:tcPr>
                                <w:p>
                                  <w:pPr>
                                    <w:pStyle w:val="TableContents"/>
                                    <w:bidi w:val="0"/>
                                    <w:spacing w:before="0" w:after="0"/>
                                    <w:ind w:left="0" w:right="0" w:hanging="0"/>
                                    <w:jc w:val="right"/>
                                    <w:rPr/>
                                  </w:pPr>
                                  <w:r>
                                    <w:rPr/>
                                    <w:t> </w:t>
                                  </w:r>
                                </w:p>
                              </w:tc>
                              <w:tc>
                                <w:tcPr>
                                  <w:tcW w:w="1738" w:type="dxa"/>
                                  <w:tcBorders/>
                                </w:tcPr>
                                <w:p>
                                  <w:pPr>
                                    <w:pStyle w:val="TableContents"/>
                                    <w:bidi w:val="0"/>
                                    <w:spacing w:lineRule="auto" w:line="261" w:before="0" w:after="0"/>
                                    <w:ind w:left="0" w:right="0" w:hanging="0"/>
                                    <w:jc w:val="right"/>
                                    <w:rPr>
                                      <w:rFonts w:ascii="Arial" w:hAnsi="Arial"/>
                                      <w:color w:val="818181"/>
                                      <w:sz w:val="16"/>
                                    </w:rPr>
                                  </w:pPr>
                                  <w:r>
                                    <w:rPr>
                                      <w:rFonts w:ascii="Arial" w:hAnsi="Arial"/>
                                      <w:color w:val="818181"/>
                                      <w:sz w:val="16"/>
                                    </w:rPr>
                                    <w:t>Sydney</w:t>
                                  </w:r>
                                </w:p>
                                <w:p>
                                  <w:pPr>
                                    <w:pStyle w:val="TableContents"/>
                                    <w:bidi w:val="0"/>
                                    <w:spacing w:lineRule="auto" w:line="261" w:before="0" w:after="0"/>
                                    <w:ind w:left="0" w:right="0" w:hanging="0"/>
                                    <w:jc w:val="right"/>
                                    <w:rPr>
                                      <w:rFonts w:ascii="Arial" w:hAnsi="Arial"/>
                                      <w:color w:val="818181"/>
                                      <w:sz w:val="16"/>
                                    </w:rPr>
                                  </w:pPr>
                                  <w:r>
                                    <w:rPr>
                                      <w:rFonts w:ascii="Arial" w:hAnsi="Arial"/>
                                      <w:color w:val="818181"/>
                                      <w:sz w:val="16"/>
                                    </w:rPr>
                                    <w:t>Melbourne</w:t>
                                  </w:r>
                                </w:p>
                                <w:p>
                                  <w:pPr>
                                    <w:pStyle w:val="TableContents"/>
                                    <w:bidi w:val="0"/>
                                    <w:spacing w:lineRule="auto" w:line="261" w:before="0" w:after="0"/>
                                    <w:ind w:left="0" w:right="0" w:hanging="0"/>
                                    <w:jc w:val="right"/>
                                    <w:rPr>
                                      <w:rFonts w:ascii="Arial" w:hAnsi="Arial"/>
                                      <w:color w:val="818181"/>
                                      <w:sz w:val="16"/>
                                    </w:rPr>
                                  </w:pPr>
                                  <w:r>
                                    <w:rPr>
                                      <w:rFonts w:ascii="Arial" w:hAnsi="Arial"/>
                                      <w:color w:val="818181"/>
                                      <w:sz w:val="16"/>
                                    </w:rPr>
                                    <w:t>Brisbane</w:t>
                                  </w:r>
                                </w:p>
                                <w:p>
                                  <w:pPr>
                                    <w:pStyle w:val="TableContents"/>
                                    <w:bidi w:val="0"/>
                                    <w:spacing w:before="0" w:after="0"/>
                                    <w:ind w:left="0" w:right="0" w:hanging="0"/>
                                    <w:jc w:val="right"/>
                                    <w:rPr>
                                      <w:rFonts w:ascii="Arial" w:hAnsi="Arial"/>
                                      <w:color w:val="818181"/>
                                      <w:sz w:val="16"/>
                                    </w:rPr>
                                  </w:pPr>
                                  <w:r>
                                    <w:rPr>
                                      <w:rFonts w:ascii="Arial" w:hAnsi="Arial"/>
                                      <w:color w:val="818181"/>
                                      <w:sz w:val="16"/>
                                    </w:rPr>
                                    <w:t>Perth</w:t>
                                  </w:r>
                                </w:p>
                                <w:p>
                                  <w:pPr>
                                    <w:pStyle w:val="TableContents"/>
                                    <w:bidi w:val="0"/>
                                    <w:spacing w:before="0" w:after="0"/>
                                    <w:ind w:left="0" w:right="0" w:hanging="0"/>
                                    <w:jc w:val="right"/>
                                    <w:rPr>
                                      <w:rFonts w:ascii="Arial" w:hAnsi="Arial"/>
                                      <w:color w:val="818181"/>
                                      <w:sz w:val="16"/>
                                    </w:rPr>
                                  </w:pPr>
                                  <w:r>
                                    <w:rPr>
                                      <w:rFonts w:ascii="Arial" w:hAnsi="Arial"/>
                                      <w:color w:val="818181"/>
                                      <w:sz w:val="16"/>
                                    </w:rPr>
                                    <w:t>Port Moresby</w:t>
                                  </w:r>
                                </w:p>
                              </w:tc>
                              <w:tc>
                                <w:tcPr>
                                  <w:tcW w:w="75" w:type="dxa"/>
                                  <w:tcBorders/>
                                </w:tcPr>
                                <w:p>
                                  <w:pPr>
                                    <w:pStyle w:val="TableContents"/>
                                    <w:bidi w:val="0"/>
                                    <w:spacing w:before="0" w:after="0"/>
                                    <w:ind w:left="0" w:right="0" w:hanging="0"/>
                                    <w:jc w:val="center"/>
                                    <w:rPr/>
                                  </w:pPr>
                                  <w:r>
                                    <w:rPr/>
                                    <w:t> </w:t>
                                  </w:r>
                                </w:p>
                              </w:tc>
                            </w:tr>
                          </w:tbl>
                        </w:txbxContent>
                      </wps:txbx>
                      <wps:bodyPr anchor="t" lIns="0" tIns="0" rIns="0" bIns="0">
                        <a:noAutofit/>
                      </wps:bodyPr>
                    </wps:wsp>
                  </a:graphicData>
                </a:graphic>
              </wp:anchor>
            </w:drawing>
          </mc:Choice>
          <mc:Fallback>
            <w:pict>
              <v:rect style="position:absolute;rotation:-0;width:444.55pt;height:97.1pt;mso-wrap-distance-left:0pt;mso-wrap-distance-right:0pt;mso-wrap-distance-top:0pt;mso-wrap-distance-bottom:0pt;margin-top:0pt;mso-position-vertical:top;mso-position-vertical-relative:text;margin-left:29.7pt;mso-position-horizontal:right;mso-position-horizontal-relative:text">
                <v:textbox>
                  <w:txbxContent>
                    <w:tbl>
                      <w:tblPr>
                        <w:tblW w:w="8891" w:type="dxa"/>
                        <w:jc w:val="left"/>
                        <w:tblInd w:w="0" w:type="dxa"/>
                        <w:tblLayout w:type="fixed"/>
                        <w:tblCellMar>
                          <w:top w:w="0" w:type="dxa"/>
                          <w:left w:w="0" w:type="dxa"/>
                          <w:bottom w:w="0" w:type="dxa"/>
                          <w:right w:w="0" w:type="dxa"/>
                        </w:tblCellMar>
                      </w:tblPr>
                      <w:tblGrid>
                        <w:gridCol w:w="38"/>
                        <w:gridCol w:w="7040"/>
                        <w:gridCol w:w="1738"/>
                        <w:gridCol w:w="75"/>
                      </w:tblGrid>
                      <w:tr>
                        <w:trPr/>
                        <w:tc>
                          <w:tcPr>
                            <w:tcW w:w="38" w:type="dxa"/>
                            <w:tcBorders/>
                          </w:tcPr>
                          <w:p>
                            <w:pPr>
                              <w:pStyle w:val="TableContents"/>
                              <w:bidi w:val="0"/>
                              <w:spacing w:before="0" w:after="0"/>
                              <w:ind w:left="0" w:right="0" w:hanging="0"/>
                              <w:jc w:val="left"/>
                              <w:rPr>
                                <w:rFonts w:cs="Arial"/>
                                <w:szCs w:val="16"/>
                              </w:rPr>
                            </w:pPr>
                            <w:r>
                              <w:rPr>
                                <w:rFonts w:cs="Arial"/>
                                <w:szCs w:val="16"/>
                              </w:rPr>
                              <w:t>﻿</w:t>
                            </w:r>
                          </w:p>
                        </w:tc>
                        <w:tc>
                          <w:tcPr>
                            <w:tcW w:w="7040" w:type="dxa"/>
                            <w:tcBorders/>
                          </w:tcPr>
                          <w:p>
                            <w:pPr>
                              <w:pStyle w:val="TableContents"/>
                              <w:bidi w:val="0"/>
                              <w:spacing w:before="0" w:after="0"/>
                              <w:ind w:left="0" w:right="0" w:hanging="0"/>
                              <w:jc w:val="right"/>
                              <w:rPr>
                                <w:rFonts w:ascii="Arial" w:hAnsi="Arial"/>
                                <w:sz w:val="16"/>
                              </w:rPr>
                            </w:pPr>
                            <w:r>
                              <w:rPr>
                                <w:rFonts w:ascii="Arial" w:hAnsi="Arial"/>
                                <w:sz w:val="16"/>
                              </w:rPr>
                              <w:t>567 Collins Street, Melbourne VIC 3000, Australia GPO Box 9925, Melbourne VIC 3001, Australia</w:t>
                            </w:r>
                          </w:p>
                          <w:p>
                            <w:pPr>
                              <w:pStyle w:val="TableContents"/>
                              <w:bidi w:val="0"/>
                              <w:spacing w:before="0" w:after="0"/>
                              <w:ind w:left="0" w:right="0" w:hanging="0"/>
                              <w:jc w:val="right"/>
                              <w:rPr>
                                <w:rFonts w:ascii="Arial" w:hAnsi="Arial"/>
                                <w:sz w:val="16"/>
                              </w:rPr>
                            </w:pPr>
                            <w:r>
                              <w:rPr>
                                <w:rFonts w:ascii="Arial" w:hAnsi="Arial"/>
                                <w:sz w:val="16"/>
                              </w:rPr>
                              <w:t>Tel +61 3 9672 3000</w:t>
                            </w:r>
                          </w:p>
                          <w:p>
                            <w:pPr>
                              <w:pStyle w:val="TableContents"/>
                              <w:bidi w:val="0"/>
                              <w:spacing w:before="0" w:after="0"/>
                              <w:ind w:left="0" w:right="0" w:hanging="0"/>
                              <w:jc w:val="right"/>
                              <w:rPr>
                                <w:rFonts w:ascii="Arial" w:hAnsi="Arial"/>
                                <w:sz w:val="16"/>
                              </w:rPr>
                            </w:pPr>
                            <w:r>
                              <w:rPr>
                                <w:rFonts w:ascii="Arial" w:hAnsi="Arial"/>
                                <w:sz w:val="16"/>
                              </w:rPr>
                              <w:t>Fax +61 3 9672 3010</w:t>
                            </w:r>
                          </w:p>
                          <w:p>
                            <w:pPr>
                              <w:pStyle w:val="TableContents"/>
                              <w:bidi w:val="0"/>
                              <w:spacing w:before="0" w:after="0"/>
                              <w:ind w:left="0" w:right="0" w:hanging="0"/>
                              <w:jc w:val="right"/>
                              <w:rPr>
                                <w:rFonts w:ascii="Arial" w:hAnsi="Arial"/>
                                <w:b/>
                                <w:sz w:val="16"/>
                              </w:rPr>
                            </w:pPr>
                            <w:r>
                              <w:rPr>
                                <w:rFonts w:ascii="Arial" w:hAnsi="Arial"/>
                                <w:b/>
                                <w:sz w:val="16"/>
                              </w:rPr>
                              <w:t>www.corrs.com.au</w:t>
                            </w:r>
                          </w:p>
                        </w:tc>
                        <w:tc>
                          <w:tcPr>
                            <w:tcW w:w="1738" w:type="dxa"/>
                            <w:tcBorders/>
                          </w:tcPr>
                          <w:p>
                            <w:pPr>
                              <w:pStyle w:val="TableContents"/>
                              <w:bidi w:val="0"/>
                              <w:spacing w:before="0" w:after="0"/>
                              <w:ind w:left="0" w:right="0" w:hanging="0"/>
                              <w:jc w:val="right"/>
                              <w:rPr/>
                            </w:pPr>
                            <w:r>
                              <w:rPr/>
                              <w:drawing>
                                <wp:inline distT="0" distB="0" distL="0" distR="0">
                                  <wp:extent cx="1103630" cy="61849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7"/>
                                          <a:stretch>
                                            <a:fillRect/>
                                          </a:stretch>
                                        </pic:blipFill>
                                        <pic:spPr bwMode="auto">
                                          <a:xfrm>
                                            <a:off x="0" y="0"/>
                                            <a:ext cx="1103630" cy="618490"/>
                                          </a:xfrm>
                                          <a:prstGeom prst="rect">
                                            <a:avLst/>
                                          </a:prstGeom>
                                        </pic:spPr>
                                      </pic:pic>
                                    </a:graphicData>
                                  </a:graphic>
                                </wp:inline>
                              </w:drawing>
                            </w:r>
                          </w:p>
                        </w:tc>
                        <w:tc>
                          <w:tcPr>
                            <w:tcW w:w="75" w:type="dxa"/>
                            <w:tcBorders/>
                          </w:tcPr>
                          <w:p>
                            <w:pPr>
                              <w:pStyle w:val="TableContents"/>
                              <w:bidi w:val="0"/>
                              <w:spacing w:before="0" w:after="0"/>
                              <w:ind w:left="0" w:right="0" w:hanging="0"/>
                              <w:jc w:val="center"/>
                              <w:rPr/>
                            </w:pPr>
                            <w:r>
                              <w:rPr/>
                              <w:t> </w:t>
                            </w:r>
                          </w:p>
                        </w:tc>
                      </w:tr>
                      <w:tr>
                        <w:trPr/>
                        <w:tc>
                          <w:tcPr>
                            <w:tcW w:w="38" w:type="dxa"/>
                            <w:tcBorders/>
                          </w:tcPr>
                          <w:p>
                            <w:pPr>
                              <w:pStyle w:val="TableContents"/>
                              <w:bidi w:val="0"/>
                              <w:spacing w:before="0" w:after="0"/>
                              <w:ind w:left="0" w:right="0" w:hanging="0"/>
                              <w:jc w:val="left"/>
                              <w:rPr>
                                <w:rFonts w:cs="Arial"/>
                                <w:szCs w:val="16"/>
                              </w:rPr>
                            </w:pPr>
                            <w:r>
                              <w:rPr>
                                <w:rFonts w:cs="Arial"/>
                                <w:szCs w:val="16"/>
                              </w:rPr>
                              <w:t>﻿</w:t>
                            </w:r>
                          </w:p>
                        </w:tc>
                        <w:tc>
                          <w:tcPr>
                            <w:tcW w:w="7040" w:type="dxa"/>
                            <w:tcBorders/>
                          </w:tcPr>
                          <w:p>
                            <w:pPr>
                              <w:pStyle w:val="TableContents"/>
                              <w:bidi w:val="0"/>
                              <w:spacing w:before="0" w:after="0"/>
                              <w:ind w:left="0" w:right="0" w:hanging="0"/>
                              <w:jc w:val="right"/>
                              <w:rPr/>
                            </w:pPr>
                            <w:r>
                              <w:rPr/>
                              <w:t> </w:t>
                            </w:r>
                          </w:p>
                        </w:tc>
                        <w:tc>
                          <w:tcPr>
                            <w:tcW w:w="1738" w:type="dxa"/>
                            <w:tcBorders/>
                          </w:tcPr>
                          <w:p>
                            <w:pPr>
                              <w:pStyle w:val="TableContents"/>
                              <w:bidi w:val="0"/>
                              <w:spacing w:lineRule="auto" w:line="261" w:before="0" w:after="0"/>
                              <w:ind w:left="0" w:right="0" w:hanging="0"/>
                              <w:jc w:val="right"/>
                              <w:rPr>
                                <w:rFonts w:ascii="Arial" w:hAnsi="Arial"/>
                                <w:color w:val="818181"/>
                                <w:sz w:val="16"/>
                              </w:rPr>
                            </w:pPr>
                            <w:r>
                              <w:rPr>
                                <w:rFonts w:ascii="Arial" w:hAnsi="Arial"/>
                                <w:color w:val="818181"/>
                                <w:sz w:val="16"/>
                              </w:rPr>
                              <w:t>Sydney</w:t>
                            </w:r>
                          </w:p>
                          <w:p>
                            <w:pPr>
                              <w:pStyle w:val="TableContents"/>
                              <w:bidi w:val="0"/>
                              <w:spacing w:lineRule="auto" w:line="261" w:before="0" w:after="0"/>
                              <w:ind w:left="0" w:right="0" w:hanging="0"/>
                              <w:jc w:val="right"/>
                              <w:rPr>
                                <w:rFonts w:ascii="Arial" w:hAnsi="Arial"/>
                                <w:color w:val="818181"/>
                                <w:sz w:val="16"/>
                              </w:rPr>
                            </w:pPr>
                            <w:r>
                              <w:rPr>
                                <w:rFonts w:ascii="Arial" w:hAnsi="Arial"/>
                                <w:color w:val="818181"/>
                                <w:sz w:val="16"/>
                              </w:rPr>
                              <w:t>Melbourne</w:t>
                            </w:r>
                          </w:p>
                          <w:p>
                            <w:pPr>
                              <w:pStyle w:val="TableContents"/>
                              <w:bidi w:val="0"/>
                              <w:spacing w:lineRule="auto" w:line="261" w:before="0" w:after="0"/>
                              <w:ind w:left="0" w:right="0" w:hanging="0"/>
                              <w:jc w:val="right"/>
                              <w:rPr>
                                <w:rFonts w:ascii="Arial" w:hAnsi="Arial"/>
                                <w:color w:val="818181"/>
                                <w:sz w:val="16"/>
                              </w:rPr>
                            </w:pPr>
                            <w:r>
                              <w:rPr>
                                <w:rFonts w:ascii="Arial" w:hAnsi="Arial"/>
                                <w:color w:val="818181"/>
                                <w:sz w:val="16"/>
                              </w:rPr>
                              <w:t>Brisbane</w:t>
                            </w:r>
                          </w:p>
                          <w:p>
                            <w:pPr>
                              <w:pStyle w:val="TableContents"/>
                              <w:bidi w:val="0"/>
                              <w:spacing w:before="0" w:after="0"/>
                              <w:ind w:left="0" w:right="0" w:hanging="0"/>
                              <w:jc w:val="right"/>
                              <w:rPr>
                                <w:rFonts w:ascii="Arial" w:hAnsi="Arial"/>
                                <w:color w:val="818181"/>
                                <w:sz w:val="16"/>
                              </w:rPr>
                            </w:pPr>
                            <w:r>
                              <w:rPr>
                                <w:rFonts w:ascii="Arial" w:hAnsi="Arial"/>
                                <w:color w:val="818181"/>
                                <w:sz w:val="16"/>
                              </w:rPr>
                              <w:t>Perth</w:t>
                            </w:r>
                          </w:p>
                          <w:p>
                            <w:pPr>
                              <w:pStyle w:val="TableContents"/>
                              <w:bidi w:val="0"/>
                              <w:spacing w:before="0" w:after="0"/>
                              <w:ind w:left="0" w:right="0" w:hanging="0"/>
                              <w:jc w:val="right"/>
                              <w:rPr>
                                <w:rFonts w:ascii="Arial" w:hAnsi="Arial"/>
                                <w:color w:val="818181"/>
                                <w:sz w:val="16"/>
                              </w:rPr>
                            </w:pPr>
                            <w:r>
                              <w:rPr>
                                <w:rFonts w:ascii="Arial" w:hAnsi="Arial"/>
                                <w:color w:val="818181"/>
                                <w:sz w:val="16"/>
                              </w:rPr>
                              <w:t>Port Moresby</w:t>
                            </w:r>
                          </w:p>
                        </w:tc>
                        <w:tc>
                          <w:tcPr>
                            <w:tcW w:w="75" w:type="dxa"/>
                            <w:tcBorders/>
                          </w:tcPr>
                          <w:p>
                            <w:pPr>
                              <w:pStyle w:val="TableContents"/>
                              <w:bidi w:val="0"/>
                              <w:spacing w:before="0" w:after="0"/>
                              <w:ind w:left="0" w:right="0" w:hanging="0"/>
                              <w:jc w:val="center"/>
                              <w:rPr/>
                            </w:pPr>
                            <w:r>
                              <w:rPr/>
                              <w:t> </w:t>
                            </w:r>
                          </w:p>
                        </w:tc>
                      </w:tr>
                    </w:tbl>
                  </w:txbxContent>
                </v:textbox>
                <w10:wrap type="square" side="left"/>
              </v:rect>
            </w:pict>
          </mc:Fallback>
        </mc:AlternateConten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68" w:after="0"/>
        <w:ind w:left="360" w:right="360" w:hanging="0"/>
        <w:jc w:val="left"/>
        <w:rPr>
          <w:rFonts w:cs="Arial"/>
          <w:szCs w:val="20"/>
        </w:rPr>
      </w:pPr>
      <w:r>
        <w:rPr>
          <w:rFonts w:cs="Arial"/>
          <w:szCs w:val="20"/>
        </w:rPr>
        <w:t xml:space="preserve">﻿ </w:t>
      </w:r>
    </w:p>
    <w:p>
      <w:pPr>
        <w:pStyle w:val="TextBody"/>
        <w:bidi w:val="0"/>
        <w:spacing w:before="0" w:after="0"/>
        <w:ind w:left="2654" w:right="1530" w:hanging="0"/>
        <w:jc w:val="left"/>
        <w:rPr>
          <w:rFonts w:ascii="Arial" w:hAnsi="Arial"/>
          <w:b/>
          <w:sz w:val="20"/>
        </w:rPr>
      </w:pPr>
      <w:r>
        <w:rPr>
          <w:rFonts w:ascii="Arial" w:hAnsi="Arial"/>
          <w:b/>
          <w:sz w:val="20"/>
        </w:rPr>
        <w:t xml:space="preserve">Execution Version </w:t>
      </w:r>
    </w:p>
    <w:p>
      <w:pPr>
        <w:pStyle w:val="TextBody"/>
        <w:bidi w:val="0"/>
        <w:spacing w:before="9" w:after="0"/>
        <w:ind w:left="360" w:right="360" w:hanging="0"/>
        <w:jc w:val="left"/>
        <w:rPr>
          <w:rFonts w:cs="Arial"/>
          <w:szCs w:val="6"/>
        </w:rPr>
      </w:pPr>
      <w:r>
        <w:rPr>
          <w:rFonts w:cs="Arial"/>
          <w:bCs/>
          <w:iCs/>
          <w:szCs w:val="7"/>
        </w:rPr>
        <w:t>﻿</w:t>
      </w:r>
      <w:r>
        <w:rPr>
          <w:rFonts w:cs="Arial"/>
          <w:szCs w:val="6"/>
        </w:rPr>
        <w:t xml:space="preserve"> </w:t>
      </w:r>
    </w:p>
    <w:p>
      <w:pPr>
        <w:pStyle w:val="TextBody"/>
        <w:pBdr>
          <w:top w:val="single" w:sz="8" w:space="1" w:color="000000"/>
          <w:bottom w:val="single" w:sz="8" w:space="1" w:color="000000"/>
        </w:pBdr>
        <w:bidi w:val="0"/>
        <w:spacing w:lineRule="auto" w:line="417" w:before="72" w:after="0"/>
        <w:ind w:left="2650" w:right="1526" w:hanging="0"/>
        <w:jc w:val="left"/>
        <w:rPr>
          <w:rFonts w:ascii="Arial" w:hAnsi="Arial"/>
          <w:sz w:val="34"/>
        </w:rPr>
      </w:pPr>
      <w:r>
        <w:rPr>
          <w:rFonts w:ascii="Arial" w:hAnsi="Arial"/>
          <w:sz w:val="34"/>
        </w:rPr>
        <w:t xml:space="preserve">National Australia Bank Limited </w:t>
      </w:r>
    </w:p>
    <w:p>
      <w:pPr>
        <w:pStyle w:val="TextBody"/>
        <w:pBdr/>
        <w:bidi w:val="0"/>
        <w:spacing w:lineRule="auto" w:line="417" w:before="72" w:after="0"/>
        <w:ind w:left="2650" w:right="1526" w:hanging="0"/>
        <w:jc w:val="left"/>
        <w:rPr>
          <w:rFonts w:ascii="Arial" w:hAnsi="Arial"/>
          <w:sz w:val="34"/>
        </w:rPr>
      </w:pPr>
      <w:r>
        <w:rPr>
          <w:rFonts w:ascii="Arial" w:hAnsi="Arial"/>
          <w:sz w:val="34"/>
        </w:rPr>
        <w:t xml:space="preserve">Reading Entertainment Australia Pty Ltd </w:t>
      </w:r>
    </w:p>
    <w:p>
      <w:pPr>
        <w:pStyle w:val="TextBody"/>
        <w:pBdr>
          <w:bottom w:val="single" w:sz="8" w:space="1" w:color="000000"/>
        </w:pBdr>
        <w:bidi w:val="0"/>
        <w:spacing w:lineRule="auto" w:line="415" w:before="72" w:after="0"/>
        <w:ind w:left="2654" w:right="1530" w:hanging="0"/>
        <w:jc w:val="left"/>
        <w:rPr>
          <w:rFonts w:ascii="Arial" w:hAnsi="Arial"/>
          <w:sz w:val="34"/>
        </w:rPr>
      </w:pPr>
      <w:r>
        <w:rPr>
          <w:rFonts w:ascii="Arial" w:hAnsi="Arial"/>
          <w:sz w:val="34"/>
        </w:rPr>
        <w:t xml:space="preserve">Each Guarantor </w:t>
      </w:r>
    </w:p>
    <w:p>
      <w:pPr>
        <w:pStyle w:val="TextBody"/>
        <w:bidi w:val="0"/>
        <w:spacing w:before="834" w:after="0"/>
        <w:ind w:left="2654" w:right="360" w:hanging="0"/>
        <w:jc w:val="left"/>
        <w:rPr>
          <w:rFonts w:ascii="Arial" w:hAnsi="Arial"/>
          <w:sz w:val="74"/>
        </w:rPr>
      </w:pPr>
      <w:r>
        <w:rPr>
          <w:rFonts w:ascii="Arial" w:hAnsi="Arial"/>
          <w:color w:val="12395C"/>
          <w:sz w:val="75"/>
        </w:rPr>
        <w:t>Amendment</w:t>
      </w:r>
      <w:r>
        <w:rPr>
          <w:rFonts w:ascii="Arial" w:hAnsi="Arial"/>
          <w:color w:val="12395C"/>
          <w:sz w:val="74"/>
        </w:rPr>
        <w:t> </w:t>
      </w:r>
      <w:r>
        <w:rPr>
          <w:rFonts w:ascii="Arial" w:hAnsi="Arial"/>
          <w:color w:val="12395C"/>
          <w:sz w:val="75"/>
        </w:rPr>
        <w:t>Deed</w:t>
      </w:r>
      <w:r>
        <w:rPr>
          <w:rFonts w:ascii="Arial" w:hAnsi="Arial"/>
          <w:sz w:val="74"/>
        </w:rPr>
        <w:t xml:space="preserve"> </w:t>
      </w:r>
    </w:p>
    <w:p>
      <w:pPr>
        <w:pStyle w:val="TextBody"/>
        <w:bidi w:val="0"/>
        <w:spacing w:before="462" w:after="0"/>
        <w:ind w:left="2654" w:right="360" w:hanging="0"/>
        <w:jc w:val="left"/>
        <w:rPr>
          <w:rFonts w:ascii="Arial" w:hAnsi="Arial"/>
          <w:sz w:val="22"/>
        </w:rPr>
      </w:pPr>
      <w:r>
        <w:rPr>
          <w:rFonts w:ascii="Arial" w:hAnsi="Arial"/>
          <w:color w:val="818181"/>
          <w:sz w:val="22"/>
        </w:rPr>
        <w:t>Corporate Markets Loan &amp; Bank Guarantee Facility Agreement</w:t>
      </w:r>
      <w:r>
        <w:rPr>
          <w:rFonts w:ascii="Arial" w:hAnsi="Arial"/>
          <w:sz w:val="22"/>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44" w:after="0"/>
        <w:ind w:left="360" w:right="360" w:hanging="0"/>
        <w:jc w:val="left"/>
        <w:rPr>
          <w:rFonts w:cs="Arial"/>
          <w:szCs w:val="10"/>
        </w:rPr>
      </w:pPr>
      <w:r>
        <w:rPr>
          <w:rFonts w:cs="Arial"/>
          <w:szCs w:val="11"/>
        </w:rPr>
        <w:t>﻿</w:t>
      </w:r>
      <w:r>
        <w:rPr>
          <w:rFonts w:cs="Arial"/>
          <w:szCs w:val="10"/>
        </w:rPr>
        <w:t xml:space="preserve"> </w:t>
      </w:r>
    </w:p>
    <w:p>
      <w:pPr>
        <w:pStyle w:val="TextBody"/>
        <w:pBdr>
          <w:bottom w:val="single" w:sz="8" w:space="1" w:color="000000"/>
        </w:pBdr>
        <w:bidi w:val="0"/>
        <w:spacing w:before="0" w:after="0"/>
        <w:ind w:left="2654" w:right="360" w:hanging="0"/>
        <w:jc w:val="left"/>
        <w:rPr>
          <w:rFonts w:ascii="Arial" w:hAnsi="Arial"/>
          <w:sz w:val="10"/>
        </w:rPr>
      </w:pPr>
      <w:r>
        <w:rPr>
          <w:rFonts w:ascii="Arial" w:hAnsi="Arial"/>
          <w:sz w:val="11"/>
        </w:rPr>
        <w:t>Ref:</w:t>
      </w:r>
      <w:r>
        <w:rPr>
          <w:rFonts w:ascii="Arial" w:hAnsi="Arial"/>
          <w:sz w:val="10"/>
        </w:rPr>
        <w:t> </w:t>
      </w:r>
      <w:r>
        <w:rPr>
          <w:rFonts w:ascii="Arial" w:hAnsi="Arial"/>
          <w:sz w:val="11"/>
        </w:rPr>
        <w:t>BMH/OSM 9143151</w:t>
      </w:r>
      <w:r>
        <w:rPr>
          <w:rFonts w:ascii="Arial" w:hAnsi="Arial"/>
          <w:sz w:val="10"/>
        </w:rPr>
        <w:t> </w:t>
      </w:r>
      <w:r>
        <w:rPr>
          <w:rFonts w:ascii="Arial" w:hAnsi="Arial"/>
          <w:sz w:val="11"/>
        </w:rPr>
        <w:t>3465-2397-4201v1</w:t>
      </w:r>
      <w:r>
        <w:rPr>
          <w:rFonts w:ascii="Arial" w:hAnsi="Arial"/>
          <w:sz w:val="10"/>
        </w:rPr>
        <w:t xml:space="preserve"> </w:t>
      </w:r>
    </w:p>
    <w:p>
      <w:pPr>
        <w:pStyle w:val="TextBody"/>
        <w:bidi w:val="0"/>
        <w:spacing w:before="5" w:after="0"/>
        <w:ind w:left="360" w:right="360" w:hanging="0"/>
        <w:jc w:val="left"/>
        <w:rPr>
          <w:rFonts w:cs="Arial"/>
          <w:szCs w:val="4"/>
        </w:rPr>
      </w:pPr>
      <w:r>
        <w:rPr>
          <w:rFonts w:cs="Arial"/>
          <w:szCs w:val="4"/>
        </w:rPr>
        <w:t xml:space="preserve">﻿ </w:t>
      </w:r>
    </w:p>
    <w:p>
      <w:pPr>
        <w:pStyle w:val="TextBody"/>
        <w:bidi w:val="0"/>
        <w:spacing w:before="57" w:after="0"/>
        <w:ind w:left="2654" w:right="360" w:hanging="0"/>
        <w:jc w:val="left"/>
        <w:rPr>
          <w:rFonts w:ascii="Arial" w:hAnsi="Arial"/>
          <w:sz w:val="10"/>
        </w:rPr>
      </w:pPr>
      <w:r>
        <w:rPr>
          <w:rFonts w:ascii="Arial" w:hAnsi="Arial"/>
          <w:sz w:val="11"/>
        </w:rPr>
        <w:t>©</w:t>
      </w:r>
      <w:r>
        <w:rPr>
          <w:rFonts w:ascii="Arial" w:hAnsi="Arial"/>
          <w:sz w:val="10"/>
        </w:rPr>
        <w:t> </w:t>
      </w:r>
      <w:r>
        <w:rPr>
          <w:rFonts w:ascii="Arial" w:hAnsi="Arial"/>
          <w:sz w:val="11"/>
        </w:rPr>
        <w:t>Corrs</w:t>
      </w:r>
      <w:r>
        <w:rPr>
          <w:rFonts w:ascii="Arial" w:hAnsi="Arial"/>
          <w:sz w:val="10"/>
        </w:rPr>
        <w:t> </w:t>
      </w:r>
      <w:r>
        <w:rPr>
          <w:rFonts w:ascii="Arial" w:hAnsi="Arial"/>
          <w:sz w:val="11"/>
        </w:rPr>
        <w:t>Chambers</w:t>
      </w:r>
      <w:r>
        <w:rPr>
          <w:rFonts w:ascii="Arial" w:hAnsi="Arial"/>
          <w:sz w:val="10"/>
        </w:rPr>
        <w:t> </w:t>
      </w:r>
      <w:r>
        <w:rPr>
          <w:rFonts w:ascii="Arial" w:hAnsi="Arial"/>
          <w:sz w:val="11"/>
        </w:rPr>
        <w:t>Westgarth</w:t>
      </w:r>
      <w:r>
        <w:rPr>
          <w:rFonts w:ascii="Arial" w:hAnsi="Arial"/>
          <w:sz w:val="10"/>
        </w:rPr>
        <w:t xml:space="preserve"> </w:t>
      </w:r>
    </w:p>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46" w:after="0"/>
        <w:ind w:left="360" w:right="360" w:hanging="0"/>
        <w:jc w:val="left"/>
        <w:rPr>
          <w:rFonts w:cs="Arial"/>
          <w:szCs w:val="30"/>
        </w:rPr>
      </w:pPr>
      <w:r>
        <w:rPr>
          <w:rFonts w:cs="Arial"/>
          <w:szCs w:val="30"/>
        </w:rPr>
        <w:t xml:space="preserve">﻿ </w:t>
      </w:r>
    </w:p>
    <w:p>
      <w:pPr>
        <w:pStyle w:val="TextBody"/>
        <w:bidi w:val="0"/>
        <w:spacing w:before="0" w:after="0"/>
        <w:ind w:left="2599" w:right="360" w:hanging="0"/>
        <w:jc w:val="left"/>
        <w:rPr>
          <w:rFonts w:ascii="Arial" w:hAnsi="Arial"/>
          <w:sz w:val="30"/>
        </w:rPr>
      </w:pPr>
      <w:r>
        <w:rPr>
          <w:rFonts w:ascii="Arial" w:hAnsi="Arial"/>
          <w:sz w:val="30"/>
        </w:rPr>
        <w:t xml:space="preserve">Contents </w:t>
      </w:r>
    </w:p>
    <w:tbl>
      <w:tblPr>
        <w:tblW w:w="4198" w:type="dxa"/>
        <w:jc w:val="left"/>
        <w:tblInd w:w="360" w:type="dxa"/>
        <w:tblLayout w:type="fixed"/>
        <w:tblCellMar>
          <w:top w:w="0" w:type="dxa"/>
          <w:left w:w="0" w:type="dxa"/>
          <w:bottom w:w="0" w:type="dxa"/>
          <w:right w:w="0" w:type="dxa"/>
        </w:tblCellMar>
      </w:tblPr>
      <w:tblGrid>
        <w:gridCol w:w="38"/>
        <w:gridCol w:w="125"/>
        <w:gridCol w:w="275"/>
        <w:gridCol w:w="3455"/>
        <w:gridCol w:w="230"/>
        <w:gridCol w:w="75"/>
      </w:tblGrid>
      <w:tr>
        <w:trPr/>
        <w:tc>
          <w:tcPr>
            <w:tcW w:w="38" w:type="dxa"/>
            <w:tcBorders/>
            <w:vAlign w:val="bottom"/>
          </w:tcPr>
          <w:p>
            <w:pPr>
              <w:pStyle w:val="TableContents"/>
              <w:bidi w:val="0"/>
              <w:spacing w:before="0" w:after="0"/>
              <w:ind w:left="0" w:right="0" w:hanging="0"/>
              <w:jc w:val="left"/>
              <w:rPr>
                <w:rFonts w:cs="Arial"/>
                <w:szCs w:val="2"/>
              </w:rPr>
            </w:pPr>
            <w:r>
              <w:rPr>
                <w:rFonts w:cs="Arial"/>
                <w:szCs w:val="2"/>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345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125" w:type="dxa"/>
            <w:tcBorders/>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1</w:t>
            </w:r>
            <w:bookmarkStart w:id="83" w:name="_Hlk205983708"/>
            <w:bookmarkEnd w:id="83"/>
          </w:p>
        </w:tc>
        <w:tc>
          <w:tcPr>
            <w:tcW w:w="3730" w:type="dxa"/>
            <w:gridSpan w:val="2"/>
            <w:tcBorders/>
            <w:vAlign w:val="center"/>
          </w:tcPr>
          <w:p>
            <w:pPr>
              <w:pStyle w:val="TableContents"/>
              <w:bidi w:val="0"/>
              <w:spacing w:before="120" w:after="0"/>
              <w:ind w:left="0" w:right="0" w:hanging="0"/>
              <w:jc w:val="left"/>
              <w:rPr>
                <w:rFonts w:ascii="Arial" w:hAnsi="Arial"/>
                <w:b/>
                <w:sz w:val="18"/>
              </w:rPr>
            </w:pPr>
            <w:r>
              <w:rPr>
                <w:rFonts w:ascii="Arial" w:hAnsi="Arial"/>
                <w:b/>
                <w:sz w:val="18"/>
              </w:rPr>
              <w:t>Definitions</w:t>
            </w:r>
          </w:p>
        </w:tc>
        <w:tc>
          <w:tcPr>
            <w:tcW w:w="230" w:type="dxa"/>
            <w:tcBorders/>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1</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bookmarkStart w:id="84" w:name="_Hlk205983874"/>
            <w:bookmarkEnd w:id="84"/>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2</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Consideration">
              <w:r>
                <w:rPr>
                  <w:rStyle w:val="InternetLink"/>
                  <w:rFonts w:ascii="Arial" w:hAnsi="Arial"/>
                  <w:b/>
                  <w:sz w:val="18"/>
                </w:rPr>
                <w:t>Consideration</w:t>
              </w:r>
            </w:hyperlink>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 w:hAnsi="Arial"/>
                <w:sz w:val="22"/>
              </w:rPr>
            </w:pPr>
            <w:r>
              <w:rPr>
                <w:rFonts w:ascii="Arial" w:hAnsi="Arial"/>
                <w:sz w:val="22"/>
              </w:rPr>
              <w:t>1</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bottom w:val="single" w:sz="8" w:space="0" w:color="000000"/>
            </w:tcBorders>
            <w:tcMar>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3</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Conditions_precedent">
              <w:r>
                <w:rPr>
                  <w:rStyle w:val="InternetLink"/>
                  <w:rFonts w:ascii="Arial" w:hAnsi="Arial"/>
                  <w:b/>
                  <w:sz w:val="18"/>
                </w:rPr>
                <w:t>Conditions precedent</w:t>
              </w:r>
            </w:hyperlink>
          </w:p>
        </w:tc>
        <w:tc>
          <w:tcPr>
            <w:tcW w:w="230" w:type="dxa"/>
            <w:tcBorders>
              <w:bottom w:val="single" w:sz="8" w:space="0" w:color="000000"/>
            </w:tcBorders>
            <w:tcMar>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3.1</w:t>
            </w:r>
          </w:p>
        </w:tc>
        <w:tc>
          <w:tcPr>
            <w:tcW w:w="3455" w:type="dxa"/>
            <w:tcBorders/>
            <w:vAlign w:val="center"/>
          </w:tcPr>
          <w:p>
            <w:pPr>
              <w:pStyle w:val="TableContents"/>
              <w:bidi w:val="0"/>
              <w:spacing w:before="153" w:after="0"/>
              <w:ind w:left="0" w:right="0" w:hanging="0"/>
              <w:jc w:val="left"/>
              <w:rPr/>
            </w:pPr>
            <w:hyperlink w:anchor="Conditions_precedent_to_Effective_Date">
              <w:r>
                <w:rPr>
                  <w:rStyle w:val="InternetLink"/>
                  <w:rFonts w:ascii="Arial" w:hAnsi="Arial"/>
                  <w:sz w:val="18"/>
                </w:rPr>
                <w:t>Conditions precedent to Effective Date</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3.2</w:t>
            </w:r>
          </w:p>
        </w:tc>
        <w:tc>
          <w:tcPr>
            <w:tcW w:w="3455" w:type="dxa"/>
            <w:tcBorders/>
            <w:vAlign w:val="center"/>
          </w:tcPr>
          <w:p>
            <w:pPr>
              <w:pStyle w:val="TableContents"/>
              <w:bidi w:val="0"/>
              <w:spacing w:before="48" w:after="0"/>
              <w:ind w:left="0" w:right="0" w:hanging="0"/>
              <w:jc w:val="left"/>
              <w:rPr/>
            </w:pPr>
            <w:hyperlink w:anchor="Satisfaction_of_conditions_precedent">
              <w:r>
                <w:rPr>
                  <w:rStyle w:val="InternetLink"/>
                  <w:rFonts w:ascii="Arial" w:hAnsi="Arial"/>
                  <w:sz w:val="18"/>
                </w:rPr>
                <w:t>Satisfaction of conditions precedent</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4</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Amendment_of_Facility_Agreement">
              <w:r>
                <w:rPr>
                  <w:rStyle w:val="InternetLink"/>
                  <w:rFonts w:ascii="Arial" w:hAnsi="Arial"/>
                  <w:b/>
                  <w:sz w:val="18"/>
                </w:rPr>
                <w:t>Amendment of Facility Agreement</w:t>
              </w:r>
            </w:hyperlink>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4.1</w:t>
            </w:r>
          </w:p>
        </w:tc>
        <w:tc>
          <w:tcPr>
            <w:tcW w:w="3455" w:type="dxa"/>
            <w:tcBorders/>
            <w:vAlign w:val="center"/>
          </w:tcPr>
          <w:p>
            <w:pPr>
              <w:pStyle w:val="TableContents"/>
              <w:bidi w:val="0"/>
              <w:spacing w:before="153" w:after="0"/>
              <w:ind w:left="0" w:right="0" w:hanging="0"/>
              <w:jc w:val="left"/>
              <w:rPr/>
            </w:pPr>
            <w:hyperlink w:anchor="Amendment41">
              <w:r>
                <w:rPr>
                  <w:rStyle w:val="InternetLink"/>
                  <w:rFonts w:ascii="Arial" w:hAnsi="Arial"/>
                  <w:sz w:val="18"/>
                </w:rPr>
                <w:t>Amendment</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4.2</w:t>
            </w:r>
          </w:p>
        </w:tc>
        <w:tc>
          <w:tcPr>
            <w:tcW w:w="3455" w:type="dxa"/>
            <w:tcBorders/>
            <w:vAlign w:val="center"/>
          </w:tcPr>
          <w:p>
            <w:pPr>
              <w:pStyle w:val="TableContents"/>
              <w:bidi w:val="0"/>
              <w:spacing w:before="48" w:after="0"/>
              <w:ind w:left="0" w:right="0" w:hanging="0"/>
              <w:jc w:val="left"/>
              <w:rPr/>
            </w:pPr>
            <w:hyperlink w:anchor="Parties_bound42">
              <w:r>
                <w:rPr>
                  <w:rStyle w:val="InternetLink"/>
                  <w:rFonts w:ascii="Arial" w:hAnsi="Arial"/>
                  <w:sz w:val="18"/>
                </w:rPr>
                <w:t>Parties bound</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5</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Representations_and_warranties">
              <w:r>
                <w:rPr>
                  <w:rStyle w:val="InternetLink"/>
                  <w:rFonts w:ascii="Arial" w:hAnsi="Arial"/>
                  <w:b/>
                  <w:sz w:val="18"/>
                </w:rPr>
                <w:t>Representations and warranties</w:t>
              </w:r>
            </w:hyperlink>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3</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5.1</w:t>
            </w:r>
          </w:p>
        </w:tc>
        <w:tc>
          <w:tcPr>
            <w:tcW w:w="3455" w:type="dxa"/>
            <w:tcBorders/>
            <w:vAlign w:val="center"/>
          </w:tcPr>
          <w:p>
            <w:pPr>
              <w:pStyle w:val="TableContents"/>
              <w:bidi w:val="0"/>
              <w:spacing w:before="153" w:after="0"/>
              <w:ind w:left="0" w:right="0" w:hanging="0"/>
              <w:jc w:val="left"/>
              <w:rPr/>
            </w:pPr>
            <w:hyperlink w:anchor="General51">
              <w:r>
                <w:rPr>
                  <w:rStyle w:val="InternetLink"/>
                  <w:rFonts w:ascii="Arial" w:hAnsi="Arial"/>
                  <w:sz w:val="18"/>
                </w:rPr>
                <w:t>General</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3</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5.2</w:t>
            </w:r>
          </w:p>
        </w:tc>
        <w:tc>
          <w:tcPr>
            <w:tcW w:w="3455" w:type="dxa"/>
            <w:tcBorders/>
            <w:vAlign w:val="center"/>
          </w:tcPr>
          <w:p>
            <w:pPr>
              <w:pStyle w:val="TableContents"/>
              <w:bidi w:val="0"/>
              <w:spacing w:before="48" w:after="0"/>
              <w:ind w:left="0" w:right="0" w:hanging="0"/>
              <w:jc w:val="left"/>
              <w:rPr/>
            </w:pPr>
            <w:hyperlink w:anchor="Survival_of_representations52">
              <w:r>
                <w:rPr>
                  <w:rStyle w:val="InternetLink"/>
                  <w:rFonts w:ascii="Arial" w:hAnsi="Arial"/>
                  <w:sz w:val="18"/>
                </w:rPr>
                <w:t>Survival of representations and warranties</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3</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6</w:t>
            </w:r>
          </w:p>
        </w:tc>
        <w:tc>
          <w:tcPr>
            <w:tcW w:w="3730" w:type="dxa"/>
            <w:gridSpan w:val="2"/>
            <w:tcBorders/>
            <w:vAlign w:val="center"/>
          </w:tcPr>
          <w:p>
            <w:pPr>
              <w:pStyle w:val="TableContents"/>
              <w:bidi w:val="0"/>
              <w:spacing w:before="249" w:after="0"/>
              <w:ind w:left="0" w:right="0" w:hanging="0"/>
              <w:jc w:val="left"/>
              <w:rPr/>
            </w:pPr>
            <w:hyperlink w:anchor="Acknowledgments">
              <w:r>
                <w:rPr>
                  <w:rStyle w:val="InternetLink"/>
                  <w:rFonts w:ascii="Arial" w:hAnsi="Arial"/>
                  <w:b/>
                  <w:sz w:val="18"/>
                </w:rPr>
                <w:t>Acknowledgments</w:t>
              </w:r>
            </w:hyperlink>
          </w:p>
        </w:tc>
        <w:tc>
          <w:tcPr>
            <w:tcW w:w="230" w:type="dxa"/>
            <w:tcBorders/>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3</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7</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General">
              <w:r>
                <w:rPr>
                  <w:rStyle w:val="InternetLink"/>
                  <w:rFonts w:ascii="Arial" w:hAnsi="Arial"/>
                  <w:b/>
                  <w:sz w:val="18"/>
                </w:rPr>
                <w:t>General</w:t>
              </w:r>
            </w:hyperlink>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7.1</w:t>
            </w:r>
          </w:p>
        </w:tc>
        <w:tc>
          <w:tcPr>
            <w:tcW w:w="3455" w:type="dxa"/>
            <w:tcBorders/>
            <w:vAlign w:val="center"/>
          </w:tcPr>
          <w:p>
            <w:pPr>
              <w:pStyle w:val="TableContents"/>
              <w:bidi w:val="0"/>
              <w:spacing w:before="153" w:after="0"/>
              <w:ind w:left="0" w:right="0" w:hanging="0"/>
              <w:jc w:val="left"/>
              <w:rPr/>
            </w:pPr>
            <w:hyperlink w:anchor="Amendment71">
              <w:r>
                <w:rPr>
                  <w:rStyle w:val="InternetLink"/>
                  <w:rFonts w:ascii="Arial" w:hAnsi="Arial"/>
                  <w:sz w:val="18"/>
                </w:rPr>
                <w:t>Amendment</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7.2</w:t>
            </w:r>
          </w:p>
        </w:tc>
        <w:tc>
          <w:tcPr>
            <w:tcW w:w="3455" w:type="dxa"/>
            <w:tcBorders/>
            <w:vAlign w:val="center"/>
          </w:tcPr>
          <w:p>
            <w:pPr>
              <w:pStyle w:val="TableContents"/>
              <w:bidi w:val="0"/>
              <w:spacing w:before="48" w:after="0"/>
              <w:ind w:left="0" w:right="0" w:hanging="0"/>
              <w:jc w:val="left"/>
              <w:rPr/>
            </w:pPr>
            <w:hyperlink w:anchor="Construction72">
              <w:r>
                <w:rPr>
                  <w:rStyle w:val="InternetLink"/>
                  <w:rFonts w:ascii="Arial" w:hAnsi="Arial"/>
                  <w:sz w:val="18"/>
                </w:rPr>
                <w:t>Construction</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7.3</w:t>
            </w:r>
          </w:p>
        </w:tc>
        <w:tc>
          <w:tcPr>
            <w:tcW w:w="3455" w:type="dxa"/>
            <w:tcBorders/>
            <w:vAlign w:val="center"/>
          </w:tcPr>
          <w:p>
            <w:pPr>
              <w:pStyle w:val="TableContents"/>
              <w:bidi w:val="0"/>
              <w:spacing w:before="48" w:after="0"/>
              <w:ind w:left="0" w:right="0" w:hanging="0"/>
              <w:jc w:val="left"/>
              <w:rPr/>
            </w:pPr>
            <w:hyperlink w:anchor="Counterparts73">
              <w:r>
                <w:rPr>
                  <w:rStyle w:val="InternetLink"/>
                  <w:rFonts w:ascii="Arial" w:hAnsi="Arial"/>
                  <w:sz w:val="18"/>
                </w:rPr>
                <w:t>Counterparts</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7.4</w:t>
            </w:r>
          </w:p>
        </w:tc>
        <w:tc>
          <w:tcPr>
            <w:tcW w:w="3455" w:type="dxa"/>
            <w:tcBorders/>
            <w:vAlign w:val="center"/>
          </w:tcPr>
          <w:p>
            <w:pPr>
              <w:pStyle w:val="TableContents"/>
              <w:bidi w:val="0"/>
              <w:spacing w:before="48" w:after="0"/>
              <w:ind w:left="0" w:right="0" w:hanging="0"/>
              <w:jc w:val="left"/>
              <w:rPr/>
            </w:pPr>
            <w:hyperlink w:anchor="Deed74">
              <w:r>
                <w:rPr>
                  <w:rStyle w:val="InternetLink"/>
                  <w:rFonts w:ascii="Arial" w:hAnsi="Arial"/>
                  <w:sz w:val="18"/>
                </w:rPr>
                <w:t>Deed</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7.5</w:t>
            </w:r>
          </w:p>
        </w:tc>
        <w:tc>
          <w:tcPr>
            <w:tcW w:w="3455" w:type="dxa"/>
            <w:tcBorders/>
            <w:vAlign w:val="center"/>
          </w:tcPr>
          <w:p>
            <w:pPr>
              <w:pStyle w:val="TableContents"/>
              <w:bidi w:val="0"/>
              <w:spacing w:before="48" w:after="0"/>
              <w:ind w:left="0" w:right="0" w:hanging="0"/>
              <w:jc w:val="left"/>
              <w:rPr/>
            </w:pPr>
            <w:hyperlink w:anchor="Duty75">
              <w:r>
                <w:rPr>
                  <w:rStyle w:val="InternetLink"/>
                  <w:rFonts w:ascii="Arial" w:hAnsi="Arial"/>
                  <w:sz w:val="18"/>
                </w:rPr>
                <w:t>Duty</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7.6</w:t>
            </w:r>
          </w:p>
        </w:tc>
        <w:tc>
          <w:tcPr>
            <w:tcW w:w="3455" w:type="dxa"/>
            <w:tcBorders/>
            <w:vAlign w:val="center"/>
          </w:tcPr>
          <w:p>
            <w:pPr>
              <w:pStyle w:val="TableContents"/>
              <w:bidi w:val="0"/>
              <w:spacing w:before="48" w:after="0"/>
              <w:ind w:left="0" w:right="0" w:hanging="0"/>
              <w:jc w:val="left"/>
              <w:rPr/>
            </w:pPr>
            <w:hyperlink w:anchor="Entire_understanding76">
              <w:r>
                <w:rPr>
                  <w:rStyle w:val="InternetLink"/>
                  <w:rFonts w:ascii="Arial" w:hAnsi="Arial"/>
                  <w:sz w:val="18"/>
                </w:rPr>
                <w:t>Entire understanding</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7.7</w:t>
            </w:r>
          </w:p>
        </w:tc>
        <w:tc>
          <w:tcPr>
            <w:tcW w:w="3455" w:type="dxa"/>
            <w:tcBorders/>
            <w:vAlign w:val="center"/>
          </w:tcPr>
          <w:p>
            <w:pPr>
              <w:pStyle w:val="TableContents"/>
              <w:bidi w:val="0"/>
              <w:spacing w:before="48" w:after="0"/>
              <w:ind w:left="0" w:right="0" w:hanging="0"/>
              <w:jc w:val="left"/>
              <w:rPr/>
            </w:pPr>
            <w:hyperlink w:anchor="Further_steps77">
              <w:r>
                <w:rPr>
                  <w:rStyle w:val="InternetLink"/>
                  <w:rFonts w:ascii="Arial" w:hAnsi="Arial"/>
                  <w:sz w:val="18"/>
                </w:rPr>
                <w:t>Further steps</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7.8</w:t>
            </w:r>
          </w:p>
        </w:tc>
        <w:tc>
          <w:tcPr>
            <w:tcW w:w="3455" w:type="dxa"/>
            <w:tcBorders/>
            <w:vAlign w:val="center"/>
          </w:tcPr>
          <w:p>
            <w:pPr>
              <w:pStyle w:val="TableContents"/>
              <w:bidi w:val="0"/>
              <w:spacing w:before="48" w:after="0"/>
              <w:ind w:left="0" w:right="0" w:hanging="0"/>
              <w:jc w:val="left"/>
              <w:rPr/>
            </w:pPr>
            <w:hyperlink w:anchor="Governing_law_and_jurisdiction78">
              <w:r>
                <w:rPr>
                  <w:rStyle w:val="InternetLink"/>
                  <w:rFonts w:ascii="Arial" w:hAnsi="Arial"/>
                  <w:sz w:val="18"/>
                </w:rPr>
                <w:t>Governing law and jurisdiction</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7.9</w:t>
            </w:r>
          </w:p>
        </w:tc>
        <w:tc>
          <w:tcPr>
            <w:tcW w:w="3455" w:type="dxa"/>
            <w:tcBorders/>
            <w:vAlign w:val="center"/>
          </w:tcPr>
          <w:p>
            <w:pPr>
              <w:pStyle w:val="TableContents"/>
              <w:bidi w:val="0"/>
              <w:spacing w:before="48" w:after="0"/>
              <w:ind w:left="0" w:right="0" w:hanging="0"/>
              <w:jc w:val="left"/>
              <w:rPr/>
            </w:pPr>
            <w:hyperlink w:anchor="Legal_costs79">
              <w:r>
                <w:rPr>
                  <w:rStyle w:val="InternetLink"/>
                  <w:rFonts w:ascii="Arial" w:hAnsi="Arial"/>
                  <w:sz w:val="18"/>
                </w:rPr>
                <w:t>Legal costs</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5</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345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center"/>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right"/>
              <w:rPr>
                <w:rFonts w:cs="Arial"/>
                <w:szCs w:val="18"/>
              </w:rPr>
            </w:pPr>
            <w:r>
              <w:rPr>
                <w:rFonts w:cs="Arial"/>
                <w:szCs w:val="18"/>
              </w:rPr>
              <w:t>﻿</w:t>
            </w:r>
          </w:p>
        </w:tc>
        <w:tc>
          <w:tcPr>
            <w:tcW w:w="3855"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corporate_director">
              <w:r>
                <w:rPr>
                  <w:rStyle w:val="InternetLink"/>
                  <w:rFonts w:ascii="Arial" w:hAnsi="Arial"/>
                  <w:b/>
                  <w:sz w:val="18"/>
                </w:rPr>
                <w:t>Schedule - Corporate Guarantors</w:t>
              </w:r>
            </w:hyperlink>
          </w:p>
        </w:tc>
        <w:tc>
          <w:tcPr>
            <w:tcW w:w="230" w:type="dxa"/>
            <w:tcBorders>
              <w:bottom w:val="single" w:sz="8" w:space="0" w:color="000000"/>
            </w:tcBorders>
            <w:tcMar>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6</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3855" w:type="dxa"/>
            <w:gridSpan w:val="3"/>
            <w:tcBorders/>
            <w:vAlign w:val="center"/>
          </w:tcPr>
          <w:p>
            <w:pPr>
              <w:pStyle w:val="TableContents"/>
              <w:bidi w:val="0"/>
              <w:spacing w:before="0" w:after="0"/>
              <w:ind w:left="0" w:right="0" w:hanging="0"/>
              <w:jc w:val="left"/>
              <w:rPr/>
            </w:pPr>
            <w:r>
              <w:rPr/>
              <w:t> </w:t>
            </w:r>
          </w:p>
        </w:tc>
        <w:tc>
          <w:tcPr>
            <w:tcW w:w="230" w:type="dxa"/>
            <w:tcBorders/>
            <w:vAlign w:val="bottom"/>
          </w:tcPr>
          <w:p>
            <w:pPr>
              <w:pStyle w:val="TableContents"/>
              <w:bidi w:val="0"/>
              <w:spacing w:before="0" w:after="0"/>
              <w:ind w:left="0" w:right="0" w:hanging="0"/>
              <w:jc w:val="center"/>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right"/>
              <w:rPr>
                <w:rFonts w:cs="Arial"/>
                <w:szCs w:val="18"/>
              </w:rPr>
            </w:pPr>
            <w:r>
              <w:rPr>
                <w:rFonts w:cs="Arial"/>
                <w:szCs w:val="18"/>
              </w:rPr>
              <w:t>﻿</w:t>
            </w:r>
          </w:p>
        </w:tc>
        <w:tc>
          <w:tcPr>
            <w:tcW w:w="3855"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Execution">
              <w:r>
                <w:rPr>
                  <w:rStyle w:val="InternetLink"/>
                  <w:rFonts w:ascii="Arial" w:hAnsi="Arial"/>
                  <w:b/>
                  <w:sz w:val="18"/>
                </w:rPr>
                <w:t>Execution</w:t>
              </w:r>
            </w:hyperlink>
          </w:p>
        </w:tc>
        <w:tc>
          <w:tcPr>
            <w:tcW w:w="230" w:type="dxa"/>
            <w:tcBorders>
              <w:bottom w:val="single" w:sz="8" w:space="0" w:color="000000"/>
            </w:tcBorders>
            <w:tcMar>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7</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3455" w:type="dxa"/>
            <w:tcBorders/>
            <w:vAlign w:val="bottom"/>
          </w:tcPr>
          <w:p>
            <w:pPr>
              <w:pStyle w:val="TableContents"/>
              <w:bidi w:val="0"/>
              <w:spacing w:before="0" w:after="0"/>
              <w:ind w:left="0" w:right="0" w:hanging="0"/>
              <w:jc w:val="left"/>
              <w:rPr/>
            </w:pPr>
            <w:r>
              <w:rPr/>
              <w:t> </w:t>
            </w:r>
          </w:p>
        </w:tc>
        <w:tc>
          <w:tcPr>
            <w:tcW w:w="230" w:type="dxa"/>
            <w:tcBorders/>
            <w:vAlign w:val="bottom"/>
          </w:tcPr>
          <w:p>
            <w:pPr>
              <w:pStyle w:val="TableContents"/>
              <w:bidi w:val="0"/>
              <w:spacing w:before="0" w:after="0"/>
              <w:ind w:left="0" w:right="0" w:hanging="0"/>
              <w:jc w:val="center"/>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right"/>
              <w:rPr>
                <w:rFonts w:cs="Arial"/>
                <w:szCs w:val="18"/>
              </w:rPr>
            </w:pPr>
            <w:r>
              <w:rPr>
                <w:rFonts w:cs="Arial"/>
                <w:szCs w:val="18"/>
              </w:rPr>
              <w:t>﻿</w:t>
            </w:r>
          </w:p>
        </w:tc>
        <w:tc>
          <w:tcPr>
            <w:tcW w:w="3855"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Annexure">
              <w:r>
                <w:rPr>
                  <w:rStyle w:val="InternetLink"/>
                  <w:rFonts w:ascii="Arial" w:hAnsi="Arial"/>
                  <w:b/>
                  <w:sz w:val="18"/>
                </w:rPr>
                <w:t>Annexure</w:t>
              </w:r>
            </w:hyperlink>
          </w:p>
        </w:tc>
        <w:tc>
          <w:tcPr>
            <w:tcW w:w="230" w:type="dxa"/>
            <w:tcBorders>
              <w:bottom w:val="single" w:sz="8" w:space="0" w:color="000000"/>
            </w:tcBorders>
            <w:tcMar>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11</w:t>
            </w:r>
          </w:p>
        </w:tc>
        <w:tc>
          <w:tcPr>
            <w:tcW w:w="75" w:type="dxa"/>
            <w:tcBorders/>
          </w:tcPr>
          <w:p>
            <w:pPr>
              <w:pStyle w:val="TableContents"/>
              <w:bidi w:val="0"/>
              <w:spacing w:before="0" w:after="0"/>
              <w:ind w:left="0" w:right="0" w:hanging="0"/>
              <w:jc w:val="right"/>
              <w:rPr/>
            </w:pPr>
            <w:r>
              <w:rPr/>
              <w:t> </w:t>
            </w:r>
          </w:p>
        </w:tc>
      </w:tr>
    </w:tbl>
    <w:p>
      <w:pPr>
        <w:pStyle w:val="TextBody"/>
        <w:bidi w:val="0"/>
        <w:spacing w:before="0" w:after="0"/>
        <w:ind w:left="360" w:right="360" w:hanging="0"/>
        <w:jc w:val="left"/>
        <w:rPr>
          <w:rFonts w:cs="Arial"/>
          <w:szCs w:val="22"/>
        </w:rPr>
      </w:pPr>
      <w:r>
        <w:rPr>
          <w:rFonts w:cs="Arial"/>
          <w:szCs w:val="22"/>
        </w:rPr>
        <w:t xml:space="preserve">﻿ </w:t>
      </w:r>
    </w:p>
    <w:p>
      <w:pPr>
        <w:pStyle w:val="TextBody"/>
        <w:bidi w:val="0"/>
        <w:spacing w:before="249" w:after="0"/>
        <w:ind w:left="2654" w:right="360" w:hanging="0"/>
        <w:jc w:val="left"/>
        <w:rPr>
          <w:rFonts w:cs="Arial"/>
          <w:szCs w:val="18"/>
        </w:rPr>
      </w:pPr>
      <w:r>
        <w:rPr>
          <w:rFonts w:cs="Arial"/>
          <w:bCs/>
          <w:szCs w:val="18"/>
        </w:rPr>
        <w:t>﻿</w:t>
      </w:r>
      <w:r>
        <w:rPr>
          <w:rFonts w:cs="Arial"/>
          <w:szCs w:val="18"/>
        </w:rPr>
        <w:t xml:space="preserve"> </w:t>
      </w:r>
    </w:p>
    <w:p>
      <w:pPr>
        <w:pStyle w:val="TextBody"/>
        <w:bidi w:val="0"/>
        <w:spacing w:before="0" w:after="0"/>
        <w:ind w:left="360" w:right="360" w:hanging="0"/>
        <w:jc w:val="left"/>
        <w:rPr/>
      </w:pPr>
      <w:r>
        <w:rPr/>
        <w:t xml:space="preserve">  </w:t>
      </w:r>
    </w:p>
    <w:p>
      <w:pPr>
        <w:pStyle w:val="TextBody"/>
        <w:bidi w:val="0"/>
        <w:spacing w:before="0" w:after="0"/>
        <w:ind w:left="360" w:right="360" w:hanging="0"/>
        <w:jc w:val="left"/>
        <w:rPr/>
      </w:pPr>
      <w:r>
        <w:rPr/>
        <w:t xml:space="preserve">  </w:t>
      </w:r>
    </w:p>
    <w:p>
      <w:pPr>
        <w:pStyle w:val="TextBody"/>
        <w:pBdr/>
        <w:bidi w:val="0"/>
        <w:spacing w:before="0" w:after="0"/>
        <w:ind w:left="360" w:right="360" w:hanging="0"/>
        <w:jc w:val="left"/>
        <w:rPr>
          <w:rFonts w:cs="Arial"/>
          <w:szCs w:val="22"/>
        </w:rPr>
      </w:pPr>
      <w:r>
        <w:rPr>
          <w:rFonts w:cs="Arial"/>
          <w:bCs/>
          <w:szCs w:val="22"/>
        </w:rPr>
        <w:t>﻿</w:t>
      </w:r>
      <w:r>
        <w:rPr>
          <w:rFonts w:cs="Arial"/>
          <w:szCs w:val="22"/>
        </w:rPr>
        <w:t xml:space="preserve"> </w:t>
      </w:r>
    </w:p>
    <w:p>
      <w:pPr>
        <w:pStyle w:val="TextBody"/>
        <w:pBdr/>
        <w:bidi w:val="0"/>
        <w:spacing w:before="0" w:after="0"/>
        <w:ind w:left="360" w:right="360" w:hanging="0"/>
        <w:jc w:val="left"/>
        <w:rPr>
          <w:rFonts w:cs="Arial"/>
          <w:szCs w:val="22"/>
        </w:rPr>
      </w:pPr>
      <w:r>
        <w:rPr>
          <w:rFonts w:cs="Arial"/>
          <w:bCs/>
          <w:szCs w:val="22"/>
        </w:rPr>
        <w:t>﻿</w:t>
      </w:r>
      <w:r>
        <w:rPr>
          <w:rFonts w:cs="Arial"/>
          <w:szCs w:val="22"/>
        </w:rPr>
        <w:t xml:space="preserve"> </w:t>
      </w:r>
    </w:p>
    <w:p>
      <w:pPr>
        <w:pStyle w:val="TextBody"/>
        <w:pBdr/>
        <w:bidi w:val="0"/>
        <w:spacing w:before="0" w:after="0"/>
        <w:ind w:left="360" w:right="360" w:hanging="0"/>
        <w:jc w:val="left"/>
        <w:rPr>
          <w:rFonts w:cs="Arial"/>
          <w:szCs w:val="22"/>
        </w:rPr>
      </w:pPr>
      <w:r>
        <w:rPr>
          <w:rFonts w:cs="Arial"/>
          <w:bCs/>
          <w:szCs w:val="22"/>
        </w:rPr>
        <w:t>﻿</w:t>
      </w:r>
      <w:r>
        <w:rPr>
          <w:rFonts w:cs="Arial"/>
          <w:szCs w:val="22"/>
        </w:rPr>
        <w:t xml:space="preserve"> </w:t>
      </w:r>
    </w:p>
    <w:p>
      <w:pPr>
        <w:pStyle w:val="TextBody"/>
        <w:pBdr/>
        <w:bidi w:val="0"/>
        <w:spacing w:before="74" w:after="0"/>
        <w:ind w:left="360" w:right="360" w:hanging="0"/>
        <w:jc w:val="left"/>
        <w:rPr>
          <w:rFonts w:cs="Arial"/>
          <w:szCs w:val="22"/>
        </w:rPr>
      </w:pPr>
      <w:r>
        <w:rPr>
          <w:rFonts w:cs="Arial"/>
          <w:bCs/>
          <w:szCs w:val="22"/>
        </w:rPr>
        <w:t>﻿</w:t>
      </w:r>
      <w:r>
        <w:rPr>
          <w:rFonts w:cs="Arial"/>
          <w:szCs w:val="22"/>
        </w:rPr>
        <w:t xml:space="preserve"> </w:t>
      </w:r>
    </w:p>
    <w:p>
      <w:pPr>
        <w:pStyle w:val="TextBody"/>
        <w:bidi w:val="0"/>
        <w:spacing w:before="0" w:after="0"/>
        <w:ind w:left="2649" w:right="360" w:hanging="0"/>
        <w:jc w:val="left"/>
        <w:rPr>
          <w:rFonts w:ascii="Arial" w:hAnsi="Arial"/>
          <w:sz w:val="22"/>
        </w:rPr>
      </w:pPr>
      <w:r>
        <w:rPr>
          <w:rFonts w:ascii="Arial" w:hAnsi="Arial"/>
          <w:b/>
          <w:sz w:val="22"/>
        </w:rPr>
        <w:t>Date</w:t>
      </w:r>
      <w:r>
        <w:rPr>
          <w:rFonts w:ascii="Arial" w:hAnsi="Arial"/>
          <w:sz w:val="22"/>
        </w:rPr>
        <w:t> </w:t>
      </w:r>
      <w:r>
        <w:rPr>
          <w:rFonts w:ascii="Arial" w:hAnsi="Arial"/>
          <w:b/>
          <w:sz w:val="22"/>
        </w:rPr>
        <w:t>02</w:t>
      </w:r>
      <w:r>
        <w:rPr>
          <w:rFonts w:ascii="Arial" w:hAnsi="Arial"/>
          <w:sz w:val="22"/>
        </w:rPr>
        <w:t> </w:t>
      </w:r>
      <w:r>
        <w:rPr>
          <w:rFonts w:ascii="Arial" w:hAnsi="Arial"/>
          <w:b/>
          <w:sz w:val="22"/>
        </w:rPr>
        <w:t>April</w:t>
      </w:r>
      <w:r>
        <w:rPr>
          <w:rFonts w:ascii="Arial" w:hAnsi="Arial"/>
          <w:sz w:val="22"/>
        </w:rPr>
        <w:t> </w:t>
      </w:r>
      <w:r>
        <w:rPr>
          <w:rFonts w:ascii="Arial" w:hAnsi="Arial"/>
          <w:b/>
          <w:sz w:val="22"/>
        </w:rPr>
        <w:t>2025</w:t>
      </w:r>
      <w:r>
        <w:rPr>
          <w:rFonts w:ascii="Arial" w:hAnsi="Arial"/>
          <w:sz w:val="22"/>
        </w:rPr>
        <w:t xml:space="preserve"> </w:t>
      </w:r>
    </w:p>
    <w:p>
      <w:pPr>
        <w:pStyle w:val="TextBody"/>
        <w:bidi w:val="0"/>
        <w:spacing w:before="92" w:after="0"/>
        <w:ind w:left="360" w:right="360" w:hanging="0"/>
        <w:jc w:val="left"/>
        <w:rPr>
          <w:rFonts w:cs="Arial"/>
          <w:szCs w:val="22"/>
        </w:rPr>
      </w:pPr>
      <w:r>
        <w:rPr>
          <w:rFonts w:cs="Arial"/>
          <w:bCs/>
          <w:szCs w:val="22"/>
        </w:rPr>
        <w:t>﻿</w:t>
      </w:r>
      <w:r>
        <w:rPr>
          <w:rFonts w:cs="Arial"/>
          <w:szCs w:val="22"/>
        </w:rPr>
        <w:t xml:space="preserve"> </w:t>
      </w:r>
    </w:p>
    <w:p>
      <w:pPr>
        <w:pStyle w:val="TextBody"/>
        <w:bidi w:val="0"/>
        <w:spacing w:before="1" w:after="0"/>
        <w:ind w:left="2649" w:right="360" w:hanging="0"/>
        <w:jc w:val="left"/>
        <w:rPr>
          <w:rFonts w:ascii="Arial" w:hAnsi="Arial"/>
          <w:sz w:val="36"/>
        </w:rPr>
      </w:pPr>
      <w:r>
        <w:rPr>
          <w:rFonts w:ascii="Arial" w:hAnsi="Arial"/>
          <w:sz w:val="37"/>
        </w:rPr>
        <w:t>Parties</w:t>
      </w:r>
      <w:r>
        <w:rPr>
          <w:rFonts w:ascii="Arial" w:hAnsi="Arial"/>
          <w:sz w:val="36"/>
        </w:rPr>
        <w:t xml:space="preserve"> </w:t>
      </w:r>
    </w:p>
    <w:p>
      <w:pPr>
        <w:pStyle w:val="TextBody"/>
        <w:bidi w:val="0"/>
        <w:spacing w:lineRule="auto" w:line="264" w:before="250" w:after="0"/>
        <w:ind w:left="2649" w:right="1854" w:hanging="0"/>
        <w:jc w:val="left"/>
        <w:rPr>
          <w:rFonts w:ascii="Arial" w:hAnsi="Arial"/>
          <w:sz w:val="20"/>
        </w:rPr>
      </w:pPr>
      <w:r>
        <w:rPr>
          <w:rFonts w:ascii="Arial" w:hAnsi="Arial"/>
          <w:b/>
          <w:sz w:val="20"/>
        </w:rPr>
        <w:t>National</w:t>
      </w:r>
      <w:r>
        <w:rPr>
          <w:rFonts w:ascii="Arial" w:hAnsi="Arial"/>
          <w:sz w:val="20"/>
        </w:rPr>
        <w:t> </w:t>
      </w:r>
      <w:r>
        <w:rPr>
          <w:rFonts w:ascii="Arial" w:hAnsi="Arial"/>
          <w:b/>
          <w:sz w:val="20"/>
        </w:rPr>
        <w:t>Australia</w:t>
      </w:r>
      <w:r>
        <w:rPr>
          <w:rFonts w:ascii="Arial" w:hAnsi="Arial"/>
          <w:sz w:val="20"/>
        </w:rPr>
        <w:t> </w:t>
      </w:r>
      <w:r>
        <w:rPr>
          <w:rFonts w:ascii="Arial" w:hAnsi="Arial"/>
          <w:b/>
          <w:sz w:val="20"/>
        </w:rPr>
        <w:t>Bank</w:t>
      </w:r>
      <w:r>
        <w:rPr>
          <w:rFonts w:ascii="Arial" w:hAnsi="Arial"/>
          <w:sz w:val="20"/>
        </w:rPr>
        <w:t> </w:t>
      </w:r>
      <w:r>
        <w:rPr>
          <w:rFonts w:ascii="Arial" w:hAnsi="Arial"/>
          <w:b/>
          <w:sz w:val="20"/>
        </w:rPr>
        <w:t>Limited</w:t>
      </w:r>
      <w:r>
        <w:rPr>
          <w:rFonts w:ascii="Arial" w:hAnsi="Arial"/>
          <w:sz w:val="20"/>
        </w:rPr>
        <w:t> ABN 12 004 044 937 of Level 17, 395 Bourke Street, Melbourne, Victoria 3000 (</w:t>
      </w:r>
      <w:r>
        <w:rPr>
          <w:rFonts w:ascii="Arial" w:hAnsi="Arial"/>
          <w:b/>
          <w:sz w:val="20"/>
        </w:rPr>
        <w:t>Bank</w:t>
      </w:r>
      <w:r>
        <w:rPr>
          <w:rFonts w:ascii="Arial" w:hAnsi="Arial"/>
          <w:sz w:val="20"/>
        </w:rPr>
        <w:t xml:space="preserve">) </w:t>
      </w:r>
    </w:p>
    <w:p>
      <w:pPr>
        <w:pStyle w:val="TextBody"/>
        <w:bidi w:val="0"/>
        <w:spacing w:lineRule="auto" w:line="264" w:before="223" w:after="0"/>
        <w:ind w:left="2649" w:right="1854"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Entertainment</w:t>
      </w:r>
      <w:r>
        <w:rPr>
          <w:rFonts w:ascii="Arial" w:hAnsi="Arial"/>
          <w:sz w:val="20"/>
        </w:rPr>
        <w:t> </w:t>
      </w:r>
      <w:r>
        <w:rPr>
          <w:rFonts w:ascii="Arial" w:hAnsi="Arial"/>
          <w:b/>
          <w:sz w:val="20"/>
        </w:rPr>
        <w:t>Australia</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0"/>
        </w:rPr>
        <w:t> ACN 070 893 908 of 98 York Street, South Melbourne, Victoria 3205 (</w:t>
      </w:r>
      <w:r>
        <w:rPr>
          <w:rFonts w:ascii="Arial" w:hAnsi="Arial"/>
          <w:b/>
          <w:sz w:val="20"/>
        </w:rPr>
        <w:t>Borrower</w:t>
      </w:r>
      <w:r>
        <w:rPr>
          <w:rFonts w:ascii="Arial" w:hAnsi="Arial"/>
          <w:sz w:val="20"/>
        </w:rPr>
        <w:t xml:space="preserve">) </w:t>
      </w:r>
    </w:p>
    <w:p>
      <w:pPr>
        <w:pStyle w:val="TextBody"/>
        <w:bidi w:val="0"/>
        <w:spacing w:before="200" w:after="0"/>
        <w:ind w:left="2649" w:right="360" w:hanging="0"/>
        <w:jc w:val="left"/>
        <w:rPr>
          <w:rFonts w:ascii="Arial" w:hAnsi="Arial"/>
          <w:b/>
          <w:sz w:val="20"/>
        </w:rPr>
      </w:pPr>
      <w:r>
        <w:rPr>
          <w:rFonts w:ascii="Arial" w:hAnsi="Arial"/>
          <w:b/>
          <w:sz w:val="20"/>
        </w:rPr>
        <w:t>Each entity listed in the schedule </w:t>
      </w:r>
      <w:r>
        <w:rPr>
          <w:rFonts w:ascii="Arial" w:hAnsi="Arial"/>
          <w:b w:val="false"/>
          <w:sz w:val="20"/>
        </w:rPr>
        <w:t>(</w:t>
      </w:r>
      <w:r>
        <w:rPr>
          <w:rFonts w:ascii="Arial" w:hAnsi="Arial"/>
          <w:b/>
          <w:sz w:val="20"/>
        </w:rPr>
        <w:t>Corporate Guarantor</w:t>
      </w:r>
      <w:r>
        <w:rPr>
          <w:rFonts w:ascii="Arial" w:hAnsi="Arial"/>
          <w:b w:val="false"/>
          <w:sz w:val="20"/>
        </w:rPr>
        <w:t>)</w:t>
      </w:r>
      <w:r>
        <w:rPr>
          <w:rFonts w:ascii="Arial" w:hAnsi="Arial"/>
          <w:b/>
          <w:sz w:val="20"/>
        </w:rPr>
        <w:t xml:space="preserve"> </w:t>
      </w:r>
    </w:p>
    <w:p>
      <w:pPr>
        <w:pStyle w:val="TextBody"/>
        <w:pBdr>
          <w:bottom w:val="single" w:sz="8" w:space="1" w:color="000000"/>
        </w:pBdr>
        <w:bidi w:val="0"/>
        <w:spacing w:before="278" w:after="0"/>
        <w:ind w:left="360" w:right="360" w:hanging="0"/>
        <w:jc w:val="left"/>
        <w:rPr>
          <w:rFonts w:cs="Arial"/>
          <w:szCs w:val="36"/>
        </w:rPr>
      </w:pPr>
      <w:r>
        <w:rPr>
          <w:rFonts w:cs="Arial"/>
          <w:szCs w:val="37"/>
        </w:rPr>
        <w:t>﻿</w:t>
      </w:r>
      <w:r>
        <w:rPr>
          <w:rFonts w:cs="Arial"/>
          <w:szCs w:val="36"/>
        </w:rPr>
        <w:t xml:space="preserve"> </w:t>
      </w:r>
    </w:p>
    <w:p>
      <w:pPr>
        <w:pStyle w:val="TextBody"/>
        <w:bidi w:val="0"/>
        <w:spacing w:before="0" w:after="0"/>
        <w:ind w:left="2649" w:right="360" w:hanging="0"/>
        <w:jc w:val="left"/>
        <w:rPr>
          <w:rFonts w:cs="Arial"/>
          <w:szCs w:val="36"/>
        </w:rPr>
      </w:pPr>
      <w:r>
        <w:rPr>
          <w:rFonts w:cs="Arial"/>
          <w:szCs w:val="37"/>
        </w:rPr>
        <w:t>﻿</w:t>
      </w:r>
      <w:r>
        <w:rPr>
          <w:rFonts w:cs="Arial"/>
          <w:szCs w:val="36"/>
        </w:rPr>
        <w:t xml:space="preserve"> </w:t>
      </w:r>
    </w:p>
    <w:p>
      <w:pPr>
        <w:pStyle w:val="TextBody"/>
        <w:bidi w:val="0"/>
        <w:spacing w:before="0" w:after="0"/>
        <w:ind w:left="2649" w:right="360" w:hanging="0"/>
        <w:jc w:val="left"/>
        <w:rPr>
          <w:rFonts w:ascii="Arial" w:hAnsi="Arial"/>
          <w:sz w:val="36"/>
        </w:rPr>
      </w:pPr>
      <w:r>
        <w:rPr>
          <w:rFonts w:ascii="Arial" w:hAnsi="Arial"/>
          <w:sz w:val="37"/>
        </w:rPr>
        <w:t>Agreed</w:t>
      </w:r>
      <w:r>
        <w:rPr>
          <w:rFonts w:ascii="Arial" w:hAnsi="Arial"/>
          <w:sz w:val="36"/>
        </w:rPr>
        <w:t> </w:t>
      </w:r>
      <w:r>
        <w:rPr>
          <w:rFonts w:ascii="Arial" w:hAnsi="Arial"/>
          <w:sz w:val="37"/>
        </w:rPr>
        <w:t>terms</w:t>
      </w:r>
      <w:r>
        <w:rPr>
          <w:rFonts w:ascii="Arial" w:hAnsi="Arial"/>
          <w:sz w:val="36"/>
        </w:rPr>
        <w:t xml:space="preserve"> </w:t>
      </w:r>
    </w:p>
    <w:p>
      <w:pPr>
        <w:pStyle w:val="TextBody"/>
        <w:bidi w:val="0"/>
        <w:spacing w:before="84" w:after="0"/>
        <w:ind w:left="360" w:right="360" w:hanging="0"/>
        <w:jc w:val="left"/>
        <w:rPr>
          <w:rFonts w:cs="Arial"/>
          <w:szCs w:val="36"/>
        </w:rPr>
      </w:pPr>
      <w:r>
        <w:rPr>
          <w:rFonts w:cs="Arial"/>
          <w:szCs w:val="37"/>
        </w:rPr>
        <w:t>﻿</w:t>
      </w:r>
      <w:r>
        <w:rPr>
          <w:rFonts w:cs="Arial"/>
          <w:szCs w:val="36"/>
        </w:rPr>
        <w:t xml:space="preserve"> </w:t>
      </w:r>
    </w:p>
    <w:tbl>
      <w:tblPr>
        <w:tblW w:w="1841" w:type="dxa"/>
        <w:jc w:val="left"/>
        <w:tblInd w:w="360" w:type="dxa"/>
        <w:tblLayout w:type="fixed"/>
        <w:tblCellMar>
          <w:top w:w="0" w:type="dxa"/>
          <w:left w:w="0" w:type="dxa"/>
          <w:bottom w:w="0" w:type="dxa"/>
          <w:right w:w="0" w:type="dxa"/>
        </w:tblCellMar>
      </w:tblPr>
      <w:tblGrid>
        <w:gridCol w:w="38"/>
        <w:gridCol w:w="365"/>
        <w:gridCol w:w="23"/>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1415" w:type="dxa"/>
            <w:tcBorders/>
          </w:tcPr>
          <w:p>
            <w:pPr>
              <w:pStyle w:val="TableContents"/>
              <w:bidi w:val="0"/>
              <w:spacing w:before="0" w:after="0"/>
              <w:ind w:left="0" w:right="0" w:hanging="0"/>
              <w:jc w:val="left"/>
              <w:rPr>
                <w:rFonts w:ascii="Arial" w:hAnsi="Arial"/>
                <w:color w:val="000000"/>
                <w:sz w:val="30"/>
              </w:rPr>
            </w:pPr>
            <w:bookmarkStart w:id="85" w:name="Definitions"/>
            <w:bookmarkStart w:id="86" w:name="_TOC_250112"/>
            <w:bookmarkEnd w:id="85"/>
            <w:bookmarkEnd w:id="86"/>
            <w:r>
              <w:rPr>
                <w:rFonts w:ascii="Arial" w:hAnsi="Arial"/>
                <w:color w:val="000000"/>
                <w:sz w:val="30"/>
              </w:rPr>
              <w:t>Definitions</w:t>
            </w:r>
          </w:p>
        </w:tc>
      </w:tr>
    </w:tbl>
    <w:p>
      <w:pPr>
        <w:pStyle w:val="TextBody"/>
        <w:pBdr/>
        <w:bidi w:val="0"/>
        <w:spacing w:lineRule="auto" w:line="264" w:before="82" w:after="0"/>
        <w:ind w:left="3451" w:right="1854" w:hanging="0"/>
        <w:jc w:val="left"/>
        <w:rPr>
          <w:rFonts w:ascii="Arial" w:hAnsi="Arial"/>
          <w:sz w:val="20"/>
        </w:rPr>
      </w:pPr>
      <w:r>
        <w:rPr>
          <w:rFonts w:ascii="Arial" w:hAnsi="Arial"/>
          <w:color w:val="000000"/>
          <w:sz w:val="20"/>
        </w:rPr>
        <w:t>In this deed words and expressions which are defined or given a specific meaning in the Amended Facility Agreement but which are not defined or given a specific meaning in this deed have the same meaning as in the Amended Facility Agreement. Otherwise, terms have the following meanings:</w:t>
      </w:r>
      <w:r>
        <w:rPr>
          <w:rFonts w:ascii="Arial" w:hAnsi="Arial"/>
          <w:sz w:val="20"/>
        </w:rPr>
        <w:t xml:space="preserve"> </w:t>
      </w:r>
    </w:p>
    <w:p>
      <w:pPr>
        <w:pStyle w:val="TextBody"/>
        <w:pBdr/>
        <w:bidi w:val="0"/>
        <w:spacing w:lineRule="auto" w:line="264" w:before="82" w:after="0"/>
        <w:ind w:left="3240" w:right="1854" w:hanging="0"/>
        <w:jc w:val="left"/>
        <w:rPr>
          <w:rFonts w:cs="Arial"/>
          <w:szCs w:val="20"/>
        </w:rPr>
      </w:pPr>
      <w:r>
        <w:rPr>
          <w:rFonts w:cs="Arial"/>
          <w:color w:val="000000"/>
          <w:szCs w:val="20"/>
        </w:rPr>
        <w:t>﻿</w:t>
      </w:r>
      <w:r>
        <w:rPr>
          <w:rFonts w:cs="Arial"/>
          <w:szCs w:val="20"/>
        </w:rPr>
        <w:t xml:space="preserve"> </w:t>
      </w:r>
    </w:p>
    <w:p>
      <w:pPr>
        <w:pStyle w:val="TextBody"/>
        <w:bidi w:val="0"/>
        <w:spacing w:before="0" w:after="0"/>
        <w:ind w:left="360" w:right="360" w:hanging="0"/>
        <w:jc w:val="left"/>
        <w:rPr>
          <w:rFonts w:cs="Arial"/>
          <w:szCs w:val="22"/>
        </w:rPr>
      </w:pPr>
      <w:r>
        <w:rPr>
          <w:rFonts w:cs="Arial"/>
          <w:color w:val="000000"/>
          <w:szCs w:val="22"/>
        </w:rPr>
        <w:t>﻿</w:t>
      </w:r>
      <w:r>
        <w:rPr>
          <w:rFonts w:cs="Arial"/>
          <w:szCs w:val="22"/>
        </w:rPr>
        <w:t xml:space="preserve"> </w:t>
      </w:r>
    </w:p>
    <w:tbl>
      <w:tblPr>
        <w:tblW w:w="9485" w:type="dxa"/>
        <w:jc w:val="left"/>
        <w:tblInd w:w="360" w:type="dxa"/>
        <w:tblLayout w:type="fixed"/>
        <w:tblCellMar>
          <w:top w:w="0" w:type="dxa"/>
          <w:left w:w="0" w:type="dxa"/>
          <w:bottom w:w="0" w:type="dxa"/>
          <w:right w:w="0" w:type="dxa"/>
        </w:tblCellMar>
      </w:tblPr>
      <w:tblGrid>
        <w:gridCol w:w="38"/>
        <w:gridCol w:w="1148"/>
        <w:gridCol w:w="8223"/>
        <w:gridCol w:w="76"/>
      </w:tblGrid>
      <w:tr>
        <w:trPr/>
        <w:tc>
          <w:tcPr>
            <w:tcW w:w="38" w:type="dxa"/>
            <w:tcBorders/>
          </w:tcPr>
          <w:p>
            <w:pPr>
              <w:pStyle w:val="TableContents"/>
              <w:bidi w:val="0"/>
              <w:spacing w:before="0" w:after="0"/>
              <w:ind w:left="0" w:right="0" w:hanging="0"/>
              <w:jc w:val="left"/>
              <w:rPr>
                <w:rFonts w:cs="Arial"/>
                <w:color w:val="000000"/>
                <w:szCs w:val="20"/>
              </w:rPr>
            </w:pPr>
            <w:r>
              <w:rPr>
                <w:rFonts w:cs="Arial"/>
                <w:color w:val="000000"/>
                <w:szCs w:val="20"/>
              </w:rPr>
              <w:t>﻿</w:t>
            </w:r>
          </w:p>
        </w:tc>
        <w:tc>
          <w:tcPr>
            <w:tcW w:w="1148" w:type="dxa"/>
            <w:tcBorders/>
          </w:tcPr>
          <w:p>
            <w:pPr>
              <w:pStyle w:val="TableContents"/>
              <w:bidi w:val="0"/>
              <w:spacing w:before="0" w:after="0"/>
              <w:ind w:left="0" w:right="0" w:hanging="0"/>
              <w:jc w:val="left"/>
              <w:rPr>
                <w:rFonts w:ascii="Arial" w:hAnsi="Arial"/>
                <w:b/>
                <w:color w:val="000000"/>
                <w:sz w:val="20"/>
              </w:rPr>
            </w:pPr>
            <w:r>
              <w:rPr>
                <w:rFonts w:ascii="Arial" w:hAnsi="Arial"/>
                <w:b/>
                <w:color w:val="000000"/>
                <w:sz w:val="20"/>
              </w:rPr>
              <w:t xml:space="preserve">Amended </w:t>
            </w:r>
          </w:p>
          <w:p>
            <w:pPr>
              <w:pStyle w:val="TableContents"/>
              <w:bidi w:val="0"/>
              <w:spacing w:before="0" w:after="0"/>
              <w:ind w:left="0" w:right="0" w:hanging="0"/>
              <w:jc w:val="left"/>
              <w:rPr>
                <w:rFonts w:ascii="Arial" w:hAnsi="Arial"/>
                <w:b/>
                <w:color w:val="000000"/>
                <w:sz w:val="20"/>
              </w:rPr>
            </w:pPr>
            <w:r>
              <w:rPr>
                <w:rFonts w:ascii="Arial" w:hAnsi="Arial"/>
                <w:b/>
                <w:color w:val="000000"/>
                <w:sz w:val="20"/>
              </w:rPr>
              <w:t>Facility</w:t>
            </w:r>
          </w:p>
          <w:p>
            <w:pPr>
              <w:pStyle w:val="TableContents"/>
              <w:bidi w:val="0"/>
              <w:spacing w:before="0" w:after="0"/>
              <w:ind w:left="0" w:right="0" w:hanging="0"/>
              <w:jc w:val="left"/>
              <w:rPr>
                <w:rFonts w:ascii="Arial" w:hAnsi="Arial"/>
                <w:b/>
                <w:color w:val="000000"/>
                <w:sz w:val="20"/>
              </w:rPr>
            </w:pPr>
            <w:r>
              <w:rPr>
                <w:rFonts w:ascii="Arial" w:hAnsi="Arial"/>
                <w:b/>
                <w:color w:val="000000"/>
                <w:sz w:val="20"/>
              </w:rPr>
              <w:t>Agreement</w:t>
            </w:r>
          </w:p>
          <w:p>
            <w:pPr>
              <w:pStyle w:val="TableContents"/>
              <w:bidi w:val="0"/>
              <w:spacing w:before="0" w:after="0"/>
              <w:ind w:left="0" w:right="0" w:hanging="0"/>
              <w:jc w:val="left"/>
              <w:rPr/>
            </w:pPr>
            <w:r>
              <w:rPr/>
              <w:t> </w:t>
            </w:r>
          </w:p>
        </w:tc>
        <w:tc>
          <w:tcPr>
            <w:tcW w:w="8223" w:type="dxa"/>
            <w:tcBorders/>
          </w:tcPr>
          <w:p>
            <w:pPr>
              <w:pStyle w:val="TableContents"/>
              <w:bidi w:val="0"/>
              <w:spacing w:before="0" w:after="0"/>
              <w:ind w:left="0" w:right="0" w:hanging="0"/>
              <w:jc w:val="left"/>
              <w:rPr>
                <w:rFonts w:ascii="Arial" w:hAnsi="Arial"/>
                <w:color w:val="000000"/>
                <w:sz w:val="20"/>
              </w:rPr>
            </w:pPr>
            <w:r>
              <w:rPr>
                <w:rFonts w:ascii="Arial" w:hAnsi="Arial"/>
                <w:color w:val="000000"/>
                <w:sz w:val="20"/>
              </w:rPr>
              <w:t>The Facility Agreement as amended in accordance with this deed.</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color w:val="000000"/>
                <w:szCs w:val="20"/>
              </w:rPr>
            </w:pPr>
            <w:r>
              <w:rPr>
                <w:rFonts w:cs="Arial"/>
                <w:color w:val="000000"/>
                <w:szCs w:val="20"/>
              </w:rPr>
              <w:t>﻿</w:t>
            </w:r>
          </w:p>
        </w:tc>
        <w:tc>
          <w:tcPr>
            <w:tcW w:w="1148" w:type="dxa"/>
            <w:tcBorders/>
          </w:tcPr>
          <w:p>
            <w:pPr>
              <w:pStyle w:val="TableContents"/>
              <w:bidi w:val="0"/>
              <w:spacing w:before="0" w:after="0"/>
              <w:ind w:left="0" w:right="0" w:hanging="0"/>
              <w:jc w:val="left"/>
              <w:rPr>
                <w:rFonts w:ascii="Arial" w:hAnsi="Arial"/>
                <w:b/>
                <w:color w:val="000000"/>
                <w:sz w:val="20"/>
              </w:rPr>
            </w:pPr>
            <w:r>
              <w:rPr>
                <w:rFonts w:ascii="Arial" w:hAnsi="Arial"/>
                <w:b/>
                <w:color w:val="000000"/>
                <w:sz w:val="20"/>
              </w:rPr>
              <w:t>Effective Date</w:t>
            </w:r>
          </w:p>
        </w:tc>
        <w:tc>
          <w:tcPr>
            <w:tcW w:w="8223" w:type="dxa"/>
            <w:tcBorders/>
          </w:tcPr>
          <w:p>
            <w:pPr>
              <w:pStyle w:val="TableContents"/>
              <w:bidi w:val="0"/>
              <w:spacing w:before="0" w:after="0"/>
              <w:ind w:left="0" w:right="0" w:hanging="0"/>
              <w:jc w:val="left"/>
              <w:rPr>
                <w:rFonts w:ascii="Arial" w:hAnsi="Arial"/>
                <w:color w:val="000000"/>
                <w:sz w:val="20"/>
              </w:rPr>
            </w:pPr>
            <w:r>
              <w:rPr>
                <w:rFonts w:ascii="Arial" w:hAnsi="Arial"/>
                <w:color w:val="000000"/>
                <w:sz w:val="20"/>
              </w:rPr>
              <w:t>The date on which each of the conditions precedent set out in clause 3 have been satisfied (subject to clause 3.2(d)).</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color w:val="000000"/>
                <w:szCs w:val="20"/>
              </w:rPr>
            </w:pPr>
            <w:r>
              <w:rPr>
                <w:rFonts w:cs="Arial"/>
                <w:color w:val="000000"/>
                <w:szCs w:val="20"/>
              </w:rPr>
              <w:t>﻿</w:t>
            </w:r>
          </w:p>
        </w:tc>
        <w:tc>
          <w:tcPr>
            <w:tcW w:w="1148" w:type="dxa"/>
            <w:tcBorders/>
          </w:tcPr>
          <w:p>
            <w:pPr>
              <w:pStyle w:val="TableContents"/>
              <w:bidi w:val="0"/>
              <w:spacing w:before="0" w:after="0"/>
              <w:ind w:left="0" w:right="0" w:hanging="0"/>
              <w:jc w:val="left"/>
              <w:rPr>
                <w:rFonts w:ascii="Arial" w:hAnsi="Arial"/>
                <w:b/>
                <w:color w:val="000000"/>
                <w:sz w:val="20"/>
              </w:rPr>
            </w:pPr>
            <w:r>
              <w:rPr>
                <w:rFonts w:ascii="Arial" w:hAnsi="Arial"/>
                <w:b/>
                <w:color w:val="000000"/>
                <w:sz w:val="20"/>
              </w:rPr>
              <w:t>Facility</w:t>
            </w:r>
          </w:p>
          <w:p>
            <w:pPr>
              <w:pStyle w:val="TableContents"/>
              <w:bidi w:val="0"/>
              <w:spacing w:before="0" w:after="0"/>
              <w:ind w:left="0" w:right="0" w:hanging="0"/>
              <w:jc w:val="left"/>
              <w:rPr>
                <w:rFonts w:ascii="Arial" w:hAnsi="Arial"/>
                <w:b/>
                <w:color w:val="000000"/>
                <w:sz w:val="20"/>
              </w:rPr>
            </w:pPr>
            <w:r>
              <w:rPr>
                <w:rFonts w:ascii="Arial" w:hAnsi="Arial"/>
                <w:b/>
                <w:color w:val="000000"/>
                <w:sz w:val="20"/>
              </w:rPr>
              <w:t>Agreement</w:t>
            </w:r>
          </w:p>
        </w:tc>
        <w:tc>
          <w:tcPr>
            <w:tcW w:w="8223" w:type="dxa"/>
            <w:tcBorders/>
          </w:tcPr>
          <w:p>
            <w:pPr>
              <w:pStyle w:val="TableContents"/>
              <w:bidi w:val="0"/>
              <w:spacing w:before="0" w:after="0"/>
              <w:ind w:left="0" w:right="0" w:hanging="0"/>
              <w:jc w:val="left"/>
              <w:rPr>
                <w:rFonts w:ascii="Arial" w:hAnsi="Arial"/>
                <w:color w:val="000000"/>
                <w:sz w:val="20"/>
              </w:rPr>
            </w:pPr>
            <w:r>
              <w:rPr>
                <w:rFonts w:ascii="Arial" w:hAnsi="Arial"/>
                <w:color w:val="000000"/>
                <w:sz w:val="20"/>
              </w:rPr>
              <w:t>The Facility Agreement between the Bank, the Borrower, the Corporate Guarantors, dated 24 June 2011, as amended from time to time.</w:t>
            </w:r>
          </w:p>
        </w:tc>
        <w:tc>
          <w:tcPr>
            <w:tcW w:w="76" w:type="dxa"/>
            <w:tcBorders/>
          </w:tcPr>
          <w:p>
            <w:pPr>
              <w:pStyle w:val="TableContents"/>
              <w:bidi w:val="0"/>
              <w:spacing w:before="0" w:after="0"/>
              <w:ind w:left="0" w:right="0" w:hanging="0"/>
              <w:jc w:val="left"/>
              <w:rPr/>
            </w:pPr>
            <w:r>
              <w:rPr/>
              <w:t> </w:t>
            </w:r>
          </w:p>
        </w:tc>
      </w:tr>
    </w:tbl>
    <w:p>
      <w:pPr>
        <w:pStyle w:val="TextBody"/>
        <w:pBdr/>
        <w:bidi w:val="0"/>
        <w:spacing w:lineRule="auto" w:line="264" w:before="82" w:after="0"/>
        <w:ind w:left="3451" w:right="1854" w:hanging="0"/>
        <w:jc w:val="left"/>
        <w:rPr>
          <w:rFonts w:cs="Arial"/>
          <w:szCs w:val="30"/>
        </w:rPr>
      </w:pPr>
      <w:r>
        <w:rPr>
          <w:rFonts w:cs="Arial"/>
          <w:color w:val="000000"/>
          <w:szCs w:val="30"/>
        </w:rPr>
        <w:t>﻿</w:t>
      </w:r>
      <w:r>
        <w:rPr>
          <w:rFonts w:cs="Arial"/>
          <w:szCs w:val="30"/>
        </w:rPr>
        <w:t xml:space="preserve"> </w:t>
      </w:r>
    </w:p>
    <w:p>
      <w:pPr>
        <w:pStyle w:val="TextBody"/>
        <w:pBdr/>
        <w:bidi w:val="0"/>
        <w:spacing w:lineRule="auto" w:line="264" w:before="82" w:after="0"/>
        <w:ind w:left="3451" w:right="1854" w:hanging="0"/>
        <w:jc w:val="left"/>
        <w:rPr>
          <w:rFonts w:cs="Arial"/>
          <w:szCs w:val="30"/>
        </w:rPr>
      </w:pPr>
      <w:r>
        <w:rPr>
          <w:rFonts w:cs="Arial"/>
          <w:color w:val="000000"/>
          <w:szCs w:val="30"/>
        </w:rPr>
        <w:t>﻿</w:t>
      </w:r>
      <w:r>
        <w:rPr>
          <w:rFonts w:cs="Arial"/>
          <w:szCs w:val="30"/>
        </w:rPr>
        <w:t xml:space="preserve"> </w:t>
      </w:r>
    </w:p>
    <w:tbl>
      <w:tblPr>
        <w:tblW w:w="2291" w:type="dxa"/>
        <w:jc w:val="left"/>
        <w:tblInd w:w="360" w:type="dxa"/>
        <w:tblLayout w:type="fixed"/>
        <w:tblCellMar>
          <w:top w:w="0" w:type="dxa"/>
          <w:left w:w="0" w:type="dxa"/>
          <w:bottom w:w="0" w:type="dxa"/>
          <w:right w:w="0" w:type="dxa"/>
        </w:tblCellMar>
      </w:tblPr>
      <w:tblGrid>
        <w:gridCol w:w="38"/>
        <w:gridCol w:w="365"/>
        <w:gridCol w:w="23"/>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1865" w:type="dxa"/>
            <w:tcBorders/>
          </w:tcPr>
          <w:p>
            <w:pPr>
              <w:pStyle w:val="TableContents"/>
              <w:bidi w:val="0"/>
              <w:spacing w:before="0" w:after="0"/>
              <w:ind w:left="0" w:right="0" w:hanging="0"/>
              <w:jc w:val="left"/>
              <w:rPr>
                <w:rFonts w:ascii="Arial" w:hAnsi="Arial"/>
                <w:color w:val="000000"/>
                <w:sz w:val="30"/>
              </w:rPr>
            </w:pPr>
            <w:bookmarkStart w:id="87" w:name="Consideration"/>
            <w:bookmarkStart w:id="88" w:name="_TOC_250111"/>
            <w:bookmarkEnd w:id="87"/>
            <w:bookmarkEnd w:id="88"/>
            <w:r>
              <w:rPr>
                <w:rFonts w:ascii="Arial" w:hAnsi="Arial"/>
                <w:color w:val="000000"/>
                <w:sz w:val="30"/>
              </w:rPr>
              <w:t>Consideration</w:t>
            </w:r>
          </w:p>
        </w:tc>
      </w:tr>
    </w:tbl>
    <w:p>
      <w:pPr>
        <w:pStyle w:val="TextBody"/>
        <w:pBdr/>
        <w:bidi w:val="0"/>
        <w:spacing w:lineRule="auto" w:line="264" w:before="77" w:after="0"/>
        <w:ind w:left="3451" w:right="1854" w:hanging="0"/>
        <w:jc w:val="left"/>
        <w:rPr>
          <w:rFonts w:ascii="Arial" w:hAnsi="Arial"/>
          <w:sz w:val="20"/>
        </w:rPr>
      </w:pPr>
      <w:r>
        <w:rPr>
          <w:rFonts w:ascii="Arial" w:hAnsi="Arial"/>
          <w:color w:val="000000"/>
          <w:sz w:val="20"/>
        </w:rPr>
        <w:t>The Borrower and each Corporate Guarantor have entered into this deed in consideration of the Bank agreeing to amend the Facility Agreement in accordance with this deed.</w:t>
      </w:r>
      <w:r>
        <w:rPr>
          <w:rFonts w:ascii="Arial" w:hAnsi="Arial"/>
          <w:sz w:val="20"/>
        </w:rPr>
        <w:t xml:space="preserve"> </w:t>
      </w:r>
    </w:p>
    <w:p>
      <w:pPr>
        <w:pStyle w:val="TextBody"/>
        <w:pBdr/>
        <w:bidi w:val="0"/>
        <w:spacing w:lineRule="auto" w:line="264"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57"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57"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8"/>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9"/>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46" w:after="0"/>
        <w:ind w:left="360" w:right="360" w:hanging="0"/>
        <w:jc w:val="left"/>
        <w:rPr>
          <w:rFonts w:cs="Arial"/>
          <w:szCs w:val="30"/>
        </w:rPr>
      </w:pPr>
      <w:r>
        <w:rPr>
          <w:rFonts w:cs="Arial"/>
          <w:szCs w:val="30"/>
        </w:rPr>
        <w:t xml:space="preserve">﻿ </w:t>
      </w:r>
    </w:p>
    <w:tbl>
      <w:tblPr>
        <w:tblW w:w="3281" w:type="dxa"/>
        <w:jc w:val="left"/>
        <w:tblInd w:w="360" w:type="dxa"/>
        <w:tblLayout w:type="fixed"/>
        <w:tblCellMar>
          <w:top w:w="0" w:type="dxa"/>
          <w:left w:w="0" w:type="dxa"/>
          <w:bottom w:w="0" w:type="dxa"/>
          <w:right w:w="0" w:type="dxa"/>
        </w:tblCellMar>
      </w:tblPr>
      <w:tblGrid>
        <w:gridCol w:w="38"/>
        <w:gridCol w:w="365"/>
        <w:gridCol w:w="23"/>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tcPr>
          <w:p>
            <w:pPr>
              <w:pStyle w:val="TableContents"/>
              <w:bidi w:val="0"/>
              <w:spacing w:before="0" w:after="0"/>
              <w:ind w:left="0" w:right="0" w:hanging="0"/>
              <w:jc w:val="left"/>
              <w:rPr>
                <w:rFonts w:ascii="Arial" w:hAnsi="Arial"/>
                <w:color w:val="000000"/>
                <w:sz w:val="30"/>
              </w:rPr>
            </w:pPr>
            <w:bookmarkStart w:id="89" w:name="Conditions_precedent"/>
            <w:bookmarkStart w:id="90" w:name="_TOC_250110"/>
            <w:bookmarkEnd w:id="89"/>
            <w:bookmarkEnd w:id="90"/>
            <w:r>
              <w:rPr>
                <w:rFonts w:ascii="Arial" w:hAnsi="Arial"/>
                <w:color w:val="000000"/>
                <w:sz w:val="30"/>
              </w:rPr>
              <w:t>Conditions precedent</w:t>
            </w:r>
          </w:p>
        </w:tc>
      </w:tr>
    </w:tbl>
    <w:tbl>
      <w:tblPr>
        <w:tblW w:w="4586" w:type="dxa"/>
        <w:jc w:val="left"/>
        <w:tblInd w:w="360" w:type="dxa"/>
        <w:tblLayout w:type="fixed"/>
        <w:tblCellMar>
          <w:top w:w="0" w:type="dxa"/>
          <w:left w:w="0" w:type="dxa"/>
          <w:bottom w:w="0" w:type="dxa"/>
          <w:right w:w="0" w:type="dxa"/>
        </w:tblCellMar>
      </w:tblPr>
      <w:tblGrid>
        <w:gridCol w:w="38"/>
        <w:gridCol w:w="440"/>
        <w:gridCol w:w="23"/>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3.1. </w:t>
            </w:r>
          </w:p>
        </w:tc>
        <w:tc>
          <w:tcPr>
            <w:tcW w:w="23" w:type="dxa"/>
            <w:tcBorders/>
            <w:vAlign w:val="center"/>
          </w:tcPr>
          <w:p>
            <w:pPr>
              <w:pStyle w:val="TableContents"/>
              <w:bidi w:val="0"/>
              <w:spacing w:before="0" w:after="283"/>
              <w:jc w:val="left"/>
              <w:rPr>
                <w:sz w:val="4"/>
                <w:szCs w:val="4"/>
              </w:rPr>
            </w:pPr>
            <w:r>
              <w:rPr>
                <w:sz w:val="4"/>
                <w:szCs w:val="4"/>
              </w:rPr>
            </w:r>
          </w:p>
        </w:tc>
        <w:tc>
          <w:tcPr>
            <w:tcW w:w="4085" w:type="dxa"/>
            <w:tcBorders/>
          </w:tcPr>
          <w:p>
            <w:pPr>
              <w:pStyle w:val="TableContents"/>
              <w:bidi w:val="0"/>
              <w:spacing w:before="174" w:after="0"/>
              <w:ind w:left="0" w:right="0" w:hanging="0"/>
              <w:jc w:val="left"/>
              <w:rPr>
                <w:rFonts w:ascii="Arial" w:hAnsi="Arial"/>
                <w:b/>
                <w:color w:val="000000"/>
                <w:sz w:val="22"/>
              </w:rPr>
            </w:pPr>
            <w:bookmarkStart w:id="91" w:name="_TOC_250109"/>
            <w:bookmarkStart w:id="92" w:name="Conditions_precedent_to_Effective_Date"/>
            <w:bookmarkEnd w:id="91"/>
            <w:bookmarkEnd w:id="92"/>
            <w:r>
              <w:rPr>
                <w:rFonts w:ascii="Arial" w:hAnsi="Arial"/>
                <w:b/>
                <w:color w:val="000000"/>
                <w:sz w:val="22"/>
              </w:rPr>
              <w:t>Conditions precedent to Effective Date</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The amendments to the Facility Agreement effected by this deed, and the occurrence of the Effective Date, are subject to the following conditions precedent that:</w:t>
      </w:r>
      <w:r>
        <w:rPr>
          <w:rFonts w:ascii="Arial" w:hAnsi="Arial"/>
          <w:sz w:val="20"/>
        </w:rPr>
        <w:t xml:space="preserve"> </w:t>
      </w:r>
    </w:p>
    <w:p>
      <w:pPr>
        <w:pStyle w:val="TextBody"/>
        <w:bidi w:val="0"/>
        <w:spacing w:lineRule="auto" w:line="264" w:before="108" w:after="0"/>
        <w:ind w:left="3983" w:right="1860" w:hanging="0"/>
        <w:jc w:val="left"/>
        <w:rPr>
          <w:rFonts w:ascii="Arial" w:hAnsi="Arial"/>
          <w:sz w:val="20"/>
        </w:rPr>
      </w:pPr>
      <w:r>
        <w:rPr>
          <w:rFonts w:ascii="Arial" w:hAnsi="Arial"/>
          <w:color w:val="000000"/>
          <w:sz w:val="20"/>
        </w:rPr>
        <w:t>(a)at least two clear Business Days (or such shorter period as the Bank may agree) before the Effective Date, the Bank has received, in form and substance satisfactory to the Bank:</w:t>
      </w:r>
      <w:r>
        <w:rPr>
          <w:rFonts w:ascii="Arial" w:hAnsi="Arial"/>
          <w:sz w:val="20"/>
        </w:rPr>
        <w:t xml:space="preserve"> </w:t>
      </w:r>
    </w:p>
    <w:p>
      <w:pPr>
        <w:pStyle w:val="TextBody"/>
        <w:bidi w:val="0"/>
        <w:spacing w:lineRule="auto" w:line="266" w:before="110" w:after="0"/>
        <w:ind w:left="4516" w:right="2181" w:hanging="0"/>
        <w:jc w:val="left"/>
        <w:rPr>
          <w:rFonts w:ascii="Arial" w:hAnsi="Arial"/>
          <w:sz w:val="20"/>
        </w:rPr>
      </w:pPr>
      <w:r>
        <w:rPr>
          <w:rFonts w:ascii="Arial" w:hAnsi="Arial"/>
          <w:color w:val="000000"/>
          <w:sz w:val="20"/>
        </w:rPr>
        <w:t>(i)a fully executed original copy of this deed, duly executed by the Borrower and each Corporate Guarantor; and</w:t>
      </w:r>
      <w:r>
        <w:rPr>
          <w:rFonts w:ascii="Arial" w:hAnsi="Arial"/>
          <w:sz w:val="20"/>
        </w:rPr>
        <w:t xml:space="preserve"> </w:t>
      </w:r>
    </w:p>
    <w:p>
      <w:pPr>
        <w:pStyle w:val="TextBody"/>
        <w:bidi w:val="0"/>
        <w:spacing w:lineRule="auto" w:line="264" w:before="107" w:after="0"/>
        <w:ind w:left="4516" w:right="2058" w:hanging="0"/>
        <w:jc w:val="left"/>
        <w:rPr>
          <w:rFonts w:ascii="Arial" w:hAnsi="Arial"/>
          <w:sz w:val="20"/>
        </w:rPr>
      </w:pPr>
      <w:r>
        <w:rPr>
          <w:rFonts w:ascii="Arial" w:hAnsi="Arial"/>
          <w:color w:val="000000"/>
          <w:sz w:val="20"/>
        </w:rPr>
        <w:t>(ii)anything which the Bank has reasonably requested that the Borrower or a Corporate Guarantor provide to it in relation to any Transaction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representations and warranties set out in clauses 8.1 and 8.2 of the Amended Facility Agreement are correct and not misleading on the date that the Borrower and each Corporate Guarantor execute this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(c)no Event of Default or Potential Event of Default subsists;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(d)the Effective Date is no later than 4 April 2025, or such later date agreed by the Bank.</w:t>
      </w:r>
      <w:r>
        <w:rPr>
          <w:rFonts w:ascii="Arial" w:hAnsi="Arial"/>
          <w:sz w:val="20"/>
        </w:rPr>
        <w:t xml:space="preserve"> </w:t>
      </w:r>
    </w:p>
    <w:tbl>
      <w:tblPr>
        <w:tblW w:w="4331" w:type="dxa"/>
        <w:jc w:val="left"/>
        <w:tblInd w:w="360" w:type="dxa"/>
        <w:tblLayout w:type="fixed"/>
        <w:tblCellMar>
          <w:top w:w="0" w:type="dxa"/>
          <w:left w:w="0" w:type="dxa"/>
          <w:bottom w:w="0" w:type="dxa"/>
          <w:right w:w="0" w:type="dxa"/>
        </w:tblCellMar>
      </w:tblPr>
      <w:tblGrid>
        <w:gridCol w:w="38"/>
        <w:gridCol w:w="440"/>
        <w:gridCol w:w="23"/>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3.2. </w:t>
            </w:r>
          </w:p>
        </w:tc>
        <w:tc>
          <w:tcPr>
            <w:tcW w:w="23" w:type="dxa"/>
            <w:tcBorders/>
            <w:vAlign w:val="center"/>
          </w:tcPr>
          <w:p>
            <w:pPr>
              <w:pStyle w:val="TableContents"/>
              <w:bidi w:val="0"/>
              <w:spacing w:before="0" w:after="283"/>
              <w:jc w:val="left"/>
              <w:rPr>
                <w:sz w:val="4"/>
                <w:szCs w:val="4"/>
              </w:rPr>
            </w:pPr>
            <w:r>
              <w:rPr>
                <w:sz w:val="4"/>
                <w:szCs w:val="4"/>
              </w:rPr>
            </w:r>
          </w:p>
        </w:tc>
        <w:tc>
          <w:tcPr>
            <w:tcW w:w="3830" w:type="dxa"/>
            <w:tcBorders/>
          </w:tcPr>
          <w:p>
            <w:pPr>
              <w:pStyle w:val="TableContents"/>
              <w:bidi w:val="0"/>
              <w:spacing w:before="174" w:after="0"/>
              <w:ind w:left="0" w:right="0" w:hanging="0"/>
              <w:jc w:val="left"/>
              <w:rPr>
                <w:rFonts w:ascii="Arial" w:hAnsi="Arial"/>
                <w:b/>
                <w:color w:val="000000"/>
                <w:sz w:val="22"/>
              </w:rPr>
            </w:pPr>
            <w:bookmarkStart w:id="93" w:name="Satisfaction_of_conditions_precedent"/>
            <w:bookmarkStart w:id="94" w:name="_TOC_250108"/>
            <w:bookmarkEnd w:id="93"/>
            <w:bookmarkEnd w:id="94"/>
            <w:r>
              <w:rPr>
                <w:rFonts w:ascii="Arial" w:hAnsi="Arial"/>
                <w:b/>
                <w:color w:val="000000"/>
                <w:sz w:val="22"/>
              </w:rPr>
              <w:t>Satisfaction of conditions precedent</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Borrower and each Corporate Guarantor must use their best endeavours to satisfy the conditions precedent.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(b)Any certificates or copies of documents referred to in </w:t>
      </w:r>
      <w:r>
        <w:rPr>
          <w:rFonts w:ascii="Arial" w:hAnsi="Arial"/>
          <w:b/>
          <w:color w:val="000000"/>
          <w:sz w:val="20"/>
        </w:rPr>
        <w:t>clause</w:t>
      </w:r>
      <w:r>
        <w:rPr>
          <w:rFonts w:ascii="Arial" w:hAnsi="Arial"/>
          <w:color w:val="000000"/>
          <w:sz w:val="20"/>
        </w:rPr>
        <w:t> </w:t>
      </w:r>
      <w:r>
        <w:rPr>
          <w:rFonts w:ascii="Arial" w:hAnsi="Arial"/>
          <w:b/>
          <w:color w:val="000000"/>
          <w:sz w:val="20"/>
        </w:rPr>
        <w:t>3.1</w:t>
      </w:r>
      <w:r>
        <w:rPr>
          <w:rFonts w:ascii="Arial" w:hAnsi="Arial"/>
          <w:color w:val="000000"/>
          <w:sz w:val="20"/>
        </w:rPr>
        <w:t> must be certified by a company secretary or director of the Borrower or a Corporate Guarantor (as applicable) as being true, complete and current.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conditions precedent are for the benefit of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(d)The Bank may waive, or agree to a delay of, the satisfaction of any of the conditions precedent in writing at any time before or after the time by which they must be satisfied.</w:t>
      </w:r>
      <w:r>
        <w:rPr>
          <w:rFonts w:ascii="Arial" w:hAnsi="Arial"/>
          <w:sz w:val="20"/>
        </w:rPr>
        <w:t xml:space="preserve"> </w:t>
      </w:r>
    </w:p>
    <w:p>
      <w:pPr>
        <w:pStyle w:val="TextBody"/>
        <w:bidi w:val="0"/>
        <w:spacing w:before="194" w:after="0"/>
        <w:ind w:left="360" w:right="360" w:hanging="0"/>
        <w:jc w:val="left"/>
        <w:rPr>
          <w:rFonts w:cs="Arial"/>
          <w:szCs w:val="20"/>
        </w:rPr>
      </w:pPr>
      <w:r>
        <w:rPr>
          <w:rFonts w:cs="Arial"/>
          <w:color w:val="000000"/>
          <w:szCs w:val="20"/>
        </w:rPr>
        <w:t>﻿</w:t>
      </w:r>
      <w:r>
        <w:rPr>
          <w:rFonts w:cs="Arial"/>
          <w:szCs w:val="20"/>
        </w:rPr>
        <w:t xml:space="preserve"> </w:t>
      </w:r>
    </w:p>
    <w:tbl>
      <w:tblPr>
        <w:tblW w:w="4991" w:type="dxa"/>
        <w:jc w:val="left"/>
        <w:tblInd w:w="360" w:type="dxa"/>
        <w:tblLayout w:type="fixed"/>
        <w:tblCellMar>
          <w:top w:w="0" w:type="dxa"/>
          <w:left w:w="0" w:type="dxa"/>
          <w:bottom w:w="0" w:type="dxa"/>
          <w:right w:w="0" w:type="dxa"/>
        </w:tblCellMar>
      </w:tblPr>
      <w:tblGrid>
        <w:gridCol w:w="38"/>
        <w:gridCol w:w="365"/>
        <w:gridCol w:w="23"/>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4565" w:type="dxa"/>
            <w:tcBorders/>
          </w:tcPr>
          <w:p>
            <w:pPr>
              <w:pStyle w:val="TableContents"/>
              <w:bidi w:val="0"/>
              <w:spacing w:before="0" w:after="0"/>
              <w:ind w:left="0" w:right="0" w:hanging="0"/>
              <w:jc w:val="left"/>
              <w:rPr>
                <w:rFonts w:ascii="Arial" w:hAnsi="Arial"/>
                <w:color w:val="000000"/>
                <w:sz w:val="30"/>
              </w:rPr>
            </w:pPr>
            <w:bookmarkStart w:id="95" w:name="Amendment_of_Facility_Agreement"/>
            <w:bookmarkStart w:id="96" w:name="_TOC_250107"/>
            <w:bookmarkEnd w:id="95"/>
            <w:bookmarkEnd w:id="96"/>
            <w:r>
              <w:rPr>
                <w:rFonts w:ascii="Arial" w:hAnsi="Arial"/>
                <w:color w:val="000000"/>
                <w:sz w:val="30"/>
              </w:rPr>
              <w:t>Amendment of Facility Agreement</w:t>
            </w:r>
          </w:p>
        </w:tc>
      </w:tr>
    </w:tbl>
    <w:tbl>
      <w:tblPr>
        <w:tblW w:w="1811" w:type="dxa"/>
        <w:jc w:val="left"/>
        <w:tblInd w:w="360" w:type="dxa"/>
        <w:tblLayout w:type="fixed"/>
        <w:tblCellMar>
          <w:top w:w="0" w:type="dxa"/>
          <w:left w:w="0" w:type="dxa"/>
          <w:bottom w:w="0" w:type="dxa"/>
          <w:right w:w="0" w:type="dxa"/>
        </w:tblCellMar>
      </w:tblPr>
      <w:tblGrid>
        <w:gridCol w:w="38"/>
        <w:gridCol w:w="440"/>
        <w:gridCol w:w="23"/>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4.1. </w:t>
            </w:r>
          </w:p>
        </w:tc>
        <w:tc>
          <w:tcPr>
            <w:tcW w:w="23" w:type="dxa"/>
            <w:tcBorders/>
            <w:vAlign w:val="center"/>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174" w:after="0"/>
              <w:ind w:left="0" w:right="0" w:hanging="0"/>
              <w:jc w:val="left"/>
              <w:rPr>
                <w:rFonts w:ascii="Arial" w:hAnsi="Arial"/>
                <w:b/>
                <w:color w:val="000000"/>
                <w:sz w:val="22"/>
              </w:rPr>
            </w:pPr>
            <w:bookmarkStart w:id="97" w:name="Amendment41"/>
            <w:bookmarkStart w:id="98" w:name="_TOC_250106"/>
            <w:bookmarkEnd w:id="97"/>
            <w:bookmarkEnd w:id="98"/>
            <w:r>
              <w:rPr>
                <w:rFonts w:ascii="Arial" w:hAnsi="Arial"/>
                <w:b/>
                <w:color w:val="000000"/>
                <w:sz w:val="22"/>
              </w:rPr>
              <w:t>Amendment</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On and from the Effective Date, the Facility Agreement is amended in the form of the annexure, by deleting the items struck through, and by adding the items underlined.</w:t>
      </w:r>
      <w:r>
        <w:rPr>
          <w:rFonts w:ascii="Arial" w:hAnsi="Arial"/>
          <w:sz w:val="20"/>
        </w:rPr>
        <w:t xml:space="preserve"> </w:t>
      </w:r>
    </w:p>
    <w:tbl>
      <w:tblPr>
        <w:tblW w:w="2006" w:type="dxa"/>
        <w:jc w:val="left"/>
        <w:tblInd w:w="360" w:type="dxa"/>
        <w:tblLayout w:type="fixed"/>
        <w:tblCellMar>
          <w:top w:w="0" w:type="dxa"/>
          <w:left w:w="0" w:type="dxa"/>
          <w:bottom w:w="0" w:type="dxa"/>
          <w:right w:w="0" w:type="dxa"/>
        </w:tblCellMar>
      </w:tblPr>
      <w:tblGrid>
        <w:gridCol w:w="38"/>
        <w:gridCol w:w="440"/>
        <w:gridCol w:w="23"/>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4.2. </w:t>
            </w:r>
          </w:p>
        </w:tc>
        <w:tc>
          <w:tcPr>
            <w:tcW w:w="23" w:type="dxa"/>
            <w:tcBorders/>
            <w:vAlign w:val="center"/>
          </w:tcPr>
          <w:p>
            <w:pPr>
              <w:pStyle w:val="TableContents"/>
              <w:bidi w:val="0"/>
              <w:spacing w:before="0" w:after="283"/>
              <w:jc w:val="left"/>
              <w:rPr>
                <w:sz w:val="4"/>
                <w:szCs w:val="4"/>
              </w:rPr>
            </w:pPr>
            <w:r>
              <w:rPr>
                <w:sz w:val="4"/>
                <w:szCs w:val="4"/>
              </w:rPr>
            </w:r>
          </w:p>
        </w:tc>
        <w:tc>
          <w:tcPr>
            <w:tcW w:w="1505" w:type="dxa"/>
            <w:tcBorders/>
          </w:tcPr>
          <w:p>
            <w:pPr>
              <w:pStyle w:val="TableContents"/>
              <w:bidi w:val="0"/>
              <w:spacing w:before="174" w:after="0"/>
              <w:ind w:left="0" w:right="0" w:hanging="0"/>
              <w:jc w:val="left"/>
              <w:rPr>
                <w:rFonts w:ascii="Arial" w:hAnsi="Arial"/>
                <w:b/>
                <w:color w:val="000000"/>
                <w:sz w:val="22"/>
              </w:rPr>
            </w:pPr>
            <w:bookmarkStart w:id="99" w:name="Parties_bound42"/>
            <w:bookmarkStart w:id="100" w:name="_TOC_250105"/>
            <w:bookmarkEnd w:id="99"/>
            <w:bookmarkEnd w:id="100"/>
            <w:r>
              <w:rPr>
                <w:rFonts w:ascii="Arial" w:hAnsi="Arial"/>
                <w:b/>
                <w:color w:val="000000"/>
                <w:sz w:val="22"/>
              </w:rPr>
              <w:t>Parties bound</w:t>
            </w:r>
          </w:p>
        </w:tc>
      </w:tr>
    </w:tbl>
    <w:p>
      <w:pPr>
        <w:pStyle w:val="TextBody"/>
        <w:pBdr/>
        <w:bidi w:val="0"/>
        <w:spacing w:lineRule="auto" w:line="264" w:before="77" w:after="0"/>
        <w:ind w:left="3451" w:right="1854" w:hanging="0"/>
        <w:jc w:val="left"/>
        <w:rPr>
          <w:rFonts w:ascii="Arial" w:hAnsi="Arial"/>
          <w:sz w:val="20"/>
        </w:rPr>
      </w:pPr>
      <w:r>
        <w:rPr>
          <w:rFonts w:ascii="Arial" w:hAnsi="Arial"/>
          <w:color w:val="000000"/>
          <w:sz w:val="20"/>
        </w:rPr>
        <w:t>The parties will be bound by the Amended Facility Agreement on and from the Effective Date.</w:t>
      </w:r>
      <w:r>
        <w:rPr>
          <w:rFonts w:ascii="Arial" w:hAnsi="Arial"/>
          <w:sz w:val="20"/>
        </w:rPr>
        <w:t xml:space="preserve"> </w:t>
      </w:r>
    </w:p>
    <w:p>
      <w:pPr>
        <w:pStyle w:val="TextBody"/>
        <w:pBdr/>
        <w:bidi w:val="0"/>
        <w:spacing w:lineRule="auto" w:line="264" w:before="0" w:after="0"/>
        <w:ind w:left="360" w:right="360" w:hanging="0"/>
        <w:jc w:val="both"/>
        <w:rPr/>
      </w:pPr>
      <w:r>
        <w:rPr/>
        <w:t xml:space="preserve">  </w:t>
      </w:r>
    </w:p>
    <w:tbl>
      <w:tblPr>
        <w:tblW w:w="1900" w:type="dxa"/>
        <w:jc w:val="left"/>
        <w:tblInd w:w="360" w:type="dxa"/>
        <w:tblLayout w:type="fixed"/>
        <w:tblCellMar>
          <w:top w:w="0" w:type="dxa"/>
          <w:left w:w="0" w:type="dxa"/>
          <w:bottom w:w="0" w:type="dxa"/>
          <w:right w:w="0" w:type="dxa"/>
        </w:tblCellMar>
      </w:tblPr>
      <w:tblGrid>
        <w:gridCol w:w="1370"/>
        <w:gridCol w:w="530"/>
      </w:tblGrid>
      <w:tr>
        <w:trPr/>
        <w:tc>
          <w:tcPr>
            <w:tcW w:w="137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70" w:type="dxa"/>
            <w:tcBorders/>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3</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10"/>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1"/>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46" w:after="0"/>
        <w:ind w:left="360" w:right="360" w:hanging="0"/>
        <w:jc w:val="left"/>
        <w:rPr>
          <w:rFonts w:cs="Arial"/>
          <w:szCs w:val="30"/>
        </w:rPr>
      </w:pPr>
      <w:r>
        <w:rPr>
          <w:rFonts w:cs="Arial"/>
          <w:szCs w:val="30"/>
        </w:rPr>
        <w:t xml:space="preserve">﻿ </w:t>
      </w:r>
    </w:p>
    <w:tbl>
      <w:tblPr>
        <w:tblW w:w="4691" w:type="dxa"/>
        <w:jc w:val="left"/>
        <w:tblInd w:w="360" w:type="dxa"/>
        <w:tblLayout w:type="fixed"/>
        <w:tblCellMar>
          <w:top w:w="0" w:type="dxa"/>
          <w:left w:w="0" w:type="dxa"/>
          <w:bottom w:w="0" w:type="dxa"/>
          <w:right w:w="0" w:type="dxa"/>
        </w:tblCellMar>
      </w:tblPr>
      <w:tblGrid>
        <w:gridCol w:w="38"/>
        <w:gridCol w:w="365"/>
        <w:gridCol w:w="23"/>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4265" w:type="dxa"/>
            <w:tcBorders/>
          </w:tcPr>
          <w:p>
            <w:pPr>
              <w:pStyle w:val="TableContents"/>
              <w:bidi w:val="0"/>
              <w:spacing w:before="0" w:after="0"/>
              <w:ind w:left="0" w:right="0" w:hanging="0"/>
              <w:jc w:val="left"/>
              <w:rPr>
                <w:rFonts w:ascii="Arial" w:hAnsi="Arial"/>
                <w:color w:val="000000"/>
                <w:sz w:val="30"/>
              </w:rPr>
            </w:pPr>
            <w:bookmarkStart w:id="101" w:name="Representations_and_warranties"/>
            <w:bookmarkStart w:id="102" w:name="_TOC_250104"/>
            <w:bookmarkEnd w:id="101"/>
            <w:bookmarkEnd w:id="102"/>
            <w:r>
              <w:rPr>
                <w:rFonts w:ascii="Arial" w:hAnsi="Arial"/>
                <w:color w:val="000000"/>
                <w:sz w:val="30"/>
              </w:rPr>
              <w:t>Representations and warranties</w:t>
            </w:r>
          </w:p>
        </w:tc>
      </w:tr>
    </w:tbl>
    <w:tbl>
      <w:tblPr>
        <w:tblW w:w="1361" w:type="dxa"/>
        <w:jc w:val="left"/>
        <w:tblInd w:w="360" w:type="dxa"/>
        <w:tblLayout w:type="fixed"/>
        <w:tblCellMar>
          <w:top w:w="0" w:type="dxa"/>
          <w:left w:w="0" w:type="dxa"/>
          <w:bottom w:w="0" w:type="dxa"/>
          <w:right w:w="0" w:type="dxa"/>
        </w:tblCellMar>
      </w:tblPr>
      <w:tblGrid>
        <w:gridCol w:w="38"/>
        <w:gridCol w:w="440"/>
        <w:gridCol w:w="23"/>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5.1. </w:t>
            </w:r>
          </w:p>
        </w:tc>
        <w:tc>
          <w:tcPr>
            <w:tcW w:w="23" w:type="dxa"/>
            <w:tcBorders/>
            <w:vAlign w:val="center"/>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174" w:after="0"/>
              <w:ind w:left="0" w:right="0" w:hanging="0"/>
              <w:jc w:val="left"/>
              <w:rPr>
                <w:rFonts w:ascii="Arial" w:hAnsi="Arial"/>
                <w:b/>
                <w:color w:val="000000"/>
                <w:sz w:val="22"/>
              </w:rPr>
            </w:pPr>
            <w:bookmarkStart w:id="103" w:name="General51"/>
            <w:bookmarkStart w:id="104" w:name="_TOC_250103"/>
            <w:bookmarkEnd w:id="103"/>
            <w:bookmarkEnd w:id="104"/>
            <w:r>
              <w:rPr>
                <w:rFonts w:ascii="Arial" w:hAnsi="Arial"/>
                <w:b/>
                <w:color w:val="000000"/>
                <w:sz w:val="22"/>
              </w:rPr>
              <w:t>General</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The Borrower and the Corporate Guarantors each represent and warrant that at the time of its execution of this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(a)it has capacity unconditionally to execute, deliver and comply with its obligations under this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(b)it has taken all necessary action to authorise the unconditional execution and delivery of, and compliance with, its obligations under this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(c)this deed constitutes the valid and legally binding obligations of it and is enforceable against it in accordance with its terms;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(d)it has duly executed each of the Transaction Documents to which it is expressed to be a party;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(e)the Transaction Documents are valid and enforceable in accordance with their respective terms;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(f)its unconditional execution and delivery of, and compliance with its obligations under, this deed do not contravene its constituent documents or any obligation of it under any law or to any other person.</w:t>
      </w:r>
      <w:r>
        <w:rPr>
          <w:rFonts w:ascii="Arial" w:hAnsi="Arial"/>
          <w:sz w:val="20"/>
        </w:rPr>
        <w:t xml:space="preserve"> </w:t>
      </w:r>
    </w:p>
    <w:tbl>
      <w:tblPr>
        <w:tblW w:w="4991" w:type="dxa"/>
        <w:jc w:val="left"/>
        <w:tblInd w:w="360" w:type="dxa"/>
        <w:tblLayout w:type="fixed"/>
        <w:tblCellMar>
          <w:top w:w="0" w:type="dxa"/>
          <w:left w:w="0" w:type="dxa"/>
          <w:bottom w:w="0" w:type="dxa"/>
          <w:right w:w="0" w:type="dxa"/>
        </w:tblCellMar>
      </w:tblPr>
      <w:tblGrid>
        <w:gridCol w:w="38"/>
        <w:gridCol w:w="440"/>
        <w:gridCol w:w="23"/>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5.2. </w:t>
            </w:r>
          </w:p>
        </w:tc>
        <w:tc>
          <w:tcPr>
            <w:tcW w:w="23" w:type="dxa"/>
            <w:tcBorders/>
            <w:vAlign w:val="center"/>
          </w:tcPr>
          <w:p>
            <w:pPr>
              <w:pStyle w:val="TableContents"/>
              <w:bidi w:val="0"/>
              <w:spacing w:before="0" w:after="283"/>
              <w:jc w:val="left"/>
              <w:rPr>
                <w:sz w:val="4"/>
                <w:szCs w:val="4"/>
              </w:rPr>
            </w:pPr>
            <w:r>
              <w:rPr>
                <w:sz w:val="4"/>
                <w:szCs w:val="4"/>
              </w:rPr>
            </w:r>
          </w:p>
        </w:tc>
        <w:tc>
          <w:tcPr>
            <w:tcW w:w="4490" w:type="dxa"/>
            <w:tcBorders/>
          </w:tcPr>
          <w:p>
            <w:pPr>
              <w:pStyle w:val="TableContents"/>
              <w:bidi w:val="0"/>
              <w:spacing w:before="174" w:after="0"/>
              <w:ind w:left="0" w:right="0" w:hanging="0"/>
              <w:jc w:val="left"/>
              <w:rPr>
                <w:rFonts w:ascii="Arial" w:hAnsi="Arial"/>
                <w:b/>
                <w:color w:val="000000"/>
                <w:sz w:val="22"/>
              </w:rPr>
            </w:pPr>
            <w:bookmarkStart w:id="105" w:name="Survival_of_representations52"/>
            <w:bookmarkStart w:id="106" w:name="_TOC_250102"/>
            <w:bookmarkEnd w:id="105"/>
            <w:bookmarkEnd w:id="106"/>
            <w:r>
              <w:rPr>
                <w:rFonts w:ascii="Arial" w:hAnsi="Arial"/>
                <w:b/>
                <w:color w:val="000000"/>
                <w:sz w:val="22"/>
              </w:rPr>
              <w:t>Survival of representations and warranties</w:t>
            </w:r>
          </w:p>
        </w:tc>
      </w:tr>
    </w:tbl>
    <w:p>
      <w:pPr>
        <w:pStyle w:val="TextBody"/>
        <w:pBdr/>
        <w:bidi w:val="0"/>
        <w:spacing w:lineRule="auto" w:line="264" w:before="77" w:after="0"/>
        <w:ind w:left="3451" w:right="1854" w:hanging="0"/>
        <w:jc w:val="left"/>
        <w:rPr>
          <w:rFonts w:ascii="Arial" w:hAnsi="Arial"/>
          <w:sz w:val="20"/>
        </w:rPr>
      </w:pPr>
      <w:r>
        <w:rPr>
          <w:rFonts w:ascii="Arial" w:hAnsi="Arial"/>
          <w:color w:val="000000"/>
          <w:sz w:val="20"/>
        </w:rPr>
        <w:t>The representations and warranties in </w:t>
      </w:r>
      <w:r>
        <w:rPr>
          <w:rFonts w:ascii="Arial" w:hAnsi="Arial"/>
          <w:b/>
          <w:color w:val="000000"/>
          <w:sz w:val="20"/>
        </w:rPr>
        <w:t>clause</w:t>
      </w:r>
      <w:r>
        <w:rPr>
          <w:rFonts w:ascii="Arial" w:hAnsi="Arial"/>
          <w:color w:val="000000"/>
          <w:sz w:val="20"/>
        </w:rPr>
        <w:t> </w:t>
      </w:r>
      <w:r>
        <w:rPr>
          <w:rFonts w:ascii="Arial" w:hAnsi="Arial"/>
          <w:b/>
          <w:color w:val="000000"/>
          <w:sz w:val="20"/>
        </w:rPr>
        <w:t>5.1</w:t>
      </w:r>
      <w:r>
        <w:rPr>
          <w:rFonts w:ascii="Arial" w:hAnsi="Arial"/>
          <w:color w:val="000000"/>
          <w:sz w:val="20"/>
        </w:rPr>
        <w:t> survive the execution of this deed and the amendment of the Facility Agreement.</w:t>
      </w:r>
      <w:r>
        <w:rPr>
          <w:rFonts w:ascii="Arial" w:hAnsi="Arial"/>
          <w:sz w:val="20"/>
        </w:rPr>
        <w:t xml:space="preserve"> </w:t>
      </w:r>
    </w:p>
    <w:p>
      <w:pPr>
        <w:pStyle w:val="TextBody"/>
        <w:pBdr/>
        <w:bidi w:val="0"/>
        <w:spacing w:before="198" w:after="0"/>
        <w:ind w:left="360" w:right="360" w:hanging="0"/>
        <w:jc w:val="left"/>
        <w:rPr>
          <w:rFonts w:cs="Arial"/>
          <w:szCs w:val="20"/>
        </w:rPr>
      </w:pPr>
      <w:r>
        <w:rPr>
          <w:rFonts w:cs="Arial"/>
          <w:color w:val="000000"/>
          <w:szCs w:val="20"/>
        </w:rPr>
        <w:t>﻿</w:t>
      </w:r>
      <w:r>
        <w:rPr>
          <w:rFonts w:cs="Arial"/>
          <w:szCs w:val="20"/>
        </w:rPr>
        <w:t xml:space="preserve"> </w:t>
      </w:r>
    </w:p>
    <w:tbl>
      <w:tblPr>
        <w:tblW w:w="2876" w:type="dxa"/>
        <w:jc w:val="left"/>
        <w:tblInd w:w="360" w:type="dxa"/>
        <w:tblLayout w:type="fixed"/>
        <w:tblCellMar>
          <w:top w:w="0" w:type="dxa"/>
          <w:left w:w="0" w:type="dxa"/>
          <w:bottom w:w="0" w:type="dxa"/>
          <w:right w:w="0" w:type="dxa"/>
        </w:tblCellMar>
      </w:tblPr>
      <w:tblGrid>
        <w:gridCol w:w="38"/>
        <w:gridCol w:w="365"/>
        <w:gridCol w:w="23"/>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6. </w:t>
            </w:r>
          </w:p>
        </w:tc>
        <w:tc>
          <w:tcPr>
            <w:tcW w:w="23" w:type="dxa"/>
            <w:tcBorders/>
            <w:vAlign w:val="center"/>
          </w:tcPr>
          <w:p>
            <w:pPr>
              <w:pStyle w:val="TableContents"/>
              <w:bidi w:val="0"/>
              <w:spacing w:before="0" w:after="283"/>
              <w:jc w:val="left"/>
              <w:rPr>
                <w:sz w:val="4"/>
                <w:szCs w:val="4"/>
              </w:rPr>
            </w:pPr>
            <w:r>
              <w:rPr>
                <w:sz w:val="4"/>
                <w:szCs w:val="4"/>
              </w:rPr>
            </w:r>
          </w:p>
        </w:tc>
        <w:tc>
          <w:tcPr>
            <w:tcW w:w="2450" w:type="dxa"/>
            <w:tcBorders/>
          </w:tcPr>
          <w:p>
            <w:pPr>
              <w:pStyle w:val="TableContents"/>
              <w:bidi w:val="0"/>
              <w:spacing w:before="0" w:after="0"/>
              <w:ind w:left="0" w:right="0" w:hanging="0"/>
              <w:jc w:val="left"/>
              <w:rPr>
                <w:rFonts w:ascii="Arial" w:hAnsi="Arial"/>
                <w:color w:val="000000"/>
                <w:sz w:val="30"/>
              </w:rPr>
            </w:pPr>
            <w:bookmarkStart w:id="107" w:name="Acknowledgments"/>
            <w:bookmarkStart w:id="108" w:name="_TOC_250101"/>
            <w:bookmarkEnd w:id="107"/>
            <w:bookmarkEnd w:id="108"/>
            <w:r>
              <w:rPr>
                <w:rFonts w:ascii="Arial" w:hAnsi="Arial"/>
                <w:color w:val="000000"/>
                <w:sz w:val="30"/>
              </w:rPr>
              <w:t>Acknowledgments</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The Borrower and each Corporate Guarantor: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(a)agree to the amendment of the Facility Agreement effected by this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(b)agree that this deed is a Transaction Document for the purposes of the Amended Facility Agreement;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(c)acknowledge that the Bank has agreed to execute this deed at the request of the Borrower and the Corporate Guarantors and that, except as expressly set forth herein, this is without prejudice to any other current or future right the Bank may have against the Borrower or a Corporate Guarantor, or any other Security Provider or under or in connection with any Transaction Document;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(d)agree that each Collateral Security to which it is a party extends to and secures its obligations to the Bank under the Amended Facility Agreement.</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00" w:type="dxa"/>
        <w:jc w:val="left"/>
        <w:tblInd w:w="360" w:type="dxa"/>
        <w:tblLayout w:type="fixed"/>
        <w:tblCellMar>
          <w:top w:w="0" w:type="dxa"/>
          <w:left w:w="0" w:type="dxa"/>
          <w:bottom w:w="0" w:type="dxa"/>
          <w:right w:w="0" w:type="dxa"/>
        </w:tblCellMar>
      </w:tblPr>
      <w:tblGrid>
        <w:gridCol w:w="1370"/>
        <w:gridCol w:w="530"/>
      </w:tblGrid>
      <w:tr>
        <w:trPr/>
        <w:tc>
          <w:tcPr>
            <w:tcW w:w="137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70" w:type="dxa"/>
            <w:tcBorders/>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4</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2"/>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3"/>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46" w:after="0"/>
        <w:ind w:left="360" w:right="360" w:hanging="0"/>
        <w:jc w:val="left"/>
        <w:rPr>
          <w:rFonts w:cs="Arial"/>
          <w:szCs w:val="30"/>
        </w:rPr>
      </w:pPr>
      <w:r>
        <w:rPr>
          <w:rFonts w:cs="Arial"/>
          <w:szCs w:val="30"/>
        </w:rPr>
        <w:t xml:space="preserve">﻿ </w:t>
      </w:r>
    </w:p>
    <w:tbl>
      <w:tblPr>
        <w:tblW w:w="1526" w:type="dxa"/>
        <w:jc w:val="left"/>
        <w:tblInd w:w="360" w:type="dxa"/>
        <w:tblLayout w:type="fixed"/>
        <w:tblCellMar>
          <w:top w:w="0" w:type="dxa"/>
          <w:left w:w="0" w:type="dxa"/>
          <w:bottom w:w="0" w:type="dxa"/>
          <w:right w:w="0" w:type="dxa"/>
        </w:tblCellMar>
      </w:tblPr>
      <w:tblGrid>
        <w:gridCol w:w="38"/>
        <w:gridCol w:w="365"/>
        <w:gridCol w:w="23"/>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7. </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tcPr>
          <w:p>
            <w:pPr>
              <w:pStyle w:val="TableContents"/>
              <w:bidi w:val="0"/>
              <w:spacing w:before="0" w:after="0"/>
              <w:ind w:left="0" w:right="0" w:hanging="0"/>
              <w:jc w:val="left"/>
              <w:rPr>
                <w:rFonts w:ascii="Arial" w:hAnsi="Arial"/>
                <w:color w:val="000000"/>
                <w:sz w:val="30"/>
              </w:rPr>
            </w:pPr>
            <w:bookmarkStart w:id="109" w:name="General"/>
            <w:bookmarkStart w:id="110" w:name="_TOC_250100"/>
            <w:bookmarkEnd w:id="109"/>
            <w:bookmarkEnd w:id="110"/>
            <w:r>
              <w:rPr>
                <w:rFonts w:ascii="Arial" w:hAnsi="Arial"/>
                <w:color w:val="000000"/>
                <w:sz w:val="30"/>
              </w:rPr>
              <w:t>General</w:t>
            </w:r>
          </w:p>
        </w:tc>
      </w:tr>
    </w:tbl>
    <w:tbl>
      <w:tblPr>
        <w:tblW w:w="1811" w:type="dxa"/>
        <w:jc w:val="left"/>
        <w:tblInd w:w="360" w:type="dxa"/>
        <w:tblLayout w:type="fixed"/>
        <w:tblCellMar>
          <w:top w:w="0" w:type="dxa"/>
          <w:left w:w="0" w:type="dxa"/>
          <w:bottom w:w="0" w:type="dxa"/>
          <w:right w:w="0" w:type="dxa"/>
        </w:tblCellMar>
      </w:tblPr>
      <w:tblGrid>
        <w:gridCol w:w="38"/>
        <w:gridCol w:w="440"/>
        <w:gridCol w:w="23"/>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7.1. </w:t>
            </w:r>
          </w:p>
        </w:tc>
        <w:tc>
          <w:tcPr>
            <w:tcW w:w="23" w:type="dxa"/>
            <w:tcBorders/>
            <w:vAlign w:val="center"/>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174" w:after="0"/>
              <w:ind w:left="0" w:right="0" w:hanging="0"/>
              <w:jc w:val="left"/>
              <w:rPr>
                <w:rFonts w:ascii="Arial" w:hAnsi="Arial"/>
                <w:b/>
                <w:color w:val="000000"/>
                <w:sz w:val="22"/>
              </w:rPr>
            </w:pPr>
            <w:bookmarkStart w:id="111" w:name="Amendment71"/>
            <w:bookmarkStart w:id="112" w:name="_TOC_250099"/>
            <w:bookmarkEnd w:id="111"/>
            <w:bookmarkEnd w:id="112"/>
            <w:r>
              <w:rPr>
                <w:rFonts w:ascii="Arial" w:hAnsi="Arial"/>
                <w:b/>
                <w:color w:val="000000"/>
                <w:sz w:val="22"/>
              </w:rPr>
              <w:t>Amendment</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This deed may only be varied or replaced by a deed executed by all of the parties to this deed.</w:t>
      </w:r>
      <w:r>
        <w:rPr>
          <w:rFonts w:ascii="Arial" w:hAnsi="Arial"/>
          <w:sz w:val="20"/>
        </w:rPr>
        <w:t xml:space="preserve"> </w:t>
      </w:r>
    </w:p>
    <w:tbl>
      <w:tblPr>
        <w:tblW w:w="1916" w:type="dxa"/>
        <w:jc w:val="left"/>
        <w:tblInd w:w="360" w:type="dxa"/>
        <w:tblLayout w:type="fixed"/>
        <w:tblCellMar>
          <w:top w:w="0" w:type="dxa"/>
          <w:left w:w="0" w:type="dxa"/>
          <w:bottom w:w="0" w:type="dxa"/>
          <w:right w:w="0" w:type="dxa"/>
        </w:tblCellMar>
      </w:tblPr>
      <w:tblGrid>
        <w:gridCol w:w="38"/>
        <w:gridCol w:w="440"/>
        <w:gridCol w:w="23"/>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7.2. </w:t>
            </w:r>
          </w:p>
        </w:tc>
        <w:tc>
          <w:tcPr>
            <w:tcW w:w="23" w:type="dxa"/>
            <w:tcBorders/>
            <w:vAlign w:val="center"/>
          </w:tcPr>
          <w:p>
            <w:pPr>
              <w:pStyle w:val="TableContents"/>
              <w:bidi w:val="0"/>
              <w:spacing w:before="0" w:after="283"/>
              <w:jc w:val="left"/>
              <w:rPr>
                <w:sz w:val="4"/>
                <w:szCs w:val="4"/>
              </w:rPr>
            </w:pPr>
            <w:r>
              <w:rPr>
                <w:sz w:val="4"/>
                <w:szCs w:val="4"/>
              </w:rPr>
            </w:r>
          </w:p>
        </w:tc>
        <w:tc>
          <w:tcPr>
            <w:tcW w:w="1415" w:type="dxa"/>
            <w:tcBorders/>
          </w:tcPr>
          <w:p>
            <w:pPr>
              <w:pStyle w:val="TableContents"/>
              <w:bidi w:val="0"/>
              <w:spacing w:before="174" w:after="0"/>
              <w:ind w:left="0" w:right="0" w:hanging="0"/>
              <w:jc w:val="left"/>
              <w:rPr>
                <w:rFonts w:ascii="Arial" w:hAnsi="Arial"/>
                <w:b/>
                <w:color w:val="000000"/>
                <w:sz w:val="22"/>
              </w:rPr>
            </w:pPr>
            <w:bookmarkStart w:id="113" w:name="Construction72"/>
            <w:bookmarkStart w:id="114" w:name="_TOC_250098"/>
            <w:bookmarkEnd w:id="113"/>
            <w:bookmarkEnd w:id="114"/>
            <w:r>
              <w:rPr>
                <w:rFonts w:ascii="Arial" w:hAnsi="Arial"/>
                <w:b/>
                <w:color w:val="000000"/>
                <w:sz w:val="22"/>
              </w:rPr>
              <w:t>Construction</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Clause 1.2 of the Facility Agreement applies to this deed as if set out in full in this deed with such changes as are necessary.</w:t>
      </w:r>
      <w:r>
        <w:rPr>
          <w:rFonts w:ascii="Arial" w:hAnsi="Arial"/>
          <w:sz w:val="20"/>
        </w:rPr>
        <w:t xml:space="preserve"> </w:t>
      </w:r>
    </w:p>
    <w:tbl>
      <w:tblPr>
        <w:tblW w:w="1931" w:type="dxa"/>
        <w:jc w:val="left"/>
        <w:tblInd w:w="360" w:type="dxa"/>
        <w:tblLayout w:type="fixed"/>
        <w:tblCellMar>
          <w:top w:w="0" w:type="dxa"/>
          <w:left w:w="0" w:type="dxa"/>
          <w:bottom w:w="0" w:type="dxa"/>
          <w:right w:w="0" w:type="dxa"/>
        </w:tblCellMar>
      </w:tblPr>
      <w:tblGrid>
        <w:gridCol w:w="38"/>
        <w:gridCol w:w="440"/>
        <w:gridCol w:w="23"/>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7.3. </w:t>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tcPr>
          <w:p>
            <w:pPr>
              <w:pStyle w:val="TableContents"/>
              <w:bidi w:val="0"/>
              <w:spacing w:before="174" w:after="0"/>
              <w:ind w:left="0" w:right="0" w:hanging="0"/>
              <w:jc w:val="left"/>
              <w:rPr>
                <w:rFonts w:ascii="Arial" w:hAnsi="Arial"/>
                <w:b/>
                <w:color w:val="000000"/>
                <w:sz w:val="22"/>
              </w:rPr>
            </w:pPr>
            <w:bookmarkStart w:id="115" w:name="Counterparts73"/>
            <w:bookmarkStart w:id="116" w:name="_TOC_250097"/>
            <w:bookmarkEnd w:id="115"/>
            <w:bookmarkEnd w:id="116"/>
            <w:r>
              <w:rPr>
                <w:rFonts w:ascii="Arial" w:hAnsi="Arial"/>
                <w:b/>
                <w:color w:val="000000"/>
                <w:sz w:val="22"/>
              </w:rPr>
              <w:t>Counterparts</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This deed may consist of a number of counterparts and, if so, the counterparts taken together constitute one deed.</w:t>
      </w:r>
      <w:r>
        <w:rPr>
          <w:rFonts w:ascii="Arial" w:hAnsi="Arial"/>
          <w:sz w:val="20"/>
        </w:rPr>
        <w:t xml:space="preserve"> </w:t>
      </w:r>
    </w:p>
    <w:tbl>
      <w:tblPr>
        <w:tblW w:w="1376" w:type="dxa"/>
        <w:jc w:val="left"/>
        <w:tblInd w:w="360" w:type="dxa"/>
        <w:tblLayout w:type="fixed"/>
        <w:tblCellMar>
          <w:top w:w="0" w:type="dxa"/>
          <w:left w:w="0" w:type="dxa"/>
          <w:bottom w:w="0" w:type="dxa"/>
          <w:right w:w="0" w:type="dxa"/>
        </w:tblCellMar>
      </w:tblPr>
      <w:tblGrid>
        <w:gridCol w:w="38"/>
        <w:gridCol w:w="440"/>
        <w:gridCol w:w="23"/>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7.4. </w:t>
            </w:r>
          </w:p>
        </w:tc>
        <w:tc>
          <w:tcPr>
            <w:tcW w:w="23" w:type="dxa"/>
            <w:tcBorders/>
            <w:vAlign w:val="center"/>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174" w:after="0"/>
              <w:ind w:left="0" w:right="0" w:hanging="0"/>
              <w:jc w:val="left"/>
              <w:rPr>
                <w:rFonts w:ascii="Arial" w:hAnsi="Arial"/>
                <w:b/>
                <w:sz w:val="22"/>
              </w:rPr>
            </w:pPr>
            <w:bookmarkStart w:id="117" w:name="_TOC_250096"/>
            <w:bookmarkEnd w:id="117"/>
            <w:r>
              <w:rPr>
                <w:rFonts w:ascii="Arial" w:hAnsi="Arial"/>
                <w:b/>
                <w:color w:val="000000"/>
                <w:sz w:val="22"/>
              </w:rPr>
              <w:t>7.4</w:t>
            </w:r>
            <w:bookmarkStart w:id="118" w:name="Deed74"/>
            <w:bookmarkEnd w:id="118"/>
            <w:r>
              <w:rPr>
                <w:rFonts w:ascii="Arial" w:hAnsi="Arial"/>
                <w:b/>
                <w:color w:val="000000"/>
                <w:sz w:val="22"/>
              </w:rPr>
              <w:t>Deed</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This document is a deed. Factors which might suggest otherwise are to be disregarded.</w:t>
      </w:r>
      <w:r>
        <w:rPr>
          <w:rFonts w:ascii="Arial" w:hAnsi="Arial"/>
          <w:sz w:val="20"/>
        </w:rPr>
        <w:t xml:space="preserve"> </w:t>
      </w:r>
    </w:p>
    <w:tbl>
      <w:tblPr>
        <w:tblW w:w="1031" w:type="dxa"/>
        <w:jc w:val="left"/>
        <w:tblInd w:w="360" w:type="dxa"/>
        <w:tblLayout w:type="fixed"/>
        <w:tblCellMar>
          <w:top w:w="0" w:type="dxa"/>
          <w:left w:w="0" w:type="dxa"/>
          <w:bottom w:w="0" w:type="dxa"/>
          <w:right w:w="0" w:type="dxa"/>
        </w:tblCellMar>
      </w:tblPr>
      <w:tblGrid>
        <w:gridCol w:w="38"/>
        <w:gridCol w:w="440"/>
        <w:gridCol w:w="23"/>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7.5. </w:t>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174" w:after="0"/>
              <w:ind w:left="0" w:right="0" w:hanging="0"/>
              <w:jc w:val="left"/>
              <w:rPr>
                <w:rFonts w:ascii="Arial" w:hAnsi="Arial"/>
                <w:b/>
                <w:color w:val="000000"/>
                <w:sz w:val="22"/>
              </w:rPr>
            </w:pPr>
            <w:bookmarkStart w:id="119" w:name="Duty75"/>
            <w:bookmarkStart w:id="120" w:name="_TOC_250095"/>
            <w:bookmarkEnd w:id="119"/>
            <w:bookmarkEnd w:id="120"/>
            <w:r>
              <w:rPr>
                <w:rFonts w:ascii="Arial" w:hAnsi="Arial"/>
                <w:b/>
                <w:color w:val="000000"/>
                <w:sz w:val="22"/>
              </w:rPr>
              <w:t>Duty</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The Borrower, as between the parties, is liable for and must pay all duty (including any fine, interest or penalty except where it arises from default by the other party) on or relating to this deed, any document executed under it or any dutiable transaction evidenced or effected by it.</w:t>
      </w:r>
      <w:r>
        <w:rPr>
          <w:rFonts w:ascii="Arial" w:hAnsi="Arial"/>
          <w:sz w:val="20"/>
        </w:rPr>
        <w:t xml:space="preserve"> </w:t>
      </w:r>
    </w:p>
    <w:tbl>
      <w:tblPr>
        <w:tblW w:w="2756" w:type="dxa"/>
        <w:jc w:val="left"/>
        <w:tblInd w:w="360" w:type="dxa"/>
        <w:tblLayout w:type="fixed"/>
        <w:tblCellMar>
          <w:top w:w="0" w:type="dxa"/>
          <w:left w:w="0" w:type="dxa"/>
          <w:bottom w:w="0" w:type="dxa"/>
          <w:right w:w="0" w:type="dxa"/>
        </w:tblCellMar>
      </w:tblPr>
      <w:tblGrid>
        <w:gridCol w:w="38"/>
        <w:gridCol w:w="440"/>
        <w:gridCol w:w="23"/>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7.6. </w:t>
            </w:r>
          </w:p>
        </w:tc>
        <w:tc>
          <w:tcPr>
            <w:tcW w:w="23" w:type="dxa"/>
            <w:tcBorders/>
            <w:vAlign w:val="center"/>
          </w:tcPr>
          <w:p>
            <w:pPr>
              <w:pStyle w:val="TableContents"/>
              <w:bidi w:val="0"/>
              <w:spacing w:before="0" w:after="283"/>
              <w:jc w:val="left"/>
              <w:rPr>
                <w:sz w:val="4"/>
                <w:szCs w:val="4"/>
              </w:rPr>
            </w:pPr>
            <w:r>
              <w:rPr>
                <w:sz w:val="4"/>
                <w:szCs w:val="4"/>
              </w:rPr>
            </w:r>
          </w:p>
        </w:tc>
        <w:tc>
          <w:tcPr>
            <w:tcW w:w="2255" w:type="dxa"/>
            <w:tcBorders/>
          </w:tcPr>
          <w:p>
            <w:pPr>
              <w:pStyle w:val="TableContents"/>
              <w:bidi w:val="0"/>
              <w:spacing w:before="174" w:after="0"/>
              <w:ind w:left="0" w:right="0" w:hanging="0"/>
              <w:jc w:val="left"/>
              <w:rPr>
                <w:rFonts w:ascii="Arial" w:hAnsi="Arial"/>
                <w:b/>
                <w:color w:val="000000"/>
                <w:sz w:val="22"/>
              </w:rPr>
            </w:pPr>
            <w:bookmarkStart w:id="121" w:name="Entire_understanding76"/>
            <w:bookmarkStart w:id="122" w:name="_TOC_250094"/>
            <w:bookmarkEnd w:id="121"/>
            <w:bookmarkEnd w:id="122"/>
            <w:r>
              <w:rPr>
                <w:rFonts w:ascii="Arial" w:hAnsi="Arial"/>
                <w:b/>
                <w:color w:val="000000"/>
                <w:sz w:val="22"/>
              </w:rPr>
              <w:t>Entire understanding</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(a)This deed contains the entire understanding between the parties as to the subject matter of this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(b)All previous negotiations, understandings, representations, warranties, memoranda or commitments concerning the subject matter of this deed are merged in and superseded by this deed and are of no effect. No party is liable to any other party in respect of those matters.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(c)No oral explanation or information provided by any party to another:</w:t>
      </w:r>
      <w:r>
        <w:rPr>
          <w:rFonts w:ascii="Arial" w:hAnsi="Arial"/>
          <w:sz w:val="20"/>
        </w:rPr>
        <w:t xml:space="preserve"> </w:t>
      </w:r>
    </w:p>
    <w:p>
      <w:pPr>
        <w:pStyle w:val="TextBody"/>
        <w:bidi w:val="0"/>
        <w:spacing w:before="138" w:after="0"/>
        <w:ind w:left="4515" w:right="360" w:hanging="0"/>
        <w:jc w:val="left"/>
        <w:rPr>
          <w:rFonts w:ascii="Arial" w:hAnsi="Arial"/>
          <w:sz w:val="20"/>
        </w:rPr>
      </w:pPr>
      <w:r>
        <w:rPr>
          <w:rFonts w:ascii="Arial" w:hAnsi="Arial"/>
          <w:color w:val="000000"/>
          <w:sz w:val="20"/>
        </w:rPr>
        <w:t>(i)affects the meaning or interpretation of this deed; or</w:t>
      </w:r>
      <w:r>
        <w:rPr>
          <w:rFonts w:ascii="Arial" w:hAnsi="Arial"/>
          <w:sz w:val="20"/>
        </w:rPr>
        <w:t xml:space="preserve"> </w:t>
      </w:r>
    </w:p>
    <w:p>
      <w:pPr>
        <w:pStyle w:val="TextBody"/>
        <w:bidi w:val="0"/>
        <w:spacing w:lineRule="auto" w:line="266" w:before="134" w:after="0"/>
        <w:ind w:left="4516" w:right="2147" w:hanging="0"/>
        <w:jc w:val="left"/>
        <w:rPr>
          <w:rFonts w:ascii="Arial" w:hAnsi="Arial"/>
          <w:sz w:val="20"/>
        </w:rPr>
      </w:pPr>
      <w:r>
        <w:rPr>
          <w:rFonts w:ascii="Arial" w:hAnsi="Arial"/>
          <w:color w:val="000000"/>
          <w:sz w:val="20"/>
        </w:rPr>
        <w:t>(ii)constitutes any collateral agreement, warranty or understanding between any of the parties.</w:t>
      </w:r>
      <w:r>
        <w:rPr>
          <w:rFonts w:ascii="Arial" w:hAnsi="Arial"/>
          <w:sz w:val="20"/>
        </w:rPr>
        <w:t xml:space="preserve"> </w:t>
      </w:r>
    </w:p>
    <w:tbl>
      <w:tblPr>
        <w:tblW w:w="1946" w:type="dxa"/>
        <w:jc w:val="left"/>
        <w:tblInd w:w="360" w:type="dxa"/>
        <w:tblLayout w:type="fixed"/>
        <w:tblCellMar>
          <w:top w:w="0" w:type="dxa"/>
          <w:left w:w="0" w:type="dxa"/>
          <w:bottom w:w="0" w:type="dxa"/>
          <w:right w:w="0" w:type="dxa"/>
        </w:tblCellMar>
      </w:tblPr>
      <w:tblGrid>
        <w:gridCol w:w="38"/>
        <w:gridCol w:w="440"/>
        <w:gridCol w:w="23"/>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7.7. </w:t>
            </w:r>
          </w:p>
        </w:tc>
        <w:tc>
          <w:tcPr>
            <w:tcW w:w="23" w:type="dxa"/>
            <w:tcBorders/>
            <w:vAlign w:val="center"/>
          </w:tcPr>
          <w:p>
            <w:pPr>
              <w:pStyle w:val="TableContents"/>
              <w:bidi w:val="0"/>
              <w:spacing w:before="0" w:after="283"/>
              <w:jc w:val="left"/>
              <w:rPr>
                <w:sz w:val="4"/>
                <w:szCs w:val="4"/>
              </w:rPr>
            </w:pPr>
            <w:r>
              <w:rPr>
                <w:sz w:val="4"/>
                <w:szCs w:val="4"/>
              </w:rPr>
            </w:r>
          </w:p>
        </w:tc>
        <w:tc>
          <w:tcPr>
            <w:tcW w:w="1445" w:type="dxa"/>
            <w:tcBorders/>
          </w:tcPr>
          <w:p>
            <w:pPr>
              <w:pStyle w:val="TableContents"/>
              <w:bidi w:val="0"/>
              <w:spacing w:before="174" w:after="0"/>
              <w:ind w:left="0" w:right="0" w:hanging="0"/>
              <w:jc w:val="left"/>
              <w:rPr>
                <w:rFonts w:ascii="Arial" w:hAnsi="Arial"/>
                <w:b/>
                <w:color w:val="000000"/>
                <w:sz w:val="22"/>
              </w:rPr>
            </w:pPr>
            <w:bookmarkStart w:id="123" w:name="Further_steps77"/>
            <w:bookmarkStart w:id="124" w:name="_TOC_250093"/>
            <w:bookmarkEnd w:id="123"/>
            <w:bookmarkEnd w:id="124"/>
            <w:r>
              <w:rPr>
                <w:rFonts w:ascii="Arial" w:hAnsi="Arial"/>
                <w:b/>
                <w:color w:val="000000"/>
                <w:sz w:val="22"/>
              </w:rPr>
              <w:t>Further steps</w:t>
            </w:r>
          </w:p>
        </w:tc>
      </w:tr>
    </w:tbl>
    <w:p>
      <w:pPr>
        <w:pStyle w:val="TextBody"/>
        <w:bidi w:val="0"/>
        <w:spacing w:lineRule="auto" w:line="264" w:before="77" w:after="0"/>
        <w:ind w:left="3451" w:right="1854" w:hanging="0"/>
        <w:jc w:val="left"/>
        <w:rPr>
          <w:rFonts w:ascii="Arial" w:hAnsi="Arial"/>
          <w:sz w:val="20"/>
        </w:rPr>
      </w:pPr>
      <w:r>
        <w:rPr>
          <w:rFonts w:ascii="Arial" w:hAnsi="Arial"/>
          <w:color w:val="000000"/>
          <w:sz w:val="20"/>
        </w:rPr>
        <w:t>Each party must promptly do whatever any other party reasonably requires of it to give effect to this deed and to perform its obligations under it.</w:t>
      </w:r>
      <w:r>
        <w:rPr>
          <w:rFonts w:ascii="Arial" w:hAnsi="Arial"/>
          <w:sz w:val="20"/>
        </w:rPr>
        <w:t xml:space="preserve"> </w:t>
      </w:r>
    </w:p>
    <w:tbl>
      <w:tblPr>
        <w:tblW w:w="3761" w:type="dxa"/>
        <w:jc w:val="left"/>
        <w:tblInd w:w="360" w:type="dxa"/>
        <w:tblLayout w:type="fixed"/>
        <w:tblCellMar>
          <w:top w:w="0" w:type="dxa"/>
          <w:left w:w="0" w:type="dxa"/>
          <w:bottom w:w="0" w:type="dxa"/>
          <w:right w:w="0" w:type="dxa"/>
        </w:tblCellMar>
      </w:tblPr>
      <w:tblGrid>
        <w:gridCol w:w="38"/>
        <w:gridCol w:w="440"/>
        <w:gridCol w:w="23"/>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7.8. </w:t>
            </w:r>
          </w:p>
        </w:tc>
        <w:tc>
          <w:tcPr>
            <w:tcW w:w="23" w:type="dxa"/>
            <w:tcBorders/>
            <w:vAlign w:val="center"/>
          </w:tcPr>
          <w:p>
            <w:pPr>
              <w:pStyle w:val="TableContents"/>
              <w:bidi w:val="0"/>
              <w:spacing w:before="0" w:after="283"/>
              <w:jc w:val="left"/>
              <w:rPr>
                <w:sz w:val="4"/>
                <w:szCs w:val="4"/>
              </w:rPr>
            </w:pPr>
            <w:r>
              <w:rPr>
                <w:sz w:val="4"/>
                <w:szCs w:val="4"/>
              </w:rPr>
            </w:r>
          </w:p>
        </w:tc>
        <w:tc>
          <w:tcPr>
            <w:tcW w:w="3260" w:type="dxa"/>
            <w:tcBorders/>
          </w:tcPr>
          <w:p>
            <w:pPr>
              <w:pStyle w:val="TableContents"/>
              <w:bidi w:val="0"/>
              <w:spacing w:before="174" w:after="0"/>
              <w:ind w:left="0" w:right="0" w:hanging="0"/>
              <w:jc w:val="left"/>
              <w:rPr>
                <w:rFonts w:ascii="Arial" w:hAnsi="Arial"/>
                <w:b/>
                <w:color w:val="000000"/>
                <w:sz w:val="22"/>
              </w:rPr>
            </w:pPr>
            <w:bookmarkStart w:id="125" w:name="Governing_law_and_jurisdiction78"/>
            <w:bookmarkStart w:id="126" w:name="_TOC_250092"/>
            <w:bookmarkEnd w:id="125"/>
            <w:bookmarkEnd w:id="126"/>
            <w:r>
              <w:rPr>
                <w:rFonts w:ascii="Arial" w:hAnsi="Arial"/>
                <w:b/>
                <w:color w:val="000000"/>
                <w:sz w:val="22"/>
              </w:rPr>
              <w:t>Governing law and jurisdiction</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(a)This deed is governed by and is to be construed in accordance with the laws applicable in the Relevant Jurisdiction.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(b)Each party irrevocably and unconditionally submits to the non-exclusive jurisdiction of the courts exercising jurisdiction in the Relevant Jurisdiction and any courts which have jurisdiction to hear appeals from</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00" w:type="dxa"/>
        <w:jc w:val="left"/>
        <w:tblInd w:w="360" w:type="dxa"/>
        <w:tblLayout w:type="fixed"/>
        <w:tblCellMar>
          <w:top w:w="0" w:type="dxa"/>
          <w:left w:w="0" w:type="dxa"/>
          <w:bottom w:w="0" w:type="dxa"/>
          <w:right w:w="0" w:type="dxa"/>
        </w:tblCellMar>
      </w:tblPr>
      <w:tblGrid>
        <w:gridCol w:w="1370"/>
        <w:gridCol w:w="530"/>
      </w:tblGrid>
      <w:tr>
        <w:trPr/>
        <w:tc>
          <w:tcPr>
            <w:tcW w:w="137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70" w:type="dxa"/>
            <w:tcBorders/>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5</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4"/>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5"/>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pBdr/>
        <w:bidi w:val="0"/>
        <w:spacing w:lineRule="auto" w:line="264" w:before="1" w:after="0"/>
        <w:ind w:left="3983" w:right="1854" w:hanging="0"/>
        <w:jc w:val="left"/>
        <w:rPr>
          <w:rFonts w:ascii="Arial" w:hAnsi="Arial"/>
          <w:sz w:val="20"/>
        </w:rPr>
      </w:pPr>
      <w:r>
        <w:rPr>
          <w:rFonts w:ascii="Arial" w:hAnsi="Arial"/>
          <w:sz w:val="20"/>
        </w:rPr>
        <w:t xml:space="preserve">any of those courts and waives any right to object to any proceedings being brought in those courts. </w:t>
      </w:r>
    </w:p>
    <w:tbl>
      <w:tblPr>
        <w:tblW w:w="1736" w:type="dxa"/>
        <w:jc w:val="left"/>
        <w:tblInd w:w="360" w:type="dxa"/>
        <w:tblLayout w:type="fixed"/>
        <w:tblCellMar>
          <w:top w:w="0" w:type="dxa"/>
          <w:left w:w="0" w:type="dxa"/>
          <w:bottom w:w="0" w:type="dxa"/>
          <w:right w:w="0" w:type="dxa"/>
        </w:tblCellMar>
      </w:tblPr>
      <w:tblGrid>
        <w:gridCol w:w="38"/>
        <w:gridCol w:w="440"/>
        <w:gridCol w:w="23"/>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7.9. </w:t>
            </w:r>
          </w:p>
        </w:tc>
        <w:tc>
          <w:tcPr>
            <w:tcW w:w="23" w:type="dxa"/>
            <w:tcBorders/>
            <w:vAlign w:val="center"/>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174" w:after="0"/>
              <w:ind w:left="0" w:right="0" w:hanging="0"/>
              <w:jc w:val="left"/>
              <w:rPr>
                <w:rFonts w:ascii="Arial" w:hAnsi="Arial"/>
                <w:b/>
                <w:color w:val="000000"/>
                <w:sz w:val="22"/>
              </w:rPr>
            </w:pPr>
            <w:bookmarkStart w:id="127" w:name="Legal_costs79"/>
            <w:bookmarkStart w:id="128" w:name="_TOC_250091"/>
            <w:bookmarkEnd w:id="127"/>
            <w:bookmarkEnd w:id="128"/>
            <w:r>
              <w:rPr>
                <w:rFonts w:ascii="Arial" w:hAnsi="Arial"/>
                <w:b/>
                <w:color w:val="000000"/>
                <w:sz w:val="22"/>
              </w:rPr>
              <w:t>Legal costs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Borrower must pay, and if paid by the Bank reimburse the Bank, the cost of stamping and registering this deed and the reasonable legal and other costs and expenses of the Bank in relation to:</w:t>
      </w:r>
      <w:r>
        <w:rPr>
          <w:rFonts w:ascii="Arial" w:hAnsi="Arial"/>
          <w:sz w:val="20"/>
        </w:rPr>
        <w:t xml:space="preserve"> </w:t>
      </w:r>
    </w:p>
    <w:p>
      <w:pPr>
        <w:pStyle w:val="TextBody"/>
        <w:pBdr/>
        <w:bidi w:val="0"/>
        <w:spacing w:before="110" w:after="0"/>
        <w:ind w:left="3989" w:right="360" w:hanging="0"/>
        <w:jc w:val="left"/>
        <w:rPr>
          <w:rFonts w:ascii="Arial" w:hAnsi="Arial"/>
          <w:sz w:val="20"/>
        </w:rPr>
      </w:pPr>
      <w:r>
        <w:rPr>
          <w:rFonts w:ascii="Arial" w:hAnsi="Arial"/>
          <w:color w:val="000000"/>
          <w:sz w:val="20"/>
        </w:rPr>
        <w:t>(a) the negotiation, preparation and execution of this deed; and</w:t>
      </w:r>
      <w:r>
        <w:rPr>
          <w:rFonts w:ascii="Arial" w:hAnsi="Arial"/>
          <w:sz w:val="20"/>
        </w:rPr>
        <w:t xml:space="preserve"> </w:t>
      </w:r>
    </w:p>
    <w:p>
      <w:pPr>
        <w:pStyle w:val="TextBody"/>
        <w:pBdr/>
        <w:bidi w:val="0"/>
        <w:spacing w:before="137" w:after="0"/>
        <w:ind w:left="3989" w:right="360" w:hanging="0"/>
        <w:jc w:val="left"/>
        <w:rPr>
          <w:rFonts w:ascii="Arial" w:hAnsi="Arial"/>
          <w:sz w:val="20"/>
        </w:rPr>
      </w:pPr>
      <w:r>
        <w:rPr>
          <w:rFonts w:ascii="Arial" w:hAnsi="Arial"/>
          <w:color w:val="000000"/>
          <w:sz w:val="20"/>
        </w:rPr>
        <w:t>(b)the performance of the Bank’s obligations under this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(b)Except as expressly stated otherwise in this deed, each party must pay its own legal and other costs and expenses of performing its obligations under this deed.</w:t>
      </w:r>
      <w:r>
        <w:rPr>
          <w:rFonts w:ascii="Arial" w:hAnsi="Arial"/>
          <w:sz w:val="20"/>
        </w:rPr>
        <w:t xml:space="preserve"> </w:t>
      </w:r>
    </w:p>
    <w:p>
      <w:pPr>
        <w:pStyle w:val="TextBody"/>
        <w:bidi w:val="0"/>
        <w:spacing w:lineRule="auto" w:line="264" w:before="137" w:after="0"/>
        <w:ind w:left="3950" w:right="360" w:hanging="533"/>
        <w:jc w:val="both"/>
        <w:rPr/>
      </w:pPr>
      <w:r>
        <w:rPr/>
        <w:t xml:space="preserve">  </w:t>
      </w:r>
    </w:p>
    <w:tbl>
      <w:tblPr>
        <w:tblW w:w="1900" w:type="dxa"/>
        <w:jc w:val="left"/>
        <w:tblInd w:w="360" w:type="dxa"/>
        <w:tblLayout w:type="fixed"/>
        <w:tblCellMar>
          <w:top w:w="0" w:type="dxa"/>
          <w:left w:w="0" w:type="dxa"/>
          <w:bottom w:w="0" w:type="dxa"/>
          <w:right w:w="0" w:type="dxa"/>
        </w:tblCellMar>
      </w:tblPr>
      <w:tblGrid>
        <w:gridCol w:w="1370"/>
        <w:gridCol w:w="530"/>
      </w:tblGrid>
      <w:tr>
        <w:trPr/>
        <w:tc>
          <w:tcPr>
            <w:tcW w:w="137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70" w:type="dxa"/>
            <w:tcBorders/>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6</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6"/>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7"/>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2" w:after="0"/>
        <w:ind w:left="380" w:right="360" w:hanging="0"/>
        <w:jc w:val="left"/>
        <w:rPr>
          <w:rFonts w:ascii="Arial" w:hAnsi="Arial"/>
          <w:sz w:val="20"/>
        </w:rPr>
      </w:pPr>
      <w:r>
        <w:rPr>
          <w:rFonts w:ascii="Arial" w:hAnsi="Arial"/>
          <w:b/>
          <w:color w:val="FFFFFF"/>
          <w:sz w:val="20"/>
        </w:rPr>
        <w:t>Capacity</w:t>
      </w:r>
      <w:r>
        <w:rPr>
          <w:rFonts w:ascii="Arial" w:hAnsi="Arial"/>
          <w:sz w:val="20"/>
        </w:rPr>
        <w:t xml:space="preserve"> </w:t>
      </w:r>
    </w:p>
    <w:p>
      <w:pPr>
        <w:pStyle w:val="TextBody"/>
        <w:bidi w:val="0"/>
        <w:spacing w:before="12" w:after="0"/>
        <w:ind w:left="380" w:right="360" w:hanging="0"/>
        <w:jc w:val="left"/>
        <w:rPr>
          <w:rFonts w:ascii="Arial" w:hAnsi="Arial"/>
          <w:sz w:val="20"/>
        </w:rPr>
      </w:pPr>
      <w:r>
        <w:rPr>
          <w:rFonts w:ascii="Arial" w:hAnsi="Arial"/>
          <w:b/>
          <w:color w:val="FFFFFF"/>
          <w:sz w:val="20"/>
        </w:rPr>
        <w:t>Capacity</w:t>
      </w:r>
      <w:r>
        <w:rPr>
          <w:rFonts w:ascii="Arial" w:hAnsi="Arial"/>
          <w:sz w:val="20"/>
        </w:rPr>
        <w:t xml:space="preserve"> </w:t>
      </w:r>
    </w:p>
    <w:p>
      <w:pPr>
        <w:pStyle w:val="TextBody"/>
        <w:bidi w:val="0"/>
        <w:spacing w:before="12" w:after="0"/>
        <w:ind w:left="380" w:right="360" w:hanging="0"/>
        <w:jc w:val="left"/>
        <w:rPr>
          <w:rFonts w:ascii="Arial" w:hAnsi="Arial"/>
          <w:sz w:val="20"/>
        </w:rPr>
      </w:pPr>
      <w:r>
        <w:rPr>
          <w:rFonts w:ascii="Arial" w:hAnsi="Arial"/>
          <w:b/>
          <w:color w:val="FFFFFF"/>
          <w:sz w:val="20"/>
        </w:rPr>
        <w:t>Address</w:t>
      </w:r>
      <w:r>
        <w:rPr>
          <w:rFonts w:ascii="Arial" w:hAnsi="Arial"/>
          <w:sz w:val="20"/>
        </w:rPr>
        <w:t xml:space="preserve"> </w:t>
      </w:r>
    </w:p>
    <w:p>
      <w:pPr>
        <w:pStyle w:val="TextBody"/>
        <w:bidi w:val="0"/>
        <w:spacing w:before="12" w:after="0"/>
        <w:ind w:left="380" w:right="360" w:hanging="0"/>
        <w:jc w:val="left"/>
        <w:rPr>
          <w:rFonts w:ascii="Arial" w:hAnsi="Arial"/>
          <w:sz w:val="20"/>
        </w:rPr>
      </w:pPr>
      <w:r>
        <w:rPr>
          <w:rFonts w:ascii="Arial" w:hAnsi="Arial"/>
          <w:b/>
          <w:color w:val="FFFFFF"/>
          <w:sz w:val="20"/>
        </w:rPr>
        <w:t>Address</w:t>
      </w:r>
      <w:r>
        <w:rPr>
          <w:rFonts w:ascii="Arial" w:hAnsi="Arial"/>
          <w:sz w:val="20"/>
        </w:rPr>
        <w:t xml:space="preserve"> </w:t>
      </w:r>
    </w:p>
    <w:p>
      <w:pPr>
        <w:pStyle w:val="TextBody"/>
        <w:bidi w:val="0"/>
        <w:spacing w:before="173" w:after="0"/>
        <w:ind w:left="360" w:right="360" w:hanging="0"/>
        <w:jc w:val="left"/>
        <w:rPr>
          <w:rFonts w:cs="Arial"/>
          <w:szCs w:val="20"/>
        </w:rPr>
      </w:pPr>
      <w:r>
        <w:rPr>
          <w:rFonts w:cs="Arial"/>
          <w:szCs w:val="20"/>
        </w:rPr>
        <w:t xml:space="preserve">﻿ </w:t>
      </w:r>
    </w:p>
    <w:tbl>
      <w:tblPr>
        <w:tblW w:w="1700" w:type="dxa"/>
        <w:jc w:val="left"/>
        <w:tblInd w:w="360" w:type="dxa"/>
        <w:tblLayout w:type="fixed"/>
        <w:tblCellMar>
          <w:top w:w="0" w:type="dxa"/>
          <w:left w:w="0" w:type="dxa"/>
          <w:bottom w:w="0" w:type="dxa"/>
          <w:right w:w="0" w:type="dxa"/>
        </w:tblCellMar>
      </w:tblPr>
      <w:tblGrid>
        <w:gridCol w:w="1625"/>
        <w:gridCol w:w="75"/>
      </w:tblGrid>
      <w:tr>
        <w:trPr/>
        <w:tc>
          <w:tcPr>
            <w:tcW w:w="1625" w:type="dxa"/>
            <w:tcBorders/>
          </w:tcPr>
          <w:p>
            <w:pPr>
              <w:pStyle w:val="TableContents"/>
              <w:bidi w:val="0"/>
              <w:spacing w:lineRule="atLeast" w:line="420" w:before="0" w:after="0"/>
              <w:ind w:left="103" w:right="0" w:hanging="0"/>
              <w:jc w:val="left"/>
              <w:rPr>
                <w:rFonts w:cs="Arial"/>
                <w:szCs w:val="37"/>
              </w:rPr>
            </w:pPr>
            <w:r>
              <w:rPr>
                <w:rFonts w:cs="Arial"/>
                <w:szCs w:val="37"/>
              </w:rPr>
              <w:t>﻿</w:t>
            </w:r>
            <w:bookmarkStart w:id="129" w:name="corporate_director"/>
            <w:bookmarkEnd w:id="129"/>
          </w:p>
          <w:p>
            <w:pPr>
              <w:pStyle w:val="TableContents"/>
              <w:bidi w:val="0"/>
              <w:spacing w:lineRule="atLeast" w:line="420" w:before="0" w:after="0"/>
              <w:ind w:left="103" w:right="0" w:hanging="0"/>
              <w:jc w:val="left"/>
              <w:rPr/>
            </w:pPr>
            <w:r>
              <w:rPr/>
              <w:t> </w:t>
            </w:r>
          </w:p>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625" w:type="dxa"/>
            <w:tcBorders/>
          </w:tcPr>
          <w:p>
            <w:pPr>
              <w:pStyle w:val="TableContents"/>
              <w:bidi w:val="0"/>
              <w:spacing w:lineRule="atLeast" w:line="420" w:before="0" w:after="0"/>
              <w:ind w:left="103" w:right="0" w:hanging="0"/>
              <w:jc w:val="left"/>
              <w:rPr>
                <w:rFonts w:ascii="Arial" w:hAnsi="Arial"/>
                <w:sz w:val="37"/>
              </w:rPr>
            </w:pPr>
            <w:r>
              <w:rPr>
                <w:rFonts w:ascii="Arial" w:hAnsi="Arial"/>
                <w:sz w:val="37"/>
              </w:rPr>
              <w:t>Schedule</w:t>
            </w:r>
          </w:p>
          <w:p>
            <w:pPr>
              <w:pStyle w:val="TableContents"/>
              <w:bidi w:val="0"/>
              <w:spacing w:lineRule="atLeast" w:line="420" w:before="0" w:after="0"/>
              <w:ind w:left="103" w:right="0" w:hanging="0"/>
              <w:jc w:val="left"/>
              <w:rPr/>
            </w:pPr>
            <w:r>
              <w:rPr/>
              <w:t> </w:t>
            </w:r>
          </w:p>
          <w:p>
            <w:pPr>
              <w:pStyle w:val="TableContents"/>
              <w:bidi w:val="0"/>
              <w:spacing w:lineRule="atLeast" w:line="420" w:before="0" w:after="0"/>
              <w:ind w:left="103" w:right="0" w:hanging="0"/>
              <w:jc w:val="left"/>
              <w:rPr>
                <w:rFonts w:ascii="Arial" w:hAnsi="Arial"/>
                <w:sz w:val="37"/>
              </w:rPr>
            </w:pPr>
            <w:r>
              <w:rPr>
                <w:rFonts w:ascii="Arial" w:hAnsi="Arial"/>
                <w:sz w:val="37"/>
              </w:rPr>
              <w:t>[***]</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360" w:right="360" w:hanging="0"/>
        <w:jc w:val="left"/>
        <w:rPr>
          <w:rFonts w:cs="Arial"/>
          <w:szCs w:val="22"/>
        </w:rPr>
      </w:pPr>
      <w:r>
        <w:rPr>
          <w:rFonts w:cs="Arial"/>
          <w:szCs w:val="22"/>
        </w:rPr>
        <w:t xml:space="preserve">﻿ </w:t>
      </w:r>
    </w:p>
    <w:p>
      <w:pPr>
        <w:pStyle w:val="TextBody"/>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8"/>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9"/>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2" w:after="0"/>
        <w:ind w:left="360" w:right="360" w:hanging="0"/>
        <w:jc w:val="left"/>
        <w:rPr>
          <w:rFonts w:cs="Arial"/>
          <w:szCs w:val="14"/>
        </w:rPr>
      </w:pPr>
      <w:r>
        <w:rPr>
          <w:rFonts w:cs="Arial"/>
          <w:szCs w:val="15"/>
        </w:rPr>
        <w:t>﻿</w:t>
      </w:r>
      <w:r>
        <w:rPr>
          <w:rFonts w:cs="Arial"/>
          <w:szCs w:val="14"/>
        </w:rPr>
        <w:t xml:space="preserve"> </w:t>
      </w:r>
    </w:p>
    <w:p>
      <w:pPr>
        <w:pStyle w:val="TextBody"/>
        <w:pBdr/>
        <w:bidi w:val="0"/>
        <w:spacing w:before="236" w:after="0"/>
        <w:ind w:left="360" w:right="360" w:hanging="0"/>
        <w:jc w:val="left"/>
        <w:rPr>
          <w:rFonts w:cs="Arial"/>
          <w:szCs w:val="36"/>
        </w:rPr>
      </w:pPr>
      <w:r>
        <w:rPr>
          <w:rFonts w:cs="Arial"/>
          <w:szCs w:val="37"/>
        </w:rPr>
        <w:t>﻿</w:t>
      </w:r>
      <w:r>
        <w:rPr>
          <w:rFonts w:cs="Arial"/>
          <w:szCs w:val="36"/>
        </w:rPr>
        <w:t xml:space="preserve"> </w:t>
      </w:r>
    </w:p>
    <w:p>
      <w:pPr>
        <w:pStyle w:val="TextBody"/>
        <w:bidi w:val="0"/>
        <w:spacing w:before="98" w:after="0"/>
        <w:ind w:left="360" w:right="360" w:hanging="0"/>
        <w:jc w:val="left"/>
        <w:rPr>
          <w:rFonts w:cs="Arial"/>
          <w:szCs w:val="20"/>
        </w:rPr>
      </w:pPr>
      <w:r>
        <w:rPr>
          <w:rFonts w:cs="Arial"/>
          <w:szCs w:val="20"/>
        </w:rPr>
        <w:t>﻿</w:t>
      </w:r>
      <w:bookmarkStart w:id="130" w:name="Execution"/>
      <w:bookmarkStart w:id="131" w:name="_TOC_250090"/>
      <w:bookmarkEnd w:id="130"/>
      <w:bookmarkEnd w:id="131"/>
      <w:r>
        <w:rPr>
          <w:rFonts w:cs="Arial"/>
          <w:szCs w:val="20"/>
        </w:rPr>
        <w:t xml:space="preserve"> </w:t>
      </w:r>
    </w:p>
    <w:tbl>
      <w:tblPr>
        <w:tblW w:w="3528" w:type="dxa"/>
        <w:jc w:val="center"/>
        <w:tblInd w:w="0" w:type="dxa"/>
        <w:tblLayout w:type="fixed"/>
        <w:tblCellMar>
          <w:top w:w="0" w:type="dxa"/>
          <w:left w:w="0" w:type="dxa"/>
          <w:bottom w:w="0" w:type="dxa"/>
          <w:right w:w="0" w:type="dxa"/>
        </w:tblCellMar>
      </w:tblPr>
      <w:tblGrid>
        <w:gridCol w:w="38"/>
        <w:gridCol w:w="3335"/>
        <w:gridCol w:w="80"/>
        <w:gridCol w:w="75"/>
      </w:tblGrid>
      <w:tr>
        <w:trPr/>
        <w:tc>
          <w:tcPr>
            <w:tcW w:w="38" w:type="dxa"/>
            <w:tcBorders/>
          </w:tcPr>
          <w:p>
            <w:pPr>
              <w:pStyle w:val="TableContents"/>
              <w:bidi w:val="0"/>
              <w:spacing w:before="0" w:after="0"/>
              <w:ind w:left="0" w:right="0" w:hanging="0"/>
              <w:jc w:val="left"/>
              <w:rPr>
                <w:rFonts w:cs="Arial"/>
                <w:szCs w:val="2"/>
              </w:rPr>
            </w:pPr>
            <w:r>
              <w:rPr>
                <w:rFonts w:cs="Arial"/>
                <w:szCs w:val="2"/>
              </w:rPr>
              <w:t>﻿</w:t>
            </w:r>
          </w:p>
        </w:tc>
        <w:tc>
          <w:tcPr>
            <w:tcW w:w="3335" w:type="dxa"/>
            <w:tcBorders/>
          </w:tcPr>
          <w:p>
            <w:pPr>
              <w:pStyle w:val="TableContents"/>
              <w:bidi w:val="0"/>
              <w:spacing w:before="0" w:after="0"/>
              <w:ind w:left="0" w:right="0" w:hanging="0"/>
              <w:jc w:val="left"/>
              <w:rPr/>
            </w:pPr>
            <w:r>
              <w:rPr/>
              <w:t> </w:t>
            </w:r>
          </w:p>
        </w:tc>
        <w:tc>
          <w:tcPr>
            <w:tcW w:w="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37"/>
              </w:rPr>
            </w:pPr>
            <w:r>
              <w:rPr>
                <w:rFonts w:ascii="Arial" w:hAnsi="Arial"/>
                <w:b/>
                <w:sz w:val="37"/>
              </w:rPr>
              <w:t>Execution</w:t>
            </w:r>
          </w:p>
        </w:tc>
        <w:tc>
          <w:tcPr>
            <w:tcW w:w="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pPr>
            <w:r>
              <w:rPr/>
              <w:t> </w:t>
            </w:r>
          </w:p>
        </w:tc>
        <w:tc>
          <w:tcPr>
            <w:tcW w:w="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22"/>
              </w:rPr>
            </w:pPr>
            <w:r>
              <w:rPr>
                <w:rFonts w:ascii="Arial" w:hAnsi="Arial"/>
                <w:b/>
                <w:sz w:val="22"/>
              </w:rPr>
              <w:t xml:space="preserve">Executed </w:t>
            </w:r>
            <w:r>
              <w:rPr>
                <w:rFonts w:ascii="Arial" w:hAnsi="Arial"/>
                <w:sz w:val="22"/>
              </w:rPr>
              <w:t>as a deed</w:t>
            </w:r>
          </w:p>
        </w:tc>
        <w:tc>
          <w:tcPr>
            <w:tcW w:w="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pPr>
            <w:r>
              <w:rPr/>
              <w:t> </w:t>
            </w:r>
          </w:p>
        </w:tc>
        <w:tc>
          <w:tcPr>
            <w:tcW w:w="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b/>
                <w:sz w:val="18"/>
              </w:rPr>
              <w:t xml:space="preserve">Executed </w:t>
            </w:r>
            <w:r>
              <w:rPr>
                <w:rFonts w:ascii="Arial" w:hAnsi="Arial"/>
                <w:sz w:val="18"/>
              </w:rPr>
              <w:t>by</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Entertainment Australia Pty</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b/>
                <w:sz w:val="18"/>
              </w:rPr>
              <w:t xml:space="preserve">Ltd </w:t>
            </w:r>
            <w:r>
              <w:rPr>
                <w:rFonts w:ascii="Arial" w:hAnsi="Arial"/>
                <w:sz w:val="18"/>
              </w:rPr>
              <w:t>ACN 070 893 908</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Australia Country Cinemas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076 276 349</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Cinemas Asset Management</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b/>
                <w:sz w:val="18"/>
              </w:rPr>
              <w:t xml:space="preserve">Pty Ltd </w:t>
            </w:r>
            <w:r>
              <w:rPr>
                <w:rFonts w:ascii="Arial" w:hAnsi="Arial"/>
                <w:sz w:val="18"/>
              </w:rPr>
              <w:t>ACN 122 571 420</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Burwood Developments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105 384 905</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Epping Cinemas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073 997 172</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Hotel Newmarket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094 367 969</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Newmarket Properties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105 386 409</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Newmarket Properties No. 2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109 038 806</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Newmarket Properties #3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126 697 505</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Armadale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107 939 211</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Belmont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126 697 498</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Bundaberg 2012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122 406 320</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Charlestown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123 938 483</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Cinemas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073 808 643</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Cinemas Management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122 406 311</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State Cinema Hobart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108 861 061</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b/>
                <w:sz w:val="18"/>
              </w:rPr>
            </w:pPr>
            <w:r>
              <w:rPr>
                <w:rFonts w:ascii="Arial" w:hAnsi="Arial"/>
                <w:b/>
                <w:sz w:val="18"/>
              </w:rPr>
              <w:t>Reading Dandenong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335" w:type="dxa"/>
            <w:tcBorders/>
          </w:tcPr>
          <w:p>
            <w:pPr>
              <w:pStyle w:val="TableContents"/>
              <w:bidi w:val="0"/>
              <w:spacing w:before="0" w:after="0"/>
              <w:ind w:left="0" w:right="0" w:hanging="0"/>
              <w:jc w:val="left"/>
              <w:rPr>
                <w:rFonts w:ascii="Arial" w:hAnsi="Arial"/>
                <w:sz w:val="18"/>
              </w:rPr>
            </w:pPr>
            <w:r>
              <w:rPr>
                <w:rFonts w:ascii="Arial" w:hAnsi="Arial"/>
                <w:sz w:val="18"/>
              </w:rPr>
              <w:t>ACN 129 018 739</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360" w:right="360" w:hanging="0"/>
        <w:jc w:val="left"/>
        <w:rPr>
          <w:rFonts w:cs="Arial"/>
          <w:szCs w:val="22"/>
        </w:rPr>
      </w:pPr>
      <w:r>
        <w:rPr>
          <w:rFonts w:cs="Arial"/>
          <w:szCs w:val="22"/>
        </w:rPr>
        <w:t xml:space="preserve">﻿ </w:t>
      </w:r>
    </w:p>
    <w:p>
      <w:pPr>
        <w:pStyle w:val="TextBody"/>
        <w:bidi w:val="0"/>
        <w:spacing w:lineRule="auto" w:line="300" w:before="0" w:after="0"/>
        <w:ind w:left="360" w:right="360" w:hanging="0"/>
        <w:jc w:val="left"/>
        <w:rPr>
          <w:rFonts w:cs="Arial"/>
          <w:szCs w:val="16"/>
        </w:rPr>
      </w:pPr>
      <w:r>
        <w:rPr>
          <w:rFonts w:cs="Arial"/>
          <w:iCs/>
          <w:szCs w:val="17"/>
        </w:rPr>
        <w:t>﻿</w:t>
      </w:r>
      <w:r>
        <w:rPr>
          <w:rFonts w:cs="Arial"/>
          <w:szCs w:val="16"/>
        </w:rPr>
        <w:t xml:space="preserve"> </w:t>
      </w:r>
    </w:p>
    <w:tbl>
      <w:tblPr>
        <w:tblW w:w="7023" w:type="dxa"/>
        <w:jc w:val="left"/>
        <w:tblInd w:w="360" w:type="dxa"/>
        <w:tblLayout w:type="fixed"/>
        <w:tblCellMar>
          <w:top w:w="0" w:type="dxa"/>
          <w:left w:w="0" w:type="dxa"/>
          <w:bottom w:w="0" w:type="dxa"/>
          <w:right w:w="0" w:type="dxa"/>
        </w:tblCellMar>
      </w:tblPr>
      <w:tblGrid>
        <w:gridCol w:w="38"/>
        <w:gridCol w:w="3425"/>
        <w:gridCol w:w="60"/>
        <w:gridCol w:w="3425"/>
        <w:gridCol w:w="75"/>
      </w:tblGrid>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Ellen Cotter</w:t>
            </w:r>
          </w:p>
        </w:tc>
        <w:tc>
          <w:tcPr>
            <w:tcW w:w="60" w:type="dxa"/>
            <w:tcBorders/>
          </w:tcPr>
          <w:p>
            <w:pPr>
              <w:pStyle w:val="TableContents"/>
              <w:bidi w:val="0"/>
              <w:spacing w:before="0" w:after="0"/>
              <w:ind w:left="720" w:right="0" w:hanging="0"/>
              <w:jc w:val="left"/>
              <w:rPr/>
            </w:pPr>
            <w:r>
              <w:rPr/>
              <w:t> </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Wayne Douglas Smith</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 xml:space="preserve">Ellen Cotter </w:t>
            </w:r>
          </w:p>
          <w:p>
            <w:pPr>
              <w:pStyle w:val="TableContents"/>
              <w:bidi w:val="0"/>
              <w:spacing w:before="0" w:after="0"/>
              <w:ind w:left="0" w:right="0" w:hanging="0"/>
              <w:jc w:val="left"/>
              <w:rPr>
                <w:rFonts w:ascii="Arial" w:hAnsi="Arial"/>
                <w:sz w:val="18"/>
              </w:rPr>
            </w:pPr>
            <w:r>
              <w:rPr>
                <w:rFonts w:ascii="Arial" w:hAnsi="Arial"/>
                <w:sz w:val="18"/>
              </w:rPr>
              <w:t>Director/Company Secretary</w:t>
            </w:r>
          </w:p>
        </w:tc>
        <w:tc>
          <w:tcPr>
            <w:tcW w:w="60" w:type="dxa"/>
            <w:tcBorders/>
          </w:tcPr>
          <w:p>
            <w:pPr>
              <w:pStyle w:val="TableContents"/>
              <w:bidi w:val="0"/>
              <w:spacing w:before="0" w:after="0"/>
              <w:ind w:left="0" w:right="0" w:hanging="0"/>
              <w:jc w:val="left"/>
              <w:rPr/>
            </w:pPr>
            <w:r>
              <w:rPr/>
              <w:t> </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Wayne Douglas Smith</w:t>
            </w:r>
          </w:p>
          <w:p>
            <w:pPr>
              <w:pStyle w:val="TableContents"/>
              <w:bidi w:val="0"/>
              <w:spacing w:before="0" w:after="0"/>
              <w:ind w:left="0" w:right="0" w:hanging="0"/>
              <w:jc w:val="left"/>
              <w:rPr>
                <w:rFonts w:ascii="Arial" w:hAnsi="Arial"/>
                <w:sz w:val="18"/>
              </w:rPr>
            </w:pPr>
            <w:r>
              <w:rPr>
                <w:rFonts w:ascii="Arial" w:hAnsi="Arial"/>
                <w:sz w:val="18"/>
              </w:rPr>
              <w:t>Director</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bCs/>
                <w:szCs w:val="17"/>
              </w:rPr>
            </w:pPr>
            <w:r>
              <w:rPr>
                <w:rFonts w:cs="Arial"/>
                <w:bCs/>
                <w:szCs w:val="17"/>
              </w:rPr>
              <w:t>﻿</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20"/>
                          <a:stretch>
                            <a:fillRect/>
                          </a:stretch>
                        </pic:blipFill>
                        <pic:spPr bwMode="auto">
                          <a:xfrm>
                            <a:off x="0" y="0"/>
                            <a:ext cx="76200" cy="114300"/>
                          </a:xfrm>
                          <a:prstGeom prst="rect">
                            <a:avLst/>
                          </a:prstGeom>
                        </pic:spPr>
                      </pic:pic>
                    </a:graphicData>
                  </a:graphic>
                </wp:inline>
              </w:drawing>
            </w:r>
            <w:r>
              <w:rPr/>
              <w:t xml:space="preserve">  </w:t>
            </w:r>
            <w:r>
              <w:rPr>
                <w:rFonts w:ascii="Arial" w:hAnsi="Arial"/>
                <w:b/>
                <w:i/>
                <w:sz w:val="17"/>
              </w:rPr>
              <w:t xml:space="preserve">Tick if signatory signing electronically. </w:t>
            </w:r>
          </w:p>
          <w:p>
            <w:pPr>
              <w:pStyle w:val="TableContents"/>
              <w:bidi w:val="0"/>
              <w:spacing w:before="0" w:after="0"/>
              <w:ind w:left="0" w:right="0" w:hanging="0"/>
              <w:jc w:val="left"/>
              <w:rPr>
                <w:rFonts w:ascii="Arial" w:hAnsi="Arial"/>
                <w:sz w:val="17"/>
              </w:rPr>
            </w:pPr>
            <w:r>
              <w:rPr>
                <w:rFonts w:ascii="Arial" w:hAnsi="Arial"/>
                <w:sz w:val="17"/>
              </w:rPr>
              <w:t xml:space="preserve">By ticking this box, the signatory warrants that </w:t>
            </w:r>
          </w:p>
          <w:p>
            <w:pPr>
              <w:pStyle w:val="TableContents"/>
              <w:bidi w:val="0"/>
              <w:spacing w:before="0" w:after="0"/>
              <w:ind w:left="0" w:right="0" w:hanging="0"/>
              <w:jc w:val="left"/>
              <w:rPr>
                <w:rFonts w:ascii="Arial" w:hAnsi="Arial"/>
                <w:sz w:val="17"/>
              </w:rPr>
            </w:pPr>
            <w:r>
              <w:rPr>
                <w:rFonts w:ascii="Arial" w:hAnsi="Arial"/>
                <w:sz w:val="17"/>
              </w:rPr>
              <w:t>they are signing this document in accordance</w:t>
            </w:r>
          </w:p>
          <w:p>
            <w:pPr>
              <w:pStyle w:val="TableContents"/>
              <w:bidi w:val="0"/>
              <w:spacing w:before="0" w:after="0"/>
              <w:ind w:left="0" w:right="0" w:hanging="0"/>
              <w:jc w:val="left"/>
              <w:rPr>
                <w:rFonts w:ascii="Arial" w:hAnsi="Arial"/>
                <w:sz w:val="17"/>
              </w:rPr>
            </w:pPr>
            <w:r>
              <w:rPr>
                <w:rFonts w:ascii="Arial" w:hAnsi="Arial"/>
                <w:sz w:val="17"/>
              </w:rPr>
              <w:t xml:space="preserve">with section 110A(2) of the Corporations Act </w:t>
            </w:r>
          </w:p>
          <w:p>
            <w:pPr>
              <w:pStyle w:val="TableContents"/>
              <w:bidi w:val="0"/>
              <w:spacing w:before="0" w:after="0"/>
              <w:ind w:left="0" w:right="0" w:hanging="0"/>
              <w:jc w:val="left"/>
              <w:rPr>
                <w:rFonts w:ascii="Arial" w:hAnsi="Arial"/>
                <w:sz w:val="17"/>
              </w:rPr>
            </w:pPr>
            <w:r>
              <w:rPr>
                <w:rFonts w:ascii="Arial" w:hAnsi="Arial"/>
                <w:sz w:val="17"/>
              </w:rPr>
              <w:t>2001 (Cth).</w:t>
            </w:r>
          </w:p>
        </w:tc>
        <w:tc>
          <w:tcPr>
            <w:tcW w:w="60" w:type="dxa"/>
            <w:tcBorders/>
          </w:tcPr>
          <w:p>
            <w:pPr>
              <w:pStyle w:val="TableContents"/>
              <w:bidi w:val="0"/>
              <w:spacing w:before="0" w:after="0"/>
              <w:ind w:left="0" w:right="0" w:hanging="0"/>
              <w:jc w:val="left"/>
              <w:rPr/>
            </w:pPr>
            <w:r>
              <w:rPr/>
              <w:t> </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1"/>
                          <a:stretch>
                            <a:fillRect/>
                          </a:stretch>
                        </pic:blipFill>
                        <pic:spPr bwMode="auto">
                          <a:xfrm>
                            <a:off x="0" y="0"/>
                            <a:ext cx="76200" cy="114300"/>
                          </a:xfrm>
                          <a:prstGeom prst="rect">
                            <a:avLst/>
                          </a:prstGeom>
                        </pic:spPr>
                      </pic:pic>
                    </a:graphicData>
                  </a:graphic>
                </wp:inline>
              </w:drawing>
            </w:r>
            <w:r>
              <w:rPr>
                <w:rFonts w:ascii="Arial" w:hAnsi="Arial"/>
                <w:b/>
                <w:i/>
                <w:sz w:val="17"/>
              </w:rPr>
              <w:t>Tick if signatory signing electronically.</w:t>
            </w:r>
          </w:p>
          <w:p>
            <w:pPr>
              <w:pStyle w:val="TableContents"/>
              <w:bidi w:val="0"/>
              <w:spacing w:before="0" w:after="0"/>
              <w:ind w:left="0" w:right="0" w:hanging="0"/>
              <w:jc w:val="left"/>
              <w:rPr>
                <w:rFonts w:ascii="Arial" w:hAnsi="Arial"/>
                <w:sz w:val="17"/>
              </w:rPr>
            </w:pPr>
            <w:r>
              <w:rPr>
                <w:rFonts w:ascii="Arial" w:hAnsi="Arial"/>
                <w:sz w:val="17"/>
              </w:rPr>
              <w:t xml:space="preserve">By ticking this box, the signatory warrants that </w:t>
            </w:r>
          </w:p>
          <w:p>
            <w:pPr>
              <w:pStyle w:val="TableContents"/>
              <w:bidi w:val="0"/>
              <w:spacing w:before="0" w:after="0"/>
              <w:ind w:left="0" w:right="0" w:hanging="0"/>
              <w:jc w:val="left"/>
              <w:rPr>
                <w:rFonts w:ascii="Arial" w:hAnsi="Arial"/>
                <w:sz w:val="17"/>
              </w:rPr>
            </w:pPr>
            <w:r>
              <w:rPr>
                <w:rFonts w:ascii="Arial" w:hAnsi="Arial"/>
                <w:sz w:val="17"/>
              </w:rPr>
              <w:t xml:space="preserve">they are signing this document in accordance </w:t>
            </w:r>
          </w:p>
          <w:p>
            <w:pPr>
              <w:pStyle w:val="TableContents"/>
              <w:bidi w:val="0"/>
              <w:spacing w:before="0" w:after="0"/>
              <w:ind w:left="0" w:right="0" w:hanging="0"/>
              <w:jc w:val="left"/>
              <w:rPr>
                <w:rFonts w:ascii="Arial" w:hAnsi="Arial"/>
                <w:sz w:val="17"/>
              </w:rPr>
            </w:pPr>
            <w:r>
              <w:rPr>
                <w:rFonts w:ascii="Arial" w:hAnsi="Arial"/>
                <w:sz w:val="17"/>
              </w:rPr>
              <w:t xml:space="preserve">with section 110A(2) of the Corporations Act </w:t>
            </w:r>
          </w:p>
          <w:p>
            <w:pPr>
              <w:pStyle w:val="TableContents"/>
              <w:bidi w:val="0"/>
              <w:spacing w:before="0" w:after="0"/>
              <w:ind w:left="0" w:right="0" w:hanging="0"/>
              <w:jc w:val="left"/>
              <w:rPr>
                <w:rFonts w:ascii="Arial" w:hAnsi="Arial"/>
                <w:sz w:val="17"/>
              </w:rPr>
            </w:pPr>
            <w:r>
              <w:rPr>
                <w:rFonts w:ascii="Arial" w:hAnsi="Arial"/>
                <w:sz w:val="17"/>
              </w:rPr>
              <w:t>2001 (Cth).</w:t>
            </w:r>
          </w:p>
        </w:tc>
        <w:tc>
          <w:tcPr>
            <w:tcW w:w="75" w:type="dxa"/>
            <w:tcBorders/>
          </w:tcPr>
          <w:p>
            <w:pPr>
              <w:pStyle w:val="TableContents"/>
              <w:bidi w:val="0"/>
              <w:spacing w:before="0" w:after="0"/>
              <w:ind w:left="0" w:right="0" w:hanging="0"/>
              <w:jc w:val="left"/>
              <w:rPr/>
            </w:pPr>
            <w:r>
              <w:rPr/>
              <w:t> </w:t>
            </w:r>
          </w:p>
        </w:tc>
      </w:tr>
    </w:tbl>
    <w:p>
      <w:pPr>
        <w:pStyle w:val="TextBody"/>
        <w:bidi w:val="0"/>
        <w:spacing w:lineRule="auto" w:line="300" w:before="0" w:after="0"/>
        <w:ind w:left="360" w:right="360" w:hanging="0"/>
        <w:jc w:val="left"/>
        <w:rPr>
          <w:rFonts w:cs="Arial"/>
          <w:szCs w:val="16"/>
        </w:rPr>
      </w:pPr>
      <w:r>
        <w:rPr>
          <w:rFonts w:cs="Arial"/>
          <w:iCs/>
          <w:szCs w:val="17"/>
        </w:rPr>
        <w:t>﻿</w:t>
      </w:r>
      <w:r>
        <w:rPr>
          <w:rFonts w:cs="Arial"/>
          <w:szCs w:val="16"/>
        </w:rPr>
        <w:t xml:space="preserve"> </w:t>
      </w:r>
    </w:p>
    <w:p>
      <w:pPr>
        <w:pStyle w:val="TextBody"/>
        <w:bidi w:val="0"/>
        <w:spacing w:lineRule="auto" w:line="300" w:before="0" w:after="0"/>
        <w:ind w:left="360" w:right="360" w:hanging="0"/>
        <w:jc w:val="left"/>
        <w:rPr>
          <w:rFonts w:cs="Arial"/>
          <w:szCs w:val="16"/>
        </w:rPr>
      </w:pPr>
      <w:r>
        <w:rPr>
          <w:rFonts w:cs="Arial"/>
          <w:iCs/>
          <w:szCs w:val="17"/>
        </w:rPr>
        <w:t>﻿</w:t>
      </w:r>
      <w:r>
        <w:rPr>
          <w:rFonts w:cs="Arial"/>
          <w:szCs w:val="16"/>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8</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2"/>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3"/>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0" w:after="0"/>
        <w:ind w:left="360" w:right="360" w:hanging="0"/>
        <w:jc w:val="left"/>
        <w:rPr>
          <w:rFonts w:cs="Arial"/>
          <w:szCs w:val="20"/>
        </w:rPr>
      </w:pPr>
      <w:r>
        <w:rPr>
          <w:rFonts w:cs="Arial"/>
          <w:iCs/>
          <w:szCs w:val="20"/>
        </w:rPr>
        <w:t>﻿</w:t>
      </w:r>
      <w:r>
        <w:rPr>
          <w:rFonts w:cs="Arial"/>
          <w:szCs w:val="20"/>
        </w:rPr>
        <w:t xml:space="preserve"> </w:t>
      </w:r>
    </w:p>
    <w:tbl>
      <w:tblPr>
        <w:tblW w:w="3468" w:type="dxa"/>
        <w:jc w:val="center"/>
        <w:tblInd w:w="0" w:type="dxa"/>
        <w:tblLayout w:type="fixed"/>
        <w:tblCellMar>
          <w:top w:w="0" w:type="dxa"/>
          <w:left w:w="0" w:type="dxa"/>
          <w:bottom w:w="0" w:type="dxa"/>
          <w:right w:w="0" w:type="dxa"/>
        </w:tblCellMar>
      </w:tblPr>
      <w:tblGrid>
        <w:gridCol w:w="38"/>
        <w:gridCol w:w="3275"/>
        <w:gridCol w:w="80"/>
        <w:gridCol w:w="75"/>
      </w:tblGrid>
      <w:tr>
        <w:trPr/>
        <w:tc>
          <w:tcPr>
            <w:tcW w:w="38" w:type="dxa"/>
            <w:tcBorders/>
          </w:tcPr>
          <w:p>
            <w:pPr>
              <w:pStyle w:val="TableContents"/>
              <w:bidi w:val="0"/>
              <w:spacing w:before="0" w:after="0"/>
              <w:ind w:left="0" w:right="0" w:hanging="0"/>
              <w:jc w:val="left"/>
              <w:rPr>
                <w:rFonts w:cs="Arial"/>
                <w:szCs w:val="2"/>
              </w:rPr>
            </w:pPr>
            <w:r>
              <w:rPr>
                <w:rFonts w:cs="Arial"/>
                <w:szCs w:val="2"/>
              </w:rPr>
              <w:t>﻿</w:t>
            </w:r>
          </w:p>
        </w:tc>
        <w:tc>
          <w:tcPr>
            <w:tcW w:w="3275" w:type="dxa"/>
            <w:tcBorders/>
          </w:tcPr>
          <w:p>
            <w:pPr>
              <w:pStyle w:val="TableContents"/>
              <w:bidi w:val="0"/>
              <w:spacing w:before="0" w:after="0"/>
              <w:ind w:left="0" w:right="0" w:hanging="0"/>
              <w:jc w:val="left"/>
              <w:rPr/>
            </w:pPr>
            <w:r>
              <w:rPr/>
              <w:t> </w:t>
            </w:r>
          </w:p>
        </w:tc>
        <w:tc>
          <w:tcPr>
            <w:tcW w:w="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b/>
                <w:sz w:val="18"/>
              </w:rPr>
              <w:t xml:space="preserve">Executed </w:t>
            </w:r>
            <w:r>
              <w:rPr>
                <w:rFonts w:ascii="Arial" w:hAnsi="Arial"/>
                <w:sz w:val="18"/>
              </w:rPr>
              <w:t>by</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Elizabeth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114 582 099</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Exhibition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103 529 782</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Licences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089 544 605</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Maitland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126 697 461</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Melton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109 074 517</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Properties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071 195 429</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Properties Indooroopilly Pty</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b/>
                <w:sz w:val="18"/>
              </w:rPr>
              <w:t xml:space="preserve">Ltd </w:t>
            </w:r>
            <w:r>
              <w:rPr>
                <w:rFonts w:ascii="Arial" w:hAnsi="Arial"/>
                <w:sz w:val="18"/>
              </w:rPr>
              <w:t>ACN 121 284 884</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Noosa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128 819 483</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Property Holdings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126 289 772</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Rouse Hill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123 245 885</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Sunbury Pty Limited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109 074 571</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Rhodes Peninsula Cinema Pty Limited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120 827 812</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Westlakes Cinema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108 531 308</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Busselton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143 633 096</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Cannon Park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609 837 569</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Angelika Anywhere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642 993 593</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Jindalee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629 483 914</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b/>
                <w:sz w:val="18"/>
              </w:rPr>
            </w:pPr>
            <w:r>
              <w:rPr>
                <w:rFonts w:ascii="Arial" w:hAnsi="Arial"/>
                <w:b/>
                <w:sz w:val="18"/>
              </w:rPr>
              <w:t>Reading Devonport Pty Ltd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275" w:type="dxa"/>
            <w:tcBorders/>
          </w:tcPr>
          <w:p>
            <w:pPr>
              <w:pStyle w:val="TableContents"/>
              <w:bidi w:val="0"/>
              <w:spacing w:before="0" w:after="0"/>
              <w:ind w:left="0" w:right="0" w:hanging="0"/>
              <w:jc w:val="left"/>
              <w:rPr>
                <w:rFonts w:ascii="Arial" w:hAnsi="Arial"/>
                <w:sz w:val="18"/>
              </w:rPr>
            </w:pPr>
            <w:r>
              <w:rPr>
                <w:rFonts w:ascii="Arial" w:hAnsi="Arial"/>
                <w:sz w:val="18"/>
              </w:rPr>
              <w:t>ACN 629 484 126</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80"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360" w:right="360" w:hanging="0"/>
        <w:jc w:val="left"/>
        <w:rPr/>
      </w:pPr>
      <w:r>
        <w:rPr/>
        <w:t xml:space="preserve">   </w:t>
      </w:r>
    </w:p>
    <w:tbl>
      <w:tblPr>
        <w:tblW w:w="7023" w:type="dxa"/>
        <w:jc w:val="left"/>
        <w:tblInd w:w="360" w:type="dxa"/>
        <w:tblLayout w:type="fixed"/>
        <w:tblCellMar>
          <w:top w:w="0" w:type="dxa"/>
          <w:left w:w="0" w:type="dxa"/>
          <w:bottom w:w="0" w:type="dxa"/>
          <w:right w:w="0" w:type="dxa"/>
        </w:tblCellMar>
      </w:tblPr>
      <w:tblGrid>
        <w:gridCol w:w="38"/>
        <w:gridCol w:w="3425"/>
        <w:gridCol w:w="60"/>
        <w:gridCol w:w="3425"/>
        <w:gridCol w:w="75"/>
      </w:tblGrid>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Ellen Cotter</w:t>
            </w:r>
          </w:p>
        </w:tc>
        <w:tc>
          <w:tcPr>
            <w:tcW w:w="60" w:type="dxa"/>
            <w:tcBorders/>
          </w:tcPr>
          <w:p>
            <w:pPr>
              <w:pStyle w:val="TableContents"/>
              <w:bidi w:val="0"/>
              <w:spacing w:before="0" w:after="0"/>
              <w:ind w:left="720" w:right="0" w:hanging="0"/>
              <w:jc w:val="left"/>
              <w:rPr/>
            </w:pPr>
            <w:r>
              <w:rPr/>
              <w:t> </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Wayne Douglas Smith</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 xml:space="preserve">Ellen Cotter </w:t>
            </w:r>
          </w:p>
          <w:p>
            <w:pPr>
              <w:pStyle w:val="TableContents"/>
              <w:bidi w:val="0"/>
              <w:spacing w:before="0" w:after="0"/>
              <w:ind w:left="0" w:right="0" w:hanging="0"/>
              <w:jc w:val="left"/>
              <w:rPr>
                <w:rFonts w:ascii="Arial" w:hAnsi="Arial"/>
                <w:sz w:val="18"/>
              </w:rPr>
            </w:pPr>
            <w:r>
              <w:rPr>
                <w:rFonts w:ascii="Arial" w:hAnsi="Arial"/>
                <w:sz w:val="18"/>
              </w:rPr>
              <w:t>Director/Company Secretary</w:t>
            </w:r>
          </w:p>
        </w:tc>
        <w:tc>
          <w:tcPr>
            <w:tcW w:w="60" w:type="dxa"/>
            <w:tcBorders/>
          </w:tcPr>
          <w:p>
            <w:pPr>
              <w:pStyle w:val="TableContents"/>
              <w:bidi w:val="0"/>
              <w:spacing w:before="0" w:after="0"/>
              <w:ind w:left="0" w:right="0" w:hanging="0"/>
              <w:jc w:val="left"/>
              <w:rPr/>
            </w:pPr>
            <w:r>
              <w:rPr/>
              <w:t> </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Wayne Douglas Smith</w:t>
            </w:r>
          </w:p>
          <w:p>
            <w:pPr>
              <w:pStyle w:val="TableContents"/>
              <w:bidi w:val="0"/>
              <w:spacing w:before="0" w:after="0"/>
              <w:ind w:left="0" w:right="0" w:hanging="0"/>
              <w:jc w:val="left"/>
              <w:rPr>
                <w:rFonts w:ascii="Arial" w:hAnsi="Arial"/>
                <w:sz w:val="18"/>
              </w:rPr>
            </w:pPr>
            <w:r>
              <w:rPr>
                <w:rFonts w:ascii="Arial" w:hAnsi="Arial"/>
                <w:sz w:val="18"/>
              </w:rPr>
              <w:t>Director</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bCs/>
                <w:szCs w:val="17"/>
              </w:rPr>
            </w:pPr>
            <w:r>
              <w:rPr>
                <w:rFonts w:cs="Arial"/>
                <w:bCs/>
                <w:szCs w:val="17"/>
              </w:rPr>
              <w:t>﻿</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4"/>
                          <a:stretch>
                            <a:fillRect/>
                          </a:stretch>
                        </pic:blipFill>
                        <pic:spPr bwMode="auto">
                          <a:xfrm>
                            <a:off x="0" y="0"/>
                            <a:ext cx="76200" cy="114300"/>
                          </a:xfrm>
                          <a:prstGeom prst="rect">
                            <a:avLst/>
                          </a:prstGeom>
                        </pic:spPr>
                      </pic:pic>
                    </a:graphicData>
                  </a:graphic>
                </wp:inline>
              </w:drawing>
            </w:r>
            <w:r>
              <w:rPr/>
              <w:t xml:space="preserve">  </w:t>
            </w:r>
            <w:r>
              <w:rPr>
                <w:rFonts w:ascii="Arial" w:hAnsi="Arial"/>
                <w:b/>
                <w:i/>
                <w:sz w:val="17"/>
              </w:rPr>
              <w:t xml:space="preserve">Tick if signatory signing electronically. </w:t>
            </w:r>
          </w:p>
          <w:p>
            <w:pPr>
              <w:pStyle w:val="TableContents"/>
              <w:bidi w:val="0"/>
              <w:spacing w:before="0" w:after="0"/>
              <w:ind w:left="0" w:right="0" w:hanging="0"/>
              <w:jc w:val="left"/>
              <w:rPr>
                <w:rFonts w:ascii="Arial" w:hAnsi="Arial"/>
                <w:sz w:val="17"/>
              </w:rPr>
            </w:pPr>
            <w:r>
              <w:rPr>
                <w:rFonts w:ascii="Arial" w:hAnsi="Arial"/>
                <w:sz w:val="17"/>
              </w:rPr>
              <w:t xml:space="preserve">By ticking this box, the signatory warrants that </w:t>
            </w:r>
          </w:p>
          <w:p>
            <w:pPr>
              <w:pStyle w:val="TableContents"/>
              <w:bidi w:val="0"/>
              <w:spacing w:before="0" w:after="0"/>
              <w:ind w:left="0" w:right="0" w:hanging="0"/>
              <w:jc w:val="left"/>
              <w:rPr>
                <w:rFonts w:ascii="Arial" w:hAnsi="Arial"/>
                <w:sz w:val="17"/>
              </w:rPr>
            </w:pPr>
            <w:r>
              <w:rPr>
                <w:rFonts w:ascii="Arial" w:hAnsi="Arial"/>
                <w:sz w:val="17"/>
              </w:rPr>
              <w:t>they are signing this document in accordance</w:t>
            </w:r>
          </w:p>
          <w:p>
            <w:pPr>
              <w:pStyle w:val="TableContents"/>
              <w:bidi w:val="0"/>
              <w:spacing w:before="0" w:after="0"/>
              <w:ind w:left="0" w:right="0" w:hanging="0"/>
              <w:jc w:val="left"/>
              <w:rPr>
                <w:rFonts w:ascii="Arial" w:hAnsi="Arial"/>
                <w:sz w:val="17"/>
              </w:rPr>
            </w:pPr>
            <w:r>
              <w:rPr>
                <w:rFonts w:ascii="Arial" w:hAnsi="Arial"/>
                <w:sz w:val="17"/>
              </w:rPr>
              <w:t xml:space="preserve">with section 110A(2) of the Corporations Act </w:t>
            </w:r>
          </w:p>
          <w:p>
            <w:pPr>
              <w:pStyle w:val="TableContents"/>
              <w:bidi w:val="0"/>
              <w:spacing w:before="0" w:after="0"/>
              <w:ind w:left="0" w:right="0" w:hanging="0"/>
              <w:jc w:val="left"/>
              <w:rPr>
                <w:rFonts w:ascii="Arial" w:hAnsi="Arial"/>
                <w:sz w:val="17"/>
              </w:rPr>
            </w:pPr>
            <w:r>
              <w:rPr>
                <w:rFonts w:ascii="Arial" w:hAnsi="Arial"/>
                <w:sz w:val="17"/>
              </w:rPr>
              <w:t>2001 (Cth).</w:t>
            </w:r>
          </w:p>
        </w:tc>
        <w:tc>
          <w:tcPr>
            <w:tcW w:w="60" w:type="dxa"/>
            <w:tcBorders/>
          </w:tcPr>
          <w:p>
            <w:pPr>
              <w:pStyle w:val="TableContents"/>
              <w:bidi w:val="0"/>
              <w:spacing w:before="0" w:after="0"/>
              <w:ind w:left="0" w:right="0" w:hanging="0"/>
              <w:jc w:val="left"/>
              <w:rPr/>
            </w:pPr>
            <w:r>
              <w:rPr/>
              <w:t> </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5"/>
                          <a:stretch>
                            <a:fillRect/>
                          </a:stretch>
                        </pic:blipFill>
                        <pic:spPr bwMode="auto">
                          <a:xfrm>
                            <a:off x="0" y="0"/>
                            <a:ext cx="76200" cy="114300"/>
                          </a:xfrm>
                          <a:prstGeom prst="rect">
                            <a:avLst/>
                          </a:prstGeom>
                        </pic:spPr>
                      </pic:pic>
                    </a:graphicData>
                  </a:graphic>
                </wp:inline>
              </w:drawing>
            </w:r>
            <w:r>
              <w:rPr>
                <w:rFonts w:ascii="Arial" w:hAnsi="Arial"/>
                <w:b/>
                <w:i/>
                <w:sz w:val="17"/>
              </w:rPr>
              <w:t>Tick if signatory signing electronically.</w:t>
            </w:r>
          </w:p>
          <w:p>
            <w:pPr>
              <w:pStyle w:val="TableContents"/>
              <w:bidi w:val="0"/>
              <w:spacing w:before="0" w:after="0"/>
              <w:ind w:left="0" w:right="0" w:hanging="0"/>
              <w:jc w:val="left"/>
              <w:rPr>
                <w:rFonts w:ascii="Arial" w:hAnsi="Arial"/>
                <w:sz w:val="17"/>
              </w:rPr>
            </w:pPr>
            <w:r>
              <w:rPr>
                <w:rFonts w:ascii="Arial" w:hAnsi="Arial"/>
                <w:sz w:val="17"/>
              </w:rPr>
              <w:t xml:space="preserve">By ticking this box, the signatory warrants that </w:t>
            </w:r>
          </w:p>
          <w:p>
            <w:pPr>
              <w:pStyle w:val="TableContents"/>
              <w:bidi w:val="0"/>
              <w:spacing w:before="0" w:after="0"/>
              <w:ind w:left="0" w:right="0" w:hanging="0"/>
              <w:jc w:val="left"/>
              <w:rPr>
                <w:rFonts w:ascii="Arial" w:hAnsi="Arial"/>
                <w:sz w:val="17"/>
              </w:rPr>
            </w:pPr>
            <w:r>
              <w:rPr>
                <w:rFonts w:ascii="Arial" w:hAnsi="Arial"/>
                <w:sz w:val="17"/>
              </w:rPr>
              <w:t xml:space="preserve">they are signing this document in accordance </w:t>
            </w:r>
          </w:p>
          <w:p>
            <w:pPr>
              <w:pStyle w:val="TableContents"/>
              <w:bidi w:val="0"/>
              <w:spacing w:before="0" w:after="0"/>
              <w:ind w:left="0" w:right="0" w:hanging="0"/>
              <w:jc w:val="left"/>
              <w:rPr>
                <w:rFonts w:ascii="Arial" w:hAnsi="Arial"/>
                <w:sz w:val="17"/>
              </w:rPr>
            </w:pPr>
            <w:r>
              <w:rPr>
                <w:rFonts w:ascii="Arial" w:hAnsi="Arial"/>
                <w:sz w:val="17"/>
              </w:rPr>
              <w:t xml:space="preserve">with section 110A(2) of the Corporations Act </w:t>
            </w:r>
          </w:p>
          <w:p>
            <w:pPr>
              <w:pStyle w:val="TableContents"/>
              <w:bidi w:val="0"/>
              <w:spacing w:before="0" w:after="0"/>
              <w:ind w:left="0" w:right="0" w:hanging="0"/>
              <w:jc w:val="left"/>
              <w:rPr>
                <w:rFonts w:ascii="Arial" w:hAnsi="Arial"/>
                <w:sz w:val="17"/>
              </w:rPr>
            </w:pPr>
            <w:r>
              <w:rPr>
                <w:rFonts w:ascii="Arial" w:hAnsi="Arial"/>
                <w:sz w:val="17"/>
              </w:rPr>
              <w:t>2001 (Cth).</w:t>
            </w:r>
          </w:p>
        </w:tc>
        <w:tc>
          <w:tcPr>
            <w:tcW w:w="75" w:type="dxa"/>
            <w:tcBorders/>
          </w:tcPr>
          <w:p>
            <w:pPr>
              <w:pStyle w:val="TableContents"/>
              <w:bidi w:val="0"/>
              <w:spacing w:before="0" w:after="0"/>
              <w:ind w:left="0" w:right="0" w:hanging="0"/>
              <w:jc w:val="left"/>
              <w:rPr/>
            </w:pPr>
            <w:r>
              <w:rPr/>
              <w:t> </w:t>
            </w:r>
          </w:p>
        </w:tc>
      </w:tr>
    </w:tbl>
    <w:p>
      <w:pPr>
        <w:pStyle w:val="TextBody"/>
        <w:pBdr/>
        <w:bidi w:val="0"/>
        <w:spacing w:before="0"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9</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6"/>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7"/>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iCs/>
          <w:szCs w:val="20"/>
        </w:rPr>
        <w:t>﻿</w:t>
      </w:r>
      <w:r>
        <w:rPr>
          <w:rFonts w:cs="Arial"/>
          <w:szCs w:val="20"/>
        </w:rPr>
        <w:t xml:space="preserve"> </w:t>
      </w:r>
    </w:p>
    <w:tbl>
      <w:tblPr>
        <w:tblW w:w="3133" w:type="dxa"/>
        <w:jc w:val="center"/>
        <w:tblInd w:w="0" w:type="dxa"/>
        <w:tblLayout w:type="fixed"/>
        <w:tblCellMar>
          <w:top w:w="0" w:type="dxa"/>
          <w:left w:w="0" w:type="dxa"/>
          <w:bottom w:w="0" w:type="dxa"/>
          <w:right w:w="0" w:type="dxa"/>
        </w:tblCellMar>
      </w:tblPr>
      <w:tblGrid>
        <w:gridCol w:w="38"/>
        <w:gridCol w:w="2960"/>
        <w:gridCol w:w="60"/>
        <w:gridCol w:w="75"/>
      </w:tblGrid>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b/>
                <w:sz w:val="18"/>
              </w:rPr>
            </w:pPr>
            <w:r>
              <w:rPr>
                <w:rFonts w:ascii="Arial" w:hAnsi="Arial"/>
                <w:b/>
                <w:sz w:val="18"/>
              </w:rPr>
              <w:t>Executed by</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b/>
                <w:sz w:val="18"/>
              </w:rPr>
            </w:pPr>
            <w:r>
              <w:rPr>
                <w:rFonts w:ascii="Arial" w:hAnsi="Arial"/>
                <w:b/>
                <w:sz w:val="18"/>
              </w:rPr>
              <w:t>Reading Altona Pty Ltd</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sz w:val="18"/>
              </w:rPr>
            </w:pPr>
            <w:r>
              <w:rPr>
                <w:rFonts w:ascii="Arial" w:hAnsi="Arial"/>
                <w:sz w:val="18"/>
              </w:rPr>
              <w:t>ACN 634 384 311</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b/>
                <w:sz w:val="18"/>
              </w:rPr>
            </w:pPr>
            <w:r>
              <w:rPr>
                <w:rFonts w:ascii="Arial" w:hAnsi="Arial"/>
                <w:b/>
                <w:sz w:val="18"/>
              </w:rPr>
              <w:t>Reading South City Square Pty Ltd</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sz w:val="18"/>
              </w:rPr>
            </w:pPr>
            <w:r>
              <w:rPr>
                <w:rFonts w:ascii="Arial" w:hAnsi="Arial"/>
                <w:sz w:val="18"/>
              </w:rPr>
              <w:t>ACN 616 892 936</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b/>
                <w:sz w:val="18"/>
              </w:rPr>
            </w:pPr>
            <w:r>
              <w:rPr>
                <w:rFonts w:ascii="Arial" w:hAnsi="Arial"/>
                <w:b/>
                <w:sz w:val="18"/>
              </w:rPr>
              <w:t>Reading Traralgon Pty Ltd</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sz w:val="18"/>
              </w:rPr>
            </w:pPr>
            <w:r>
              <w:rPr>
                <w:rFonts w:ascii="Arial" w:hAnsi="Arial"/>
                <w:sz w:val="18"/>
              </w:rPr>
              <w:t>ACN 618 457 202</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b/>
                <w:sz w:val="18"/>
              </w:rPr>
            </w:pPr>
            <w:r>
              <w:rPr>
                <w:rFonts w:ascii="Arial" w:hAnsi="Arial"/>
                <w:b/>
                <w:sz w:val="18"/>
              </w:rPr>
              <w:t>Reading Burwood Pty Ltd</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sz w:val="18"/>
              </w:rPr>
            </w:pPr>
            <w:r>
              <w:rPr>
                <w:rFonts w:ascii="Arial" w:hAnsi="Arial"/>
                <w:sz w:val="18"/>
              </w:rPr>
              <w:t>ACN 619 050 396</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b/>
                <w:sz w:val="18"/>
              </w:rPr>
            </w:pPr>
            <w:r>
              <w:rPr>
                <w:rFonts w:ascii="Arial" w:hAnsi="Arial"/>
                <w:b/>
                <w:sz w:val="18"/>
              </w:rPr>
              <w:t>Reading Cinemas Auburn Pty Ltd</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sz w:val="18"/>
              </w:rPr>
            </w:pPr>
            <w:r>
              <w:rPr>
                <w:rFonts w:ascii="Arial" w:hAnsi="Arial"/>
                <w:sz w:val="18"/>
              </w:rPr>
              <w:t>ACN 633 008 401</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b/>
                <w:sz w:val="18"/>
              </w:rPr>
            </w:pPr>
            <w:r>
              <w:rPr>
                <w:rFonts w:ascii="Arial" w:hAnsi="Arial"/>
                <w:b/>
                <w:sz w:val="18"/>
              </w:rPr>
              <w:t>Reading Auburn Pty Ltd</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2960" w:type="dxa"/>
            <w:tcBorders/>
          </w:tcPr>
          <w:p>
            <w:pPr>
              <w:pStyle w:val="TableContents"/>
              <w:bidi w:val="0"/>
              <w:spacing w:before="0" w:after="0"/>
              <w:ind w:left="0" w:right="0" w:hanging="0"/>
              <w:jc w:val="left"/>
              <w:rPr>
                <w:rFonts w:ascii="Arial" w:hAnsi="Arial"/>
                <w:sz w:val="18"/>
              </w:rPr>
            </w:pPr>
            <w:r>
              <w:rPr>
                <w:rFonts w:ascii="Arial" w:hAnsi="Arial"/>
                <w:sz w:val="18"/>
              </w:rPr>
              <w:t>ACN 126 697 470</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bl>
    <w:p>
      <w:pPr>
        <w:pStyle w:val="TextBody"/>
        <w:pBdr/>
        <w:bidi w:val="0"/>
        <w:spacing w:before="0"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85"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360" w:right="360" w:hanging="0"/>
        <w:jc w:val="left"/>
        <w:rPr/>
      </w:pPr>
      <w:r>
        <w:rPr/>
        <w:t xml:space="preserve">    </w:t>
      </w:r>
    </w:p>
    <w:tbl>
      <w:tblPr>
        <w:tblW w:w="7023" w:type="dxa"/>
        <w:jc w:val="left"/>
        <w:tblInd w:w="360" w:type="dxa"/>
        <w:tblLayout w:type="fixed"/>
        <w:tblCellMar>
          <w:top w:w="0" w:type="dxa"/>
          <w:left w:w="0" w:type="dxa"/>
          <w:bottom w:w="0" w:type="dxa"/>
          <w:right w:w="0" w:type="dxa"/>
        </w:tblCellMar>
      </w:tblPr>
      <w:tblGrid>
        <w:gridCol w:w="38"/>
        <w:gridCol w:w="3425"/>
        <w:gridCol w:w="60"/>
        <w:gridCol w:w="3425"/>
        <w:gridCol w:w="75"/>
      </w:tblGrid>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Ellen Cotter</w:t>
            </w:r>
          </w:p>
        </w:tc>
        <w:tc>
          <w:tcPr>
            <w:tcW w:w="60" w:type="dxa"/>
            <w:tcBorders/>
          </w:tcPr>
          <w:p>
            <w:pPr>
              <w:pStyle w:val="TableContents"/>
              <w:bidi w:val="0"/>
              <w:spacing w:before="0" w:after="0"/>
              <w:ind w:left="720" w:right="0" w:hanging="0"/>
              <w:jc w:val="left"/>
              <w:rPr/>
            </w:pPr>
            <w:r>
              <w:rPr/>
              <w:t> </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Wayne Douglas Smith</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 xml:space="preserve">Ellen Cotter </w:t>
            </w:r>
          </w:p>
          <w:p>
            <w:pPr>
              <w:pStyle w:val="TableContents"/>
              <w:bidi w:val="0"/>
              <w:spacing w:before="0" w:after="0"/>
              <w:ind w:left="0" w:right="0" w:hanging="0"/>
              <w:jc w:val="left"/>
              <w:rPr>
                <w:rFonts w:ascii="Arial" w:hAnsi="Arial"/>
                <w:sz w:val="18"/>
              </w:rPr>
            </w:pPr>
            <w:r>
              <w:rPr>
                <w:rFonts w:ascii="Arial" w:hAnsi="Arial"/>
                <w:sz w:val="18"/>
              </w:rPr>
              <w:t>Director/Company Secretary</w:t>
            </w:r>
          </w:p>
        </w:tc>
        <w:tc>
          <w:tcPr>
            <w:tcW w:w="60" w:type="dxa"/>
            <w:tcBorders/>
          </w:tcPr>
          <w:p>
            <w:pPr>
              <w:pStyle w:val="TableContents"/>
              <w:bidi w:val="0"/>
              <w:spacing w:before="0" w:after="0"/>
              <w:ind w:left="0" w:right="0" w:hanging="0"/>
              <w:jc w:val="left"/>
              <w:rPr/>
            </w:pPr>
            <w:r>
              <w:rPr/>
              <w:t> </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Wayne Douglas Smith</w:t>
            </w:r>
          </w:p>
          <w:p>
            <w:pPr>
              <w:pStyle w:val="TableContents"/>
              <w:bidi w:val="0"/>
              <w:spacing w:before="0" w:after="0"/>
              <w:ind w:left="0" w:right="0" w:hanging="0"/>
              <w:jc w:val="left"/>
              <w:rPr>
                <w:rFonts w:ascii="Arial" w:hAnsi="Arial"/>
                <w:sz w:val="18"/>
              </w:rPr>
            </w:pPr>
            <w:r>
              <w:rPr>
                <w:rFonts w:ascii="Arial" w:hAnsi="Arial"/>
                <w:sz w:val="18"/>
              </w:rPr>
              <w:t>Director</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bCs/>
                <w:szCs w:val="17"/>
              </w:rPr>
            </w:pPr>
            <w:r>
              <w:rPr>
                <w:rFonts w:cs="Arial"/>
                <w:bCs/>
                <w:szCs w:val="17"/>
              </w:rPr>
              <w:t>﻿</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8"/>
                          <a:stretch>
                            <a:fillRect/>
                          </a:stretch>
                        </pic:blipFill>
                        <pic:spPr bwMode="auto">
                          <a:xfrm>
                            <a:off x="0" y="0"/>
                            <a:ext cx="76200" cy="114300"/>
                          </a:xfrm>
                          <a:prstGeom prst="rect">
                            <a:avLst/>
                          </a:prstGeom>
                        </pic:spPr>
                      </pic:pic>
                    </a:graphicData>
                  </a:graphic>
                </wp:inline>
              </w:drawing>
            </w:r>
            <w:r>
              <w:rPr/>
              <w:t xml:space="preserve">  </w:t>
            </w:r>
            <w:r>
              <w:rPr>
                <w:rFonts w:ascii="Arial" w:hAnsi="Arial"/>
                <w:b/>
                <w:i/>
                <w:sz w:val="17"/>
              </w:rPr>
              <w:t xml:space="preserve">Tick if signatory signing electronically. </w:t>
            </w:r>
          </w:p>
          <w:p>
            <w:pPr>
              <w:pStyle w:val="TableContents"/>
              <w:bidi w:val="0"/>
              <w:spacing w:before="0" w:after="0"/>
              <w:ind w:left="0" w:right="0" w:hanging="0"/>
              <w:jc w:val="left"/>
              <w:rPr>
                <w:rFonts w:ascii="Arial" w:hAnsi="Arial"/>
                <w:sz w:val="17"/>
              </w:rPr>
            </w:pPr>
            <w:r>
              <w:rPr>
                <w:rFonts w:ascii="Arial" w:hAnsi="Arial"/>
                <w:sz w:val="17"/>
              </w:rPr>
              <w:t xml:space="preserve">By ticking this box, the signatory warrants that </w:t>
            </w:r>
          </w:p>
          <w:p>
            <w:pPr>
              <w:pStyle w:val="TableContents"/>
              <w:bidi w:val="0"/>
              <w:spacing w:before="0" w:after="0"/>
              <w:ind w:left="0" w:right="0" w:hanging="0"/>
              <w:jc w:val="left"/>
              <w:rPr>
                <w:rFonts w:ascii="Arial" w:hAnsi="Arial"/>
                <w:sz w:val="17"/>
              </w:rPr>
            </w:pPr>
            <w:r>
              <w:rPr>
                <w:rFonts w:ascii="Arial" w:hAnsi="Arial"/>
                <w:sz w:val="17"/>
              </w:rPr>
              <w:t>they are signing this document in accordance</w:t>
            </w:r>
          </w:p>
          <w:p>
            <w:pPr>
              <w:pStyle w:val="TableContents"/>
              <w:bidi w:val="0"/>
              <w:spacing w:before="0" w:after="0"/>
              <w:ind w:left="0" w:right="0" w:hanging="0"/>
              <w:jc w:val="left"/>
              <w:rPr>
                <w:rFonts w:ascii="Arial" w:hAnsi="Arial"/>
                <w:sz w:val="17"/>
              </w:rPr>
            </w:pPr>
            <w:r>
              <w:rPr>
                <w:rFonts w:ascii="Arial" w:hAnsi="Arial"/>
                <w:sz w:val="17"/>
              </w:rPr>
              <w:t xml:space="preserve">with section 110A(2) of the Corporations Act </w:t>
            </w:r>
          </w:p>
          <w:p>
            <w:pPr>
              <w:pStyle w:val="TableContents"/>
              <w:bidi w:val="0"/>
              <w:spacing w:before="0" w:after="0"/>
              <w:ind w:left="0" w:right="0" w:hanging="0"/>
              <w:jc w:val="left"/>
              <w:rPr>
                <w:rFonts w:ascii="Arial" w:hAnsi="Arial"/>
                <w:sz w:val="17"/>
              </w:rPr>
            </w:pPr>
            <w:r>
              <w:rPr>
                <w:rFonts w:ascii="Arial" w:hAnsi="Arial"/>
                <w:sz w:val="17"/>
              </w:rPr>
              <w:t>2001 (Cth).</w:t>
            </w:r>
          </w:p>
        </w:tc>
        <w:tc>
          <w:tcPr>
            <w:tcW w:w="60" w:type="dxa"/>
            <w:tcBorders/>
          </w:tcPr>
          <w:p>
            <w:pPr>
              <w:pStyle w:val="TableContents"/>
              <w:bidi w:val="0"/>
              <w:spacing w:before="0" w:after="0"/>
              <w:ind w:left="0" w:right="0" w:hanging="0"/>
              <w:jc w:val="left"/>
              <w:rPr/>
            </w:pPr>
            <w:r>
              <w:rPr/>
              <w:t> </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9"/>
                          <a:stretch>
                            <a:fillRect/>
                          </a:stretch>
                        </pic:blipFill>
                        <pic:spPr bwMode="auto">
                          <a:xfrm>
                            <a:off x="0" y="0"/>
                            <a:ext cx="76200" cy="114300"/>
                          </a:xfrm>
                          <a:prstGeom prst="rect">
                            <a:avLst/>
                          </a:prstGeom>
                        </pic:spPr>
                      </pic:pic>
                    </a:graphicData>
                  </a:graphic>
                </wp:inline>
              </w:drawing>
            </w:r>
            <w:r>
              <w:rPr>
                <w:rFonts w:ascii="Arial" w:hAnsi="Arial"/>
                <w:b/>
                <w:i/>
                <w:sz w:val="17"/>
              </w:rPr>
              <w:t>Tick if signatory signing electronically.</w:t>
            </w:r>
          </w:p>
          <w:p>
            <w:pPr>
              <w:pStyle w:val="TableContents"/>
              <w:bidi w:val="0"/>
              <w:spacing w:before="0" w:after="0"/>
              <w:ind w:left="0" w:right="0" w:hanging="0"/>
              <w:jc w:val="left"/>
              <w:rPr>
                <w:rFonts w:ascii="Arial" w:hAnsi="Arial"/>
                <w:sz w:val="17"/>
              </w:rPr>
            </w:pPr>
            <w:r>
              <w:rPr>
                <w:rFonts w:ascii="Arial" w:hAnsi="Arial"/>
                <w:sz w:val="17"/>
              </w:rPr>
              <w:t xml:space="preserve">By ticking this box, the signatory warrants that </w:t>
            </w:r>
          </w:p>
          <w:p>
            <w:pPr>
              <w:pStyle w:val="TableContents"/>
              <w:bidi w:val="0"/>
              <w:spacing w:before="0" w:after="0"/>
              <w:ind w:left="0" w:right="0" w:hanging="0"/>
              <w:jc w:val="left"/>
              <w:rPr>
                <w:rFonts w:ascii="Arial" w:hAnsi="Arial"/>
                <w:sz w:val="17"/>
              </w:rPr>
            </w:pPr>
            <w:r>
              <w:rPr>
                <w:rFonts w:ascii="Arial" w:hAnsi="Arial"/>
                <w:sz w:val="17"/>
              </w:rPr>
              <w:t xml:space="preserve">they are signing this document in accordance </w:t>
            </w:r>
          </w:p>
          <w:p>
            <w:pPr>
              <w:pStyle w:val="TableContents"/>
              <w:bidi w:val="0"/>
              <w:spacing w:before="0" w:after="0"/>
              <w:ind w:left="0" w:right="0" w:hanging="0"/>
              <w:jc w:val="left"/>
              <w:rPr>
                <w:rFonts w:ascii="Arial" w:hAnsi="Arial"/>
                <w:sz w:val="17"/>
              </w:rPr>
            </w:pPr>
            <w:r>
              <w:rPr>
                <w:rFonts w:ascii="Arial" w:hAnsi="Arial"/>
                <w:sz w:val="17"/>
              </w:rPr>
              <w:t xml:space="preserve">with section 110A(2) of the Corporations Act </w:t>
            </w:r>
          </w:p>
          <w:p>
            <w:pPr>
              <w:pStyle w:val="TableContents"/>
              <w:bidi w:val="0"/>
              <w:spacing w:before="0" w:after="0"/>
              <w:ind w:left="0" w:right="0" w:hanging="0"/>
              <w:jc w:val="left"/>
              <w:rPr>
                <w:rFonts w:ascii="Arial" w:hAnsi="Arial"/>
                <w:sz w:val="17"/>
              </w:rPr>
            </w:pPr>
            <w:r>
              <w:rPr>
                <w:rFonts w:ascii="Arial" w:hAnsi="Arial"/>
                <w:sz w:val="17"/>
              </w:rPr>
              <w:t>2001 (Cth).</w:t>
            </w:r>
          </w:p>
        </w:tc>
        <w:tc>
          <w:tcPr>
            <w:tcW w:w="75" w:type="dxa"/>
            <w:tcBorders/>
          </w:tcPr>
          <w:p>
            <w:pPr>
              <w:pStyle w:val="TableContents"/>
              <w:bidi w:val="0"/>
              <w:spacing w:before="0" w:after="0"/>
              <w:ind w:left="0" w:right="0" w:hanging="0"/>
              <w:jc w:val="left"/>
              <w:rPr/>
            </w:pPr>
            <w:r>
              <w:rPr/>
              <w:t> </w:t>
            </w:r>
          </w:p>
        </w:tc>
      </w:tr>
    </w:tbl>
    <w:p>
      <w:pPr>
        <w:pStyle w:val="TextBody"/>
        <w:pBdr/>
        <w:bidi w:val="0"/>
        <w:spacing w:before="0"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202" w:after="0"/>
        <w:ind w:left="360" w:right="36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10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10</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30"/>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1"/>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tbl>
      <w:tblPr>
        <w:tblW w:w="3603" w:type="dxa"/>
        <w:jc w:val="center"/>
        <w:tblInd w:w="0" w:type="dxa"/>
        <w:tblLayout w:type="fixed"/>
        <w:tblCellMar>
          <w:top w:w="0" w:type="dxa"/>
          <w:left w:w="0" w:type="dxa"/>
          <w:bottom w:w="0" w:type="dxa"/>
          <w:right w:w="0" w:type="dxa"/>
        </w:tblCellMar>
      </w:tblPr>
      <w:tblGrid>
        <w:gridCol w:w="38"/>
        <w:gridCol w:w="3410"/>
        <w:gridCol w:w="80"/>
        <w:gridCol w:w="75"/>
      </w:tblGrid>
      <w:tr>
        <w:trPr/>
        <w:tc>
          <w:tcPr>
            <w:tcW w:w="38" w:type="dxa"/>
            <w:tcBorders/>
          </w:tcPr>
          <w:p>
            <w:pPr>
              <w:pStyle w:val="TableContents"/>
              <w:bidi w:val="0"/>
              <w:spacing w:before="0" w:after="0"/>
              <w:ind w:left="0" w:right="0" w:hanging="0"/>
              <w:jc w:val="left"/>
              <w:rPr>
                <w:rFonts w:cs="Arial"/>
                <w:szCs w:val="2"/>
              </w:rPr>
            </w:pPr>
            <w:r>
              <w:rPr>
                <w:rFonts w:cs="Arial"/>
                <w:szCs w:val="2"/>
              </w:rPr>
              <w:t>﻿</w:t>
            </w:r>
          </w:p>
        </w:tc>
        <w:tc>
          <w:tcPr>
            <w:tcW w:w="3410" w:type="dxa"/>
            <w:tcBorders/>
          </w:tcPr>
          <w:p>
            <w:pPr>
              <w:pStyle w:val="TableContents"/>
              <w:bidi w:val="0"/>
              <w:spacing w:before="0" w:after="0"/>
              <w:ind w:left="0" w:right="0" w:hanging="0"/>
              <w:jc w:val="left"/>
              <w:rPr/>
            </w:pPr>
            <w:r>
              <w:rPr/>
              <w:t> </w:t>
            </w:r>
          </w:p>
        </w:tc>
        <w:tc>
          <w:tcPr>
            <w:tcW w:w="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bookmarkStart w:id="132" w:name="_Hlk206059982"/>
            <w:bookmarkEnd w:id="132"/>
          </w:p>
        </w:tc>
        <w:tc>
          <w:tcPr>
            <w:tcW w:w="3410" w:type="dxa"/>
            <w:tcBorders/>
          </w:tcPr>
          <w:p>
            <w:pPr>
              <w:pStyle w:val="TableContents"/>
              <w:bidi w:val="0"/>
              <w:spacing w:before="0" w:after="0"/>
              <w:ind w:left="0" w:right="0" w:hanging="0"/>
              <w:jc w:val="left"/>
              <w:rPr>
                <w:rFonts w:ascii="Arial" w:hAnsi="Arial"/>
                <w:b/>
                <w:sz w:val="18"/>
              </w:rPr>
            </w:pPr>
            <w:r>
              <w:rPr>
                <w:rFonts w:ascii="Arial" w:hAnsi="Arial"/>
                <w:b/>
                <w:sz w:val="18"/>
              </w:rPr>
              <w:t>Executed by National Australia Bank</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10" w:type="dxa"/>
            <w:tcBorders/>
          </w:tcPr>
          <w:p>
            <w:pPr>
              <w:pStyle w:val="TableContents"/>
              <w:bidi w:val="0"/>
              <w:spacing w:before="0" w:after="0"/>
              <w:ind w:left="0" w:right="0" w:hanging="0"/>
              <w:jc w:val="left"/>
              <w:rPr>
                <w:rFonts w:ascii="Arial" w:hAnsi="Arial"/>
                <w:sz w:val="18"/>
              </w:rPr>
            </w:pPr>
            <w:r>
              <w:rPr>
                <w:rFonts w:ascii="Arial" w:hAnsi="Arial"/>
                <w:b/>
                <w:sz w:val="18"/>
              </w:rPr>
              <w:t xml:space="preserve">Limited </w:t>
            </w:r>
            <w:r>
              <w:rPr>
                <w:rFonts w:ascii="Arial" w:hAnsi="Arial"/>
                <w:sz w:val="18"/>
              </w:rPr>
              <w:t>ABN 12 004 044 937 by its</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10" w:type="dxa"/>
            <w:tcBorders/>
          </w:tcPr>
          <w:p>
            <w:pPr>
              <w:pStyle w:val="TableContents"/>
              <w:bidi w:val="0"/>
              <w:spacing w:before="0" w:after="0"/>
              <w:ind w:left="0" w:right="0" w:hanging="0"/>
              <w:jc w:val="left"/>
              <w:rPr>
                <w:rFonts w:ascii="Arial" w:hAnsi="Arial"/>
                <w:sz w:val="18"/>
              </w:rPr>
            </w:pPr>
            <w:r>
              <w:rPr>
                <w:rFonts w:ascii="Arial" w:hAnsi="Arial"/>
                <w:sz w:val="18"/>
              </w:rPr>
              <w:t>Attorney who holds the position of Level 2</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10" w:type="dxa"/>
            <w:tcBorders/>
          </w:tcPr>
          <w:p>
            <w:pPr>
              <w:pStyle w:val="TableContents"/>
              <w:bidi w:val="0"/>
              <w:spacing w:before="0" w:after="0"/>
              <w:ind w:left="0" w:right="0" w:hanging="0"/>
              <w:jc w:val="left"/>
              <w:rPr>
                <w:rFonts w:ascii="Arial" w:hAnsi="Arial"/>
                <w:sz w:val="18"/>
              </w:rPr>
            </w:pPr>
            <w:r>
              <w:rPr>
                <w:rFonts w:ascii="Arial" w:hAnsi="Arial"/>
                <w:sz w:val="18"/>
              </w:rPr>
              <w:t>Attorney under Power of Attorney dated</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10" w:type="dxa"/>
            <w:tcBorders/>
          </w:tcPr>
          <w:p>
            <w:pPr>
              <w:pStyle w:val="TableContents"/>
              <w:bidi w:val="0"/>
              <w:spacing w:before="0" w:after="0"/>
              <w:ind w:left="0" w:right="0" w:hanging="0"/>
              <w:jc w:val="left"/>
              <w:rPr>
                <w:rFonts w:ascii="Arial" w:hAnsi="Arial"/>
                <w:sz w:val="18"/>
              </w:rPr>
            </w:pPr>
            <w:r>
              <w:rPr>
                <w:rFonts w:ascii="Arial" w:hAnsi="Arial"/>
                <w:sz w:val="18"/>
              </w:rPr>
              <w:t>1/3/2007 in the presence of:</w:t>
            </w:r>
          </w:p>
        </w:tc>
        <w:tc>
          <w:tcPr>
            <w:tcW w:w="80" w:type="dxa"/>
            <w:tcBorders/>
          </w:tcPr>
          <w:p>
            <w:pPr>
              <w:pStyle w:val="TableContents"/>
              <w:bidi w:val="0"/>
              <w:spacing w:before="0" w:after="0"/>
              <w:ind w:left="0" w:right="0" w:hanging="0"/>
              <w:jc w:val="left"/>
              <w:rPr>
                <w:rFonts w:ascii="Arial" w:hAnsi="Arial"/>
                <w:sz w:val="18"/>
              </w:rPr>
            </w:pPr>
            <w:r>
              <w:rPr>
                <w:rFonts w:ascii="Arial" w:hAnsi="Arial"/>
                <w:sz w:val="18"/>
              </w:rPr>
              <w:t>)</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360" w:right="360" w:hanging="0"/>
        <w:jc w:val="left"/>
        <w:rPr>
          <w:rFonts w:cs="Arial"/>
          <w:szCs w:val="22"/>
        </w:rPr>
      </w:pPr>
      <w:r>
        <w:rPr>
          <w:rFonts w:cs="Arial"/>
          <w:szCs w:val="22"/>
        </w:rPr>
        <w:t xml:space="preserve">﻿ </w:t>
      </w:r>
    </w:p>
    <w:p>
      <w:pPr>
        <w:pStyle w:val="TextBody"/>
        <w:bidi w:val="0"/>
        <w:spacing w:before="0" w:after="0"/>
        <w:ind w:left="360" w:right="360" w:hanging="0"/>
        <w:jc w:val="left"/>
        <w:rPr/>
      </w:pPr>
      <w:r>
        <w:rPr/>
        <w:t xml:space="preserve">    </w:t>
      </w:r>
    </w:p>
    <w:tbl>
      <w:tblPr>
        <w:tblW w:w="9485" w:type="dxa"/>
        <w:jc w:val="left"/>
        <w:tblInd w:w="360" w:type="dxa"/>
        <w:tblLayout w:type="fixed"/>
        <w:tblCellMar>
          <w:top w:w="0" w:type="dxa"/>
          <w:left w:w="0" w:type="dxa"/>
          <w:bottom w:w="0" w:type="dxa"/>
          <w:right w:w="0" w:type="dxa"/>
        </w:tblCellMar>
      </w:tblPr>
      <w:tblGrid>
        <w:gridCol w:w="38"/>
        <w:gridCol w:w="5209"/>
        <w:gridCol w:w="60"/>
        <w:gridCol w:w="4102"/>
        <w:gridCol w:w="76"/>
      </w:tblGrid>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5209"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Joshua Manzo</w:t>
            </w:r>
          </w:p>
        </w:tc>
        <w:tc>
          <w:tcPr>
            <w:tcW w:w="60" w:type="dxa"/>
            <w:tcBorders/>
          </w:tcPr>
          <w:p>
            <w:pPr>
              <w:pStyle w:val="TableContents"/>
              <w:bidi w:val="0"/>
              <w:spacing w:before="0" w:after="0"/>
              <w:ind w:left="720" w:right="0" w:hanging="0"/>
              <w:jc w:val="left"/>
              <w:rPr/>
            </w:pPr>
            <w:r>
              <w:rPr/>
              <w:t> </w:t>
            </w:r>
          </w:p>
        </w:tc>
        <w:tc>
          <w:tcPr>
            <w:tcW w:w="4102"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Meagan Zwerwer</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5209"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Joshua Manzo</w:t>
            </w:r>
          </w:p>
          <w:p>
            <w:pPr>
              <w:pStyle w:val="TableContents"/>
              <w:bidi w:val="0"/>
              <w:spacing w:before="0" w:after="0"/>
              <w:ind w:left="0" w:right="0" w:hanging="0"/>
              <w:jc w:val="left"/>
              <w:rPr>
                <w:rFonts w:ascii="Arial" w:hAnsi="Arial"/>
                <w:sz w:val="18"/>
              </w:rPr>
            </w:pPr>
            <w:r>
              <w:rPr>
                <w:rFonts w:ascii="Arial" w:hAnsi="Arial"/>
                <w:sz w:val="18"/>
              </w:rPr>
              <w:t>Witness</w:t>
            </w:r>
          </w:p>
        </w:tc>
        <w:tc>
          <w:tcPr>
            <w:tcW w:w="60" w:type="dxa"/>
            <w:tcBorders/>
          </w:tcPr>
          <w:p>
            <w:pPr>
              <w:pStyle w:val="TableContents"/>
              <w:bidi w:val="0"/>
              <w:spacing w:before="0" w:after="0"/>
              <w:ind w:left="0" w:right="0" w:hanging="0"/>
              <w:jc w:val="left"/>
              <w:rPr/>
            </w:pPr>
            <w:r>
              <w:rPr/>
              <w:t> </w:t>
            </w:r>
          </w:p>
        </w:tc>
        <w:tc>
          <w:tcPr>
            <w:tcW w:w="4102"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Meagan Zwerwer</w:t>
            </w:r>
          </w:p>
          <w:p>
            <w:pPr>
              <w:pStyle w:val="TableContents"/>
              <w:bidi w:val="0"/>
              <w:spacing w:before="0" w:after="0"/>
              <w:ind w:left="0" w:right="0" w:hanging="0"/>
              <w:jc w:val="left"/>
              <w:rPr>
                <w:rFonts w:ascii="Arial" w:hAnsi="Arial"/>
                <w:sz w:val="18"/>
              </w:rPr>
            </w:pPr>
            <w:r>
              <w:rPr>
                <w:rFonts w:ascii="Arial" w:hAnsi="Arial"/>
                <w:sz w:val="18"/>
              </w:rPr>
              <w:t>Attoreny</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bCs/>
                <w:szCs w:val="17"/>
              </w:rPr>
            </w:pPr>
            <w:r>
              <w:rPr>
                <w:rFonts w:cs="Arial"/>
                <w:bCs/>
                <w:szCs w:val="17"/>
              </w:rPr>
              <w:t>﻿</w:t>
            </w:r>
          </w:p>
        </w:tc>
        <w:tc>
          <w:tcPr>
            <w:tcW w:w="5209" w:type="dxa"/>
            <w:tcBorders/>
          </w:tcPr>
          <w:p>
            <w:pPr>
              <w:pStyle w:val="TableContents"/>
              <w:bidi w:val="0"/>
              <w:spacing w:before="0" w:after="0"/>
              <w:ind w:left="0" w:right="0" w:hanging="0"/>
              <w:jc w:val="left"/>
              <w:rPr>
                <w:rFonts w:ascii="Arial" w:hAnsi="Arial"/>
                <w:b/>
                <w:i/>
                <w:sz w:val="17"/>
              </w:rPr>
            </w:pPr>
            <w:r>
              <w:rPr>
                <w:rFonts w:ascii="Arial" w:hAnsi="Arial"/>
                <w:b/>
                <w:i/>
                <w:sz w:val="17"/>
              </w:rPr>
              <w:t>The witness was physically present when the signatory signed the document</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 w:hAnsi="Arial"/>
                <w:sz w:val="17"/>
              </w:rPr>
            </w:pPr>
            <w:r>
              <w:rPr>
                <w:rFonts w:ascii="Arial" w:hAnsi="Arial"/>
                <w:sz w:val="17"/>
              </w:rPr>
              <w:t>OR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drawing>
                <wp:inline distT="0" distB="0" distL="0" distR="0">
                  <wp:extent cx="95250" cy="14287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2"/>
                          <a:stretch>
                            <a:fillRect/>
                          </a:stretch>
                        </pic:blipFill>
                        <pic:spPr bwMode="auto">
                          <a:xfrm>
                            <a:off x="0" y="0"/>
                            <a:ext cx="95250" cy="142875"/>
                          </a:xfrm>
                          <a:prstGeom prst="rect">
                            <a:avLst/>
                          </a:prstGeom>
                        </pic:spPr>
                      </pic:pic>
                    </a:graphicData>
                  </a:graphic>
                </wp:inline>
              </w:drawing>
            </w:r>
            <w:r>
              <w:rPr/>
              <w:t> </w:t>
            </w:r>
            <w:r>
              <w:rPr>
                <w:rFonts w:ascii="Arial" w:hAnsi="Arial"/>
                <w:b/>
                <w:i/>
                <w:sz w:val="17"/>
              </w:rPr>
              <w:t>The witness was not physically present when the signatory signed the</w:t>
            </w:r>
          </w:p>
          <w:p>
            <w:pPr>
              <w:pStyle w:val="TableContents"/>
              <w:bidi w:val="0"/>
              <w:spacing w:before="0" w:after="0"/>
              <w:ind w:left="0" w:right="0" w:hanging="0"/>
              <w:jc w:val="left"/>
              <w:rPr>
                <w:rFonts w:ascii="Arial" w:hAnsi="Arial"/>
                <w:sz w:val="16"/>
              </w:rPr>
            </w:pPr>
            <w:r>
              <w:rPr>
                <w:rFonts w:ascii="Arial" w:hAnsi="Arial"/>
                <w:b/>
                <w:i/>
                <w:sz w:val="17"/>
              </w:rPr>
              <w:t xml:space="preserve">document. </w:t>
            </w:r>
            <w:r>
              <w:rPr>
                <w:rFonts w:ascii="Arial" w:hAnsi="Arial"/>
                <w:i/>
                <w:sz w:val="17"/>
              </w:rPr>
              <w:t>By ticking this box, the signatory warrants that they observed the signatory signing the document by audio visual link in accordance with the Electronic Transactions (Victoria) Act 2000.</w:t>
            </w:r>
          </w:p>
        </w:tc>
        <w:tc>
          <w:tcPr>
            <w:tcW w:w="60" w:type="dxa"/>
            <w:tcBorders/>
          </w:tcPr>
          <w:p>
            <w:pPr>
              <w:pStyle w:val="TableContents"/>
              <w:bidi w:val="0"/>
              <w:spacing w:before="0" w:after="0"/>
              <w:ind w:left="0" w:right="0" w:hanging="0"/>
              <w:jc w:val="left"/>
              <w:rPr/>
            </w:pPr>
            <w:r>
              <w:rPr/>
              <w:t> </w:t>
            </w:r>
          </w:p>
        </w:tc>
        <w:tc>
          <w:tcPr>
            <w:tcW w:w="4102" w:type="dxa"/>
            <w:tcBorders/>
          </w:tcPr>
          <w:p>
            <w:pPr>
              <w:pStyle w:val="TableContents"/>
              <w:bidi w:val="0"/>
              <w:spacing w:before="0" w:after="0"/>
              <w:ind w:left="0" w:right="0" w:hanging="0"/>
              <w:jc w:val="left"/>
              <w:rPr>
                <w:rFonts w:ascii="Arial" w:hAnsi="Arial"/>
                <w:b/>
                <w:i/>
                <w:sz w:val="17"/>
              </w:rPr>
            </w:pPr>
            <w:r>
              <w:rPr>
                <w:rFonts w:ascii="Arial" w:hAnsi="Arial"/>
                <w:b/>
                <w:i/>
                <w:sz w:val="17"/>
              </w:rPr>
              <w:t xml:space="preserve">Tick if signatory signing electronically. </w:t>
            </w:r>
          </w:p>
          <w:p>
            <w:pPr>
              <w:pStyle w:val="TableContents"/>
              <w:bidi w:val="0"/>
              <w:spacing w:before="0" w:after="0"/>
              <w:ind w:left="0" w:right="0" w:hanging="0"/>
              <w:jc w:val="left"/>
              <w:rPr>
                <w:rFonts w:ascii="Arial" w:hAnsi="Arial"/>
                <w:i/>
                <w:sz w:val="17"/>
              </w:rPr>
            </w:pPr>
            <w:r>
              <w:rPr>
                <w:rFonts w:ascii="Arial" w:hAnsi="Arial"/>
                <w:i/>
                <w:sz w:val="17"/>
              </w:rPr>
              <w:t>By ticking this box, the signatory warrants that they are signing this document in accordance with the Electronic Transactions (Victoria) Act 2000</w:t>
            </w:r>
          </w:p>
        </w:tc>
        <w:tc>
          <w:tcPr>
            <w:tcW w:w="76" w:type="dxa"/>
            <w:tcBorders/>
          </w:tcPr>
          <w:p>
            <w:pPr>
              <w:pStyle w:val="TableContents"/>
              <w:bidi w:val="0"/>
              <w:spacing w:before="0" w:after="0"/>
              <w:ind w:left="0" w:right="0" w:hanging="0"/>
              <w:jc w:val="left"/>
              <w:rPr/>
            </w:pPr>
            <w:r>
              <w:rPr/>
              <w:t> </w:t>
            </w:r>
          </w:p>
        </w:tc>
      </w:tr>
    </w:tbl>
    <w:p>
      <w:pPr>
        <w:pStyle w:val="TextBody"/>
        <w:pBdr/>
        <w:bidi w:val="0"/>
        <w:spacing w:before="0" w:after="0"/>
        <w:ind w:left="360" w:right="360" w:hanging="0"/>
        <w:jc w:val="left"/>
        <w:rPr>
          <w:rFonts w:cs="Arial"/>
          <w:szCs w:val="36"/>
        </w:rPr>
      </w:pPr>
      <w:r>
        <w:rPr>
          <w:rFonts w:cs="Arial"/>
          <w:iCs/>
          <w:szCs w:val="37"/>
        </w:rPr>
        <w:t>﻿</w:t>
      </w:r>
      <w:r>
        <w:rPr>
          <w:rFonts w:cs="Arial"/>
          <w:szCs w:val="36"/>
        </w:rPr>
        <w:t xml:space="preserve"> </w:t>
      </w:r>
    </w:p>
    <w:p>
      <w:pPr>
        <w:pStyle w:val="TextBody"/>
        <w:pBdr/>
        <w:bidi w:val="0"/>
        <w:spacing w:before="236"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11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11</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810895" cy="9017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3"/>
                    <a:stretch>
                      <a:fillRect/>
                    </a:stretch>
                  </pic:blipFill>
                  <pic:spPr bwMode="auto">
                    <a:xfrm>
                      <a:off x="0" y="0"/>
                      <a:ext cx="810895" cy="90170"/>
                    </a:xfrm>
                    <a:prstGeom prst="rect">
                      <a:avLst/>
                    </a:prstGeom>
                  </pic:spPr>
                </pic:pic>
              </a:graphicData>
            </a:graphic>
          </wp:inline>
        </w:drawing>
      </w:r>
      <w:r>
        <w:rPr/>
        <w:drawing>
          <wp:inline distT="0" distB="0" distL="0" distR="0">
            <wp:extent cx="2144395" cy="7175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4"/>
                    <a:stretch>
                      <a:fillRect/>
                    </a:stretch>
                  </pic:blipFill>
                  <pic:spPr bwMode="auto">
                    <a:xfrm>
                      <a:off x="0" y="0"/>
                      <a:ext cx="2144395" cy="7175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236" w:after="0"/>
        <w:ind w:left="360" w:right="360" w:hanging="0"/>
        <w:jc w:val="left"/>
        <w:rPr>
          <w:rFonts w:cs="Arial"/>
          <w:szCs w:val="36"/>
        </w:rPr>
      </w:pPr>
      <w:r>
        <w:rPr>
          <w:rFonts w:cs="Arial"/>
          <w:iCs/>
          <w:szCs w:val="37"/>
        </w:rPr>
        <w:t>﻿</w:t>
      </w:r>
      <w:r>
        <w:rPr>
          <w:rFonts w:cs="Arial"/>
          <w:szCs w:val="36"/>
        </w:rPr>
        <w:t xml:space="preserve"> </w:t>
      </w:r>
    </w:p>
    <w:p>
      <w:pPr>
        <w:pStyle w:val="TextBody"/>
        <w:pBdr/>
        <w:bidi w:val="0"/>
        <w:spacing w:before="236" w:after="0"/>
        <w:ind w:left="360" w:right="360" w:hanging="0"/>
        <w:jc w:val="left"/>
        <w:rPr>
          <w:rFonts w:cs="Arial"/>
          <w:szCs w:val="36"/>
        </w:rPr>
      </w:pPr>
      <w:r>
        <w:rPr>
          <w:rFonts w:cs="Arial"/>
          <w:iCs/>
          <w:szCs w:val="37"/>
        </w:rPr>
        <w:t>﻿</w:t>
      </w:r>
      <w:r>
        <w:rPr>
          <w:rFonts w:cs="Arial"/>
          <w:szCs w:val="36"/>
        </w:rPr>
        <w:t xml:space="preserve"> </w:t>
      </w:r>
    </w:p>
    <w:p>
      <w:pPr>
        <w:pStyle w:val="TextBody"/>
        <w:bidi w:val="0"/>
        <w:spacing w:before="0" w:after="0"/>
        <w:ind w:left="2649" w:right="360" w:hanging="0"/>
        <w:jc w:val="left"/>
        <w:rPr>
          <w:rFonts w:ascii="Arial" w:hAnsi="Arial"/>
          <w:sz w:val="22"/>
        </w:rPr>
      </w:pPr>
      <w:bookmarkStart w:id="133" w:name="Annexure"/>
      <w:bookmarkStart w:id="134" w:name="_TOC_250089"/>
      <w:bookmarkEnd w:id="133"/>
      <w:bookmarkEnd w:id="134"/>
      <w:r>
        <w:rPr>
          <w:rFonts w:ascii="Arial" w:hAnsi="Arial"/>
          <w:sz w:val="22"/>
        </w:rPr>
        <w:t xml:space="preserve">Annexure </w:t>
      </w:r>
    </w:p>
    <w:p>
      <w:pPr>
        <w:pStyle w:val="TextBody"/>
        <w:bidi w:val="0"/>
        <w:spacing w:before="341" w:after="0"/>
        <w:ind w:left="2649" w:right="360" w:hanging="0"/>
        <w:jc w:val="left"/>
        <w:rPr>
          <w:rFonts w:ascii="Arial" w:hAnsi="Arial"/>
          <w:sz w:val="30"/>
        </w:rPr>
      </w:pPr>
      <w:r>
        <w:rPr>
          <w:rFonts w:ascii="Arial" w:hAnsi="Arial"/>
          <w:sz w:val="30"/>
        </w:rPr>
        <w:t xml:space="preserve">Amended Facility Agreement </w:t>
      </w:r>
    </w:p>
    <w:p>
      <w:pPr>
        <w:pStyle w:val="TextBody"/>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75" w:after="0"/>
        <w:ind w:left="380" w:right="360" w:hanging="0"/>
        <w:jc w:val="left"/>
        <w:rPr>
          <w:rFonts w:ascii="Arial" w:hAnsi="Arial"/>
          <w:sz w:val="14"/>
        </w:rPr>
      </w:pPr>
      <w:r>
        <w:rPr>
          <w:rFonts w:ascii="Arial" w:hAnsi="Arial"/>
          <w:sz w:val="15"/>
        </w:rPr>
        <w:t>Amendment</w:t>
      </w:r>
      <w:r>
        <w:rPr>
          <w:rFonts w:ascii="Arial" w:hAnsi="Arial"/>
          <w:sz w:val="14"/>
        </w:rPr>
        <w:t> </w:t>
      </w:r>
      <w:r>
        <w:rPr>
          <w:rFonts w:ascii="Arial" w:hAnsi="Arial"/>
          <w:sz w:val="15"/>
        </w:rPr>
        <w:t>Deed</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12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12</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6"/>
                    <a:stretch>
                      <a:fillRect/>
                    </a:stretch>
                  </pic:blipFill>
                  <pic:spPr bwMode="auto">
                    <a:xfrm>
                      <a:off x="0" y="0"/>
                      <a:ext cx="810895" cy="88265"/>
                    </a:xfrm>
                    <a:prstGeom prst="rect">
                      <a:avLst/>
                    </a:prstGeom>
                  </pic:spPr>
                </pic:pic>
              </a:graphicData>
            </a:graphic>
          </wp:inline>
        </w:drawing>
      </w:r>
      <w:r>
        <w:rPr/>
        <w:t xml:space="preserve"> </w:t>
      </w:r>
    </w:p>
    <w:p>
      <w:pPr>
        <w:pStyle w:val="TextBody"/>
        <w:pBdr/>
        <w:bidi w:val="0"/>
        <w:spacing w:before="0" w:after="0"/>
        <w:ind w:left="360" w:right="360" w:hanging="0"/>
        <w:jc w:val="left"/>
        <w:rPr>
          <w:rFonts w:cs="Arial"/>
          <w:szCs w:val="16"/>
        </w:rPr>
      </w:pPr>
      <w:r>
        <w:rPr>
          <w:rFonts w:cs="Arial"/>
          <w:szCs w:val="16"/>
        </w:rPr>
        <w:t xml:space="preserve">﻿ </w:t>
      </w:r>
    </w:p>
    <w:p>
      <w:pPr>
        <w:pStyle w:val="TextBody"/>
        <w:pBdr/>
        <w:bidi w:val="0"/>
        <w:spacing w:before="110" w:after="0"/>
        <w:ind w:left="360" w:right="360" w:hanging="0"/>
        <w:jc w:val="left"/>
        <w:rPr>
          <w:rFonts w:cs="Arial"/>
          <w:szCs w:val="16"/>
        </w:rPr>
      </w:pPr>
      <w:r>
        <w:rPr>
          <w:rFonts w:cs="Arial"/>
          <w:szCs w:val="16"/>
        </w:rPr>
        <w:t xml:space="preserve">﻿ </w:t>
      </w:r>
    </w:p>
    <w:p>
      <w:pPr>
        <w:pStyle w:val="TextBody"/>
        <w:bidi w:val="0"/>
        <w:spacing w:lineRule="auto" w:line="242" w:before="0" w:after="0"/>
        <w:ind w:left="5116" w:right="3486" w:hanging="188"/>
        <w:jc w:val="left"/>
        <w:rPr>
          <w:rFonts w:ascii="Arial" w:hAnsi="Arial"/>
          <w:sz w:val="16"/>
        </w:rPr>
      </w:pPr>
      <w:r>
        <w:rPr>
          <w:rFonts w:ascii="Arial" w:hAnsi="Arial"/>
          <w:sz w:val="16"/>
        </w:rPr>
        <w:t xml:space="preserve">567 Collins Street, Melbourne VIC 3000, Australia GPO Box 9925, Melbourne VIC 3001, Australia </w:t>
      </w:r>
    </w:p>
    <w:p>
      <w:pPr>
        <w:pStyle w:val="TextBody"/>
        <w:bidi w:val="0"/>
        <w:spacing w:before="2" w:after="0"/>
        <w:ind w:left="6988" w:right="360" w:hanging="0"/>
        <w:jc w:val="left"/>
        <w:rPr>
          <w:rFonts w:ascii="Arial" w:hAnsi="Arial"/>
          <w:sz w:val="16"/>
        </w:rPr>
      </w:pPr>
      <w:r>
        <w:rPr>
          <w:rFonts w:ascii="Arial" w:hAnsi="Arial"/>
          <w:sz w:val="16"/>
        </w:rPr>
        <w:t xml:space="preserve">Tel +61 3 9672 3000 </w:t>
      </w:r>
    </w:p>
    <w:p>
      <w:pPr>
        <w:pStyle w:val="TextBody"/>
        <w:bidi w:val="0"/>
        <w:spacing w:before="3" w:after="0"/>
        <w:ind w:left="6943" w:right="360" w:hanging="0"/>
        <w:jc w:val="left"/>
        <w:rPr>
          <w:rFonts w:ascii="Arial" w:hAnsi="Arial"/>
          <w:sz w:val="16"/>
        </w:rPr>
      </w:pPr>
      <w:r>
        <w:rPr>
          <w:rFonts w:ascii="Arial" w:hAnsi="Arial"/>
          <w:sz w:val="16"/>
        </w:rPr>
        <w:t xml:space="preserve">Fax +61 3 9672 3010 </w:t>
      </w:r>
    </w:p>
    <w:p>
      <w:pPr>
        <w:pStyle w:val="TextBody"/>
        <w:bidi w:val="0"/>
        <w:spacing w:before="3" w:after="0"/>
        <w:ind w:left="7039" w:right="360" w:hanging="0"/>
        <w:jc w:val="left"/>
        <w:rPr>
          <w:rFonts w:ascii="Arial" w:hAnsi="Arial"/>
          <w:sz w:val="16"/>
        </w:rPr>
      </w:pPr>
      <w:r>
        <w:rPr>
          <w:rFonts w:ascii="Arial" w:hAnsi="Arial"/>
          <w:b/>
          <w:sz w:val="16"/>
        </w:rPr>
        <w:t>www.corrs.com.au</w:t>
      </w:r>
      <w:r>
        <w:rPr>
          <w:rFonts w:ascii="Arial" w:hAnsi="Arial"/>
          <w:sz w:val="16"/>
        </w:rPr>
        <w:t xml:space="preserve"> </w:t>
      </w:r>
    </w:p>
    <w:p>
      <w:pPr>
        <w:pStyle w:val="TextBody"/>
        <w:pBdr/>
        <w:bidi w:val="0"/>
        <w:spacing w:before="0" w:after="0"/>
        <w:ind w:left="360" w:right="360" w:hanging="0"/>
        <w:jc w:val="left"/>
        <w:rPr>
          <w:rFonts w:cs="Arial"/>
          <w:szCs w:val="16"/>
        </w:rPr>
      </w:pPr>
      <w:r>
        <w:rPr>
          <w:rFonts w:cs="Arial"/>
          <w:bCs/>
          <w:szCs w:val="16"/>
        </w:rPr>
        <w:t>﻿</w:t>
      </w:r>
      <w:r>
        <w:rPr>
          <w:rFonts w:cs="Arial"/>
          <w:szCs w:val="16"/>
        </w:rPr>
        <w:t xml:space="preserve"> </w:t>
      </w:r>
    </w:p>
    <w:p>
      <w:pPr>
        <w:pStyle w:val="TextBody"/>
        <w:pBdr/>
        <w:bidi w:val="0"/>
        <w:spacing w:before="19" w:after="0"/>
        <w:ind w:left="360" w:right="360" w:hanging="0"/>
        <w:jc w:val="left"/>
        <w:rPr>
          <w:rFonts w:cs="Arial"/>
          <w:szCs w:val="16"/>
        </w:rPr>
      </w:pPr>
      <w:r>
        <w:rPr>
          <w:rFonts w:cs="Arial"/>
          <w:bCs/>
          <w:szCs w:val="16"/>
        </w:rPr>
        <w:t>﻿</w:t>
      </w:r>
      <w:r>
        <w:rPr>
          <w:rFonts w:cs="Arial"/>
          <w:szCs w:val="16"/>
        </w:rPr>
        <w:t xml:space="preserve"> </w:t>
      </w:r>
    </w:p>
    <w:p>
      <w:pPr>
        <w:pStyle w:val="TextBody"/>
        <w:bidi w:val="0"/>
        <w:spacing w:lineRule="auto" w:line="264" w:before="1" w:after="0"/>
        <w:ind w:left="9976" w:right="1504" w:firstLine="223"/>
        <w:jc w:val="right"/>
        <w:rPr>
          <w:rFonts w:ascii="Arial" w:hAnsi="Arial"/>
          <w:sz w:val="16"/>
        </w:rPr>
      </w:pPr>
      <w:r>
        <w:rPr>
          <w:rFonts w:ascii="Arial" w:hAnsi="Arial"/>
          <w:color w:val="808080"/>
          <w:sz w:val="16"/>
        </w:rPr>
        <w:t>Sydney Melbourne Brisbane</w:t>
      </w:r>
      <w:r>
        <w:rPr>
          <w:rFonts w:ascii="Arial" w:hAnsi="Arial"/>
          <w:sz w:val="16"/>
        </w:rPr>
        <w:t xml:space="preserve"> </w:t>
      </w:r>
    </w:p>
    <w:p>
      <w:pPr>
        <w:pStyle w:val="TextBody"/>
        <w:bidi w:val="0"/>
        <w:spacing w:lineRule="auto" w:line="264" w:before="0" w:after="0"/>
        <w:ind w:left="9782" w:right="1504" w:firstLine="568"/>
        <w:jc w:val="right"/>
        <w:rPr>
          <w:rFonts w:ascii="Arial" w:hAnsi="Arial"/>
          <w:sz w:val="16"/>
        </w:rPr>
      </w:pPr>
      <w:r>
        <w:rPr>
          <w:rFonts w:ascii="Arial" w:hAnsi="Arial"/>
          <w:color w:val="808080"/>
          <w:sz w:val="16"/>
        </w:rPr>
        <w:t>Perth Port Moresby</w:t>
      </w:r>
      <w:r>
        <w:rPr>
          <w:rFonts w:ascii="Arial" w:hAnsi="Arial"/>
          <w:sz w:val="16"/>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38" w:after="0"/>
        <w:ind w:left="360" w:right="360" w:hanging="0"/>
        <w:jc w:val="left"/>
        <w:rPr>
          <w:rFonts w:cs="Arial"/>
          <w:szCs w:val="20"/>
        </w:rPr>
      </w:pPr>
      <w:r>
        <w:rPr>
          <w:rFonts w:cs="Arial"/>
          <w:szCs w:val="20"/>
        </w:rPr>
        <w:t xml:space="preserve">﻿ </w:t>
      </w:r>
    </w:p>
    <w:p>
      <w:pPr>
        <w:pStyle w:val="TextBody"/>
        <w:pBdr>
          <w:bottom w:val="single" w:sz="8" w:space="1" w:color="000000"/>
        </w:pBdr>
        <w:bidi w:val="0"/>
        <w:spacing w:before="0" w:after="0"/>
        <w:ind w:left="2654" w:right="1800" w:hanging="0"/>
        <w:jc w:val="left"/>
        <w:rPr>
          <w:rFonts w:ascii="Arial" w:hAnsi="Arial"/>
          <w:sz w:val="20"/>
        </w:rPr>
      </w:pPr>
      <w:r>
        <w:rPr>
          <w:rFonts w:ascii="Arial" w:hAnsi="Arial"/>
          <w:sz w:val="20"/>
        </w:rPr>
        <w:t xml:space="preserve">Annexure A -  Amended Facility Agreement </w:t>
      </w:r>
    </w:p>
    <w:p>
      <w:pPr>
        <w:pStyle w:val="TextBody"/>
        <w:bidi w:val="0"/>
        <w:spacing w:before="7" w:after="0"/>
        <w:ind w:left="360" w:right="360" w:hanging="0"/>
        <w:jc w:val="left"/>
        <w:rPr>
          <w:rFonts w:cs="Arial"/>
          <w:szCs w:val="16"/>
        </w:rPr>
      </w:pPr>
      <w:r>
        <w:rPr>
          <w:rFonts w:cs="Arial"/>
          <w:szCs w:val="17"/>
        </w:rPr>
        <w:t>﻿</w:t>
      </w:r>
      <w:r>
        <w:rPr>
          <w:rFonts w:cs="Arial"/>
          <w:szCs w:val="16"/>
        </w:rPr>
        <w:t xml:space="preserve"> </w:t>
      </w:r>
    </w:p>
    <w:p>
      <w:pPr>
        <w:pStyle w:val="TextBody"/>
        <w:pBdr>
          <w:bottom w:val="single" w:sz="8" w:space="1" w:color="000000"/>
        </w:pBdr>
        <w:bidi w:val="0"/>
        <w:spacing w:before="72" w:after="0"/>
        <w:ind w:left="2654" w:right="1800" w:hanging="0"/>
        <w:jc w:val="left"/>
        <w:rPr>
          <w:rFonts w:ascii="Arial" w:hAnsi="Arial"/>
          <w:sz w:val="34"/>
        </w:rPr>
      </w:pPr>
      <w:r>
        <w:rPr>
          <w:rFonts w:ascii="Arial" w:hAnsi="Arial"/>
          <w:sz w:val="34"/>
        </w:rPr>
        <w:t xml:space="preserve">National Australia Bank Limited </w:t>
      </w:r>
    </w:p>
    <w:p>
      <w:pPr>
        <w:pStyle w:val="TextBody"/>
        <w:bidi w:val="0"/>
        <w:spacing w:before="1" w:after="0"/>
        <w:ind w:left="360" w:right="360" w:hanging="0"/>
        <w:jc w:val="left"/>
        <w:rPr>
          <w:rFonts w:cs="Arial"/>
          <w:szCs w:val="16"/>
        </w:rPr>
      </w:pPr>
      <w:r>
        <w:rPr>
          <w:rFonts w:cs="Arial"/>
          <w:szCs w:val="16"/>
        </w:rPr>
        <w:t xml:space="preserve">﻿ </w:t>
      </w:r>
    </w:p>
    <w:p>
      <w:pPr>
        <w:pStyle w:val="TextBody"/>
        <w:pBdr>
          <w:bottom w:val="single" w:sz="8" w:space="1" w:color="000000"/>
        </w:pBdr>
        <w:bidi w:val="0"/>
        <w:spacing w:before="187" w:after="0"/>
        <w:ind w:left="2654" w:right="1800" w:hanging="0"/>
        <w:jc w:val="left"/>
        <w:rPr>
          <w:rFonts w:ascii="Arial" w:hAnsi="Arial"/>
          <w:sz w:val="34"/>
        </w:rPr>
      </w:pPr>
      <w:r>
        <w:rPr>
          <w:rFonts w:ascii="Arial" w:hAnsi="Arial"/>
          <w:sz w:val="34"/>
        </w:rPr>
        <w:t xml:space="preserve">Reading Entertainment Australia Group </w:t>
      </w:r>
    </w:p>
    <w:p>
      <w:pPr>
        <w:pStyle w:val="TextBody"/>
        <w:pBdr/>
        <w:bidi w:val="0"/>
        <w:spacing w:before="1" w:after="0"/>
        <w:ind w:left="360" w:right="360" w:hanging="0"/>
        <w:jc w:val="left"/>
        <w:rPr>
          <w:rFonts w:cs="Arial"/>
          <w:szCs w:val="6"/>
        </w:rPr>
      </w:pPr>
      <w:r>
        <w:rPr>
          <w:rFonts w:cs="Arial"/>
          <w:szCs w:val="6"/>
        </w:rPr>
        <w:t xml:space="preserve">﻿ </w:t>
      </w:r>
    </w:p>
    <w:p>
      <w:pPr>
        <w:pStyle w:val="TextBody"/>
        <w:pBdr/>
        <w:bidi w:val="0"/>
        <w:spacing w:before="154" w:after="0"/>
        <w:ind w:left="360" w:right="360" w:hanging="0"/>
        <w:jc w:val="left"/>
        <w:rPr>
          <w:rFonts w:cs="Arial"/>
          <w:szCs w:val="74"/>
        </w:rPr>
      </w:pPr>
      <w:r>
        <w:rPr>
          <w:rFonts w:cs="Arial"/>
          <w:szCs w:val="75"/>
        </w:rPr>
        <w:t>﻿</w:t>
      </w:r>
      <w:r>
        <w:rPr>
          <w:rFonts w:cs="Arial"/>
          <w:szCs w:val="74"/>
        </w:rPr>
        <w:t xml:space="preserve"> </w:t>
      </w:r>
    </w:p>
    <w:p>
      <w:pPr>
        <w:pStyle w:val="TextBody"/>
        <w:bidi w:val="0"/>
        <w:spacing w:before="0" w:after="0"/>
        <w:ind w:left="2654" w:right="1854" w:hanging="0"/>
        <w:jc w:val="left"/>
        <w:rPr>
          <w:rFonts w:ascii="Arial" w:hAnsi="Arial"/>
          <w:sz w:val="74"/>
        </w:rPr>
      </w:pPr>
      <w:r>
        <w:rPr>
          <w:rFonts w:ascii="Arial" w:hAnsi="Arial"/>
          <w:color w:val="113A5B"/>
          <w:sz w:val="75"/>
        </w:rPr>
        <w:t>Corporate</w:t>
      </w:r>
      <w:r>
        <w:rPr>
          <w:rFonts w:ascii="Arial" w:hAnsi="Arial"/>
          <w:color w:val="113A5B"/>
          <w:sz w:val="74"/>
        </w:rPr>
        <w:t> </w:t>
      </w:r>
      <w:r>
        <w:rPr>
          <w:rFonts w:ascii="Arial" w:hAnsi="Arial"/>
          <w:color w:val="113A5B"/>
          <w:sz w:val="75"/>
        </w:rPr>
        <w:t>Markets Loan &amp; Bank Guarantee Facility Agreement</w:t>
      </w:r>
      <w:r>
        <w:rPr>
          <w:rFonts w:ascii="Arial" w:hAnsi="Arial"/>
          <w:sz w:val="74"/>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0"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106" w:after="0"/>
        <w:ind w:left="360" w:right="360" w:hanging="0"/>
        <w:jc w:val="left"/>
        <w:rPr>
          <w:rFonts w:cs="Arial"/>
          <w:szCs w:val="10"/>
        </w:rPr>
      </w:pPr>
      <w:r>
        <w:rPr>
          <w:rFonts w:cs="Arial"/>
          <w:szCs w:val="11"/>
        </w:rPr>
        <w:t>﻿</w:t>
      </w:r>
      <w:r>
        <w:rPr>
          <w:rFonts w:cs="Arial"/>
          <w:szCs w:val="10"/>
        </w:rPr>
        <w:t xml:space="preserve"> </w:t>
      </w:r>
    </w:p>
    <w:p>
      <w:pPr>
        <w:pStyle w:val="TextBody"/>
        <w:bidi w:val="0"/>
        <w:spacing w:before="0" w:after="0"/>
        <w:ind w:left="2654" w:right="360" w:hanging="0"/>
        <w:jc w:val="left"/>
        <w:rPr>
          <w:rFonts w:ascii="Arial" w:hAnsi="Arial"/>
          <w:sz w:val="10"/>
        </w:rPr>
      </w:pPr>
      <w:r>
        <w:rPr>
          <w:rFonts w:ascii="Arial" w:hAnsi="Arial"/>
          <w:sz w:val="11"/>
        </w:rPr>
        <w:t>Ref:</w:t>
      </w:r>
      <w:r>
        <w:rPr>
          <w:rFonts w:ascii="Arial" w:hAnsi="Arial"/>
          <w:sz w:val="10"/>
        </w:rPr>
        <w:t> </w:t>
      </w:r>
      <w:r>
        <w:rPr>
          <w:rFonts w:ascii="Arial" w:hAnsi="Arial"/>
          <w:sz w:val="11"/>
        </w:rPr>
        <w:t>BMH/OSM</w:t>
      </w:r>
      <w:r>
        <w:rPr>
          <w:rFonts w:ascii="Arial" w:hAnsi="Arial"/>
          <w:sz w:val="10"/>
        </w:rPr>
        <w:t> </w:t>
      </w:r>
      <w:r>
        <w:rPr>
          <w:rFonts w:ascii="Arial" w:hAnsi="Arial"/>
          <w:sz w:val="11"/>
        </w:rPr>
        <w:t>9143151</w:t>
      </w:r>
      <w:r>
        <w:rPr>
          <w:rFonts w:ascii="Arial" w:hAnsi="Arial"/>
          <w:sz w:val="10"/>
        </w:rPr>
        <w:t xml:space="preserve"> </w:t>
      </w:r>
    </w:p>
    <w:p>
      <w:pPr>
        <w:pStyle w:val="TextBody"/>
        <w:bidi w:val="0"/>
        <w:spacing w:before="47" w:after="0"/>
        <w:ind w:left="2654" w:right="360" w:hanging="0"/>
        <w:jc w:val="left"/>
        <w:rPr>
          <w:rFonts w:ascii="Arial" w:hAnsi="Arial"/>
          <w:sz w:val="10"/>
        </w:rPr>
      </w:pPr>
      <w:r>
        <w:rPr>
          <w:rFonts w:ascii="Arial" w:hAnsi="Arial"/>
          <w:sz w:val="11"/>
        </w:rPr>
        <w:t>©</w:t>
      </w:r>
      <w:r>
        <w:rPr>
          <w:rFonts w:ascii="Arial" w:hAnsi="Arial"/>
          <w:sz w:val="10"/>
        </w:rPr>
        <w:t> </w:t>
      </w:r>
      <w:r>
        <w:rPr>
          <w:rFonts w:ascii="Arial" w:hAnsi="Arial"/>
          <w:sz w:val="11"/>
        </w:rPr>
        <w:t>Corrs</w:t>
      </w:r>
      <w:r>
        <w:rPr>
          <w:rFonts w:ascii="Arial" w:hAnsi="Arial"/>
          <w:sz w:val="10"/>
        </w:rPr>
        <w:t> </w:t>
      </w:r>
      <w:r>
        <w:rPr>
          <w:rFonts w:ascii="Arial" w:hAnsi="Arial"/>
          <w:sz w:val="11"/>
        </w:rPr>
        <w:t>Chambers</w:t>
      </w:r>
      <w:r>
        <w:rPr>
          <w:rFonts w:ascii="Arial" w:hAnsi="Arial"/>
          <w:sz w:val="10"/>
        </w:rPr>
        <w:t> </w:t>
      </w:r>
      <w:r>
        <w:rPr>
          <w:rFonts w:ascii="Arial" w:hAnsi="Arial"/>
          <w:sz w:val="11"/>
        </w:rPr>
        <w:t>Westgarth</w:t>
      </w:r>
      <w:r>
        <w:rPr>
          <w:rFonts w:ascii="Arial" w:hAnsi="Arial"/>
          <w:sz w:val="10"/>
        </w:rPr>
        <w:t xml:space="preserve"> </w:t>
      </w:r>
    </w:p>
    <w:p>
      <w:pPr>
        <w:pStyle w:val="TextBody"/>
        <w:bidi w:val="0"/>
        <w:spacing w:before="0" w:after="0"/>
        <w:ind w:left="360" w:right="360" w:hanging="0"/>
        <w:jc w:val="left"/>
        <w:rPr/>
      </w:pPr>
      <w:r>
        <w:rPr/>
        <w:t xml:space="preserve">  </w:t>
      </w:r>
    </w:p>
    <w:p>
      <w:pPr>
        <w:pStyle w:val="TextBody"/>
        <w:bidi w:val="0"/>
        <w:spacing w:lineRule="auto" w:line="12"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118" w:after="0"/>
        <w:ind w:left="360" w:right="360" w:hanging="0"/>
        <w:jc w:val="left"/>
        <w:rPr>
          <w:rFonts w:cs="Arial"/>
          <w:szCs w:val="30"/>
        </w:rPr>
      </w:pPr>
      <w:r>
        <w:rPr>
          <w:rFonts w:cs="Arial"/>
          <w:szCs w:val="30"/>
        </w:rPr>
        <w:t xml:space="preserve">﻿ </w:t>
      </w:r>
    </w:p>
    <w:p>
      <w:pPr>
        <w:pStyle w:val="TextBody"/>
        <w:bidi w:val="0"/>
        <w:spacing w:before="0" w:after="0"/>
        <w:ind w:left="2654" w:right="360" w:hanging="0"/>
        <w:jc w:val="left"/>
        <w:rPr>
          <w:rFonts w:ascii="Arial" w:hAnsi="Arial"/>
          <w:sz w:val="30"/>
        </w:rPr>
      </w:pPr>
      <w:r>
        <w:rPr>
          <w:rFonts w:ascii="Arial" w:hAnsi="Arial"/>
          <w:sz w:val="30"/>
        </w:rPr>
        <w:t xml:space="preserve">Contents </w:t>
      </w:r>
    </w:p>
    <w:p>
      <w:pPr>
        <w:pStyle w:val="TextBody"/>
        <w:bidi w:val="0"/>
        <w:spacing w:before="47" w:after="0"/>
        <w:ind w:left="3719" w:right="360" w:hanging="532"/>
        <w:jc w:val="left"/>
        <w:rPr>
          <w:rFonts w:cs="Calibri"/>
          <w:szCs w:val="18"/>
        </w:rPr>
      </w:pPr>
      <w:r>
        <w:rPr>
          <w:rFonts w:cs="Calibri"/>
          <w:bCs/>
          <w:szCs w:val="18"/>
        </w:rPr>
        <w:t>﻿</w:t>
      </w:r>
      <w:r>
        <w:rPr>
          <w:rFonts w:cs="Calibri"/>
          <w:szCs w:val="18"/>
        </w:rPr>
        <w:t xml:space="preserve"> </w:t>
      </w:r>
    </w:p>
    <w:tbl>
      <w:tblPr>
        <w:tblW w:w="5788" w:type="dxa"/>
        <w:jc w:val="left"/>
        <w:tblInd w:w="360" w:type="dxa"/>
        <w:tblLayout w:type="fixed"/>
        <w:tblCellMar>
          <w:top w:w="0" w:type="dxa"/>
          <w:left w:w="0" w:type="dxa"/>
          <w:bottom w:w="0" w:type="dxa"/>
          <w:right w:w="0" w:type="dxa"/>
        </w:tblCellMar>
      </w:tblPr>
      <w:tblGrid>
        <w:gridCol w:w="38"/>
        <w:gridCol w:w="125"/>
        <w:gridCol w:w="380"/>
        <w:gridCol w:w="4850"/>
        <w:gridCol w:w="320"/>
        <w:gridCol w:w="75"/>
      </w:tblGrid>
      <w:tr>
        <w:trPr/>
        <w:tc>
          <w:tcPr>
            <w:tcW w:w="38" w:type="dxa"/>
            <w:tcBorders/>
            <w:vAlign w:val="bottom"/>
          </w:tcPr>
          <w:p>
            <w:pPr>
              <w:pStyle w:val="TableContents"/>
              <w:bidi w:val="0"/>
              <w:spacing w:before="0" w:after="0"/>
              <w:ind w:left="0" w:right="0" w:hanging="0"/>
              <w:jc w:val="left"/>
              <w:rPr>
                <w:rFonts w:cs="Times New Roman"/>
                <w:szCs w:val="24"/>
              </w:rPr>
            </w:pPr>
            <w:r>
              <w:rPr>
                <w:rFonts w:cs="Times New Roman"/>
                <w:szCs w:val="24"/>
              </w:rPr>
              <w:t>﻿</w:t>
            </w:r>
          </w:p>
        </w:tc>
        <w:tc>
          <w:tcPr>
            <w:tcW w:w="125" w:type="dxa"/>
            <w:tcBorders>
              <w:bottom w:val="single" w:sz="8" w:space="0" w:color="000000"/>
            </w:tcBorders>
            <w:tcMar>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1</w:t>
            </w:r>
          </w:p>
        </w:tc>
        <w:tc>
          <w:tcPr>
            <w:tcW w:w="5230"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hyperlink w:anchor="Interpretation">
              <w:r>
                <w:rPr>
                  <w:rStyle w:val="InternetLink"/>
                  <w:rFonts w:ascii="Arial" w:hAnsi="Arial"/>
                  <w:b/>
                  <w:sz w:val="18"/>
                </w:rPr>
                <w:t>Interpretation</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1 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1.1</w:t>
            </w:r>
          </w:p>
        </w:tc>
        <w:tc>
          <w:tcPr>
            <w:tcW w:w="4850" w:type="dxa"/>
            <w:tcBorders/>
            <w:vAlign w:val="center"/>
          </w:tcPr>
          <w:p>
            <w:pPr>
              <w:pStyle w:val="TableContents"/>
              <w:bidi w:val="0"/>
              <w:spacing w:before="47" w:after="0"/>
              <w:ind w:left="0" w:right="0" w:hanging="0"/>
              <w:jc w:val="left"/>
              <w:rPr/>
            </w:pPr>
            <w:hyperlink w:anchor="Definitions11">
              <w:r>
                <w:rPr>
                  <w:rStyle w:val="InternetLink"/>
                  <w:rFonts w:ascii="Arial" w:hAnsi="Arial"/>
                  <w:sz w:val="18"/>
                </w:rPr>
                <w:t>Definitions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w:t>
            </w:r>
          </w:p>
        </w:tc>
        <w:tc>
          <w:tcPr>
            <w:tcW w:w="4850" w:type="dxa"/>
            <w:tcBorders/>
            <w:vAlign w:val="center"/>
          </w:tcPr>
          <w:p>
            <w:pPr>
              <w:pStyle w:val="TableContents"/>
              <w:bidi w:val="0"/>
              <w:spacing w:before="47" w:after="0"/>
              <w:ind w:left="0" w:right="0" w:hanging="0"/>
              <w:jc w:val="left"/>
              <w:rPr/>
            </w:pPr>
            <w:hyperlink w:anchor="Construction12">
              <w:r>
                <w:rPr>
                  <w:rStyle w:val="InternetLink"/>
                  <w:rFonts w:ascii="Arial" w:hAnsi="Arial"/>
                  <w:sz w:val="18"/>
                </w:rPr>
                <w:t>Construction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1.3</w:t>
            </w:r>
          </w:p>
        </w:tc>
        <w:tc>
          <w:tcPr>
            <w:tcW w:w="4850" w:type="dxa"/>
            <w:tcBorders/>
            <w:vAlign w:val="center"/>
          </w:tcPr>
          <w:p>
            <w:pPr>
              <w:pStyle w:val="TableContents"/>
              <w:bidi w:val="0"/>
              <w:spacing w:before="47" w:after="0"/>
              <w:ind w:left="0" w:right="0" w:hanging="0"/>
              <w:jc w:val="left"/>
              <w:rPr/>
            </w:pPr>
            <w:hyperlink w:anchor="Headings13">
              <w:r>
                <w:rPr>
                  <w:rStyle w:val="InternetLink"/>
                  <w:rFonts w:ascii="Arial" w:hAnsi="Arial"/>
                  <w:sz w:val="18"/>
                </w:rPr>
                <w:t>Headings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1.4</w:t>
            </w:r>
          </w:p>
        </w:tc>
        <w:tc>
          <w:tcPr>
            <w:tcW w:w="4850" w:type="dxa"/>
            <w:tcBorders/>
            <w:vAlign w:val="center"/>
          </w:tcPr>
          <w:p>
            <w:pPr>
              <w:pStyle w:val="TableContents"/>
              <w:bidi w:val="0"/>
              <w:spacing w:before="47" w:after="0"/>
              <w:ind w:left="0" w:right="0" w:hanging="0"/>
              <w:jc w:val="left"/>
              <w:rPr/>
            </w:pPr>
            <w:hyperlink w:anchor="CorporationsAct14">
              <w:r>
                <w:rPr>
                  <w:rStyle w:val="InternetLink"/>
                  <w:rFonts w:ascii="Arial" w:hAnsi="Arial"/>
                  <w:sz w:val="18"/>
                </w:rPr>
                <w:t>Corporations Act, GST and Accounting Standards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1.5</w:t>
            </w:r>
          </w:p>
        </w:tc>
        <w:tc>
          <w:tcPr>
            <w:tcW w:w="4850" w:type="dxa"/>
            <w:tcBorders/>
            <w:vAlign w:val="center"/>
          </w:tcPr>
          <w:p>
            <w:pPr>
              <w:pStyle w:val="TableContents"/>
              <w:bidi w:val="0"/>
              <w:spacing w:before="47" w:after="0"/>
              <w:ind w:left="0" w:right="0" w:hanging="0"/>
              <w:jc w:val="left"/>
              <w:rPr/>
            </w:pPr>
            <w:hyperlink w:anchor="SubsistingEvents15">
              <w:r>
                <w:rPr>
                  <w:rStyle w:val="InternetLink"/>
                  <w:rFonts w:ascii="Arial" w:hAnsi="Arial"/>
                  <w:sz w:val="18"/>
                </w:rPr>
                <w:t>Subsisting Events of Default and Potential Events of Default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w:t>
            </w:r>
          </w:p>
        </w:tc>
        <w:tc>
          <w:tcPr>
            <w:tcW w:w="4850" w:type="dxa"/>
            <w:tcBorders/>
            <w:vAlign w:val="center"/>
          </w:tcPr>
          <w:p>
            <w:pPr>
              <w:pStyle w:val="TableContents"/>
              <w:bidi w:val="0"/>
              <w:spacing w:before="47" w:after="0"/>
              <w:ind w:left="0" w:right="0" w:hanging="0"/>
              <w:jc w:val="left"/>
              <w:rPr/>
            </w:pPr>
            <w:hyperlink w:anchor="Notused16">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1.7</w:t>
            </w:r>
          </w:p>
        </w:tc>
        <w:tc>
          <w:tcPr>
            <w:tcW w:w="4850" w:type="dxa"/>
            <w:tcBorders/>
            <w:vAlign w:val="center"/>
          </w:tcPr>
          <w:p>
            <w:pPr>
              <w:pStyle w:val="TableContents"/>
              <w:bidi w:val="0"/>
              <w:spacing w:before="47" w:after="0"/>
              <w:ind w:left="0" w:right="0" w:hanging="0"/>
              <w:jc w:val="left"/>
              <w:rPr/>
            </w:pPr>
            <w:hyperlink w:anchor="Inconsistency17">
              <w:r>
                <w:rPr>
                  <w:rStyle w:val="InternetLink"/>
                  <w:rFonts w:ascii="Arial" w:hAnsi="Arial"/>
                  <w:sz w:val="18"/>
                </w:rPr>
                <w:t>Inconsistency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2</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Consideration2">
              <w:r>
                <w:rPr>
                  <w:rStyle w:val="InternetLink"/>
                  <w:rFonts w:ascii="Arial" w:hAnsi="Arial"/>
                  <w:b/>
                  <w:sz w:val="18"/>
                </w:rPr>
                <w:t>Consideratio</w:t>
              </w:r>
            </w:hyperlink>
            <w:r>
              <w:rPr>
                <w:rFonts w:ascii="Arial" w:hAnsi="Arial"/>
                <w:b/>
                <w:color w:val="000000"/>
                <w:sz w:val="18"/>
              </w:rPr>
              <w:t>n</w:t>
            </w:r>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22 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3</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ConditionsPrecedent3">
              <w:r>
                <w:rPr>
                  <w:rStyle w:val="InternetLink"/>
                  <w:rFonts w:ascii="Arial" w:hAnsi="Arial"/>
                  <w:b/>
                  <w:sz w:val="18"/>
                </w:rPr>
                <w:t>Conditions precedent</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22 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3.1</w:t>
            </w:r>
          </w:p>
        </w:tc>
        <w:tc>
          <w:tcPr>
            <w:tcW w:w="4850" w:type="dxa"/>
            <w:tcBorders/>
            <w:vAlign w:val="center"/>
          </w:tcPr>
          <w:p>
            <w:pPr>
              <w:pStyle w:val="TableContents"/>
              <w:bidi w:val="0"/>
              <w:spacing w:before="47" w:after="0"/>
              <w:ind w:left="0" w:right="0" w:hanging="0"/>
              <w:jc w:val="left"/>
              <w:rPr/>
            </w:pPr>
            <w:hyperlink w:anchor="Notused31">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3.2</w:t>
            </w:r>
          </w:p>
        </w:tc>
        <w:tc>
          <w:tcPr>
            <w:tcW w:w="4850" w:type="dxa"/>
            <w:tcBorders/>
            <w:vAlign w:val="center"/>
          </w:tcPr>
          <w:p>
            <w:pPr>
              <w:pStyle w:val="TableContents"/>
              <w:bidi w:val="0"/>
              <w:spacing w:before="47" w:after="0"/>
              <w:ind w:left="0" w:right="0" w:hanging="0"/>
              <w:jc w:val="left"/>
              <w:rPr/>
            </w:pPr>
            <w:hyperlink w:anchor="Conditionsprecedent32">
              <w:r>
                <w:rPr>
                  <w:rStyle w:val="InternetLink"/>
                  <w:rFonts w:ascii="Arial" w:hAnsi="Arial"/>
                  <w:sz w:val="18"/>
                </w:rPr>
                <w:t>Conditions precedent to Advances and Drawings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4</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Facility4">
              <w:r>
                <w:rPr>
                  <w:rStyle w:val="InternetLink"/>
                  <w:rFonts w:ascii="Arial" w:hAnsi="Arial"/>
                  <w:b/>
                  <w:sz w:val="18"/>
                </w:rPr>
                <w:t>Facility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22 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w:t>
            </w:r>
          </w:p>
        </w:tc>
        <w:tc>
          <w:tcPr>
            <w:tcW w:w="4850" w:type="dxa"/>
            <w:tcBorders/>
            <w:vAlign w:val="center"/>
          </w:tcPr>
          <w:p>
            <w:pPr>
              <w:pStyle w:val="TableContents"/>
              <w:bidi w:val="0"/>
              <w:spacing w:before="47" w:after="0"/>
              <w:ind w:left="0" w:right="0" w:hanging="0"/>
              <w:jc w:val="left"/>
              <w:rPr/>
            </w:pPr>
            <w:hyperlink w:anchor="Nature41">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4.2</w:t>
            </w:r>
          </w:p>
        </w:tc>
        <w:tc>
          <w:tcPr>
            <w:tcW w:w="4850" w:type="dxa"/>
            <w:tcBorders/>
            <w:vAlign w:val="center"/>
          </w:tcPr>
          <w:p>
            <w:pPr>
              <w:pStyle w:val="TableContents"/>
              <w:bidi w:val="0"/>
              <w:spacing w:before="47" w:after="0"/>
              <w:ind w:left="0" w:right="0" w:hanging="0"/>
              <w:jc w:val="left"/>
              <w:rPr/>
            </w:pPr>
            <w:hyperlink w:anchor="Purpose42">
              <w:r>
                <w:rPr>
                  <w:rStyle w:val="InternetLink"/>
                  <w:rFonts w:ascii="Arial" w:hAnsi="Arial"/>
                  <w:sz w:val="18"/>
                </w:rPr>
                <w:t>Purpose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4.3</w:t>
            </w:r>
          </w:p>
        </w:tc>
        <w:tc>
          <w:tcPr>
            <w:tcW w:w="4850" w:type="dxa"/>
            <w:tcBorders/>
            <w:vAlign w:val="center"/>
          </w:tcPr>
          <w:p>
            <w:pPr>
              <w:pStyle w:val="TableContents"/>
              <w:bidi w:val="0"/>
              <w:spacing w:before="47" w:after="0"/>
              <w:ind w:left="0" w:right="0" w:hanging="0"/>
              <w:jc w:val="left"/>
              <w:rPr/>
            </w:pPr>
            <w:hyperlink w:anchor="AdvancesandDrawings43">
              <w:r>
                <w:rPr>
                  <w:rStyle w:val="InternetLink"/>
                  <w:rFonts w:ascii="Arial" w:hAnsi="Arial"/>
                  <w:sz w:val="18"/>
                </w:rPr>
                <w:t>Advances and Drawings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4.4</w:t>
            </w:r>
          </w:p>
        </w:tc>
        <w:tc>
          <w:tcPr>
            <w:tcW w:w="4850" w:type="dxa"/>
            <w:tcBorders/>
            <w:vAlign w:val="center"/>
          </w:tcPr>
          <w:p>
            <w:pPr>
              <w:pStyle w:val="TableContents"/>
              <w:bidi w:val="0"/>
              <w:spacing w:before="47" w:after="0"/>
              <w:ind w:left="0" w:right="0" w:hanging="0"/>
              <w:jc w:val="left"/>
              <w:rPr/>
            </w:pPr>
            <w:hyperlink w:anchor="FundingNotices44">
              <w:r>
                <w:rPr>
                  <w:rStyle w:val="InternetLink"/>
                  <w:rFonts w:ascii="Arial" w:hAnsi="Arial"/>
                  <w:sz w:val="18"/>
                </w:rPr>
                <w:t>Funding Notices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4.5</w:t>
            </w:r>
          </w:p>
        </w:tc>
        <w:tc>
          <w:tcPr>
            <w:tcW w:w="4850" w:type="dxa"/>
            <w:tcBorders/>
            <w:vAlign w:val="center"/>
          </w:tcPr>
          <w:p>
            <w:pPr>
              <w:pStyle w:val="TableContents"/>
              <w:bidi w:val="0"/>
              <w:spacing w:before="47" w:after="0"/>
              <w:ind w:left="0" w:right="0" w:hanging="0"/>
              <w:jc w:val="left"/>
              <w:rPr/>
            </w:pPr>
            <w:hyperlink w:anchor="NotUsed45">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4.6</w:t>
            </w:r>
          </w:p>
        </w:tc>
        <w:tc>
          <w:tcPr>
            <w:tcW w:w="4850" w:type="dxa"/>
            <w:tcBorders/>
            <w:vAlign w:val="center"/>
          </w:tcPr>
          <w:p>
            <w:pPr>
              <w:pStyle w:val="TableContents"/>
              <w:bidi w:val="0"/>
              <w:spacing w:before="47" w:after="0"/>
              <w:ind w:left="0" w:right="0" w:hanging="0"/>
              <w:jc w:val="left"/>
              <w:rPr/>
            </w:pPr>
            <w:hyperlink w:anchor="NotUsed46">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4.7</w:t>
            </w:r>
          </w:p>
        </w:tc>
        <w:tc>
          <w:tcPr>
            <w:tcW w:w="4850" w:type="dxa"/>
            <w:tcBorders/>
            <w:vAlign w:val="center"/>
          </w:tcPr>
          <w:p>
            <w:pPr>
              <w:pStyle w:val="TableContents"/>
              <w:bidi w:val="0"/>
              <w:spacing w:before="47" w:after="0"/>
              <w:ind w:left="0" w:right="0" w:hanging="0"/>
              <w:jc w:val="left"/>
              <w:rPr/>
            </w:pPr>
            <w:hyperlink w:anchor="NotUsed47">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4.8</w:t>
            </w:r>
          </w:p>
        </w:tc>
        <w:tc>
          <w:tcPr>
            <w:tcW w:w="4850" w:type="dxa"/>
            <w:tcBorders/>
            <w:vAlign w:val="center"/>
          </w:tcPr>
          <w:p>
            <w:pPr>
              <w:pStyle w:val="TableContents"/>
              <w:bidi w:val="0"/>
              <w:spacing w:before="47" w:after="0"/>
              <w:ind w:left="0" w:right="0" w:hanging="0"/>
              <w:jc w:val="left"/>
              <w:rPr/>
            </w:pPr>
            <w:hyperlink w:anchor="BankGuarantee48">
              <w:r>
                <w:rPr>
                  <w:rStyle w:val="InternetLink"/>
                  <w:rFonts w:ascii="Arial" w:hAnsi="Arial"/>
                  <w:sz w:val="18"/>
                </w:rPr>
                <w:t>Bank Guarantee Facility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4.9</w:t>
            </w:r>
          </w:p>
        </w:tc>
        <w:tc>
          <w:tcPr>
            <w:tcW w:w="4850" w:type="dxa"/>
            <w:tcBorders/>
            <w:vAlign w:val="center"/>
          </w:tcPr>
          <w:p>
            <w:pPr>
              <w:pStyle w:val="TableContents"/>
              <w:bidi w:val="0"/>
              <w:spacing w:before="47" w:after="0"/>
              <w:ind w:left="0" w:right="0" w:hanging="0"/>
              <w:jc w:val="left"/>
              <w:rPr/>
            </w:pPr>
            <w:hyperlink w:anchor="Cancellation49">
              <w:r>
                <w:rPr>
                  <w:rStyle w:val="InternetLink"/>
                  <w:rFonts w:ascii="Arial" w:hAnsi="Arial"/>
                  <w:sz w:val="18"/>
                </w:rPr>
                <w:t>Cancellation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4.10</w:t>
            </w:r>
          </w:p>
        </w:tc>
        <w:tc>
          <w:tcPr>
            <w:tcW w:w="4850" w:type="dxa"/>
            <w:tcBorders/>
            <w:vAlign w:val="center"/>
          </w:tcPr>
          <w:p>
            <w:pPr>
              <w:pStyle w:val="TableContents"/>
              <w:bidi w:val="0"/>
              <w:spacing w:before="47" w:after="0"/>
              <w:ind w:left="0" w:right="0" w:hanging="0"/>
              <w:jc w:val="left"/>
              <w:rPr/>
            </w:pPr>
            <w:hyperlink w:anchor="Market_disruption410">
              <w:r>
                <w:rPr>
                  <w:rStyle w:val="InternetLink"/>
                  <w:rFonts w:ascii="Arial" w:hAnsi="Arial"/>
                  <w:sz w:val="18"/>
                </w:rPr>
                <w:t>Market disruption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4.11</w:t>
            </w:r>
          </w:p>
        </w:tc>
        <w:tc>
          <w:tcPr>
            <w:tcW w:w="4850" w:type="dxa"/>
            <w:tcBorders/>
            <w:vAlign w:val="center"/>
          </w:tcPr>
          <w:p>
            <w:pPr>
              <w:pStyle w:val="TableContents"/>
              <w:bidi w:val="0"/>
              <w:spacing w:before="47" w:after="0"/>
              <w:ind w:left="0" w:right="0" w:hanging="0"/>
              <w:jc w:val="left"/>
              <w:rPr/>
            </w:pPr>
            <w:hyperlink w:anchor="AlternativeBasis411">
              <w:r>
                <w:rPr>
                  <w:rStyle w:val="InternetLink"/>
                  <w:rFonts w:ascii="Arial" w:hAnsi="Arial"/>
                  <w:sz w:val="18"/>
                </w:rPr>
                <w:t>Alternative basis of interest or funding</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4.12</w:t>
            </w:r>
          </w:p>
        </w:tc>
        <w:tc>
          <w:tcPr>
            <w:tcW w:w="4850" w:type="dxa"/>
            <w:tcBorders/>
            <w:vAlign w:val="center"/>
          </w:tcPr>
          <w:p>
            <w:pPr>
              <w:pStyle w:val="TableContents"/>
              <w:bidi w:val="0"/>
              <w:spacing w:before="47" w:after="0"/>
              <w:ind w:left="0" w:right="0" w:hanging="0"/>
              <w:jc w:val="left"/>
              <w:rPr/>
            </w:pPr>
            <w:hyperlink w:anchor="PricingReview412">
              <w:r>
                <w:rPr>
                  <w:rStyle w:val="InternetLink"/>
                  <w:rFonts w:ascii="Arial" w:hAnsi="Arial"/>
                  <w:sz w:val="18"/>
                </w:rPr>
                <w:t>Pricing Review Events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4.13</w:t>
            </w:r>
          </w:p>
        </w:tc>
        <w:tc>
          <w:tcPr>
            <w:tcW w:w="4850" w:type="dxa"/>
            <w:tcBorders/>
            <w:vAlign w:val="center"/>
          </w:tcPr>
          <w:p>
            <w:pPr>
              <w:pStyle w:val="TableContents"/>
              <w:bidi w:val="0"/>
              <w:spacing w:before="47" w:after="0"/>
              <w:ind w:left="0" w:right="0" w:hanging="0"/>
              <w:jc w:val="left"/>
              <w:rPr/>
            </w:pPr>
            <w:hyperlink w:anchor="Consequences413">
              <w:r>
                <w:rPr>
                  <w:rStyle w:val="InternetLink"/>
                  <w:rFonts w:ascii="Arial" w:hAnsi="Arial"/>
                  <w:sz w:val="18"/>
                </w:rPr>
                <w:t>Consequences of a Pricing Review</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5</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Payments5">
              <w:r>
                <w:rPr>
                  <w:rStyle w:val="InternetLink"/>
                  <w:rFonts w:ascii="Arial" w:hAnsi="Arial"/>
                  <w:b/>
                  <w:sz w:val="18"/>
                </w:rPr>
                <w:t>Payments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26 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5.1</w:t>
            </w:r>
          </w:p>
        </w:tc>
        <w:tc>
          <w:tcPr>
            <w:tcW w:w="4850" w:type="dxa"/>
            <w:tcBorders/>
            <w:vAlign w:val="center"/>
          </w:tcPr>
          <w:p>
            <w:pPr>
              <w:pStyle w:val="TableContents"/>
              <w:bidi w:val="0"/>
              <w:spacing w:before="47" w:after="0"/>
              <w:ind w:left="0" w:right="0" w:hanging="0"/>
              <w:jc w:val="left"/>
              <w:rPr/>
            </w:pPr>
            <w:hyperlink w:anchor="Notused51">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5.2</w:t>
            </w:r>
          </w:p>
        </w:tc>
        <w:tc>
          <w:tcPr>
            <w:tcW w:w="4850" w:type="dxa"/>
            <w:tcBorders/>
            <w:vAlign w:val="center"/>
          </w:tcPr>
          <w:p>
            <w:pPr>
              <w:pStyle w:val="TableContents"/>
              <w:bidi w:val="0"/>
              <w:spacing w:before="47" w:after="0"/>
              <w:ind w:left="0" w:right="0" w:hanging="0"/>
              <w:jc w:val="left"/>
              <w:rPr/>
            </w:pPr>
            <w:hyperlink w:anchor="Voluntary_prepayments52">
              <w:r>
                <w:rPr>
                  <w:rStyle w:val="InternetLink"/>
                  <w:rFonts w:ascii="Arial" w:hAnsi="Arial"/>
                  <w:sz w:val="18"/>
                </w:rPr>
                <w:t>Voluntary prepayments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5.3</w:t>
            </w:r>
          </w:p>
        </w:tc>
        <w:tc>
          <w:tcPr>
            <w:tcW w:w="4850" w:type="dxa"/>
            <w:tcBorders/>
            <w:vAlign w:val="center"/>
          </w:tcPr>
          <w:p>
            <w:pPr>
              <w:pStyle w:val="TableContents"/>
              <w:bidi w:val="0"/>
              <w:spacing w:before="47" w:after="0"/>
              <w:ind w:left="0" w:right="0" w:hanging="0"/>
              <w:jc w:val="left"/>
              <w:rPr/>
            </w:pPr>
            <w:hyperlink w:anchor="Indemnity53">
              <w:r>
                <w:rPr>
                  <w:rStyle w:val="InternetLink"/>
                  <w:rFonts w:ascii="Arial" w:hAnsi="Arial"/>
                  <w:sz w:val="18"/>
                </w:rPr>
                <w:t>Indemnity in respect of Bank Guarantees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5.4</w:t>
            </w:r>
          </w:p>
        </w:tc>
        <w:tc>
          <w:tcPr>
            <w:tcW w:w="4850" w:type="dxa"/>
            <w:tcBorders/>
            <w:vAlign w:val="center"/>
          </w:tcPr>
          <w:p>
            <w:pPr>
              <w:pStyle w:val="TableContents"/>
              <w:bidi w:val="0"/>
              <w:spacing w:before="47" w:after="0"/>
              <w:ind w:left="0" w:right="0" w:hanging="0"/>
              <w:jc w:val="left"/>
              <w:rPr/>
            </w:pPr>
            <w:hyperlink w:anchor="Mandatory_prepayments54">
              <w:r>
                <w:rPr>
                  <w:rStyle w:val="InternetLink"/>
                  <w:rFonts w:ascii="Arial" w:hAnsi="Arial"/>
                  <w:sz w:val="18"/>
                </w:rPr>
                <w:t>Mandatory prepayments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5.5</w:t>
            </w:r>
          </w:p>
        </w:tc>
        <w:tc>
          <w:tcPr>
            <w:tcW w:w="4850" w:type="dxa"/>
            <w:tcBorders/>
            <w:vAlign w:val="center"/>
          </w:tcPr>
          <w:p>
            <w:pPr>
              <w:pStyle w:val="TableContents"/>
              <w:bidi w:val="0"/>
              <w:spacing w:before="47" w:after="0"/>
              <w:ind w:left="0" w:right="0" w:hanging="0"/>
              <w:jc w:val="left"/>
              <w:rPr/>
            </w:pPr>
            <w:hyperlink w:anchor="Repayment55">
              <w:r>
                <w:rPr>
                  <w:rStyle w:val="InternetLink"/>
                  <w:rFonts w:ascii="Arial" w:hAnsi="Arial"/>
                  <w:sz w:val="18"/>
                </w:rPr>
                <w:t>Repayment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5.6</w:t>
            </w:r>
          </w:p>
        </w:tc>
        <w:tc>
          <w:tcPr>
            <w:tcW w:w="4850" w:type="dxa"/>
            <w:tcBorders/>
            <w:vAlign w:val="center"/>
          </w:tcPr>
          <w:p>
            <w:pPr>
              <w:pStyle w:val="TableContents"/>
              <w:bidi w:val="0"/>
              <w:spacing w:before="47" w:after="0"/>
              <w:ind w:left="0" w:right="0" w:hanging="0"/>
              <w:jc w:val="left"/>
              <w:rPr/>
            </w:pPr>
            <w:hyperlink w:anchor="Amounts_may_not_be_redrawn56">
              <w:r>
                <w:rPr>
                  <w:rStyle w:val="InternetLink"/>
                  <w:rFonts w:ascii="Arial" w:hAnsi="Arial"/>
                  <w:sz w:val="18"/>
                </w:rPr>
                <w:t>Amounts may not be redrawn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6</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Interest_and_fees6">
              <w:r>
                <w:rPr>
                  <w:rStyle w:val="InternetLink"/>
                  <w:rFonts w:ascii="Arial" w:hAnsi="Arial"/>
                  <w:b/>
                  <w:sz w:val="18"/>
                </w:rPr>
                <w:t>Interest and fees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30 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6.1</w:t>
            </w:r>
          </w:p>
        </w:tc>
        <w:tc>
          <w:tcPr>
            <w:tcW w:w="4850" w:type="dxa"/>
            <w:tcBorders/>
            <w:vAlign w:val="center"/>
          </w:tcPr>
          <w:p>
            <w:pPr>
              <w:pStyle w:val="TableContents"/>
              <w:bidi w:val="0"/>
              <w:spacing w:before="47" w:after="0"/>
              <w:ind w:left="0" w:right="0" w:hanging="0"/>
              <w:jc w:val="left"/>
              <w:rPr/>
            </w:pPr>
            <w:hyperlink w:anchor="Pricing_Periods61">
              <w:r>
                <w:rPr>
                  <w:rStyle w:val="InternetLink"/>
                  <w:rFonts w:ascii="Arial" w:hAnsi="Arial"/>
                  <w:sz w:val="18"/>
                </w:rPr>
                <w:t>Pricing Periods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6.2</w:t>
            </w:r>
          </w:p>
        </w:tc>
        <w:tc>
          <w:tcPr>
            <w:tcW w:w="4850" w:type="dxa"/>
            <w:tcBorders/>
            <w:vAlign w:val="center"/>
          </w:tcPr>
          <w:p>
            <w:pPr>
              <w:pStyle w:val="TableContents"/>
              <w:bidi w:val="0"/>
              <w:spacing w:before="47" w:after="0"/>
              <w:ind w:left="0" w:right="0" w:hanging="0"/>
              <w:jc w:val="left"/>
              <w:rPr/>
            </w:pPr>
            <w:hyperlink w:anchor="Payment_and_rate62">
              <w:r>
                <w:rPr>
                  <w:rStyle w:val="InternetLink"/>
                  <w:rFonts w:ascii="Arial" w:hAnsi="Arial"/>
                  <w:sz w:val="18"/>
                </w:rPr>
                <w:t>Payment and rate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6.3</w:t>
            </w:r>
          </w:p>
        </w:tc>
        <w:tc>
          <w:tcPr>
            <w:tcW w:w="4850" w:type="dxa"/>
            <w:tcBorders/>
            <w:vAlign w:val="center"/>
          </w:tcPr>
          <w:p>
            <w:pPr>
              <w:pStyle w:val="TableContents"/>
              <w:bidi w:val="0"/>
              <w:spacing w:before="47" w:after="0"/>
              <w:ind w:left="0" w:right="0" w:hanging="0"/>
              <w:jc w:val="left"/>
              <w:rPr/>
            </w:pPr>
            <w:hyperlink w:anchor="Computation_of_interest63">
              <w:r>
                <w:rPr>
                  <w:rStyle w:val="InternetLink"/>
                  <w:rFonts w:ascii="Arial" w:hAnsi="Arial"/>
                  <w:sz w:val="18"/>
                </w:rPr>
                <w:t>Computation of interest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6.4</w:t>
            </w:r>
          </w:p>
        </w:tc>
        <w:tc>
          <w:tcPr>
            <w:tcW w:w="4850" w:type="dxa"/>
            <w:tcBorders/>
            <w:vAlign w:val="center"/>
          </w:tcPr>
          <w:p>
            <w:pPr>
              <w:pStyle w:val="TableContents"/>
              <w:bidi w:val="0"/>
              <w:spacing w:before="47" w:after="0"/>
              <w:ind w:left="0" w:right="0" w:hanging="0"/>
              <w:jc w:val="left"/>
              <w:rPr/>
            </w:pPr>
            <w:hyperlink w:anchor="Capitalisation_of_interest64">
              <w:r>
                <w:rPr>
                  <w:rStyle w:val="InternetLink"/>
                  <w:rFonts w:ascii="Arial" w:hAnsi="Arial"/>
                  <w:sz w:val="18"/>
                </w:rPr>
                <w:t>Capitalisation of interest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6.5</w:t>
            </w:r>
          </w:p>
        </w:tc>
        <w:tc>
          <w:tcPr>
            <w:tcW w:w="4850" w:type="dxa"/>
            <w:tcBorders/>
            <w:vAlign w:val="center"/>
          </w:tcPr>
          <w:p>
            <w:pPr>
              <w:pStyle w:val="TableContents"/>
              <w:bidi w:val="0"/>
              <w:spacing w:before="47" w:after="0"/>
              <w:ind w:left="0" w:right="0" w:hanging="0"/>
              <w:jc w:val="left"/>
              <w:rPr/>
            </w:pPr>
            <w:hyperlink w:anchor="Merger65">
              <w:r>
                <w:rPr>
                  <w:rStyle w:val="InternetLink"/>
                  <w:rFonts w:ascii="Arial" w:hAnsi="Arial"/>
                  <w:sz w:val="18"/>
                </w:rPr>
                <w:t>Merger</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6.6</w:t>
            </w:r>
          </w:p>
        </w:tc>
        <w:tc>
          <w:tcPr>
            <w:tcW w:w="4850" w:type="dxa"/>
            <w:tcBorders/>
            <w:vAlign w:val="center"/>
          </w:tcPr>
          <w:p>
            <w:pPr>
              <w:pStyle w:val="TableContents"/>
              <w:bidi w:val="0"/>
              <w:spacing w:before="47" w:after="0"/>
              <w:ind w:left="0" w:right="0" w:hanging="0"/>
              <w:jc w:val="left"/>
              <w:rPr/>
            </w:pPr>
            <w:hyperlink w:anchor="Reset_Margin66">
              <w:r>
                <w:rPr>
                  <w:rStyle w:val="InternetLink"/>
                  <w:rFonts w:ascii="Arial" w:hAnsi="Arial"/>
                  <w:sz w:val="18"/>
                </w:rPr>
                <w:t>Reset Margin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32  </w:t>
            </w:r>
          </w:p>
        </w:tc>
        <w:tc>
          <w:tcPr>
            <w:tcW w:w="75" w:type="dxa"/>
            <w:tcBorders/>
            <w:vAlign w:val="bottom"/>
          </w:tcPr>
          <w:p>
            <w:pPr>
              <w:pStyle w:val="TableContents"/>
              <w:bidi w:val="0"/>
              <w:spacing w:before="47" w:after="0"/>
              <w:ind w:left="0" w:right="0" w:hanging="0"/>
              <w:jc w:val="right"/>
              <w:rPr/>
            </w:pPr>
            <w:r>
              <w:rPr/>
              <w:t> </w:t>
            </w:r>
          </w:p>
        </w:tc>
      </w:tr>
    </w:tbl>
    <w:p>
      <w:pPr>
        <w:pStyle w:val="TextBody"/>
        <w:pBdr/>
        <w:bidi w:val="0"/>
        <w:spacing w:before="0" w:after="0"/>
        <w:ind w:left="360" w:right="360" w:hanging="0"/>
        <w:jc w:val="left"/>
        <w:rPr>
          <w:rFonts w:cs="Arial"/>
          <w:szCs w:val="20"/>
        </w:rPr>
      </w:pPr>
      <w:r>
        <w:rPr>
          <w:rFonts w:cs="Arial"/>
          <w:bCs/>
          <w:szCs w:val="20"/>
        </w:rPr>
        <w:t>﻿</w:t>
      </w:r>
      <w:r>
        <w:rPr>
          <w:rFonts w:cs="Arial"/>
          <w:szCs w:val="20"/>
        </w:rPr>
        <w:t xml:space="preserve"> </w:t>
      </w:r>
    </w:p>
    <w:p>
      <w:pPr>
        <w:pStyle w:val="TextBody"/>
        <w:pBdr/>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4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bCs/>
          <w:szCs w:val="20"/>
        </w:rPr>
        <w:t>﻿</w:t>
      </w:r>
      <w:r>
        <w:rPr>
          <w:rFonts w:cs="Arial"/>
          <w:szCs w:val="20"/>
        </w:rPr>
        <w:t xml:space="preserve"> </w:t>
      </w:r>
    </w:p>
    <w:p>
      <w:pPr>
        <w:pStyle w:val="TextBody"/>
        <w:pBdr/>
        <w:bidi w:val="0"/>
        <w:spacing w:before="220" w:after="0"/>
        <w:ind w:left="360" w:right="360" w:hanging="0"/>
        <w:jc w:val="left"/>
        <w:rPr>
          <w:rFonts w:cs="Arial"/>
          <w:szCs w:val="20"/>
        </w:rPr>
      </w:pPr>
      <w:r>
        <w:rPr>
          <w:rFonts w:cs="Arial"/>
          <w:bCs/>
          <w:szCs w:val="20"/>
        </w:rPr>
        <w:t>﻿</w:t>
      </w:r>
      <w:r>
        <w:rPr>
          <w:rFonts w:cs="Arial"/>
          <w:szCs w:val="20"/>
        </w:rPr>
        <w:t xml:space="preserve"> </w:t>
      </w:r>
    </w:p>
    <w:tbl>
      <w:tblPr>
        <w:tblW w:w="5383" w:type="dxa"/>
        <w:jc w:val="left"/>
        <w:tblInd w:w="360" w:type="dxa"/>
        <w:tblLayout w:type="fixed"/>
        <w:tblCellMar>
          <w:top w:w="0" w:type="dxa"/>
          <w:left w:w="0" w:type="dxa"/>
          <w:bottom w:w="0" w:type="dxa"/>
          <w:right w:w="0" w:type="dxa"/>
        </w:tblCellMar>
      </w:tblPr>
      <w:tblGrid>
        <w:gridCol w:w="38"/>
        <w:gridCol w:w="320"/>
        <w:gridCol w:w="380"/>
        <w:gridCol w:w="4250"/>
        <w:gridCol w:w="320"/>
        <w:gridCol w:w="75"/>
      </w:tblGrid>
      <w:tr>
        <w:trPr/>
        <w:tc>
          <w:tcPr>
            <w:tcW w:w="38" w:type="dxa"/>
            <w:tcBorders/>
            <w:vAlign w:val="bottom"/>
          </w:tcPr>
          <w:p>
            <w:pPr>
              <w:pStyle w:val="TableContents"/>
              <w:bidi w:val="0"/>
              <w:spacing w:before="0" w:after="0"/>
              <w:ind w:left="0" w:right="0" w:hanging="0"/>
              <w:jc w:val="left"/>
              <w:rPr>
                <w:rFonts w:cs="Times New Roman"/>
                <w:szCs w:val="24"/>
              </w:rPr>
            </w:pPr>
            <w:r>
              <w:rPr>
                <w:rFonts w:cs="Times New Roman"/>
                <w:szCs w:val="24"/>
              </w:rPr>
              <w:t>﻿</w:t>
            </w:r>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7  </w:t>
            </w:r>
          </w:p>
        </w:tc>
        <w:tc>
          <w:tcPr>
            <w:tcW w:w="4630"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hyperlink w:anchor="Payments7">
              <w:r>
                <w:rPr>
                  <w:rStyle w:val="InternetLink"/>
                  <w:rFonts w:ascii="Arial" w:hAnsi="Arial"/>
                  <w:b/>
                  <w:sz w:val="18"/>
                </w:rPr>
                <w:t>Payments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33 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7.1</w:t>
            </w:r>
          </w:p>
        </w:tc>
        <w:tc>
          <w:tcPr>
            <w:tcW w:w="4250" w:type="dxa"/>
            <w:tcBorders/>
            <w:vAlign w:val="center"/>
          </w:tcPr>
          <w:p>
            <w:pPr>
              <w:pStyle w:val="TableContents"/>
              <w:bidi w:val="0"/>
              <w:spacing w:before="47" w:after="0"/>
              <w:ind w:left="0" w:right="0" w:hanging="0"/>
              <w:jc w:val="left"/>
              <w:rPr/>
            </w:pPr>
            <w:hyperlink w:anchor="Place_manner71">
              <w:r>
                <w:rPr>
                  <w:rStyle w:val="InternetLink"/>
                  <w:rFonts w:ascii="Arial" w:hAnsi="Arial"/>
                  <w:sz w:val="18"/>
                </w:rPr>
                <w:t>Place, manner and time of payment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7.2</w:t>
            </w:r>
          </w:p>
        </w:tc>
        <w:tc>
          <w:tcPr>
            <w:tcW w:w="4250" w:type="dxa"/>
            <w:tcBorders/>
            <w:vAlign w:val="center"/>
          </w:tcPr>
          <w:p>
            <w:pPr>
              <w:pStyle w:val="TableContents"/>
              <w:bidi w:val="0"/>
              <w:spacing w:before="47" w:after="0"/>
              <w:ind w:left="0" w:right="0" w:hanging="0"/>
              <w:jc w:val="left"/>
              <w:rPr/>
            </w:pPr>
            <w:hyperlink w:anchor="Gross_up72">
              <w:r>
                <w:rPr>
                  <w:rStyle w:val="InternetLink"/>
                  <w:rFonts w:ascii="Arial" w:hAnsi="Arial"/>
                  <w:sz w:val="18"/>
                </w:rPr>
                <w:t>Gross-up</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7.3</w:t>
            </w:r>
          </w:p>
        </w:tc>
        <w:tc>
          <w:tcPr>
            <w:tcW w:w="4250" w:type="dxa"/>
            <w:tcBorders/>
            <w:vAlign w:val="center"/>
          </w:tcPr>
          <w:p>
            <w:pPr>
              <w:pStyle w:val="TableContents"/>
              <w:bidi w:val="0"/>
              <w:spacing w:before="47" w:after="0"/>
              <w:ind w:left="0" w:right="0" w:hanging="0"/>
              <w:jc w:val="left"/>
              <w:rPr/>
            </w:pPr>
            <w:hyperlink w:anchor="Appropriation73">
              <w:r>
                <w:rPr>
                  <w:rStyle w:val="InternetLink"/>
                  <w:rFonts w:ascii="Arial" w:hAnsi="Arial"/>
                  <w:sz w:val="18"/>
                </w:rPr>
                <w:t>Appropriation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8  </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Representations_and_warranties8">
              <w:r>
                <w:rPr>
                  <w:rStyle w:val="InternetLink"/>
                  <w:rFonts w:ascii="Arial" w:hAnsi="Arial"/>
                  <w:b/>
                  <w:sz w:val="18"/>
                </w:rPr>
                <w:t>Representations and warranties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33 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8.1</w:t>
            </w:r>
          </w:p>
        </w:tc>
        <w:tc>
          <w:tcPr>
            <w:tcW w:w="4250" w:type="dxa"/>
            <w:tcBorders/>
            <w:vAlign w:val="center"/>
          </w:tcPr>
          <w:p>
            <w:pPr>
              <w:pStyle w:val="TableContents"/>
              <w:bidi w:val="0"/>
              <w:spacing w:before="47" w:after="0"/>
              <w:ind w:left="0" w:right="0" w:hanging="0"/>
              <w:jc w:val="left"/>
              <w:rPr/>
            </w:pPr>
            <w:hyperlink w:anchor="Nature81">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8.2</w:t>
            </w:r>
          </w:p>
        </w:tc>
        <w:tc>
          <w:tcPr>
            <w:tcW w:w="4250" w:type="dxa"/>
            <w:tcBorders/>
            <w:vAlign w:val="center"/>
          </w:tcPr>
          <w:p>
            <w:pPr>
              <w:pStyle w:val="TableContents"/>
              <w:bidi w:val="0"/>
              <w:spacing w:before="47" w:after="0"/>
              <w:ind w:left="0" w:right="0" w:hanging="0"/>
              <w:jc w:val="left"/>
              <w:rPr/>
            </w:pPr>
            <w:hyperlink w:anchor="General82">
              <w:r>
                <w:rPr>
                  <w:rStyle w:val="InternetLink"/>
                  <w:rFonts w:ascii="Arial" w:hAnsi="Arial"/>
                  <w:sz w:val="18"/>
                </w:rPr>
                <w:t>General</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9  </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General_obligations9">
              <w:r>
                <w:rPr>
                  <w:rStyle w:val="InternetLink"/>
                  <w:rFonts w:ascii="Arial" w:hAnsi="Arial"/>
                  <w:b/>
                  <w:sz w:val="18"/>
                </w:rPr>
                <w:t>General obligations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37 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9.1</w:t>
            </w:r>
          </w:p>
        </w:tc>
        <w:tc>
          <w:tcPr>
            <w:tcW w:w="4250" w:type="dxa"/>
            <w:tcBorders/>
            <w:vAlign w:val="center"/>
          </w:tcPr>
          <w:p>
            <w:pPr>
              <w:pStyle w:val="TableContents"/>
              <w:bidi w:val="0"/>
              <w:spacing w:before="47" w:after="0"/>
              <w:ind w:left="0" w:right="0" w:hanging="0"/>
              <w:jc w:val="left"/>
              <w:rPr/>
            </w:pPr>
            <w:hyperlink w:anchor="Fees91">
              <w:r>
                <w:rPr>
                  <w:rStyle w:val="InternetLink"/>
                  <w:rFonts w:ascii="Arial" w:hAnsi="Arial"/>
                  <w:sz w:val="18"/>
                </w:rPr>
                <w:t>Fees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9.2</w:t>
            </w:r>
          </w:p>
        </w:tc>
        <w:tc>
          <w:tcPr>
            <w:tcW w:w="4250" w:type="dxa"/>
            <w:tcBorders/>
            <w:vAlign w:val="center"/>
          </w:tcPr>
          <w:p>
            <w:pPr>
              <w:pStyle w:val="TableContents"/>
              <w:bidi w:val="0"/>
              <w:spacing w:before="47" w:after="0"/>
              <w:ind w:left="0" w:right="0" w:hanging="0"/>
              <w:jc w:val="left"/>
              <w:rPr/>
            </w:pPr>
            <w:hyperlink w:anchor="Records92">
              <w:r>
                <w:rPr>
                  <w:rStyle w:val="InternetLink"/>
                  <w:rFonts w:ascii="Arial" w:hAnsi="Arial"/>
                  <w:sz w:val="18"/>
                </w:rPr>
                <w:t>Records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9.3</w:t>
            </w:r>
          </w:p>
        </w:tc>
        <w:tc>
          <w:tcPr>
            <w:tcW w:w="4250" w:type="dxa"/>
            <w:tcBorders/>
            <w:vAlign w:val="center"/>
          </w:tcPr>
          <w:p>
            <w:pPr>
              <w:pStyle w:val="TableContents"/>
              <w:bidi w:val="0"/>
              <w:spacing w:before="47" w:after="0"/>
              <w:ind w:left="0" w:right="0" w:hanging="0"/>
              <w:jc w:val="left"/>
              <w:rPr/>
            </w:pPr>
            <w:hyperlink w:anchor="Financial_Statements93">
              <w:r>
                <w:rPr>
                  <w:rStyle w:val="InternetLink"/>
                  <w:rFonts w:ascii="Arial" w:hAnsi="Arial"/>
                  <w:sz w:val="18"/>
                </w:rPr>
                <w:t>Financial Statements and other financial information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9.4</w:t>
            </w:r>
          </w:p>
        </w:tc>
        <w:tc>
          <w:tcPr>
            <w:tcW w:w="4250" w:type="dxa"/>
            <w:tcBorders/>
            <w:vAlign w:val="center"/>
          </w:tcPr>
          <w:p>
            <w:pPr>
              <w:pStyle w:val="TableContents"/>
              <w:bidi w:val="0"/>
              <w:spacing w:before="47" w:after="0"/>
              <w:ind w:left="0" w:right="0" w:hanging="0"/>
              <w:jc w:val="left"/>
              <w:rPr/>
            </w:pPr>
            <w:hyperlink w:anchor="Adjustments94">
              <w:r>
                <w:rPr>
                  <w:rStyle w:val="InternetLink"/>
                  <w:rFonts w:ascii="Arial" w:hAnsi="Arial"/>
                  <w:sz w:val="18"/>
                </w:rPr>
                <w:t>Adjustments for AASB 16</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9.5</w:t>
            </w:r>
          </w:p>
        </w:tc>
        <w:tc>
          <w:tcPr>
            <w:tcW w:w="4250" w:type="dxa"/>
            <w:tcBorders/>
            <w:vAlign w:val="center"/>
          </w:tcPr>
          <w:p>
            <w:pPr>
              <w:pStyle w:val="TableContents"/>
              <w:bidi w:val="0"/>
              <w:spacing w:before="47" w:after="0"/>
              <w:ind w:left="0" w:right="0" w:hanging="0"/>
              <w:jc w:val="left"/>
              <w:rPr/>
            </w:pPr>
            <w:hyperlink w:anchor="Other_information95">
              <w:r>
                <w:rPr>
                  <w:rStyle w:val="InternetLink"/>
                  <w:rFonts w:ascii="Arial" w:hAnsi="Arial"/>
                  <w:sz w:val="18"/>
                </w:rPr>
                <w:t>Other information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9.6</w:t>
            </w:r>
          </w:p>
        </w:tc>
        <w:tc>
          <w:tcPr>
            <w:tcW w:w="4250" w:type="dxa"/>
            <w:tcBorders/>
            <w:vAlign w:val="center"/>
          </w:tcPr>
          <w:p>
            <w:pPr>
              <w:pStyle w:val="TableContents"/>
              <w:bidi w:val="0"/>
              <w:spacing w:before="47" w:after="0"/>
              <w:ind w:left="0" w:right="0" w:hanging="0"/>
              <w:jc w:val="left"/>
              <w:rPr/>
            </w:pPr>
            <w:hyperlink w:anchor="Other_financial_undertakings96">
              <w:r>
                <w:rPr>
                  <w:rStyle w:val="InternetLink"/>
                  <w:rFonts w:ascii="Arial" w:hAnsi="Arial"/>
                  <w:sz w:val="18"/>
                </w:rPr>
                <w:t>Other financial undertakings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9.7</w:t>
            </w:r>
          </w:p>
        </w:tc>
        <w:tc>
          <w:tcPr>
            <w:tcW w:w="4250" w:type="dxa"/>
            <w:tcBorders/>
            <w:vAlign w:val="center"/>
          </w:tcPr>
          <w:p>
            <w:pPr>
              <w:pStyle w:val="TableContents"/>
              <w:bidi w:val="0"/>
              <w:spacing w:before="47" w:after="0"/>
              <w:ind w:left="0" w:right="0" w:hanging="0"/>
              <w:jc w:val="left"/>
              <w:rPr/>
            </w:pPr>
            <w:hyperlink w:anchor="Insurance97">
              <w:r>
                <w:rPr>
                  <w:rStyle w:val="InternetLink"/>
                  <w:rFonts w:ascii="Arial" w:hAnsi="Arial"/>
                  <w:sz w:val="18"/>
                </w:rPr>
                <w:t>Insurance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9.8</w:t>
            </w:r>
          </w:p>
        </w:tc>
        <w:tc>
          <w:tcPr>
            <w:tcW w:w="4250" w:type="dxa"/>
            <w:tcBorders/>
            <w:vAlign w:val="center"/>
          </w:tcPr>
          <w:p>
            <w:pPr>
              <w:pStyle w:val="TableContents"/>
              <w:bidi w:val="0"/>
              <w:spacing w:before="47" w:after="0"/>
              <w:ind w:left="0" w:right="0" w:hanging="0"/>
              <w:jc w:val="left"/>
              <w:rPr/>
            </w:pPr>
            <w:hyperlink w:anchor="Financial_ratios98">
              <w:r>
                <w:rPr>
                  <w:rStyle w:val="InternetLink"/>
                  <w:rFonts w:ascii="Arial" w:hAnsi="Arial"/>
                  <w:sz w:val="18"/>
                </w:rPr>
                <w:t>Financial ratios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9.9</w:t>
            </w:r>
          </w:p>
        </w:tc>
        <w:tc>
          <w:tcPr>
            <w:tcW w:w="4250" w:type="dxa"/>
            <w:tcBorders/>
            <w:vAlign w:val="center"/>
          </w:tcPr>
          <w:p>
            <w:pPr>
              <w:pStyle w:val="TableContents"/>
              <w:bidi w:val="0"/>
              <w:spacing w:before="47" w:after="0"/>
              <w:ind w:left="0" w:right="0" w:hanging="0"/>
              <w:jc w:val="left"/>
              <w:rPr/>
            </w:pPr>
            <w:hyperlink w:anchor="Environment99">
              <w:r>
                <w:rPr>
                  <w:rStyle w:val="InternetLink"/>
                  <w:rFonts w:ascii="Arial" w:hAnsi="Arial"/>
                  <w:sz w:val="18"/>
                </w:rPr>
                <w:t>Environment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9.10</w:t>
            </w:r>
          </w:p>
        </w:tc>
        <w:tc>
          <w:tcPr>
            <w:tcW w:w="4250" w:type="dxa"/>
            <w:tcBorders/>
            <w:vAlign w:val="center"/>
          </w:tcPr>
          <w:p>
            <w:pPr>
              <w:pStyle w:val="TableContents"/>
              <w:bidi w:val="0"/>
              <w:spacing w:before="47" w:after="0"/>
              <w:ind w:left="0" w:right="0" w:hanging="0"/>
              <w:jc w:val="left"/>
              <w:rPr/>
            </w:pPr>
            <w:hyperlink w:anchor="No_default910">
              <w:r>
                <w:rPr>
                  <w:rStyle w:val="InternetLink"/>
                  <w:rFonts w:ascii="Arial" w:hAnsi="Arial"/>
                  <w:sz w:val="18"/>
                </w:rPr>
                <w:t>No default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9.11</w:t>
            </w:r>
          </w:p>
        </w:tc>
        <w:tc>
          <w:tcPr>
            <w:tcW w:w="4250" w:type="dxa"/>
            <w:tcBorders/>
            <w:vAlign w:val="center"/>
          </w:tcPr>
          <w:p>
            <w:pPr>
              <w:pStyle w:val="TableContents"/>
              <w:bidi w:val="0"/>
              <w:spacing w:before="47" w:after="0"/>
              <w:ind w:left="0" w:right="0" w:hanging="0"/>
              <w:jc w:val="left"/>
              <w:rPr/>
            </w:pPr>
            <w:hyperlink w:anchor="Obligations_of_Trustees911">
              <w:r>
                <w:rPr>
                  <w:rStyle w:val="InternetLink"/>
                  <w:rFonts w:ascii="Arial" w:hAnsi="Arial"/>
                  <w:sz w:val="18"/>
                </w:rPr>
                <w:t>Obligations of Trustees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9.12</w:t>
            </w:r>
          </w:p>
        </w:tc>
        <w:tc>
          <w:tcPr>
            <w:tcW w:w="4250" w:type="dxa"/>
            <w:tcBorders/>
            <w:vAlign w:val="center"/>
          </w:tcPr>
          <w:p>
            <w:pPr>
              <w:pStyle w:val="TableContents"/>
              <w:bidi w:val="0"/>
              <w:spacing w:before="47" w:after="0"/>
              <w:ind w:left="0" w:right="0" w:hanging="0"/>
              <w:jc w:val="left"/>
              <w:rPr/>
            </w:pPr>
            <w:hyperlink w:anchor="Release_for_Permitted_Disposals912">
              <w:r>
                <w:rPr>
                  <w:rStyle w:val="InternetLink"/>
                  <w:rFonts w:ascii="Arial" w:hAnsi="Arial"/>
                  <w:sz w:val="18"/>
                </w:rPr>
                <w:t>Release for Permitted Disposals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10  </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Events_of_Default10">
              <w:r>
                <w:rPr>
                  <w:rStyle w:val="InternetLink"/>
                  <w:rFonts w:ascii="Arial" w:hAnsi="Arial"/>
                  <w:b/>
                  <w:sz w:val="18"/>
                </w:rPr>
                <w:t>Events of Default</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49 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10.1</w:t>
            </w:r>
          </w:p>
        </w:tc>
        <w:tc>
          <w:tcPr>
            <w:tcW w:w="4250" w:type="dxa"/>
            <w:tcBorders/>
            <w:vAlign w:val="center"/>
          </w:tcPr>
          <w:p>
            <w:pPr>
              <w:pStyle w:val="TableContents"/>
              <w:bidi w:val="0"/>
              <w:spacing w:before="47" w:after="0"/>
              <w:ind w:left="0" w:right="0" w:hanging="0"/>
              <w:jc w:val="left"/>
              <w:rPr/>
            </w:pPr>
            <w:hyperlink w:anchor="Nature101">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10.2</w:t>
            </w:r>
          </w:p>
        </w:tc>
        <w:tc>
          <w:tcPr>
            <w:tcW w:w="4250" w:type="dxa"/>
            <w:tcBorders/>
            <w:vAlign w:val="center"/>
          </w:tcPr>
          <w:p>
            <w:pPr>
              <w:pStyle w:val="TableContents"/>
              <w:bidi w:val="0"/>
              <w:spacing w:before="47" w:after="0"/>
              <w:ind w:left="0" w:right="0" w:hanging="0"/>
              <w:jc w:val="left"/>
              <w:rPr/>
            </w:pPr>
            <w:hyperlink w:anchor="Effect_of_Event_of_Default102">
              <w:r>
                <w:rPr>
                  <w:rStyle w:val="InternetLink"/>
                  <w:rFonts w:ascii="Arial" w:hAnsi="Arial"/>
                  <w:sz w:val="18"/>
                </w:rPr>
                <w:t>Effect of Event of Default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10.3</w:t>
            </w:r>
          </w:p>
        </w:tc>
        <w:tc>
          <w:tcPr>
            <w:tcW w:w="4250" w:type="dxa"/>
            <w:tcBorders/>
            <w:vAlign w:val="center"/>
          </w:tcPr>
          <w:p>
            <w:pPr>
              <w:pStyle w:val="TableContents"/>
              <w:bidi w:val="0"/>
              <w:spacing w:before="47" w:after="0"/>
              <w:ind w:left="0" w:right="0" w:hanging="0"/>
              <w:jc w:val="left"/>
              <w:rPr/>
            </w:pPr>
            <w:hyperlink w:anchor="Cash103">
              <w:r>
                <w:rPr>
                  <w:rStyle w:val="InternetLink"/>
                  <w:rFonts w:ascii="Arial" w:hAnsi="Arial"/>
                  <w:sz w:val="18"/>
                </w:rPr>
                <w:t>Cash Cover Account regarding Bank Guarantees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10.4</w:t>
            </w:r>
          </w:p>
        </w:tc>
        <w:tc>
          <w:tcPr>
            <w:tcW w:w="4250" w:type="dxa"/>
            <w:tcBorders/>
            <w:vAlign w:val="center"/>
          </w:tcPr>
          <w:p>
            <w:pPr>
              <w:pStyle w:val="TableContents"/>
              <w:bidi w:val="0"/>
              <w:spacing w:before="47" w:after="0"/>
              <w:ind w:left="0" w:right="0" w:hanging="0"/>
              <w:jc w:val="left"/>
              <w:rPr/>
            </w:pPr>
            <w:hyperlink w:anchor="Review_Events104">
              <w:r>
                <w:rPr>
                  <w:rStyle w:val="InternetLink"/>
                  <w:rFonts w:ascii="Arial" w:hAnsi="Arial"/>
                  <w:sz w:val="18"/>
                </w:rPr>
                <w:t>Review Events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10.5</w:t>
            </w:r>
          </w:p>
        </w:tc>
        <w:tc>
          <w:tcPr>
            <w:tcW w:w="4250" w:type="dxa"/>
            <w:tcBorders/>
            <w:vAlign w:val="center"/>
          </w:tcPr>
          <w:p>
            <w:pPr>
              <w:pStyle w:val="TableContents"/>
              <w:bidi w:val="0"/>
              <w:spacing w:before="47" w:after="0"/>
              <w:ind w:left="0" w:right="0" w:hanging="0"/>
              <w:jc w:val="left"/>
              <w:rPr/>
            </w:pPr>
            <w:hyperlink w:anchor="Reviews105">
              <w:r>
                <w:rPr>
                  <w:rStyle w:val="InternetLink"/>
                  <w:rFonts w:ascii="Arial" w:hAnsi="Arial"/>
                  <w:sz w:val="18"/>
                </w:rPr>
                <w:t>Reviews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10.6</w:t>
            </w:r>
          </w:p>
        </w:tc>
        <w:tc>
          <w:tcPr>
            <w:tcW w:w="4250" w:type="dxa"/>
            <w:tcBorders/>
            <w:vAlign w:val="center"/>
          </w:tcPr>
          <w:p>
            <w:pPr>
              <w:pStyle w:val="TableContents"/>
              <w:bidi w:val="0"/>
              <w:spacing w:before="47" w:after="0"/>
              <w:ind w:left="0" w:right="0" w:hanging="0"/>
              <w:jc w:val="left"/>
              <w:rPr/>
            </w:pPr>
            <w:hyperlink w:anchor="Equity_Cure106">
              <w:r>
                <w:rPr>
                  <w:rStyle w:val="InternetLink"/>
                  <w:rFonts w:ascii="Arial" w:hAnsi="Arial"/>
                  <w:sz w:val="18"/>
                </w:rPr>
                <w:t>Equity Cure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11  </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Costs_and_expenses11">
              <w:r>
                <w:rPr>
                  <w:rStyle w:val="InternetLink"/>
                  <w:rFonts w:ascii="Arial" w:hAnsi="Arial"/>
                  <w:b/>
                  <w:sz w:val="18"/>
                </w:rPr>
                <w:t>Costs and expenses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55 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11.1</w:t>
            </w:r>
          </w:p>
        </w:tc>
        <w:tc>
          <w:tcPr>
            <w:tcW w:w="4250" w:type="dxa"/>
            <w:tcBorders/>
            <w:vAlign w:val="center"/>
          </w:tcPr>
          <w:p>
            <w:pPr>
              <w:pStyle w:val="TableContents"/>
              <w:bidi w:val="0"/>
              <w:spacing w:before="47" w:after="0"/>
              <w:ind w:left="0" w:right="0" w:hanging="0"/>
              <w:jc w:val="left"/>
              <w:rPr/>
            </w:pPr>
            <w:hyperlink w:anchor="Interpretation111">
              <w:r>
                <w:rPr>
                  <w:rStyle w:val="InternetLink"/>
                  <w:rFonts w:ascii="Arial" w:hAnsi="Arial"/>
                  <w:sz w:val="18"/>
                </w:rPr>
                <w:t>Interpretation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11.2</w:t>
            </w:r>
          </w:p>
        </w:tc>
        <w:tc>
          <w:tcPr>
            <w:tcW w:w="4250" w:type="dxa"/>
            <w:tcBorders/>
            <w:vAlign w:val="center"/>
          </w:tcPr>
          <w:p>
            <w:pPr>
              <w:pStyle w:val="TableContents"/>
              <w:bidi w:val="0"/>
              <w:spacing w:before="47" w:after="0"/>
              <w:ind w:left="0" w:right="0" w:hanging="0"/>
              <w:jc w:val="left"/>
              <w:rPr/>
            </w:pPr>
            <w:hyperlink w:anchor="Nature112">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11.3</w:t>
            </w:r>
          </w:p>
        </w:tc>
        <w:tc>
          <w:tcPr>
            <w:tcW w:w="4250" w:type="dxa"/>
            <w:tcBorders/>
            <w:vAlign w:val="center"/>
          </w:tcPr>
          <w:p>
            <w:pPr>
              <w:pStyle w:val="TableContents"/>
              <w:bidi w:val="0"/>
              <w:spacing w:before="47" w:after="0"/>
              <w:ind w:left="0" w:right="0" w:hanging="0"/>
              <w:jc w:val="left"/>
              <w:rPr/>
            </w:pPr>
            <w:hyperlink w:anchor="Remuneration113">
              <w:r>
                <w:rPr>
                  <w:rStyle w:val="InternetLink"/>
                  <w:rFonts w:ascii="Arial" w:hAnsi="Arial"/>
                  <w:sz w:val="18"/>
                </w:rPr>
                <w:t>Remuneration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12  </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Indemnities12">
              <w:r>
                <w:rPr>
                  <w:rStyle w:val="InternetLink"/>
                  <w:rFonts w:ascii="Arial" w:hAnsi="Arial"/>
                  <w:b/>
                  <w:sz w:val="18"/>
                </w:rPr>
                <w:t>Indemnities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56 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12.1</w:t>
            </w:r>
          </w:p>
        </w:tc>
        <w:tc>
          <w:tcPr>
            <w:tcW w:w="4250" w:type="dxa"/>
            <w:tcBorders/>
            <w:vAlign w:val="center"/>
          </w:tcPr>
          <w:p>
            <w:pPr>
              <w:pStyle w:val="TableContents"/>
              <w:bidi w:val="0"/>
              <w:spacing w:before="47" w:after="0"/>
              <w:ind w:left="0" w:right="0" w:hanging="0"/>
              <w:jc w:val="left"/>
              <w:rPr/>
            </w:pPr>
            <w:hyperlink w:anchor="Nature121">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12.2</w:t>
            </w:r>
          </w:p>
        </w:tc>
        <w:tc>
          <w:tcPr>
            <w:tcW w:w="4250" w:type="dxa"/>
            <w:tcBorders/>
            <w:vAlign w:val="center"/>
          </w:tcPr>
          <w:p>
            <w:pPr>
              <w:pStyle w:val="TableContents"/>
              <w:bidi w:val="0"/>
              <w:spacing w:before="47" w:after="0"/>
              <w:ind w:left="0" w:right="0" w:hanging="0"/>
              <w:jc w:val="left"/>
              <w:rPr/>
            </w:pPr>
            <w:hyperlink w:anchor="Representatives122">
              <w:r>
                <w:rPr>
                  <w:rStyle w:val="InternetLink"/>
                  <w:rFonts w:ascii="Arial" w:hAnsi="Arial"/>
                  <w:sz w:val="18"/>
                </w:rPr>
                <w:t>Representatives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12.3</w:t>
            </w:r>
          </w:p>
        </w:tc>
        <w:tc>
          <w:tcPr>
            <w:tcW w:w="4250" w:type="dxa"/>
            <w:tcBorders/>
            <w:vAlign w:val="center"/>
          </w:tcPr>
          <w:p>
            <w:pPr>
              <w:pStyle w:val="TableContents"/>
              <w:bidi w:val="0"/>
              <w:spacing w:before="47" w:after="0"/>
              <w:ind w:left="0" w:right="0" w:hanging="0"/>
              <w:jc w:val="left"/>
              <w:rPr/>
            </w:pPr>
            <w:hyperlink w:anchor="Currency_deficiency123">
              <w:r>
                <w:rPr>
                  <w:rStyle w:val="InternetLink"/>
                  <w:rFonts w:ascii="Arial" w:hAnsi="Arial"/>
                  <w:sz w:val="18"/>
                </w:rPr>
                <w:t>Currency deficiency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12.4</w:t>
            </w:r>
          </w:p>
        </w:tc>
        <w:tc>
          <w:tcPr>
            <w:tcW w:w="4250" w:type="dxa"/>
            <w:tcBorders/>
            <w:vAlign w:val="center"/>
          </w:tcPr>
          <w:p>
            <w:pPr>
              <w:pStyle w:val="TableContents"/>
              <w:bidi w:val="0"/>
              <w:spacing w:before="47" w:after="0"/>
              <w:ind w:left="0" w:right="0" w:hanging="0"/>
              <w:jc w:val="left"/>
              <w:rPr/>
            </w:pPr>
            <w:hyperlink w:anchor="Independence_and_survival124">
              <w:r>
                <w:rPr>
                  <w:rStyle w:val="InternetLink"/>
                  <w:rFonts w:ascii="Arial" w:hAnsi="Arial"/>
                  <w:sz w:val="18"/>
                </w:rPr>
                <w:t>Independence and survival</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12.5</w:t>
            </w:r>
          </w:p>
        </w:tc>
        <w:tc>
          <w:tcPr>
            <w:tcW w:w="4250" w:type="dxa"/>
            <w:tcBorders/>
            <w:vAlign w:val="center"/>
          </w:tcPr>
          <w:p>
            <w:pPr>
              <w:pStyle w:val="TableContents"/>
              <w:bidi w:val="0"/>
              <w:spacing w:before="47" w:after="0"/>
              <w:ind w:left="0" w:right="0" w:hanging="0"/>
              <w:jc w:val="left"/>
              <w:rPr/>
            </w:pPr>
            <w:hyperlink w:anchor="Accounting_for_transactions125">
              <w:r>
                <w:rPr>
                  <w:rStyle w:val="InternetLink"/>
                  <w:rFonts w:ascii="Arial" w:hAnsi="Arial"/>
                  <w:sz w:val="18"/>
                </w:rPr>
                <w:t>Accounting for transactions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12.6</w:t>
            </w:r>
          </w:p>
        </w:tc>
        <w:tc>
          <w:tcPr>
            <w:tcW w:w="4250" w:type="dxa"/>
            <w:tcBorders/>
            <w:vAlign w:val="center"/>
          </w:tcPr>
          <w:p>
            <w:pPr>
              <w:pStyle w:val="TableContents"/>
              <w:bidi w:val="0"/>
              <w:spacing w:before="47" w:after="0"/>
              <w:ind w:left="0" w:right="0" w:hanging="0"/>
              <w:jc w:val="left"/>
              <w:rPr/>
            </w:pPr>
            <w:hyperlink w:anchor="Liability_for_Regulatory_Events126">
              <w:r>
                <w:rPr>
                  <w:rStyle w:val="InternetLink"/>
                  <w:rFonts w:ascii="Arial" w:hAnsi="Arial"/>
                  <w:sz w:val="18"/>
                </w:rPr>
                <w:t>Liability for Regulatory Events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13  </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Goods_and_Services_Tax13">
              <w:r>
                <w:rPr>
                  <w:rStyle w:val="InternetLink"/>
                  <w:rFonts w:ascii="Arial" w:hAnsi="Arial"/>
                  <w:b/>
                  <w:sz w:val="18"/>
                </w:rPr>
                <w:t>Goods and Services Tax</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58 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13.1</w:t>
            </w:r>
          </w:p>
        </w:tc>
        <w:tc>
          <w:tcPr>
            <w:tcW w:w="4250" w:type="dxa"/>
            <w:tcBorders/>
            <w:vAlign w:val="center"/>
          </w:tcPr>
          <w:p>
            <w:pPr>
              <w:pStyle w:val="TableContents"/>
              <w:bidi w:val="0"/>
              <w:spacing w:before="47" w:after="0"/>
              <w:ind w:left="0" w:right="0" w:hanging="0"/>
              <w:jc w:val="left"/>
              <w:rPr/>
            </w:pPr>
            <w:hyperlink w:anchor="Taxable_supply131">
              <w:r>
                <w:rPr>
                  <w:rStyle w:val="InternetLink"/>
                  <w:rFonts w:ascii="Arial" w:hAnsi="Arial"/>
                  <w:sz w:val="18"/>
                </w:rPr>
                <w:t>Taxable supply</w:t>
              </w:r>
            </w:hyperlink>
          </w:p>
        </w:tc>
        <w:tc>
          <w:tcPr>
            <w:tcW w:w="320" w:type="dxa"/>
            <w:tcBorders/>
            <w:vAlign w:val="bottom"/>
          </w:tcPr>
          <w:p>
            <w:pPr>
              <w:pStyle w:val="TableContents"/>
              <w:bidi w:val="0"/>
              <w:spacing w:before="0" w:after="283"/>
              <w:jc w:val="right"/>
              <w:rPr>
                <w:rFonts w:ascii="Arial" w:hAnsi="Arial"/>
                <w:color w:val="000000"/>
                <w:sz w:val="18"/>
              </w:rPr>
            </w:pPr>
            <w:r>
              <w:rPr>
                <w:rFonts w:ascii="Arial" w:hAnsi="Arial"/>
                <w:color w:val="000000"/>
                <w:sz w:val="18"/>
              </w:rPr>
              <w:t xml:space="preserve">58 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13.2</w:t>
            </w:r>
          </w:p>
        </w:tc>
        <w:tc>
          <w:tcPr>
            <w:tcW w:w="4250" w:type="dxa"/>
            <w:tcBorders/>
            <w:vAlign w:val="center"/>
          </w:tcPr>
          <w:p>
            <w:pPr>
              <w:pStyle w:val="TableContents"/>
              <w:bidi w:val="0"/>
              <w:spacing w:before="47" w:after="0"/>
              <w:ind w:left="0" w:right="0" w:hanging="0"/>
              <w:jc w:val="left"/>
              <w:rPr/>
            </w:pPr>
            <w:hyperlink w:anchor="Adjustment_events132">
              <w:r>
                <w:rPr>
                  <w:rStyle w:val="InternetLink"/>
                  <w:rFonts w:ascii="Arial" w:hAnsi="Arial"/>
                  <w:sz w:val="18"/>
                </w:rPr>
                <w:t>Adjustment events</w:t>
              </w:r>
            </w:hyperlink>
          </w:p>
        </w:tc>
        <w:tc>
          <w:tcPr>
            <w:tcW w:w="320" w:type="dxa"/>
            <w:tcBorders/>
            <w:vAlign w:val="bottom"/>
          </w:tcPr>
          <w:p>
            <w:pPr>
              <w:pStyle w:val="TableContents"/>
              <w:bidi w:val="0"/>
              <w:spacing w:before="0" w:after="283"/>
              <w:jc w:val="right"/>
              <w:rPr>
                <w:rFonts w:ascii="Arial" w:hAnsi="Arial"/>
                <w:color w:val="000000"/>
                <w:sz w:val="18"/>
              </w:rPr>
            </w:pPr>
            <w:r>
              <w:rPr>
                <w:rFonts w:ascii="Arial" w:hAnsi="Arial"/>
                <w:color w:val="000000"/>
                <w:sz w:val="18"/>
              </w:rPr>
              <w:t xml:space="preserve">59 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320" w:type="dxa"/>
            <w:tcBorders/>
            <w:vAlign w:val="bottom"/>
          </w:tcPr>
          <w:p>
            <w:pPr>
              <w:pStyle w:val="TableContents"/>
              <w:bidi w:val="0"/>
              <w:spacing w:before="47" w:after="0"/>
              <w:ind w:left="0" w:right="0" w:hanging="0"/>
              <w:jc w:val="left"/>
              <w:rPr/>
            </w:pPr>
            <w:r>
              <w:rPr/>
              <w:t> </w:t>
            </w:r>
          </w:p>
        </w:tc>
        <w:tc>
          <w:tcPr>
            <w:tcW w:w="380" w:type="dxa"/>
            <w:tcBorders/>
            <w:vAlign w:val="bottom"/>
          </w:tcPr>
          <w:p>
            <w:pPr>
              <w:pStyle w:val="TableContents"/>
              <w:bidi w:val="0"/>
              <w:spacing w:before="47" w:after="0"/>
              <w:ind w:left="0" w:right="0" w:hanging="0"/>
              <w:jc w:val="left"/>
              <w:rPr>
                <w:rFonts w:ascii="Arial" w:hAnsi="Arial"/>
                <w:color w:val="000000"/>
                <w:sz w:val="18"/>
              </w:rPr>
            </w:pPr>
            <w:r>
              <w:rPr>
                <w:rFonts w:ascii="Arial" w:hAnsi="Arial"/>
                <w:color w:val="000000"/>
                <w:sz w:val="18"/>
              </w:rPr>
              <w:t>13.3</w:t>
            </w:r>
          </w:p>
        </w:tc>
        <w:tc>
          <w:tcPr>
            <w:tcW w:w="4250" w:type="dxa"/>
            <w:tcBorders/>
            <w:vAlign w:val="bottom"/>
          </w:tcPr>
          <w:p>
            <w:pPr>
              <w:pStyle w:val="TableContents"/>
              <w:bidi w:val="0"/>
              <w:spacing w:before="47" w:after="0"/>
              <w:ind w:left="0" w:right="0" w:hanging="0"/>
              <w:jc w:val="left"/>
              <w:rPr/>
            </w:pPr>
            <w:hyperlink w:anchor="Payments133">
              <w:r>
                <w:rPr>
                  <w:rStyle w:val="InternetLink"/>
                  <w:rFonts w:ascii="Arial" w:hAnsi="Arial"/>
                  <w:sz w:val="18"/>
                </w:rPr>
                <w:t>Payments</w:t>
              </w:r>
            </w:hyperlink>
          </w:p>
        </w:tc>
        <w:tc>
          <w:tcPr>
            <w:tcW w:w="320" w:type="dxa"/>
            <w:tcBorders/>
            <w:vAlign w:val="bottom"/>
          </w:tcPr>
          <w:p>
            <w:pPr>
              <w:pStyle w:val="TableContents"/>
              <w:bidi w:val="0"/>
              <w:spacing w:before="0" w:after="283"/>
              <w:jc w:val="right"/>
              <w:rPr>
                <w:rFonts w:ascii="Arial" w:hAnsi="Arial"/>
                <w:color w:val="000000"/>
                <w:sz w:val="18"/>
              </w:rPr>
            </w:pPr>
            <w:r>
              <w:rPr>
                <w:rFonts w:ascii="Arial" w:hAnsi="Arial"/>
                <w:color w:val="000000"/>
                <w:sz w:val="18"/>
              </w:rPr>
              <w:t xml:space="preserve">59  </w:t>
            </w:r>
          </w:p>
        </w:tc>
        <w:tc>
          <w:tcPr>
            <w:tcW w:w="75" w:type="dxa"/>
            <w:tcBorders/>
            <w:vAlign w:val="bottom"/>
          </w:tcPr>
          <w:p>
            <w:pPr>
              <w:pStyle w:val="TableContents"/>
              <w:bidi w:val="0"/>
              <w:spacing w:before="47" w:after="0"/>
              <w:ind w:left="0" w:right="0" w:hanging="0"/>
              <w:jc w:val="right"/>
              <w:rPr/>
            </w:pPr>
            <w:r>
              <w:rPr/>
              <w:t> </w:t>
            </w:r>
          </w:p>
        </w:tc>
      </w:tr>
    </w:tbl>
    <w:p>
      <w:pPr>
        <w:pStyle w:val="TextBody"/>
        <w:bidi w:val="0"/>
        <w:spacing w:before="220" w:after="0"/>
        <w:ind w:left="360" w:right="360" w:hanging="0"/>
        <w:jc w:val="left"/>
        <w:rPr>
          <w:rFonts w:cs="Arial"/>
          <w:szCs w:val="20"/>
        </w:rPr>
      </w:pPr>
      <w:r>
        <w:rPr>
          <w:rFonts w:cs="Arial"/>
          <w:bCs/>
          <w:szCs w:val="20"/>
        </w:rPr>
        <w:t>﻿</w:t>
      </w:r>
      <w:r>
        <w:rPr>
          <w:rFonts w:cs="Arial"/>
          <w:szCs w:val="20"/>
        </w:rPr>
        <w:t xml:space="preserve"> </w:t>
      </w:r>
    </w:p>
    <w:tbl>
      <w:tblPr>
        <w:tblW w:w="1908" w:type="dxa"/>
        <w:jc w:val="left"/>
        <w:tblInd w:w="360" w:type="dxa"/>
        <w:tblLayout w:type="fixed"/>
        <w:tblCellMar>
          <w:top w:w="0" w:type="dxa"/>
          <w:left w:w="0" w:type="dxa"/>
          <w:bottom w:w="0" w:type="dxa"/>
          <w:right w:w="0" w:type="dxa"/>
        </w:tblCellMar>
      </w:tblPr>
      <w:tblGrid>
        <w:gridCol w:w="38"/>
        <w:gridCol w:w="1295"/>
        <w:gridCol w:w="500"/>
        <w:gridCol w:w="75"/>
      </w:tblGrid>
      <w:tr>
        <w:trPr/>
        <w:tc>
          <w:tcPr>
            <w:tcW w:w="38" w:type="dxa"/>
            <w:tcBorders/>
            <w:vAlign w:val="bottom"/>
          </w:tcPr>
          <w:p>
            <w:pPr>
              <w:pStyle w:val="TableContents"/>
              <w:bidi w:val="0"/>
              <w:spacing w:before="0" w:after="0"/>
              <w:ind w:left="0" w:right="0" w:hanging="0"/>
              <w:jc w:val="left"/>
              <w:rPr>
                <w:rFonts w:cs="Arial"/>
                <w:szCs w:val="2"/>
              </w:rPr>
            </w:pPr>
            <w:r>
              <w:rPr>
                <w:rFonts w:cs="Arial"/>
                <w:szCs w:val="2"/>
              </w:rPr>
              <w:t>﻿</w:t>
            </w:r>
          </w:p>
        </w:tc>
        <w:tc>
          <w:tcPr>
            <w:tcW w:w="1295" w:type="dxa"/>
            <w:tcBorders/>
            <w:vAlign w:val="bottom"/>
          </w:tcPr>
          <w:p>
            <w:pPr>
              <w:pStyle w:val="TableContents"/>
              <w:bidi w:val="0"/>
              <w:spacing w:before="0" w:after="0"/>
              <w:ind w:left="0" w:right="0" w:hanging="0"/>
              <w:jc w:val="left"/>
              <w:rPr/>
            </w:pPr>
            <w:r>
              <w:rPr/>
              <w:t> </w:t>
            </w:r>
          </w:p>
        </w:tc>
        <w:tc>
          <w:tcPr>
            <w:tcW w:w="50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95" w:type="dxa"/>
            <w:tcBorders/>
            <w:vAlign w:val="bottom"/>
          </w:tcPr>
          <w:p>
            <w:pPr>
              <w:pStyle w:val="TableContents"/>
              <w:bidi w:val="0"/>
              <w:spacing w:before="0" w:after="0"/>
              <w:ind w:left="0" w:right="0" w:hanging="0"/>
              <w:jc w:val="left"/>
              <w:rPr>
                <w:rFonts w:ascii="Arial" w:hAnsi="Arial"/>
                <w:color w:val="000000"/>
                <w:sz w:val="15"/>
              </w:rPr>
            </w:pPr>
            <w:r>
              <w:rPr>
                <w:rFonts w:ascii="Arial" w:hAnsi="Arial"/>
                <w:color w:val="000000"/>
                <w:sz w:val="15"/>
              </w:rPr>
              <w:t>Facility Agreement</w:t>
            </w:r>
          </w:p>
        </w:tc>
        <w:tc>
          <w:tcPr>
            <w:tcW w:w="500" w:type="dxa"/>
            <w:tcBorders/>
            <w:vAlign w:val="bottom"/>
          </w:tcPr>
          <w:p>
            <w:pPr>
              <w:pStyle w:val="TableContents"/>
              <w:bidi w:val="0"/>
              <w:spacing w:before="0" w:after="0"/>
              <w:ind w:left="0" w:right="0" w:hanging="0"/>
              <w:jc w:val="right"/>
              <w:rPr>
                <w:rFonts w:ascii="Arial" w:hAnsi="Arial"/>
                <w:color w:val="000000"/>
                <w:sz w:val="15"/>
              </w:rPr>
            </w:pPr>
            <w:r>
              <w:rPr>
                <w:rFonts w:ascii="Arial" w:hAnsi="Arial"/>
                <w:color w:val="000000"/>
                <w:sz w:val="15"/>
              </w:rPr>
              <w:t>Page ii</w:t>
            </w:r>
          </w:p>
        </w:tc>
        <w:tc>
          <w:tcPr>
            <w:tcW w:w="75" w:type="dxa"/>
            <w:tcBorders/>
            <w:vAlign w:val="bottom"/>
          </w:tcPr>
          <w:p>
            <w:pPr>
              <w:pStyle w:val="TableContents"/>
              <w:bidi w:val="0"/>
              <w:spacing w:before="0" w:after="0"/>
              <w:ind w:left="0" w:right="0" w:hanging="0"/>
              <w:jc w:val="right"/>
              <w:rPr/>
            </w:pPr>
            <w:r>
              <w:rPr/>
              <w:t> </w:t>
            </w:r>
          </w:p>
        </w:tc>
      </w:tr>
    </w:tbl>
    <w:p>
      <w:pPr>
        <w:pStyle w:val="TextBody"/>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pPr>
      <w:r>
        <w:rPr/>
        <w:t xml:space="preserve">  </w:t>
      </w:r>
    </w:p>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tbl>
      <w:tblPr>
        <w:tblW w:w="3898" w:type="dxa"/>
        <w:jc w:val="left"/>
        <w:tblInd w:w="360" w:type="dxa"/>
        <w:tblLayout w:type="fixed"/>
        <w:tblCellMar>
          <w:top w:w="0" w:type="dxa"/>
          <w:left w:w="0" w:type="dxa"/>
          <w:bottom w:w="0" w:type="dxa"/>
          <w:right w:w="0" w:type="dxa"/>
        </w:tblCellMar>
      </w:tblPr>
      <w:tblGrid>
        <w:gridCol w:w="38"/>
        <w:gridCol w:w="230"/>
        <w:gridCol w:w="485"/>
        <w:gridCol w:w="2750"/>
        <w:gridCol w:w="320"/>
        <w:gridCol w:w="75"/>
      </w:tblGrid>
      <w:tr>
        <w:trPr/>
        <w:tc>
          <w:tcPr>
            <w:tcW w:w="38" w:type="dxa"/>
            <w:tcBorders/>
            <w:vAlign w:val="bottom"/>
          </w:tcPr>
          <w:p>
            <w:pPr>
              <w:pStyle w:val="TableContents"/>
              <w:bidi w:val="0"/>
              <w:spacing w:before="0" w:after="0"/>
              <w:ind w:left="0" w:right="0" w:hanging="0"/>
              <w:jc w:val="left"/>
              <w:rPr>
                <w:rFonts w:cs="Times New Roman"/>
                <w:szCs w:val="24"/>
              </w:rPr>
            </w:pPr>
            <w:r>
              <w:rPr>
                <w:rFonts w:cs="Times New Roman"/>
                <w:szCs w:val="24"/>
              </w:rPr>
              <w:t>﻿</w:t>
            </w:r>
          </w:p>
        </w:tc>
        <w:tc>
          <w:tcPr>
            <w:tcW w:w="230" w:type="dxa"/>
            <w:tcBorders>
              <w:bottom w:val="single" w:sz="8" w:space="0" w:color="000000"/>
            </w:tcBorders>
            <w:tcMar>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14</w:t>
            </w:r>
          </w:p>
        </w:tc>
        <w:tc>
          <w:tcPr>
            <w:tcW w:w="3235"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hyperlink w:anchor="Increased_costs14">
              <w:r>
                <w:rPr>
                  <w:rStyle w:val="InternetLink"/>
                  <w:rFonts w:ascii="Arial" w:hAnsi="Arial"/>
                  <w:b/>
                  <w:sz w:val="18"/>
                </w:rPr>
                <w:t>Increased costs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59 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15</w:t>
            </w:r>
          </w:p>
        </w:tc>
        <w:tc>
          <w:tcPr>
            <w:tcW w:w="3235"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Illegality15">
              <w:r>
                <w:rPr>
                  <w:rStyle w:val="InternetLink"/>
                  <w:rFonts w:ascii="Arial" w:hAnsi="Arial"/>
                  <w:b/>
                  <w:sz w:val="18"/>
                </w:rPr>
                <w:t>Illegality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60 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15.1</w:t>
            </w:r>
          </w:p>
        </w:tc>
        <w:tc>
          <w:tcPr>
            <w:tcW w:w="2750" w:type="dxa"/>
            <w:tcBorders/>
            <w:vAlign w:val="center"/>
          </w:tcPr>
          <w:p>
            <w:pPr>
              <w:pStyle w:val="TableContents"/>
              <w:bidi w:val="0"/>
              <w:spacing w:before="47" w:after="0"/>
              <w:ind w:left="0" w:right="0" w:hanging="0"/>
              <w:jc w:val="left"/>
              <w:rPr/>
            </w:pPr>
            <w:hyperlink w:anchor="Prepayment151">
              <w:r>
                <w:rPr>
                  <w:rStyle w:val="InternetLink"/>
                  <w:rFonts w:ascii="Arial" w:hAnsi="Arial"/>
                  <w:sz w:val="18"/>
                </w:rPr>
                <w:t>Prepayment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15.2</w:t>
            </w:r>
          </w:p>
        </w:tc>
        <w:tc>
          <w:tcPr>
            <w:tcW w:w="2750" w:type="dxa"/>
            <w:tcBorders/>
            <w:vAlign w:val="center"/>
          </w:tcPr>
          <w:p>
            <w:pPr>
              <w:pStyle w:val="TableContents"/>
              <w:bidi w:val="0"/>
              <w:spacing w:before="47" w:after="0"/>
              <w:ind w:left="0" w:right="0" w:hanging="0"/>
              <w:jc w:val="left"/>
              <w:rPr/>
            </w:pPr>
            <w:hyperlink w:anchor="Facility_terminated152">
              <w:r>
                <w:rPr>
                  <w:rStyle w:val="InternetLink"/>
                  <w:rFonts w:ascii="Arial" w:hAnsi="Arial"/>
                  <w:sz w:val="18"/>
                </w:rPr>
                <w:t>Facility terminated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16</w:t>
            </w:r>
          </w:p>
        </w:tc>
        <w:tc>
          <w:tcPr>
            <w:tcW w:w="3235"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Guarantee_and_indemnity16">
              <w:r>
                <w:rPr>
                  <w:rStyle w:val="InternetLink"/>
                  <w:rFonts w:ascii="Arial" w:hAnsi="Arial"/>
                  <w:b/>
                  <w:sz w:val="18"/>
                </w:rPr>
                <w:t>Guarantee and indemnity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60 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w:t>
            </w:r>
          </w:p>
        </w:tc>
        <w:tc>
          <w:tcPr>
            <w:tcW w:w="2750" w:type="dxa"/>
            <w:tcBorders/>
            <w:vAlign w:val="center"/>
          </w:tcPr>
          <w:p>
            <w:pPr>
              <w:pStyle w:val="TableContents"/>
              <w:bidi w:val="0"/>
              <w:spacing w:before="47" w:after="0"/>
              <w:ind w:left="0" w:right="0" w:hanging="0"/>
              <w:jc w:val="left"/>
              <w:rPr/>
            </w:pPr>
            <w:hyperlink w:anchor="Guarantee161">
              <w:r>
                <w:rPr>
                  <w:rStyle w:val="InternetLink"/>
                  <w:rFonts w:ascii="Arial" w:hAnsi="Arial"/>
                  <w:sz w:val="18"/>
                </w:rPr>
                <w:t>Guarantee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16.2</w:t>
            </w:r>
          </w:p>
        </w:tc>
        <w:tc>
          <w:tcPr>
            <w:tcW w:w="2750" w:type="dxa"/>
            <w:tcBorders/>
            <w:vAlign w:val="center"/>
          </w:tcPr>
          <w:p>
            <w:pPr>
              <w:pStyle w:val="TableContents"/>
              <w:bidi w:val="0"/>
              <w:spacing w:before="47" w:after="0"/>
              <w:ind w:left="0" w:right="0" w:hanging="0"/>
              <w:jc w:val="left"/>
              <w:rPr/>
            </w:pPr>
            <w:hyperlink w:anchor="Nature_of_guarantee162">
              <w:r>
                <w:rPr>
                  <w:rStyle w:val="InternetLink"/>
                  <w:rFonts w:ascii="Arial" w:hAnsi="Arial"/>
                  <w:sz w:val="18"/>
                </w:rPr>
                <w:t>Nature of guarantee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16.3</w:t>
            </w:r>
          </w:p>
        </w:tc>
        <w:tc>
          <w:tcPr>
            <w:tcW w:w="2750" w:type="dxa"/>
            <w:tcBorders/>
            <w:vAlign w:val="center"/>
          </w:tcPr>
          <w:p>
            <w:pPr>
              <w:pStyle w:val="TableContents"/>
              <w:bidi w:val="0"/>
              <w:spacing w:before="47" w:after="0"/>
              <w:ind w:left="0" w:right="0" w:hanging="0"/>
              <w:jc w:val="left"/>
              <w:rPr/>
            </w:pPr>
            <w:hyperlink w:anchor="Indemnity163">
              <w:r>
                <w:rPr>
                  <w:rStyle w:val="InternetLink"/>
                  <w:rFonts w:ascii="Arial" w:hAnsi="Arial"/>
                  <w:sz w:val="18"/>
                </w:rPr>
                <w:t>Indemnity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16.4</w:t>
            </w:r>
          </w:p>
        </w:tc>
        <w:tc>
          <w:tcPr>
            <w:tcW w:w="2750" w:type="dxa"/>
            <w:tcBorders/>
            <w:vAlign w:val="center"/>
          </w:tcPr>
          <w:p>
            <w:pPr>
              <w:pStyle w:val="TableContents"/>
              <w:bidi w:val="0"/>
              <w:spacing w:before="47" w:after="0"/>
              <w:ind w:left="0" w:right="0" w:hanging="0"/>
              <w:jc w:val="left"/>
              <w:rPr/>
            </w:pPr>
            <w:hyperlink w:anchor="Reinstatement_of_rights164">
              <w:r>
                <w:rPr>
                  <w:rStyle w:val="InternetLink"/>
                  <w:rFonts w:ascii="Arial" w:hAnsi="Arial"/>
                  <w:sz w:val="18"/>
                </w:rPr>
                <w:t>Reinstatement of rights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16.5</w:t>
            </w:r>
          </w:p>
        </w:tc>
        <w:tc>
          <w:tcPr>
            <w:tcW w:w="2750" w:type="dxa"/>
            <w:tcBorders/>
            <w:vAlign w:val="center"/>
          </w:tcPr>
          <w:p>
            <w:pPr>
              <w:pStyle w:val="TableContents"/>
              <w:bidi w:val="0"/>
              <w:spacing w:before="47" w:after="0"/>
              <w:ind w:left="0" w:right="0" w:hanging="0"/>
              <w:jc w:val="left"/>
              <w:rPr/>
            </w:pPr>
            <w:hyperlink w:anchor="Rights_of_the_Bank165">
              <w:r>
                <w:rPr>
                  <w:rStyle w:val="InternetLink"/>
                  <w:rFonts w:ascii="Arial" w:hAnsi="Arial"/>
                  <w:sz w:val="18"/>
                </w:rPr>
                <w:t>Rights of the Bank are protected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16.6</w:t>
            </w:r>
          </w:p>
        </w:tc>
        <w:tc>
          <w:tcPr>
            <w:tcW w:w="2750" w:type="dxa"/>
            <w:tcBorders/>
            <w:vAlign w:val="center"/>
          </w:tcPr>
          <w:p>
            <w:pPr>
              <w:pStyle w:val="TableContents"/>
              <w:bidi w:val="0"/>
              <w:spacing w:before="47" w:after="0"/>
              <w:ind w:left="0" w:right="0" w:hanging="0"/>
              <w:jc w:val="left"/>
              <w:rPr/>
            </w:pPr>
            <w:hyperlink w:anchor="No_merger166">
              <w:r>
                <w:rPr>
                  <w:rStyle w:val="InternetLink"/>
                  <w:rFonts w:ascii="Arial" w:hAnsi="Arial"/>
                  <w:sz w:val="18"/>
                </w:rPr>
                <w:t>No merger</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16.7</w:t>
            </w:r>
          </w:p>
        </w:tc>
        <w:tc>
          <w:tcPr>
            <w:tcW w:w="2750" w:type="dxa"/>
            <w:tcBorders/>
            <w:vAlign w:val="bottom"/>
          </w:tcPr>
          <w:p>
            <w:pPr>
              <w:pStyle w:val="TableContents"/>
              <w:bidi w:val="0"/>
              <w:spacing w:before="47" w:after="0"/>
              <w:ind w:left="0" w:right="0" w:hanging="0"/>
              <w:jc w:val="left"/>
              <w:rPr/>
            </w:pPr>
            <w:hyperlink w:anchor="Extent_of_Guarantors_obligations167">
              <w:r>
                <w:rPr>
                  <w:rStyle w:val="InternetLink"/>
                  <w:rFonts w:ascii="Arial" w:hAnsi="Arial"/>
                  <w:sz w:val="18"/>
                </w:rPr>
                <w:t>Extent of Guarantor's obligations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16.8</w:t>
            </w:r>
          </w:p>
        </w:tc>
        <w:tc>
          <w:tcPr>
            <w:tcW w:w="2750" w:type="dxa"/>
            <w:tcBorders/>
            <w:vAlign w:val="bottom"/>
          </w:tcPr>
          <w:p>
            <w:pPr>
              <w:pStyle w:val="TableContents"/>
              <w:bidi w:val="0"/>
              <w:spacing w:before="47" w:after="0"/>
              <w:ind w:left="0" w:right="0" w:hanging="0"/>
              <w:jc w:val="left"/>
              <w:rPr/>
            </w:pPr>
            <w:hyperlink w:anchor="Guarantors_rights_are_suspended168">
              <w:r>
                <w:rPr>
                  <w:rStyle w:val="InternetLink"/>
                  <w:rFonts w:ascii="Arial" w:hAnsi="Arial"/>
                  <w:sz w:val="18"/>
                </w:rPr>
                <w:t>Guarantors’ rights are suspended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16.9</w:t>
            </w:r>
          </w:p>
        </w:tc>
        <w:tc>
          <w:tcPr>
            <w:tcW w:w="2750" w:type="dxa"/>
            <w:tcBorders/>
            <w:vAlign w:val="bottom"/>
          </w:tcPr>
          <w:p>
            <w:pPr>
              <w:pStyle w:val="TableContents"/>
              <w:bidi w:val="0"/>
              <w:spacing w:before="47" w:after="0"/>
              <w:ind w:left="0" w:right="0" w:hanging="0"/>
              <w:jc w:val="left"/>
              <w:rPr/>
            </w:pPr>
            <w:hyperlink w:anchor="Guarantors_right_of_proof_limited169">
              <w:r>
                <w:rPr>
                  <w:rStyle w:val="InternetLink"/>
                  <w:rFonts w:ascii="Arial" w:hAnsi="Arial"/>
                  <w:sz w:val="18"/>
                </w:rPr>
                <w:t>Guarantor's right of proof limited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16.10</w:t>
            </w:r>
          </w:p>
        </w:tc>
        <w:tc>
          <w:tcPr>
            <w:tcW w:w="2750" w:type="dxa"/>
            <w:tcBorders/>
            <w:vAlign w:val="center"/>
          </w:tcPr>
          <w:p>
            <w:pPr>
              <w:pStyle w:val="TableContents"/>
              <w:bidi w:val="0"/>
              <w:spacing w:before="47" w:after="0"/>
              <w:ind w:left="0" w:right="0" w:hanging="0"/>
              <w:jc w:val="left"/>
              <w:rPr/>
            </w:pPr>
            <w:hyperlink w:anchor="Nosetoff_against_assignees1610">
              <w:r>
                <w:rPr>
                  <w:rStyle w:val="InternetLink"/>
                  <w:rFonts w:ascii="Arial" w:hAnsi="Arial"/>
                  <w:sz w:val="18"/>
                </w:rPr>
                <w:t>No set-off against assignees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16.11</w:t>
            </w:r>
          </w:p>
        </w:tc>
        <w:tc>
          <w:tcPr>
            <w:tcW w:w="2750" w:type="dxa"/>
            <w:tcBorders/>
            <w:vAlign w:val="center"/>
          </w:tcPr>
          <w:p>
            <w:pPr>
              <w:pStyle w:val="TableContents"/>
              <w:bidi w:val="0"/>
              <w:spacing w:before="47" w:after="0"/>
              <w:ind w:left="0" w:right="0" w:hanging="0"/>
              <w:jc w:val="left"/>
              <w:rPr/>
            </w:pPr>
            <w:hyperlink w:anchor="Suspense_account1611">
              <w:r>
                <w:rPr>
                  <w:rStyle w:val="InternetLink"/>
                  <w:rFonts w:ascii="Arial" w:hAnsi="Arial"/>
                  <w:sz w:val="18"/>
                </w:rPr>
                <w:t>Suspense account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16.12</w:t>
            </w:r>
          </w:p>
        </w:tc>
        <w:tc>
          <w:tcPr>
            <w:tcW w:w="2750" w:type="dxa"/>
            <w:tcBorders/>
            <w:vAlign w:val="center"/>
          </w:tcPr>
          <w:p>
            <w:pPr>
              <w:pStyle w:val="TableContents"/>
              <w:bidi w:val="0"/>
              <w:spacing w:before="47" w:after="0"/>
              <w:ind w:left="0" w:right="0" w:hanging="0"/>
              <w:jc w:val="left"/>
              <w:rPr/>
            </w:pPr>
            <w:hyperlink w:anchor="Right_to_prove1612">
              <w:r>
                <w:rPr>
                  <w:rStyle w:val="InternetLink"/>
                  <w:rFonts w:ascii="Arial" w:hAnsi="Arial"/>
                  <w:sz w:val="18"/>
                </w:rPr>
                <w:t>Right to prove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16.13</w:t>
            </w:r>
          </w:p>
        </w:tc>
        <w:tc>
          <w:tcPr>
            <w:tcW w:w="2750" w:type="dxa"/>
            <w:tcBorders/>
            <w:vAlign w:val="center"/>
          </w:tcPr>
          <w:p>
            <w:pPr>
              <w:pStyle w:val="TableContents"/>
              <w:bidi w:val="0"/>
              <w:spacing w:before="47" w:after="0"/>
              <w:ind w:left="0" w:right="0" w:hanging="0"/>
              <w:jc w:val="left"/>
              <w:rPr/>
            </w:pPr>
            <w:hyperlink w:anchor="Release_of_Guarantors1613">
              <w:r>
                <w:rPr>
                  <w:rStyle w:val="InternetLink"/>
                  <w:rFonts w:ascii="Arial" w:hAnsi="Arial"/>
                  <w:sz w:val="18"/>
                </w:rPr>
                <w:t>Release of Guarantors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16.14</w:t>
            </w:r>
          </w:p>
        </w:tc>
        <w:tc>
          <w:tcPr>
            <w:tcW w:w="2750" w:type="dxa"/>
            <w:tcBorders/>
            <w:vAlign w:val="center"/>
          </w:tcPr>
          <w:p>
            <w:pPr>
              <w:pStyle w:val="TableContents"/>
              <w:bidi w:val="0"/>
              <w:spacing w:before="47" w:after="0"/>
              <w:ind w:left="0" w:right="0" w:hanging="0"/>
              <w:jc w:val="left"/>
              <w:rPr/>
            </w:pPr>
            <w:hyperlink w:anchor="New_Guarantors1614">
              <w:r>
                <w:rPr>
                  <w:rStyle w:val="InternetLink"/>
                  <w:rFonts w:ascii="Arial" w:hAnsi="Arial"/>
                  <w:sz w:val="18"/>
                </w:rPr>
                <w:t>New Guarantors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16.15</w:t>
            </w:r>
          </w:p>
        </w:tc>
        <w:tc>
          <w:tcPr>
            <w:tcW w:w="2750" w:type="dxa"/>
            <w:tcBorders/>
            <w:vAlign w:val="center"/>
          </w:tcPr>
          <w:p>
            <w:pPr>
              <w:pStyle w:val="TableContents"/>
              <w:bidi w:val="0"/>
              <w:spacing w:before="47" w:after="0"/>
              <w:ind w:left="0" w:right="0" w:hanging="0"/>
              <w:jc w:val="left"/>
              <w:rPr/>
            </w:pPr>
            <w:hyperlink w:anchor="Consideration1615">
              <w:r>
                <w:rPr>
                  <w:rStyle w:val="InternetLink"/>
                  <w:rFonts w:ascii="Arial" w:hAnsi="Arial"/>
                  <w:sz w:val="18"/>
                </w:rPr>
                <w:t>Consideration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16.16</w:t>
            </w:r>
          </w:p>
        </w:tc>
        <w:tc>
          <w:tcPr>
            <w:tcW w:w="2750" w:type="dxa"/>
            <w:tcBorders/>
            <w:vAlign w:val="center"/>
          </w:tcPr>
          <w:p>
            <w:pPr>
              <w:pStyle w:val="TableContents"/>
              <w:bidi w:val="0"/>
              <w:spacing w:before="47" w:after="0"/>
              <w:ind w:left="0" w:right="0" w:hanging="0"/>
              <w:jc w:val="left"/>
              <w:rPr/>
            </w:pPr>
            <w:hyperlink w:anchor="New_Guarantors1616">
              <w:r>
                <w:rPr>
                  <w:rStyle w:val="InternetLink"/>
                  <w:rFonts w:ascii="Arial" w:hAnsi="Arial"/>
                  <w:sz w:val="18"/>
                </w:rPr>
                <w:t>New Guarantors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17</w:t>
            </w:r>
          </w:p>
        </w:tc>
        <w:tc>
          <w:tcPr>
            <w:tcW w:w="3235"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Attorney17">
              <w:r>
                <w:rPr>
                  <w:rStyle w:val="InternetLink"/>
                  <w:rFonts w:ascii="Arial" w:hAnsi="Arial"/>
                  <w:b/>
                  <w:sz w:val="18"/>
                </w:rPr>
                <w:t>Attorney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64 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17.1</w:t>
            </w:r>
          </w:p>
        </w:tc>
        <w:tc>
          <w:tcPr>
            <w:tcW w:w="2750" w:type="dxa"/>
            <w:tcBorders/>
            <w:vAlign w:val="center"/>
          </w:tcPr>
          <w:p>
            <w:pPr>
              <w:pStyle w:val="TableContents"/>
              <w:bidi w:val="0"/>
              <w:spacing w:before="47" w:after="0"/>
              <w:ind w:left="0" w:right="0" w:hanging="0"/>
              <w:jc w:val="left"/>
              <w:rPr/>
            </w:pPr>
            <w:hyperlink w:anchor="Appointment171">
              <w:r>
                <w:rPr>
                  <w:rStyle w:val="InternetLink"/>
                  <w:rFonts w:ascii="Arial" w:hAnsi="Arial"/>
                  <w:sz w:val="18"/>
                </w:rPr>
                <w:t>Appointment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17.2</w:t>
            </w:r>
          </w:p>
        </w:tc>
        <w:tc>
          <w:tcPr>
            <w:tcW w:w="2750" w:type="dxa"/>
            <w:tcBorders/>
            <w:vAlign w:val="center"/>
          </w:tcPr>
          <w:p>
            <w:pPr>
              <w:pStyle w:val="TableContents"/>
              <w:bidi w:val="0"/>
              <w:spacing w:before="47" w:after="0"/>
              <w:ind w:left="0" w:right="0" w:hanging="0"/>
              <w:jc w:val="left"/>
              <w:rPr/>
            </w:pPr>
            <w:hyperlink w:anchor="Not_used172">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17.3</w:t>
            </w:r>
          </w:p>
        </w:tc>
        <w:tc>
          <w:tcPr>
            <w:tcW w:w="2750" w:type="dxa"/>
            <w:tcBorders/>
            <w:vAlign w:val="center"/>
          </w:tcPr>
          <w:p>
            <w:pPr>
              <w:pStyle w:val="TableContents"/>
              <w:bidi w:val="0"/>
              <w:spacing w:before="47" w:after="0"/>
              <w:ind w:left="0" w:right="0" w:hanging="0"/>
              <w:jc w:val="left"/>
              <w:rPr/>
            </w:pPr>
            <w:hyperlink w:anchor="General173">
              <w:r>
                <w:rPr>
                  <w:rStyle w:val="InternetLink"/>
                  <w:rFonts w:ascii="Arial" w:hAnsi="Arial"/>
                  <w:sz w:val="18"/>
                </w:rPr>
                <w:t>General</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18</w:t>
            </w:r>
          </w:p>
        </w:tc>
        <w:tc>
          <w:tcPr>
            <w:tcW w:w="3235"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General18">
              <w:r>
                <w:rPr>
                  <w:rStyle w:val="InternetLink"/>
                  <w:rFonts w:ascii="Arial" w:hAnsi="Arial"/>
                  <w:b/>
                  <w:sz w:val="18"/>
                </w:rPr>
                <w:t>General</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65 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w:t>
            </w:r>
          </w:p>
        </w:tc>
        <w:tc>
          <w:tcPr>
            <w:tcW w:w="2750" w:type="dxa"/>
            <w:tcBorders/>
            <w:vAlign w:val="center"/>
          </w:tcPr>
          <w:p>
            <w:pPr>
              <w:pStyle w:val="TableContents"/>
              <w:bidi w:val="0"/>
              <w:spacing w:before="47" w:after="0"/>
              <w:ind w:left="0" w:right="0" w:hanging="0"/>
              <w:jc w:val="left"/>
              <w:rPr/>
            </w:pPr>
            <w:hyperlink w:anchor="Set_off181">
              <w:r>
                <w:rPr>
                  <w:rStyle w:val="InternetLink"/>
                  <w:rFonts w:ascii="Arial" w:hAnsi="Arial"/>
                  <w:sz w:val="18"/>
                </w:rPr>
                <w:t>Set-off</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18.2</w:t>
            </w:r>
          </w:p>
        </w:tc>
        <w:tc>
          <w:tcPr>
            <w:tcW w:w="2750" w:type="dxa"/>
            <w:tcBorders/>
            <w:vAlign w:val="bottom"/>
          </w:tcPr>
          <w:p>
            <w:pPr>
              <w:pStyle w:val="TableContents"/>
              <w:bidi w:val="0"/>
              <w:spacing w:before="47" w:after="0"/>
              <w:ind w:left="0" w:right="0" w:hanging="0"/>
              <w:jc w:val="left"/>
              <w:rPr/>
            </w:pPr>
            <w:hyperlink w:anchor="Banks_certifacte182">
              <w:r>
                <w:rPr>
                  <w:rStyle w:val="InternetLink"/>
                  <w:rFonts w:ascii="Arial" w:hAnsi="Arial"/>
                  <w:sz w:val="18"/>
                </w:rPr>
                <w:t>Bank's certificate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18.3</w:t>
            </w:r>
          </w:p>
        </w:tc>
        <w:tc>
          <w:tcPr>
            <w:tcW w:w="2750" w:type="dxa"/>
            <w:tcBorders/>
            <w:vAlign w:val="center"/>
          </w:tcPr>
          <w:p>
            <w:pPr>
              <w:pStyle w:val="TableContents"/>
              <w:bidi w:val="0"/>
              <w:spacing w:before="47" w:after="0"/>
              <w:ind w:left="0" w:right="0" w:hanging="0"/>
              <w:jc w:val="left"/>
              <w:rPr/>
            </w:pPr>
            <w:hyperlink w:anchor="Supervening_legislation183">
              <w:r>
                <w:rPr>
                  <w:rStyle w:val="InternetLink"/>
                  <w:rFonts w:ascii="Arial" w:hAnsi="Arial"/>
                  <w:sz w:val="18"/>
                </w:rPr>
                <w:t>Supervening legislation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18.4</w:t>
            </w:r>
          </w:p>
        </w:tc>
        <w:tc>
          <w:tcPr>
            <w:tcW w:w="2750" w:type="dxa"/>
            <w:tcBorders/>
            <w:vAlign w:val="center"/>
          </w:tcPr>
          <w:p>
            <w:pPr>
              <w:pStyle w:val="TableContents"/>
              <w:bidi w:val="0"/>
              <w:spacing w:before="47" w:after="0"/>
              <w:ind w:left="0" w:right="0" w:hanging="0"/>
              <w:jc w:val="left"/>
              <w:rPr/>
            </w:pPr>
            <w:hyperlink w:anchor="Time_of_the_essence184">
              <w:r>
                <w:rPr>
                  <w:rStyle w:val="InternetLink"/>
                  <w:rFonts w:ascii="Arial" w:hAnsi="Arial"/>
                  <w:sz w:val="18"/>
                </w:rPr>
                <w:t>Time of the essence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18.5</w:t>
            </w:r>
          </w:p>
        </w:tc>
        <w:tc>
          <w:tcPr>
            <w:tcW w:w="2750" w:type="dxa"/>
            <w:tcBorders/>
            <w:vAlign w:val="center"/>
          </w:tcPr>
          <w:p>
            <w:pPr>
              <w:pStyle w:val="TableContents"/>
              <w:bidi w:val="0"/>
              <w:spacing w:before="47" w:after="0"/>
              <w:ind w:left="0" w:right="0" w:hanging="0"/>
              <w:jc w:val="left"/>
              <w:rPr/>
            </w:pPr>
            <w:hyperlink w:anchor="Business_Days185">
              <w:r>
                <w:rPr>
                  <w:rStyle w:val="InternetLink"/>
                  <w:rFonts w:ascii="Arial" w:hAnsi="Arial"/>
                  <w:sz w:val="18"/>
                </w:rPr>
                <w:t>Business Days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18.6</w:t>
            </w:r>
          </w:p>
        </w:tc>
        <w:tc>
          <w:tcPr>
            <w:tcW w:w="2750" w:type="dxa"/>
            <w:tcBorders/>
            <w:vAlign w:val="center"/>
          </w:tcPr>
          <w:p>
            <w:pPr>
              <w:pStyle w:val="TableContents"/>
              <w:bidi w:val="0"/>
              <w:spacing w:before="47" w:after="0"/>
              <w:ind w:left="0" w:right="0" w:hanging="0"/>
              <w:jc w:val="left"/>
              <w:rPr/>
            </w:pPr>
            <w:hyperlink w:anchor="Confidentiality186">
              <w:r>
                <w:rPr>
                  <w:rStyle w:val="InternetLink"/>
                  <w:rFonts w:ascii="Arial" w:hAnsi="Arial"/>
                  <w:sz w:val="18"/>
                </w:rPr>
                <w:t>Confidentiality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18.7</w:t>
            </w:r>
          </w:p>
        </w:tc>
        <w:tc>
          <w:tcPr>
            <w:tcW w:w="2750" w:type="dxa"/>
            <w:tcBorders/>
            <w:vAlign w:val="center"/>
          </w:tcPr>
          <w:p>
            <w:pPr>
              <w:pStyle w:val="TableContents"/>
              <w:bidi w:val="0"/>
              <w:spacing w:before="47" w:after="0"/>
              <w:ind w:left="0" w:right="0" w:hanging="0"/>
              <w:jc w:val="left"/>
              <w:rPr/>
            </w:pPr>
            <w:hyperlink w:anchor="Exchange_rate187">
              <w:r>
                <w:rPr>
                  <w:rStyle w:val="InternetLink"/>
                  <w:rFonts w:ascii="Arial" w:hAnsi="Arial"/>
                  <w:sz w:val="18"/>
                </w:rPr>
                <w:t>Exchange rate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18.8</w:t>
            </w:r>
          </w:p>
        </w:tc>
        <w:tc>
          <w:tcPr>
            <w:tcW w:w="2750" w:type="dxa"/>
            <w:tcBorders/>
            <w:vAlign w:val="center"/>
          </w:tcPr>
          <w:p>
            <w:pPr>
              <w:pStyle w:val="TableContents"/>
              <w:bidi w:val="0"/>
              <w:spacing w:before="47" w:after="0"/>
              <w:ind w:left="0" w:right="0" w:hanging="0"/>
              <w:jc w:val="left"/>
              <w:rPr/>
            </w:pPr>
            <w:hyperlink w:anchor="Records_as_evidence188">
              <w:r>
                <w:rPr>
                  <w:rStyle w:val="InternetLink"/>
                  <w:rFonts w:ascii="Arial" w:hAnsi="Arial"/>
                  <w:sz w:val="18"/>
                </w:rPr>
                <w:t>Records as evidence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18.9</w:t>
            </w:r>
          </w:p>
        </w:tc>
        <w:tc>
          <w:tcPr>
            <w:tcW w:w="2750" w:type="dxa"/>
            <w:tcBorders/>
            <w:vAlign w:val="center"/>
          </w:tcPr>
          <w:p>
            <w:pPr>
              <w:pStyle w:val="TableContents"/>
              <w:bidi w:val="0"/>
              <w:spacing w:before="47" w:after="0"/>
              <w:ind w:left="0" w:right="0" w:hanging="0"/>
              <w:jc w:val="left"/>
              <w:rPr/>
            </w:pPr>
            <w:hyperlink w:anchor="Further_assurances189">
              <w:r>
                <w:rPr>
                  <w:rStyle w:val="InternetLink"/>
                  <w:rFonts w:ascii="Arial" w:hAnsi="Arial"/>
                  <w:sz w:val="18"/>
                </w:rPr>
                <w:t>Further assurances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18.10</w:t>
            </w:r>
          </w:p>
        </w:tc>
        <w:tc>
          <w:tcPr>
            <w:tcW w:w="2750" w:type="dxa"/>
            <w:tcBorders/>
            <w:vAlign w:val="center"/>
          </w:tcPr>
          <w:p>
            <w:pPr>
              <w:pStyle w:val="TableContents"/>
              <w:bidi w:val="0"/>
              <w:spacing w:before="47" w:after="0"/>
              <w:ind w:left="0" w:right="0" w:hanging="0"/>
              <w:jc w:val="left"/>
              <w:rPr/>
            </w:pPr>
            <w:hyperlink w:anchor="Amendment1810">
              <w:r>
                <w:rPr>
                  <w:rStyle w:val="InternetLink"/>
                  <w:rFonts w:ascii="Arial" w:hAnsi="Arial"/>
                  <w:sz w:val="18"/>
                </w:rPr>
                <w:t>Amendment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18.11</w:t>
            </w:r>
          </w:p>
        </w:tc>
        <w:tc>
          <w:tcPr>
            <w:tcW w:w="2750" w:type="dxa"/>
            <w:tcBorders/>
            <w:vAlign w:val="center"/>
          </w:tcPr>
          <w:p>
            <w:pPr>
              <w:pStyle w:val="TableContents"/>
              <w:bidi w:val="0"/>
              <w:spacing w:before="47" w:after="0"/>
              <w:ind w:left="0" w:right="0" w:hanging="0"/>
              <w:jc w:val="left"/>
              <w:rPr/>
            </w:pPr>
            <w:hyperlink w:anchor="Waiver_and_exercise_of_rights1811">
              <w:r>
                <w:rPr>
                  <w:rStyle w:val="InternetLink"/>
                  <w:rFonts w:ascii="Arial" w:hAnsi="Arial"/>
                  <w:sz w:val="18"/>
                </w:rPr>
                <w:t>Waiver and exercise of rights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18.12</w:t>
            </w:r>
          </w:p>
        </w:tc>
        <w:tc>
          <w:tcPr>
            <w:tcW w:w="2750" w:type="dxa"/>
            <w:tcBorders/>
            <w:vAlign w:val="center"/>
          </w:tcPr>
          <w:p>
            <w:pPr>
              <w:pStyle w:val="TableContents"/>
              <w:bidi w:val="0"/>
              <w:spacing w:before="47" w:after="0"/>
              <w:ind w:left="0" w:right="0" w:hanging="0"/>
              <w:jc w:val="left"/>
              <w:rPr/>
            </w:pPr>
            <w:hyperlink w:anchor="Rights_cumulative1812">
              <w:r>
                <w:rPr>
                  <w:rStyle w:val="InternetLink"/>
                  <w:rFonts w:ascii="Arial" w:hAnsi="Arial"/>
                  <w:sz w:val="18"/>
                </w:rPr>
                <w:t>Rights cumulative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18.13</w:t>
            </w:r>
          </w:p>
        </w:tc>
        <w:tc>
          <w:tcPr>
            <w:tcW w:w="2750" w:type="dxa"/>
            <w:tcBorders/>
            <w:vAlign w:val="center"/>
          </w:tcPr>
          <w:p>
            <w:pPr>
              <w:pStyle w:val="TableContents"/>
              <w:bidi w:val="0"/>
              <w:spacing w:before="47" w:after="0"/>
              <w:ind w:left="0" w:right="0" w:hanging="0"/>
              <w:jc w:val="left"/>
              <w:rPr/>
            </w:pPr>
            <w:hyperlink w:anchor="Approval_and_consent1813">
              <w:r>
                <w:rPr>
                  <w:rStyle w:val="InternetLink"/>
                  <w:rFonts w:ascii="Arial" w:hAnsi="Arial"/>
                  <w:sz w:val="18"/>
                </w:rPr>
                <w:t>Approval and consent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18.14</w:t>
            </w:r>
          </w:p>
        </w:tc>
        <w:tc>
          <w:tcPr>
            <w:tcW w:w="2750" w:type="dxa"/>
            <w:tcBorders/>
            <w:vAlign w:val="center"/>
          </w:tcPr>
          <w:p>
            <w:pPr>
              <w:pStyle w:val="TableContents"/>
              <w:bidi w:val="0"/>
              <w:spacing w:before="47" w:after="0"/>
              <w:ind w:left="0" w:right="0" w:hanging="0"/>
              <w:jc w:val="left"/>
              <w:rPr/>
            </w:pPr>
            <w:hyperlink w:anchor="Assignment1814">
              <w:r>
                <w:rPr>
                  <w:rStyle w:val="InternetLink"/>
                  <w:rFonts w:ascii="Arial" w:hAnsi="Arial"/>
                  <w:sz w:val="18"/>
                </w:rPr>
                <w:t>Assignment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18.15</w:t>
            </w:r>
          </w:p>
        </w:tc>
        <w:tc>
          <w:tcPr>
            <w:tcW w:w="2750" w:type="dxa"/>
            <w:tcBorders/>
            <w:vAlign w:val="center"/>
          </w:tcPr>
          <w:p>
            <w:pPr>
              <w:pStyle w:val="TableContents"/>
              <w:bidi w:val="0"/>
              <w:spacing w:before="47" w:after="0"/>
              <w:ind w:left="0" w:right="0" w:hanging="0"/>
              <w:jc w:val="left"/>
              <w:rPr/>
            </w:pPr>
            <w:hyperlink w:anchor="Counterparts1815">
              <w:r>
                <w:rPr>
                  <w:rStyle w:val="InternetLink"/>
                  <w:rFonts w:ascii="Arial" w:hAnsi="Arial"/>
                  <w:sz w:val="18"/>
                </w:rPr>
                <w:t>Counterparts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18.16</w:t>
            </w:r>
          </w:p>
        </w:tc>
        <w:tc>
          <w:tcPr>
            <w:tcW w:w="2750" w:type="dxa"/>
            <w:tcBorders/>
            <w:vAlign w:val="center"/>
          </w:tcPr>
          <w:p>
            <w:pPr>
              <w:pStyle w:val="TableContents"/>
              <w:bidi w:val="0"/>
              <w:spacing w:before="47" w:after="0"/>
              <w:ind w:left="0" w:right="0" w:hanging="0"/>
              <w:jc w:val="left"/>
              <w:rPr/>
            </w:pPr>
            <w:hyperlink w:anchor="Sovereign_immunity1816">
              <w:r>
                <w:rPr>
                  <w:rStyle w:val="InternetLink"/>
                  <w:rFonts w:ascii="Arial" w:hAnsi="Arial"/>
                  <w:sz w:val="18"/>
                </w:rPr>
                <w:t>Sovereign immunity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18.17</w:t>
            </w:r>
          </w:p>
        </w:tc>
        <w:tc>
          <w:tcPr>
            <w:tcW w:w="2750" w:type="dxa"/>
            <w:tcBorders/>
            <w:vAlign w:val="center"/>
          </w:tcPr>
          <w:p>
            <w:pPr>
              <w:pStyle w:val="TableContents"/>
              <w:bidi w:val="0"/>
              <w:spacing w:before="47" w:after="0"/>
              <w:ind w:left="0" w:right="0" w:hanging="0"/>
              <w:jc w:val="left"/>
              <w:rPr/>
            </w:pPr>
            <w:hyperlink w:anchor="Governing_law1817">
              <w:r>
                <w:rPr>
                  <w:rStyle w:val="InternetLink"/>
                  <w:rFonts w:ascii="Arial" w:hAnsi="Arial"/>
                  <w:sz w:val="18"/>
                </w:rPr>
                <w:t>Governing law and jurisdiction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bottom"/>
          </w:tcPr>
          <w:p>
            <w:pPr>
              <w:pStyle w:val="TableContents"/>
              <w:bidi w:val="0"/>
              <w:spacing w:before="47" w:after="0"/>
              <w:ind w:left="0" w:right="0" w:hanging="0"/>
              <w:jc w:val="left"/>
              <w:rPr>
                <w:rFonts w:ascii="Arial" w:hAnsi="Arial"/>
                <w:color w:val="000000"/>
                <w:sz w:val="18"/>
              </w:rPr>
            </w:pPr>
            <w:r>
              <w:rPr>
                <w:rFonts w:ascii="Arial" w:hAnsi="Arial"/>
                <w:color w:val="000000"/>
                <w:sz w:val="18"/>
              </w:rPr>
              <w:t>18.18</w:t>
            </w:r>
          </w:p>
        </w:tc>
        <w:tc>
          <w:tcPr>
            <w:tcW w:w="2750" w:type="dxa"/>
            <w:tcBorders/>
            <w:vAlign w:val="bottom"/>
          </w:tcPr>
          <w:p>
            <w:pPr>
              <w:pStyle w:val="TableContents"/>
              <w:bidi w:val="0"/>
              <w:spacing w:before="47" w:after="0"/>
              <w:ind w:left="0" w:right="0" w:hanging="0"/>
              <w:jc w:val="left"/>
              <w:rPr/>
            </w:pPr>
            <w:hyperlink w:anchor="Telephone_recording1818">
              <w:r>
                <w:rPr>
                  <w:rStyle w:val="InternetLink"/>
                  <w:rFonts w:ascii="Arial" w:hAnsi="Arial"/>
                  <w:sz w:val="18"/>
                </w:rPr>
                <w:t>Telephone recording</w:t>
              </w:r>
            </w:hyperlink>
          </w:p>
        </w:tc>
        <w:tc>
          <w:tcPr>
            <w:tcW w:w="320" w:type="dxa"/>
            <w:tcBorders/>
            <w:vAlign w:val="bottom"/>
          </w:tcPr>
          <w:p>
            <w:pPr>
              <w:pStyle w:val="TableContents"/>
              <w:bidi w:val="0"/>
              <w:spacing w:before="0" w:after="283"/>
              <w:jc w:val="right"/>
              <w:rPr>
                <w:rFonts w:ascii="Arial" w:hAnsi="Arial"/>
                <w:color w:val="000000"/>
                <w:sz w:val="18"/>
              </w:rPr>
            </w:pPr>
            <w:r>
              <w:rPr>
                <w:rFonts w:ascii="Arial" w:hAnsi="Arial"/>
                <w:color w:val="000000"/>
                <w:sz w:val="18"/>
              </w:rPr>
              <w:t xml:space="preserve">71  </w:t>
            </w:r>
          </w:p>
        </w:tc>
        <w:tc>
          <w:tcPr>
            <w:tcW w:w="75" w:type="dxa"/>
            <w:tcBorders/>
            <w:vAlign w:val="bottom"/>
          </w:tcPr>
          <w:p>
            <w:pPr>
              <w:pStyle w:val="TableContents"/>
              <w:bidi w:val="0"/>
              <w:spacing w:before="47" w:after="0"/>
              <w:ind w:left="0" w:right="0" w:hanging="0"/>
              <w:jc w:val="right"/>
              <w:rPr/>
            </w:pPr>
            <w:r>
              <w:rPr/>
              <w:t> </w:t>
            </w:r>
          </w:p>
        </w:tc>
      </w:tr>
    </w:tbl>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141" w:after="0"/>
        <w:ind w:left="360" w:right="360" w:hanging="0"/>
        <w:jc w:val="left"/>
        <w:rPr>
          <w:rFonts w:cs="Arial"/>
          <w:szCs w:val="22"/>
        </w:rPr>
      </w:pPr>
      <w:r>
        <w:rPr>
          <w:rFonts w:cs="Arial"/>
          <w:szCs w:val="22"/>
        </w:rPr>
        <w:t xml:space="preserve">﻿ </w:t>
      </w:r>
    </w:p>
    <w:tbl>
      <w:tblPr>
        <w:tblW w:w="1938" w:type="dxa"/>
        <w:jc w:val="left"/>
        <w:tblInd w:w="360" w:type="dxa"/>
        <w:tblLayout w:type="fixed"/>
        <w:tblCellMar>
          <w:top w:w="0" w:type="dxa"/>
          <w:left w:w="0" w:type="dxa"/>
          <w:bottom w:w="0" w:type="dxa"/>
          <w:right w:w="0" w:type="dxa"/>
        </w:tblCellMar>
      </w:tblPr>
      <w:tblGrid>
        <w:gridCol w:w="38"/>
        <w:gridCol w:w="1295"/>
        <w:gridCol w:w="530"/>
        <w:gridCol w:w="75"/>
      </w:tblGrid>
      <w:tr>
        <w:trPr/>
        <w:tc>
          <w:tcPr>
            <w:tcW w:w="38"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95" w:type="dxa"/>
            <w:tcBorders/>
            <w:vAlign w:val="bottom"/>
          </w:tcPr>
          <w:p>
            <w:pPr>
              <w:pStyle w:val="TableContents"/>
              <w:bidi w:val="0"/>
              <w:spacing w:before="0" w:after="0"/>
              <w:ind w:left="0" w:right="0" w:hanging="0"/>
              <w:jc w:val="left"/>
              <w:rPr>
                <w:rFonts w:ascii="Arial" w:hAnsi="Arial"/>
                <w:color w:val="000000"/>
                <w:sz w:val="15"/>
              </w:rPr>
            </w:pPr>
            <w:r>
              <w:rPr>
                <w:rFonts w:ascii="Arial" w:hAnsi="Arial"/>
                <w:color w:val="000000"/>
                <w:sz w:val="15"/>
              </w:rPr>
              <w:t>Facility Agreement</w:t>
            </w:r>
          </w:p>
        </w:tc>
        <w:tc>
          <w:tcPr>
            <w:tcW w:w="530" w:type="dxa"/>
            <w:tcBorders/>
            <w:vAlign w:val="bottom"/>
          </w:tcPr>
          <w:p>
            <w:pPr>
              <w:pStyle w:val="TableContents"/>
              <w:bidi w:val="0"/>
              <w:spacing w:before="0" w:after="0"/>
              <w:ind w:left="0" w:right="0" w:hanging="0"/>
              <w:jc w:val="right"/>
              <w:rPr>
                <w:rFonts w:ascii="Arial" w:hAnsi="Arial"/>
                <w:color w:val="000000"/>
                <w:sz w:val="15"/>
              </w:rPr>
            </w:pPr>
            <w:r>
              <w:rPr>
                <w:rFonts w:ascii="Arial" w:hAnsi="Arial"/>
                <w:color w:val="000000"/>
                <w:sz w:val="15"/>
              </w:rPr>
              <w:t>Page iii</w:t>
            </w:r>
          </w:p>
        </w:tc>
        <w:tc>
          <w:tcPr>
            <w:tcW w:w="75" w:type="dxa"/>
            <w:tcBorders/>
            <w:vAlign w:val="bottom"/>
          </w:tcPr>
          <w:p>
            <w:pPr>
              <w:pStyle w:val="TableContents"/>
              <w:bidi w:val="0"/>
              <w:spacing w:before="0" w:after="0"/>
              <w:ind w:left="0" w:right="0" w:hanging="0"/>
              <w:jc w:val="right"/>
              <w:rPr/>
            </w:pPr>
            <w:r>
              <w:rPr/>
              <w:t> </w:t>
            </w:r>
          </w:p>
        </w:tc>
      </w:tr>
    </w:tbl>
    <w:p>
      <w:pPr>
        <w:pStyle w:val="TextBody"/>
        <w:pBdr/>
        <w:bidi w:val="0"/>
        <w:spacing w:before="141" w:after="0"/>
        <w:ind w:left="360" w:right="360" w:hanging="0"/>
        <w:jc w:val="left"/>
        <w:rPr>
          <w:rFonts w:cs="Arial"/>
          <w:szCs w:val="22"/>
        </w:rPr>
      </w:pPr>
      <w:r>
        <w:rPr>
          <w:rFonts w:cs="Arial"/>
          <w:szCs w:val="22"/>
        </w:rPr>
        <w:t xml:space="preserve">﻿ </w:t>
      </w:r>
    </w:p>
    <w:p>
      <w:pPr>
        <w:pStyle w:val="TextBody"/>
        <w:pBdr/>
        <w:bidi w:val="0"/>
        <w:spacing w:before="141" w:after="0"/>
        <w:ind w:left="360" w:right="360" w:hanging="0"/>
        <w:jc w:val="left"/>
        <w:rPr/>
      </w:pPr>
      <w:r>
        <w:rPr/>
        <w:t xml:space="preserve">  </w:t>
      </w:r>
    </w:p>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141" w:after="0"/>
        <w:ind w:left="360" w:right="360" w:hanging="0"/>
        <w:jc w:val="left"/>
        <w:rPr>
          <w:rFonts w:cs="Arial"/>
          <w:szCs w:val="22"/>
        </w:rPr>
      </w:pPr>
      <w:r>
        <w:rPr>
          <w:rFonts w:cs="Arial"/>
          <w:szCs w:val="22"/>
        </w:rPr>
        <w:t xml:space="preserve">﻿ </w:t>
      </w:r>
    </w:p>
    <w:tbl>
      <w:tblPr>
        <w:tblW w:w="4352" w:type="dxa"/>
        <w:jc w:val="left"/>
        <w:tblInd w:w="360" w:type="dxa"/>
        <w:tblLayout w:type="fixed"/>
        <w:tblCellMar>
          <w:top w:w="0" w:type="dxa"/>
          <w:left w:w="0" w:type="dxa"/>
          <w:bottom w:w="0" w:type="dxa"/>
          <w:right w:w="0" w:type="dxa"/>
        </w:tblCellMar>
      </w:tblPr>
      <w:tblGrid>
        <w:gridCol w:w="38"/>
        <w:gridCol w:w="266"/>
        <w:gridCol w:w="563"/>
        <w:gridCol w:w="3090"/>
        <w:gridCol w:w="320"/>
        <w:gridCol w:w="75"/>
      </w:tblGrid>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18.19</w:t>
            </w:r>
          </w:p>
        </w:tc>
        <w:tc>
          <w:tcPr>
            <w:tcW w:w="3090" w:type="dxa"/>
            <w:tcBorders/>
            <w:vAlign w:val="center"/>
          </w:tcPr>
          <w:p>
            <w:pPr>
              <w:pStyle w:val="TableContents"/>
              <w:bidi w:val="0"/>
              <w:spacing w:before="47" w:after="0"/>
              <w:ind w:left="0" w:right="0" w:hanging="0"/>
              <w:jc w:val="left"/>
              <w:rPr/>
            </w:pPr>
            <w:hyperlink w:anchor="Legal_advice1819">
              <w:r>
                <w:rPr>
                  <w:rStyle w:val="InternetLink"/>
                  <w:rFonts w:ascii="Arial" w:hAnsi="Arial"/>
                  <w:sz w:val="18"/>
                </w:rPr>
                <w:t>Legal advice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18.20</w:t>
            </w:r>
          </w:p>
        </w:tc>
        <w:tc>
          <w:tcPr>
            <w:tcW w:w="3090" w:type="dxa"/>
            <w:tcBorders/>
            <w:vAlign w:val="center"/>
          </w:tcPr>
          <w:p>
            <w:pPr>
              <w:pStyle w:val="TableContents"/>
              <w:bidi w:val="0"/>
              <w:spacing w:before="47" w:after="0"/>
              <w:ind w:left="0" w:right="0" w:hanging="0"/>
              <w:jc w:val="left"/>
              <w:rPr/>
            </w:pPr>
            <w:hyperlink w:anchor="Further_assurances1820">
              <w:r>
                <w:rPr>
                  <w:rStyle w:val="InternetLink"/>
                  <w:rFonts w:ascii="Arial" w:hAnsi="Arial"/>
                  <w:sz w:val="18"/>
                </w:rPr>
                <w:t>Further assurances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18.21</w:t>
            </w:r>
          </w:p>
        </w:tc>
        <w:tc>
          <w:tcPr>
            <w:tcW w:w="3090" w:type="dxa"/>
            <w:tcBorders/>
            <w:vAlign w:val="center"/>
          </w:tcPr>
          <w:p>
            <w:pPr>
              <w:pStyle w:val="TableContents"/>
              <w:bidi w:val="0"/>
              <w:spacing w:before="47" w:after="0"/>
              <w:ind w:left="0" w:right="0" w:hanging="0"/>
              <w:jc w:val="left"/>
              <w:rPr/>
            </w:pPr>
            <w:hyperlink w:anchor="Exclusion1821">
              <w:r>
                <w:rPr>
                  <w:rStyle w:val="InternetLink"/>
                  <w:rFonts w:ascii="Arial" w:hAnsi="Arial"/>
                  <w:sz w:val="18"/>
                </w:rPr>
                <w:t>Exclusion of certain provisions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18.22</w:t>
            </w:r>
          </w:p>
        </w:tc>
        <w:tc>
          <w:tcPr>
            <w:tcW w:w="3090" w:type="dxa"/>
            <w:tcBorders/>
            <w:vAlign w:val="center"/>
          </w:tcPr>
          <w:p>
            <w:pPr>
              <w:pStyle w:val="TableContents"/>
              <w:bidi w:val="0"/>
              <w:spacing w:before="47" w:after="0"/>
              <w:ind w:left="0" w:right="0" w:hanging="0"/>
              <w:jc w:val="left"/>
              <w:rPr/>
            </w:pPr>
            <w:hyperlink w:anchor="Notice_of_changes1822">
              <w:r>
                <w:rPr>
                  <w:rStyle w:val="InternetLink"/>
                  <w:rFonts w:ascii="Arial" w:hAnsi="Arial"/>
                  <w:sz w:val="18"/>
                </w:rPr>
                <w:t>Notice of changes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Arial"/>
                <w:szCs w:val="18"/>
              </w:rPr>
            </w:pPr>
            <w:r>
              <w:rPr>
                <w:rFonts w:cs="Arial"/>
                <w:szCs w:val="18"/>
              </w:rPr>
              <w:t>﻿</w:t>
            </w:r>
          </w:p>
        </w:tc>
        <w:tc>
          <w:tcPr>
            <w:tcW w:w="266"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19</w:t>
            </w:r>
          </w:p>
        </w:tc>
        <w:tc>
          <w:tcPr>
            <w:tcW w:w="3653"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Notices19">
              <w:r>
                <w:rPr>
                  <w:rStyle w:val="InternetLink"/>
                  <w:rFonts w:ascii="Arial" w:hAnsi="Arial"/>
                  <w:b/>
                  <w:sz w:val="18"/>
                </w:rPr>
                <w:t>Notices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72 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19.1</w:t>
            </w:r>
          </w:p>
        </w:tc>
        <w:tc>
          <w:tcPr>
            <w:tcW w:w="3090" w:type="dxa"/>
            <w:tcBorders/>
            <w:vAlign w:val="center"/>
          </w:tcPr>
          <w:p>
            <w:pPr>
              <w:pStyle w:val="TableContents"/>
              <w:bidi w:val="0"/>
              <w:spacing w:before="47" w:after="0"/>
              <w:ind w:left="0" w:right="0" w:hanging="0"/>
              <w:jc w:val="left"/>
              <w:rPr/>
            </w:pPr>
            <w:hyperlink w:anchor="General191">
              <w:r>
                <w:rPr>
                  <w:rStyle w:val="InternetLink"/>
                  <w:rFonts w:ascii="Arial" w:hAnsi="Arial"/>
                  <w:sz w:val="18"/>
                </w:rPr>
                <w:t>General</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19.2</w:t>
            </w:r>
          </w:p>
        </w:tc>
        <w:tc>
          <w:tcPr>
            <w:tcW w:w="3090" w:type="dxa"/>
            <w:tcBorders/>
            <w:vAlign w:val="center"/>
          </w:tcPr>
          <w:p>
            <w:pPr>
              <w:pStyle w:val="TableContents"/>
              <w:bidi w:val="0"/>
              <w:spacing w:before="47" w:after="0"/>
              <w:ind w:left="0" w:right="0" w:hanging="0"/>
              <w:jc w:val="left"/>
              <w:rPr/>
            </w:pPr>
            <w:hyperlink w:anchor="How_to_give_a_communication192">
              <w:r>
                <w:rPr>
                  <w:rStyle w:val="InternetLink"/>
                  <w:rFonts w:ascii="Arial" w:hAnsi="Arial"/>
                  <w:sz w:val="18"/>
                </w:rPr>
                <w:t>How to give a communication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19.3</w:t>
            </w:r>
          </w:p>
        </w:tc>
        <w:tc>
          <w:tcPr>
            <w:tcW w:w="3090" w:type="dxa"/>
            <w:tcBorders/>
            <w:vAlign w:val="center"/>
          </w:tcPr>
          <w:p>
            <w:pPr>
              <w:pStyle w:val="TableContents"/>
              <w:bidi w:val="0"/>
              <w:spacing w:before="47" w:after="0"/>
              <w:ind w:left="0" w:right="0" w:hanging="0"/>
              <w:jc w:val="left"/>
              <w:rPr/>
            </w:pPr>
            <w:hyperlink w:anchor="Particulars193">
              <w:r>
                <w:rPr>
                  <w:rStyle w:val="InternetLink"/>
                  <w:rFonts w:ascii="Arial" w:hAnsi="Arial"/>
                  <w:sz w:val="18"/>
                </w:rPr>
                <w:t>Particulars for delivery of notices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19.4</w:t>
            </w:r>
          </w:p>
        </w:tc>
        <w:tc>
          <w:tcPr>
            <w:tcW w:w="3090" w:type="dxa"/>
            <w:tcBorders/>
            <w:vAlign w:val="center"/>
          </w:tcPr>
          <w:p>
            <w:pPr>
              <w:pStyle w:val="TableContents"/>
              <w:bidi w:val="0"/>
              <w:spacing w:before="47" w:after="0"/>
              <w:ind w:left="0" w:right="0" w:hanging="0"/>
              <w:jc w:val="left"/>
              <w:rPr/>
            </w:pPr>
            <w:hyperlink w:anchor="Communications194">
              <w:r>
                <w:rPr>
                  <w:rStyle w:val="InternetLink"/>
                  <w:rFonts w:ascii="Arial" w:hAnsi="Arial"/>
                  <w:sz w:val="18"/>
                </w:rPr>
                <w:t>Communications by post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19.5</w:t>
            </w:r>
          </w:p>
        </w:tc>
        <w:tc>
          <w:tcPr>
            <w:tcW w:w="3090" w:type="dxa"/>
            <w:tcBorders/>
            <w:vAlign w:val="center"/>
          </w:tcPr>
          <w:p>
            <w:pPr>
              <w:pStyle w:val="TableContents"/>
              <w:bidi w:val="0"/>
              <w:spacing w:before="47" w:after="0"/>
              <w:ind w:left="0" w:right="0" w:hanging="0"/>
              <w:jc w:val="left"/>
              <w:rPr/>
            </w:pPr>
            <w:hyperlink w:anchor="Communicationsbyfax195">
              <w:r>
                <w:rPr>
                  <w:rStyle w:val="InternetLink"/>
                  <w:rFonts w:ascii="Arial" w:hAnsi="Arial"/>
                  <w:sz w:val="18"/>
                </w:rPr>
                <w:t>Communications by fax</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19.6</w:t>
            </w:r>
          </w:p>
        </w:tc>
        <w:tc>
          <w:tcPr>
            <w:tcW w:w="3090" w:type="dxa"/>
            <w:tcBorders/>
            <w:vAlign w:val="center"/>
          </w:tcPr>
          <w:p>
            <w:pPr>
              <w:pStyle w:val="TableContents"/>
              <w:bidi w:val="0"/>
              <w:spacing w:before="47" w:after="0"/>
              <w:ind w:left="0" w:right="0" w:hanging="0"/>
              <w:jc w:val="left"/>
              <w:rPr/>
            </w:pPr>
            <w:hyperlink w:anchor="Afterhourscommunications196">
              <w:r>
                <w:rPr>
                  <w:rStyle w:val="InternetLink"/>
                  <w:rFonts w:ascii="Arial" w:hAnsi="Arial"/>
                  <w:sz w:val="18"/>
                </w:rPr>
                <w:t>After hours communications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19.7</w:t>
            </w:r>
          </w:p>
        </w:tc>
        <w:tc>
          <w:tcPr>
            <w:tcW w:w="3090" w:type="dxa"/>
            <w:tcBorders/>
            <w:vAlign w:val="center"/>
          </w:tcPr>
          <w:p>
            <w:pPr>
              <w:pStyle w:val="TableContents"/>
              <w:bidi w:val="0"/>
              <w:spacing w:before="47" w:after="0"/>
              <w:ind w:left="0" w:right="0" w:hanging="0"/>
              <w:jc w:val="left"/>
              <w:rPr/>
            </w:pPr>
            <w:hyperlink w:anchor="Process_service197">
              <w:r>
                <w:rPr>
                  <w:rStyle w:val="InternetLink"/>
                  <w:rFonts w:ascii="Arial" w:hAnsi="Arial"/>
                  <w:sz w:val="18"/>
                </w:rPr>
                <w:t>Process service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266" w:type="dxa"/>
            <w:tcBorders/>
            <w:vAlign w:val="bottom"/>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left"/>
              <w:rPr/>
            </w:pPr>
            <w:r>
              <w:rPr/>
              <w:t> </w:t>
            </w:r>
          </w:p>
        </w:tc>
        <w:tc>
          <w:tcPr>
            <w:tcW w:w="309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1">
              <w:r>
                <w:rPr>
                  <w:rStyle w:val="InternetLink"/>
                  <w:rFonts w:ascii="Arial" w:hAnsi="Arial"/>
                  <w:b/>
                  <w:sz w:val="18"/>
                </w:rPr>
                <w:t>Schedule 1 -  Transaction Parties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74 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266"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left"/>
              <w:rPr/>
            </w:pPr>
            <w:r>
              <w:rPr/>
              <w:t> </w:t>
            </w:r>
          </w:p>
        </w:tc>
        <w:tc>
          <w:tcPr>
            <w:tcW w:w="3090" w:type="dxa"/>
            <w:tcBorders/>
            <w:vAlign w:val="bottom"/>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2">
              <w:r>
                <w:rPr>
                  <w:rStyle w:val="InternetLink"/>
                  <w:rFonts w:ascii="Arial" w:hAnsi="Arial"/>
                  <w:b/>
                  <w:sz w:val="18"/>
                </w:rPr>
                <w:t>Schedule 2  -  Facilities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75 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3">
              <w:r>
                <w:rPr>
                  <w:rStyle w:val="InternetLink"/>
                  <w:rFonts w:ascii="Arial" w:hAnsi="Arial"/>
                  <w:b/>
                  <w:sz w:val="18"/>
                </w:rPr>
                <w:t>Schedule 3  -  Collateral Security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76 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4">
              <w:r>
                <w:rPr>
                  <w:rStyle w:val="InternetLink"/>
                  <w:rFonts w:ascii="Arial" w:hAnsi="Arial"/>
                  <w:b/>
                  <w:sz w:val="18"/>
                </w:rPr>
                <w:t>Schedule 4  -  Not used</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77 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5">
              <w:r>
                <w:rPr>
                  <w:rStyle w:val="InternetLink"/>
                  <w:rFonts w:ascii="Arial" w:hAnsi="Arial"/>
                  <w:b/>
                  <w:sz w:val="18"/>
                </w:rPr>
                <w:t>Schedule 5  -  Conditions Precedent</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78 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color w:val="000000"/>
                <w:szCs w:val="18"/>
              </w:rPr>
            </w:pPr>
            <w:r>
              <w:rPr>
                <w:rFonts w:cs="Arial"/>
                <w:color w:val="000000"/>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color w:val="000000"/>
                <w:szCs w:val="18"/>
              </w:rPr>
            </w:pPr>
            <w:r>
              <w:rPr>
                <w:rFonts w:cs="Arial"/>
                <w:color w:val="000000"/>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6">
              <w:r>
                <w:rPr>
                  <w:rStyle w:val="InternetLink"/>
                  <w:rFonts w:ascii="Arial" w:hAnsi="Arial"/>
                  <w:b/>
                  <w:sz w:val="18"/>
                </w:rPr>
                <w:t>Schedule 6  -  Verification Certificate</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79 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7">
              <w:r>
                <w:rPr>
                  <w:rStyle w:val="InternetLink"/>
                  <w:rFonts w:ascii="Arial" w:hAnsi="Arial"/>
                  <w:b/>
                  <w:sz w:val="18"/>
                </w:rPr>
                <w:t>Schedule 7  -  Funding Notice</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80 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8">
              <w:r>
                <w:rPr>
                  <w:rStyle w:val="InternetLink"/>
                  <w:rFonts w:ascii="Arial" w:hAnsi="Arial"/>
                  <w:b/>
                  <w:sz w:val="18"/>
                </w:rPr>
                <w:t>Schedule 8  -  Guarantor Accession Deed</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81 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9">
              <w:r>
                <w:rPr>
                  <w:rStyle w:val="InternetLink"/>
                  <w:rFonts w:ascii="Arial" w:hAnsi="Arial"/>
                  <w:b/>
                  <w:sz w:val="18"/>
                </w:rPr>
                <w:t>Schedule 9  -  Compliance Certificate</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82 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color w:val="000000"/>
                <w:szCs w:val="18"/>
              </w:rPr>
            </w:pPr>
            <w:r>
              <w:rPr>
                <w:rFonts w:cs="Arial"/>
                <w:color w:val="000000"/>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10">
              <w:r>
                <w:rPr>
                  <w:rStyle w:val="InternetLink"/>
                  <w:rFonts w:ascii="Arial" w:hAnsi="Arial"/>
                  <w:b/>
                  <w:sz w:val="18"/>
                </w:rPr>
                <w:t>Schedule 10  -  Interim Compliance Certificate</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83  </w:t>
            </w:r>
          </w:p>
        </w:tc>
        <w:tc>
          <w:tcPr>
            <w:tcW w:w="75" w:type="dxa"/>
            <w:tcBorders/>
            <w:vAlign w:val="bottom"/>
          </w:tcPr>
          <w:p>
            <w:pPr>
              <w:pStyle w:val="TableContents"/>
              <w:bidi w:val="0"/>
              <w:spacing w:before="0" w:after="0"/>
              <w:ind w:left="0" w:right="0" w:hanging="0"/>
              <w:jc w:val="right"/>
              <w:rPr/>
            </w:pPr>
            <w:r>
              <w:rPr/>
              <w:t> </w:t>
            </w:r>
          </w:p>
        </w:tc>
      </w:tr>
    </w:tbl>
    <w:p>
      <w:pPr>
        <w:pStyle w:val="TextBody"/>
        <w:bidi w:val="0"/>
        <w:spacing w:before="141" w:after="0"/>
        <w:ind w:left="360" w:right="360" w:hanging="0"/>
        <w:jc w:val="left"/>
        <w:rPr>
          <w:rFonts w:cs="Arial"/>
          <w:szCs w:val="22"/>
        </w:rPr>
      </w:pPr>
      <w:r>
        <w:rPr>
          <w:rFonts w:cs="Arial"/>
          <w:szCs w:val="22"/>
        </w:rPr>
        <w:t xml:space="preserve">﻿ </w:t>
      </w:r>
    </w:p>
    <w:tbl>
      <w:tblPr>
        <w:tblW w:w="1953" w:type="dxa"/>
        <w:jc w:val="left"/>
        <w:tblInd w:w="360" w:type="dxa"/>
        <w:tblLayout w:type="fixed"/>
        <w:tblCellMar>
          <w:top w:w="0" w:type="dxa"/>
          <w:left w:w="0" w:type="dxa"/>
          <w:bottom w:w="0" w:type="dxa"/>
          <w:right w:w="0" w:type="dxa"/>
        </w:tblCellMar>
      </w:tblPr>
      <w:tblGrid>
        <w:gridCol w:w="38"/>
        <w:gridCol w:w="1295"/>
        <w:gridCol w:w="545"/>
        <w:gridCol w:w="75"/>
      </w:tblGrid>
      <w:tr>
        <w:trPr/>
        <w:tc>
          <w:tcPr>
            <w:tcW w:w="38"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95" w:type="dxa"/>
            <w:tcBorders/>
            <w:vAlign w:val="bottom"/>
          </w:tcPr>
          <w:p>
            <w:pPr>
              <w:pStyle w:val="TableContents"/>
              <w:bidi w:val="0"/>
              <w:spacing w:before="0" w:after="0"/>
              <w:ind w:left="0" w:right="0" w:hanging="0"/>
              <w:jc w:val="left"/>
              <w:rPr>
                <w:rFonts w:ascii="Arial" w:hAnsi="Arial"/>
                <w:color w:val="000000"/>
                <w:sz w:val="15"/>
              </w:rPr>
            </w:pPr>
            <w:r>
              <w:rPr>
                <w:rFonts w:ascii="Arial" w:hAnsi="Arial"/>
                <w:color w:val="000000"/>
                <w:sz w:val="15"/>
              </w:rPr>
              <w:t>Facility Agreement</w:t>
            </w:r>
          </w:p>
        </w:tc>
        <w:tc>
          <w:tcPr>
            <w:tcW w:w="545" w:type="dxa"/>
            <w:tcBorders/>
            <w:vAlign w:val="bottom"/>
          </w:tcPr>
          <w:p>
            <w:pPr>
              <w:pStyle w:val="TableContents"/>
              <w:bidi w:val="0"/>
              <w:spacing w:before="0" w:after="0"/>
              <w:ind w:left="0" w:right="0" w:hanging="0"/>
              <w:jc w:val="right"/>
              <w:rPr>
                <w:rFonts w:ascii="Arial" w:hAnsi="Arial"/>
                <w:color w:val="000000"/>
                <w:sz w:val="15"/>
              </w:rPr>
            </w:pPr>
            <w:r>
              <w:rPr>
                <w:rFonts w:ascii="Arial" w:hAnsi="Arial"/>
                <w:color w:val="000000"/>
                <w:sz w:val="15"/>
              </w:rPr>
              <w:t>Page iv</w:t>
            </w:r>
          </w:p>
        </w:tc>
        <w:tc>
          <w:tcPr>
            <w:tcW w:w="75" w:type="dxa"/>
            <w:tcBorders/>
            <w:vAlign w:val="bottom"/>
          </w:tcPr>
          <w:p>
            <w:pPr>
              <w:pStyle w:val="TableContents"/>
              <w:bidi w:val="0"/>
              <w:spacing w:before="0" w:after="0"/>
              <w:ind w:left="0" w:right="0" w:hanging="0"/>
              <w:jc w:val="right"/>
              <w:rPr/>
            </w:pPr>
            <w:r>
              <w:rPr/>
              <w:t> </w:t>
            </w:r>
          </w:p>
        </w:tc>
      </w:tr>
    </w:tbl>
    <w:p>
      <w:pPr>
        <w:pStyle w:val="TextBody"/>
        <w:pBdr/>
        <w:bidi w:val="0"/>
        <w:spacing w:before="141" w:after="0"/>
        <w:ind w:left="360" w:right="360" w:hanging="0"/>
        <w:jc w:val="left"/>
        <w:rPr>
          <w:rFonts w:cs="Arial"/>
          <w:szCs w:val="22"/>
        </w:rPr>
      </w:pPr>
      <w:r>
        <w:rPr>
          <w:rFonts w:cs="Arial"/>
          <w:szCs w:val="22"/>
        </w:rPr>
        <w:t xml:space="preserve">﻿ </w:t>
      </w:r>
    </w:p>
    <w:p>
      <w:pPr>
        <w:pStyle w:val="TextBody"/>
        <w:pBdr/>
        <w:bidi w:val="0"/>
        <w:spacing w:before="141" w:after="0"/>
        <w:ind w:left="360" w:right="360" w:hanging="0"/>
        <w:jc w:val="left"/>
        <w:rPr>
          <w:rFonts w:cs="Arial"/>
          <w:szCs w:val="22"/>
        </w:rPr>
      </w:pPr>
      <w:r>
        <w:rPr>
          <w:rFonts w:cs="Arial"/>
          <w:szCs w:val="22"/>
        </w:rPr>
        <w:t xml:space="preserve">﻿ </w:t>
      </w:r>
    </w:p>
    <w:p>
      <w:pPr>
        <w:pStyle w:val="TextBody"/>
        <w:pBdr/>
        <w:bidi w:val="0"/>
        <w:spacing w:before="141" w:after="0"/>
        <w:ind w:left="360" w:right="360" w:hanging="0"/>
        <w:jc w:val="left"/>
        <w:rPr/>
      </w:pPr>
      <w:r>
        <w:rPr/>
        <w:t xml:space="preserve">  </w:t>
      </w:r>
    </w:p>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141" w:after="0"/>
        <w:ind w:left="360" w:right="360" w:hanging="0"/>
        <w:jc w:val="left"/>
        <w:rPr>
          <w:rFonts w:cs="Arial"/>
          <w:szCs w:val="22"/>
        </w:rPr>
      </w:pPr>
      <w:r>
        <w:rPr>
          <w:rFonts w:cs="Arial"/>
          <w:szCs w:val="22"/>
        </w:rPr>
        <w:t xml:space="preserve">﻿ </w:t>
      </w:r>
    </w:p>
    <w:p>
      <w:pPr>
        <w:pStyle w:val="TextBody"/>
        <w:bidi w:val="0"/>
        <w:spacing w:before="0" w:after="0"/>
        <w:ind w:left="2654" w:right="360" w:hanging="0"/>
        <w:jc w:val="left"/>
        <w:rPr>
          <w:rFonts w:ascii="Arial" w:hAnsi="Arial"/>
          <w:sz w:val="22"/>
        </w:rPr>
      </w:pPr>
      <w:r>
        <w:rPr>
          <w:rFonts w:ascii="Arial" w:hAnsi="Arial"/>
          <w:b/>
          <w:sz w:val="22"/>
        </w:rPr>
        <w:t>Date</w:t>
      </w:r>
      <w:r>
        <w:rPr>
          <w:rFonts w:ascii="Arial" w:hAnsi="Arial"/>
          <w:sz w:val="22"/>
        </w:rPr>
        <w:t xml:space="preserve"> </w:t>
      </w:r>
    </w:p>
    <w:p>
      <w:pPr>
        <w:pStyle w:val="TextBody"/>
        <w:bidi w:val="0"/>
        <w:spacing w:before="95" w:after="0"/>
        <w:ind w:left="360" w:right="360" w:hanging="0"/>
        <w:jc w:val="left"/>
        <w:rPr>
          <w:rFonts w:cs="Arial"/>
          <w:szCs w:val="22"/>
        </w:rPr>
      </w:pPr>
      <w:r>
        <w:rPr>
          <w:rFonts w:cs="Arial"/>
          <w:bCs/>
          <w:szCs w:val="22"/>
        </w:rPr>
        <w:t>﻿</w:t>
      </w:r>
      <w:r>
        <w:rPr>
          <w:rFonts w:cs="Arial"/>
          <w:szCs w:val="22"/>
        </w:rPr>
        <w:t xml:space="preserve"> </w:t>
      </w:r>
    </w:p>
    <w:p>
      <w:pPr>
        <w:pStyle w:val="TextBody"/>
        <w:bidi w:val="0"/>
        <w:spacing w:before="0" w:after="0"/>
        <w:ind w:left="2654" w:right="360" w:hanging="0"/>
        <w:jc w:val="left"/>
        <w:rPr>
          <w:rFonts w:ascii="Arial" w:hAnsi="Arial"/>
          <w:sz w:val="36"/>
        </w:rPr>
      </w:pPr>
      <w:r>
        <w:rPr>
          <w:rFonts w:ascii="Arial" w:hAnsi="Arial"/>
          <w:sz w:val="37"/>
        </w:rPr>
        <w:t>Parties</w:t>
      </w:r>
      <w:r>
        <w:rPr>
          <w:rFonts w:ascii="Arial" w:hAnsi="Arial"/>
          <w:sz w:val="36"/>
        </w:rPr>
        <w:t xml:space="preserve"> </w:t>
      </w:r>
    </w:p>
    <w:p>
      <w:pPr>
        <w:pStyle w:val="TextBody"/>
        <w:bidi w:val="0"/>
        <w:spacing w:lineRule="auto" w:line="266" w:before="248" w:after="0"/>
        <w:ind w:left="2654" w:right="1854" w:hanging="0"/>
        <w:jc w:val="left"/>
        <w:rPr>
          <w:rFonts w:ascii="Arial" w:hAnsi="Arial"/>
          <w:sz w:val="20"/>
        </w:rPr>
      </w:pPr>
      <w:r>
        <w:rPr>
          <w:rFonts w:ascii="Arial" w:hAnsi="Arial"/>
          <w:b/>
          <w:sz w:val="20"/>
        </w:rPr>
        <w:t>National</w:t>
      </w:r>
      <w:r>
        <w:rPr>
          <w:rFonts w:ascii="Arial" w:hAnsi="Arial"/>
          <w:sz w:val="20"/>
        </w:rPr>
        <w:t> </w:t>
      </w:r>
      <w:r>
        <w:rPr>
          <w:rFonts w:ascii="Arial" w:hAnsi="Arial"/>
          <w:b/>
          <w:sz w:val="20"/>
        </w:rPr>
        <w:t>Australia</w:t>
      </w:r>
      <w:r>
        <w:rPr>
          <w:rFonts w:ascii="Arial" w:hAnsi="Arial"/>
          <w:sz w:val="20"/>
        </w:rPr>
        <w:t> </w:t>
      </w:r>
      <w:r>
        <w:rPr>
          <w:rFonts w:ascii="Arial" w:hAnsi="Arial"/>
          <w:b/>
          <w:sz w:val="20"/>
        </w:rPr>
        <w:t>Bank</w:t>
      </w:r>
      <w:r>
        <w:rPr>
          <w:rFonts w:ascii="Arial" w:hAnsi="Arial"/>
          <w:sz w:val="20"/>
        </w:rPr>
        <w:t> </w:t>
      </w:r>
      <w:r>
        <w:rPr>
          <w:rFonts w:ascii="Arial" w:hAnsi="Arial"/>
          <w:b/>
          <w:sz w:val="20"/>
        </w:rPr>
        <w:t>Limited</w:t>
      </w:r>
      <w:r>
        <w:rPr>
          <w:rFonts w:ascii="Arial" w:hAnsi="Arial"/>
          <w:sz w:val="20"/>
        </w:rPr>
        <w:t> ABN 12 004 044 937 of Level 17, 395 Bourke Street, Melbourne, Victoria 3000 (</w:t>
      </w:r>
      <w:r>
        <w:rPr>
          <w:rFonts w:ascii="Arial" w:hAnsi="Arial"/>
          <w:b/>
          <w:sz w:val="20"/>
        </w:rPr>
        <w:t>Bank</w:t>
      </w:r>
      <w:r>
        <w:rPr>
          <w:rFonts w:ascii="Arial" w:hAnsi="Arial"/>
          <w:sz w:val="20"/>
        </w:rPr>
        <w:t xml:space="preserve">) </w:t>
      </w:r>
    </w:p>
    <w:p>
      <w:pPr>
        <w:pStyle w:val="TextBody"/>
        <w:bidi w:val="0"/>
        <w:spacing w:lineRule="auto" w:line="266" w:before="219" w:after="0"/>
        <w:ind w:left="2654" w:right="1854"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Entertainment</w:t>
      </w:r>
      <w:r>
        <w:rPr>
          <w:rFonts w:ascii="Arial" w:hAnsi="Arial"/>
          <w:sz w:val="20"/>
        </w:rPr>
        <w:t> </w:t>
      </w:r>
      <w:r>
        <w:rPr>
          <w:rFonts w:ascii="Arial" w:hAnsi="Arial"/>
          <w:b/>
          <w:sz w:val="20"/>
        </w:rPr>
        <w:t>Australia</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0"/>
        </w:rPr>
        <w:t> ACN 070 893 908 of 98 York Street, South Melbourne, Victoria 3205 (</w:t>
      </w:r>
      <w:r>
        <w:rPr>
          <w:rFonts w:ascii="Arial" w:hAnsi="Arial"/>
          <w:b/>
          <w:sz w:val="20"/>
        </w:rPr>
        <w:t>Borrower</w:t>
      </w:r>
      <w:r>
        <w:rPr>
          <w:rFonts w:ascii="Arial" w:hAnsi="Arial"/>
          <w:sz w:val="20"/>
        </w:rPr>
        <w:t xml:space="preserve">) </w:t>
      </w:r>
    </w:p>
    <w:p>
      <w:pPr>
        <w:pStyle w:val="TextBody"/>
        <w:bidi w:val="0"/>
        <w:spacing w:before="222" w:after="0"/>
        <w:ind w:left="2654" w:right="360" w:hanging="0"/>
        <w:jc w:val="left"/>
        <w:rPr>
          <w:rFonts w:ascii="Arial" w:hAnsi="Arial"/>
          <w:b/>
          <w:sz w:val="20"/>
        </w:rPr>
      </w:pPr>
      <w:r>
        <w:rPr>
          <w:rFonts w:ascii="Arial" w:hAnsi="Arial"/>
          <w:b/>
          <w:sz w:val="20"/>
        </w:rPr>
        <w:t>Each person listed in schedule 1 </w:t>
      </w:r>
      <w:r>
        <w:rPr>
          <w:rFonts w:ascii="Arial" w:hAnsi="Arial"/>
          <w:b w:val="false"/>
          <w:sz w:val="20"/>
        </w:rPr>
        <w:t>(each</w:t>
      </w:r>
      <w:r>
        <w:rPr>
          <w:rFonts w:ascii="Arial" w:hAnsi="Arial"/>
          <w:b/>
          <w:sz w:val="20"/>
        </w:rPr>
        <w:t> </w:t>
      </w:r>
      <w:r>
        <w:rPr>
          <w:rFonts w:ascii="Arial" w:hAnsi="Arial"/>
          <w:b w:val="false"/>
          <w:sz w:val="20"/>
        </w:rPr>
        <w:t>an</w:t>
      </w:r>
      <w:r>
        <w:rPr>
          <w:rFonts w:ascii="Arial" w:hAnsi="Arial"/>
          <w:b/>
          <w:sz w:val="20"/>
        </w:rPr>
        <w:t> Original Guarantor</w:t>
      </w:r>
      <w:r>
        <w:rPr>
          <w:rFonts w:ascii="Arial" w:hAnsi="Arial"/>
          <w:b w:val="false"/>
          <w:sz w:val="20"/>
        </w:rPr>
        <w:t>)</w:t>
      </w:r>
      <w:r>
        <w:rPr>
          <w:rFonts w:ascii="Arial" w:hAnsi="Arial"/>
          <w:b/>
          <w:sz w:val="20"/>
        </w:rPr>
        <w:t xml:space="preserve"> </w:t>
      </w:r>
    </w:p>
    <w:p>
      <w:pPr>
        <w:pStyle w:val="TextBody"/>
        <w:bidi w:val="0"/>
        <w:spacing w:before="0" w:after="0"/>
        <w:ind w:left="360" w:right="360" w:hanging="0"/>
        <w:jc w:val="left"/>
        <w:rPr>
          <w:rFonts w:cs="Arial"/>
          <w:szCs w:val="20"/>
        </w:rPr>
      </w:pPr>
      <w:r>
        <w:rPr>
          <w:rFonts w:cs="Arial"/>
          <w:szCs w:val="20"/>
        </w:rPr>
        <w:t xml:space="preserve">﻿ </w:t>
      </w:r>
    </w:p>
    <w:p>
      <w:pPr>
        <w:pStyle w:val="TextBody"/>
        <w:pBdr>
          <w:bottom w:val="single" w:sz="8" w:space="1" w:color="000000"/>
        </w:pBdr>
        <w:bidi w:val="0"/>
        <w:spacing w:before="20" w:after="0"/>
        <w:ind w:left="2650" w:right="360" w:hanging="0"/>
        <w:jc w:val="left"/>
        <w:rPr>
          <w:rFonts w:cs="Arial"/>
          <w:szCs w:val="20"/>
        </w:rPr>
      </w:pPr>
      <w:r>
        <w:rPr>
          <w:rFonts w:cs="Arial"/>
          <w:szCs w:val="20"/>
        </w:rPr>
        <w:t xml:space="preserve">﻿ </w:t>
      </w:r>
    </w:p>
    <w:p>
      <w:pPr>
        <w:pStyle w:val="TextBody"/>
        <w:bidi w:val="0"/>
        <w:spacing w:before="363" w:after="0"/>
        <w:ind w:left="2654" w:right="360" w:hanging="0"/>
        <w:jc w:val="left"/>
        <w:rPr>
          <w:rFonts w:ascii="Arial" w:hAnsi="Arial"/>
          <w:sz w:val="36"/>
        </w:rPr>
      </w:pPr>
      <w:r>
        <w:rPr>
          <w:rFonts w:ascii="Arial" w:hAnsi="Arial"/>
          <w:sz w:val="37"/>
        </w:rPr>
        <w:t>Agreed</w:t>
      </w:r>
      <w:r>
        <w:rPr>
          <w:rFonts w:ascii="Arial" w:hAnsi="Arial"/>
          <w:sz w:val="36"/>
        </w:rPr>
        <w:t> </w:t>
      </w:r>
      <w:r>
        <w:rPr>
          <w:rFonts w:ascii="Arial" w:hAnsi="Arial"/>
          <w:sz w:val="37"/>
        </w:rPr>
        <w:t>terms</w:t>
      </w:r>
      <w:r>
        <w:rPr>
          <w:rFonts w:ascii="Arial" w:hAnsi="Arial"/>
          <w:sz w:val="36"/>
        </w:rPr>
        <w:t xml:space="preserve"> </w:t>
      </w:r>
    </w:p>
    <w:p>
      <w:pPr>
        <w:pStyle w:val="TextBody"/>
        <w:bidi w:val="0"/>
        <w:spacing w:before="139" w:after="0"/>
        <w:ind w:left="360" w:right="360" w:hanging="0"/>
        <w:jc w:val="left"/>
        <w:rPr>
          <w:rFonts w:cs="Arial"/>
          <w:szCs w:val="36"/>
        </w:rPr>
      </w:pPr>
      <w:r>
        <w:rPr>
          <w:rFonts w:cs="Arial"/>
          <w:szCs w:val="37"/>
        </w:rPr>
        <w:t>﻿</w:t>
      </w:r>
      <w:r>
        <w:rPr>
          <w:rFonts w:cs="Arial"/>
          <w:szCs w:val="36"/>
        </w:rPr>
        <w:t xml:space="preserve"> </w:t>
      </w:r>
    </w:p>
    <w:tbl>
      <w:tblPr>
        <w:tblW w:w="2246" w:type="dxa"/>
        <w:jc w:val="left"/>
        <w:tblInd w:w="360" w:type="dxa"/>
        <w:tblLayout w:type="fixed"/>
        <w:tblCellMar>
          <w:top w:w="0" w:type="dxa"/>
          <w:left w:w="0" w:type="dxa"/>
          <w:bottom w:w="0" w:type="dxa"/>
          <w:right w:w="0" w:type="dxa"/>
        </w:tblCellMar>
      </w:tblPr>
      <w:tblGrid>
        <w:gridCol w:w="38"/>
        <w:gridCol w:w="365"/>
        <w:gridCol w:w="23"/>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1820" w:type="dxa"/>
            <w:tcBorders/>
          </w:tcPr>
          <w:p>
            <w:pPr>
              <w:pStyle w:val="TableContents"/>
              <w:bidi w:val="0"/>
              <w:spacing w:before="0" w:after="0"/>
              <w:ind w:left="0" w:right="0" w:hanging="0"/>
              <w:jc w:val="left"/>
              <w:rPr>
                <w:rFonts w:ascii="Arial" w:hAnsi="Arial"/>
                <w:color w:val="000000"/>
                <w:sz w:val="30"/>
              </w:rPr>
            </w:pPr>
            <w:bookmarkStart w:id="135" w:name="Interpretation"/>
            <w:bookmarkStart w:id="136" w:name="_TOC_250088"/>
            <w:bookmarkEnd w:id="135"/>
            <w:bookmarkEnd w:id="136"/>
            <w:r>
              <w:rPr>
                <w:rFonts w:ascii="Arial" w:hAnsi="Arial"/>
                <w:color w:val="000000"/>
                <w:sz w:val="30"/>
              </w:rPr>
              <w:t>Interpretation</w:t>
            </w:r>
          </w:p>
        </w:tc>
      </w:tr>
    </w:tbl>
    <w:tbl>
      <w:tblPr>
        <w:tblW w:w="1796" w:type="dxa"/>
        <w:jc w:val="left"/>
        <w:tblInd w:w="360" w:type="dxa"/>
        <w:tblLayout w:type="fixed"/>
        <w:tblCellMar>
          <w:top w:w="0" w:type="dxa"/>
          <w:left w:w="0" w:type="dxa"/>
          <w:bottom w:w="0" w:type="dxa"/>
          <w:right w:w="0" w:type="dxa"/>
        </w:tblCellMar>
      </w:tblPr>
      <w:tblGrid>
        <w:gridCol w:w="38"/>
        <w:gridCol w:w="560"/>
        <w:gridCol w:w="23"/>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7.10.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tcPr>
          <w:p>
            <w:pPr>
              <w:pStyle w:val="TableContents"/>
              <w:bidi w:val="0"/>
              <w:spacing w:before="174" w:after="0"/>
              <w:ind w:left="0" w:right="0" w:hanging="0"/>
              <w:jc w:val="left"/>
              <w:rPr>
                <w:rFonts w:ascii="Arial" w:hAnsi="Arial"/>
                <w:b/>
                <w:color w:val="000000"/>
                <w:sz w:val="22"/>
              </w:rPr>
            </w:pPr>
            <w:bookmarkStart w:id="137" w:name="Definitions11"/>
            <w:bookmarkStart w:id="138" w:name="_TOC_250087"/>
            <w:bookmarkEnd w:id="137"/>
            <w:bookmarkEnd w:id="138"/>
            <w:r>
              <w:rPr>
                <w:rFonts w:ascii="Arial" w:hAnsi="Arial"/>
                <w:b/>
                <w:color w:val="000000"/>
                <w:sz w:val="22"/>
              </w:rPr>
              <w:t>Definitions</w:t>
            </w:r>
          </w:p>
        </w:tc>
      </w:tr>
    </w:tbl>
    <w:p>
      <w:pPr>
        <w:pStyle w:val="TextBody"/>
        <w:pBdr/>
        <w:bidi w:val="0"/>
        <w:spacing w:before="85" w:after="0"/>
        <w:ind w:left="3453" w:right="360" w:hanging="0"/>
        <w:jc w:val="left"/>
        <w:rPr>
          <w:rFonts w:ascii="Arial" w:hAnsi="Arial"/>
          <w:sz w:val="20"/>
        </w:rPr>
      </w:pPr>
      <w:r>
        <w:rPr>
          <w:rFonts w:ascii="Arial" w:hAnsi="Arial"/>
          <w:color w:val="000000"/>
          <w:sz w:val="20"/>
        </w:rPr>
        <w:t>In this document:</w:t>
      </w:r>
      <w:r>
        <w:rPr>
          <w:rFonts w:ascii="Arial" w:hAnsi="Arial"/>
          <w:sz w:val="20"/>
        </w:rPr>
        <w:t xml:space="preserve"> </w:t>
      </w:r>
    </w:p>
    <w:p>
      <w:pPr>
        <w:pStyle w:val="TextBody"/>
        <w:pBdr/>
        <w:bidi w:val="0"/>
        <w:spacing w:lineRule="auto" w:line="266" w:before="135" w:after="0"/>
        <w:ind w:left="3453" w:right="1854" w:hanging="0"/>
        <w:jc w:val="left"/>
        <w:rPr>
          <w:rFonts w:ascii="Arial" w:hAnsi="Arial"/>
          <w:sz w:val="20"/>
        </w:rPr>
      </w:pPr>
      <w:r>
        <w:rPr>
          <w:rFonts w:ascii="Arial" w:hAnsi="Arial"/>
          <w:b/>
          <w:color w:val="000000"/>
          <w:sz w:val="20"/>
        </w:rPr>
        <w:t>AASB</w:t>
      </w:r>
      <w:r>
        <w:rPr>
          <w:rFonts w:ascii="Arial" w:hAnsi="Arial"/>
          <w:color w:val="000000"/>
          <w:sz w:val="20"/>
        </w:rPr>
        <w:t> </w:t>
      </w:r>
      <w:r>
        <w:rPr>
          <w:rFonts w:ascii="Arial" w:hAnsi="Arial"/>
          <w:b/>
          <w:color w:val="000000"/>
          <w:sz w:val="20"/>
        </w:rPr>
        <w:t>16</w:t>
      </w:r>
      <w:r>
        <w:rPr>
          <w:rFonts w:ascii="Arial" w:hAnsi="Arial"/>
          <w:color w:val="000000"/>
          <w:sz w:val="20"/>
        </w:rPr>
        <w:t> means Accounting Standard AASB 16, issued by the Australian Accounting Standards Board under section 334 of the Corporations Act.</w:t>
      </w:r>
      <w:r>
        <w:rPr>
          <w:rFonts w:ascii="Arial" w:hAnsi="Arial"/>
          <w:sz w:val="20"/>
        </w:rPr>
        <w:t xml:space="preserve"> </w:t>
      </w:r>
    </w:p>
    <w:p>
      <w:pPr>
        <w:pStyle w:val="TextBody"/>
        <w:pBdr/>
        <w:bidi w:val="0"/>
        <w:spacing w:lineRule="auto" w:line="264" w:before="106" w:after="0"/>
        <w:ind w:left="3453" w:right="1940" w:hanging="0"/>
        <w:jc w:val="left"/>
        <w:rPr>
          <w:rFonts w:ascii="Arial" w:hAnsi="Arial"/>
          <w:sz w:val="20"/>
        </w:rPr>
      </w:pPr>
      <w:r>
        <w:rPr>
          <w:rFonts w:ascii="Arial" w:hAnsi="Arial"/>
          <w:b/>
          <w:color w:val="000000"/>
          <w:sz w:val="20"/>
        </w:rPr>
        <w:t xml:space="preserve">Accounting Standards </w:t>
      </w:r>
      <w:r>
        <w:rPr>
          <w:rFonts w:ascii="Arial" w:hAnsi="Arial"/>
          <w:color w:val="000000"/>
          <w:sz w:val="20"/>
        </w:rPr>
        <w:t>means accounting principles and practices consistently applied which are generally accepted in Australia and are consistent with any applicable legislation in each case as in effect on the date of this document, including instruments in force under section 334 of the Corporations Act and provisions of such instruments.</w:t>
      </w:r>
      <w:r>
        <w:rPr>
          <w:rFonts w:ascii="Arial" w:hAnsi="Arial"/>
          <w:sz w:val="20"/>
        </w:rPr>
        <w:t xml:space="preserve"> </w:t>
      </w:r>
    </w:p>
    <w:p>
      <w:pPr>
        <w:pStyle w:val="TextBody"/>
        <w:pBdr/>
        <w:bidi w:val="0"/>
        <w:spacing w:lineRule="auto" w:line="264" w:before="109" w:after="0"/>
        <w:ind w:left="3453" w:right="1854" w:hanging="0"/>
        <w:jc w:val="left"/>
        <w:rPr>
          <w:rFonts w:ascii="Arial" w:hAnsi="Arial"/>
          <w:sz w:val="20"/>
        </w:rPr>
      </w:pPr>
      <w:r>
        <w:rPr>
          <w:rFonts w:ascii="Arial" w:hAnsi="Arial"/>
          <w:b/>
          <w:color w:val="000000"/>
          <w:sz w:val="20"/>
        </w:rPr>
        <w:t>Adjusted</w:t>
      </w:r>
      <w:r>
        <w:rPr>
          <w:rFonts w:ascii="Arial" w:hAnsi="Arial"/>
          <w:color w:val="000000"/>
          <w:sz w:val="20"/>
        </w:rPr>
        <w:t> </w:t>
      </w:r>
      <w:r>
        <w:rPr>
          <w:rFonts w:ascii="Arial" w:hAnsi="Arial"/>
          <w:b/>
          <w:color w:val="000000"/>
          <w:sz w:val="20"/>
        </w:rPr>
        <w:t>EBITDA</w:t>
      </w:r>
      <w:r>
        <w:rPr>
          <w:rFonts w:ascii="Arial" w:hAnsi="Arial"/>
          <w:color w:val="000000"/>
          <w:sz w:val="20"/>
        </w:rPr>
        <w:t> means, for any period, EBITDA adjusted to include any Management Fees paid in cash and exclude: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(a)any non-cash impairment for non-current assets included in the consolidated financial statements of the Reading Entertainment Australia Group during the relevant period;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(b)any net gains or losses on asset sales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(c)non-operating income or losses (except any interest income);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(d)share of profit or loss in connection with a joint venture with a person who is not a Reading Entertainment Australia Group Member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(e)accrued Management Fees,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(f)any net foreign exchange amounts (whether realised or unrealised) included in the consolidated financial statements of the Reading Entertainment Australia Group during the relevant period.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1</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before="0" w:after="0"/>
        <w:ind w:left="3456" w:right="360" w:hanging="0"/>
        <w:jc w:val="left"/>
        <w:rPr>
          <w:rFonts w:ascii="Arial" w:hAnsi="Arial"/>
          <w:sz w:val="20"/>
        </w:rPr>
      </w:pPr>
      <w:r>
        <w:rPr>
          <w:rFonts w:ascii="Arial" w:hAnsi="Arial"/>
          <w:sz w:val="20"/>
        </w:rPr>
        <w:t xml:space="preserve">and subject to adjustment in respect of any further extraordinary items with the </w:t>
      </w:r>
    </w:p>
    <w:p>
      <w:pPr>
        <w:pStyle w:val="TextBody"/>
        <w:pBdr/>
        <w:bidi w:val="0"/>
        <w:spacing w:before="0" w:after="0"/>
        <w:ind w:left="3456" w:right="360" w:hanging="0"/>
        <w:jc w:val="left"/>
        <w:rPr>
          <w:rFonts w:ascii="Arial" w:hAnsi="Arial"/>
          <w:sz w:val="20"/>
        </w:rPr>
      </w:pPr>
      <w:r>
        <w:rPr>
          <w:rFonts w:ascii="Arial" w:hAnsi="Arial"/>
          <w:sz w:val="20"/>
        </w:rPr>
        <w:t xml:space="preserve">Bank’s written consent. </w:t>
      </w:r>
    </w:p>
    <w:p>
      <w:pPr>
        <w:pStyle w:val="TextBody"/>
        <w:pBdr/>
        <w:bidi w:val="0"/>
        <w:spacing w:before="0" w:after="0"/>
        <w:ind w:left="360" w:right="360" w:hanging="0"/>
        <w:jc w:val="left"/>
        <w:rPr>
          <w:rFonts w:cs="Arial"/>
          <w:szCs w:val="4"/>
        </w:rPr>
      </w:pPr>
      <w:r>
        <w:rPr>
          <w:rFonts w:cs="Arial"/>
          <w:szCs w:val="4"/>
        </w:rPr>
        <w:t xml:space="preserve">﻿ </w:t>
      </w:r>
    </w:p>
    <w:p>
      <w:pPr>
        <w:pStyle w:val="TextBody"/>
        <w:pBdr/>
        <w:bidi w:val="0"/>
        <w:spacing w:lineRule="auto" w:line="264" w:before="174" w:after="0"/>
        <w:ind w:left="3456" w:right="1854" w:hanging="0"/>
        <w:jc w:val="left"/>
        <w:rPr>
          <w:rFonts w:ascii="Arial" w:hAnsi="Arial"/>
          <w:sz w:val="20"/>
        </w:rPr>
      </w:pPr>
      <w:r>
        <w:rPr>
          <w:rFonts w:ascii="Arial" w:hAnsi="Arial"/>
          <w:b/>
          <w:sz w:val="20"/>
        </w:rPr>
        <w:t xml:space="preserve">Advance </w:t>
      </w:r>
      <w:r>
        <w:rPr>
          <w:rFonts w:ascii="Arial" w:hAnsi="Arial"/>
          <w:sz w:val="20"/>
        </w:rPr>
        <w:t xml:space="preserve">means the principal amount of an advance made under the Corporate Markets Loan Facility or the Bridge Facility or, where appropriate, requested under the Corporate Markets Loan Facility or the Bridge Facility. </w:t>
      </w:r>
    </w:p>
    <w:p>
      <w:pPr>
        <w:pStyle w:val="TextBody"/>
        <w:pBdr/>
        <w:bidi w:val="0"/>
        <w:spacing w:lineRule="auto" w:line="264" w:before="111" w:after="0"/>
        <w:ind w:left="3453" w:right="1854" w:hanging="0"/>
        <w:jc w:val="left"/>
        <w:rPr>
          <w:rFonts w:ascii="Arial" w:hAnsi="Arial"/>
          <w:sz w:val="20"/>
        </w:rPr>
      </w:pPr>
      <w:r>
        <w:rPr>
          <w:rFonts w:ascii="Arial" w:hAnsi="Arial"/>
          <w:b/>
          <w:sz w:val="20"/>
        </w:rPr>
        <w:t>Aggregate</w:t>
      </w:r>
      <w:r>
        <w:rPr>
          <w:rFonts w:ascii="Arial" w:hAnsi="Arial"/>
          <w:sz w:val="20"/>
        </w:rPr>
        <w:t> </w:t>
      </w:r>
      <w:r>
        <w:rPr>
          <w:rFonts w:ascii="Arial" w:hAnsi="Arial"/>
          <w:b/>
          <w:sz w:val="20"/>
        </w:rPr>
        <w:t>Amount</w:t>
      </w:r>
      <w:r>
        <w:rPr>
          <w:rFonts w:ascii="Arial" w:hAnsi="Arial"/>
          <w:sz w:val="20"/>
        </w:rPr>
        <w:t xml:space="preserve"> means, in relation to a Drawing, the aggregate of the Face Values of all Bank Guarantees comprising that Drawing. </w:t>
      </w:r>
    </w:p>
    <w:p>
      <w:pPr>
        <w:pStyle w:val="TextBody"/>
        <w:bidi w:val="0"/>
        <w:spacing w:before="111" w:after="0"/>
        <w:ind w:left="3456" w:right="360" w:hanging="0"/>
        <w:jc w:val="left"/>
        <w:rPr>
          <w:rFonts w:ascii="Arial" w:hAnsi="Arial"/>
          <w:b/>
          <w:sz w:val="20"/>
        </w:rPr>
      </w:pPr>
      <w:r>
        <w:rPr>
          <w:rFonts w:ascii="Arial" w:hAnsi="Arial"/>
          <w:b/>
          <w:sz w:val="20"/>
        </w:rPr>
        <w:t>Amendment Dee </w:t>
      </w:r>
      <w:r>
        <w:rPr>
          <w:rFonts w:ascii="Arial" w:hAnsi="Arial"/>
          <w:b w:val="false"/>
          <w:sz w:val="20"/>
        </w:rPr>
        <w:t>means the document entitled ‘Amendment Deed’ executed</w:t>
      </w:r>
      <w:r>
        <w:rPr>
          <w:rFonts w:ascii="Arial" w:hAnsi="Arial"/>
          <w:b/>
          <w:sz w:val="20"/>
        </w:rPr>
        <w:t xml:space="preserve"> </w:t>
      </w:r>
    </w:p>
    <w:p>
      <w:pPr>
        <w:pStyle w:val="TextBody"/>
        <w:bidi w:val="0"/>
        <w:spacing w:before="24" w:after="0"/>
        <w:ind w:left="3456" w:right="360" w:hanging="0"/>
        <w:jc w:val="left"/>
        <w:rPr>
          <w:rFonts w:ascii="Arial" w:hAnsi="Arial"/>
          <w:sz w:val="20"/>
        </w:rPr>
      </w:pPr>
      <w:r>
        <w:rPr>
          <w:rFonts w:ascii="Arial" w:hAnsi="Arial"/>
          <w:sz w:val="20"/>
        </w:rPr>
        <w:t xml:space="preserve">in March 2019 between the Bank and the Transaction Parties. </w:t>
      </w:r>
    </w:p>
    <w:p>
      <w:pPr>
        <w:pStyle w:val="TextBody"/>
        <w:bidi w:val="0"/>
        <w:spacing w:lineRule="auto" w:line="264" w:before="137" w:after="0"/>
        <w:ind w:left="3453" w:right="2380" w:hanging="0"/>
        <w:jc w:val="both"/>
        <w:rPr>
          <w:rFonts w:ascii="Arial" w:hAnsi="Arial"/>
          <w:sz w:val="20"/>
        </w:rPr>
      </w:pPr>
      <w:r>
        <w:rPr>
          <w:rFonts w:ascii="Arial" w:hAnsi="Arial"/>
          <w:b/>
          <w:sz w:val="20"/>
        </w:rPr>
        <w:t>Annual</w:t>
      </w:r>
      <w:r>
        <w:rPr>
          <w:rFonts w:ascii="Arial" w:hAnsi="Arial"/>
          <w:sz w:val="20"/>
        </w:rPr>
        <w:t> </w:t>
      </w:r>
      <w:r>
        <w:rPr>
          <w:rFonts w:ascii="Arial" w:hAnsi="Arial"/>
          <w:b/>
          <w:sz w:val="20"/>
        </w:rPr>
        <w:t>Compliance</w:t>
      </w:r>
      <w:r>
        <w:rPr>
          <w:rFonts w:ascii="Arial" w:hAnsi="Arial"/>
          <w:sz w:val="20"/>
        </w:rPr>
        <w:t> </w:t>
      </w:r>
      <w:r>
        <w:rPr>
          <w:rFonts w:ascii="Arial" w:hAnsi="Arial"/>
          <w:b/>
          <w:sz w:val="20"/>
        </w:rPr>
        <w:t>Certificate</w:t>
      </w:r>
      <w:r>
        <w:rPr>
          <w:rFonts w:ascii="Arial" w:hAnsi="Arial"/>
          <w:sz w:val="20"/>
        </w:rPr>
        <w:t xml:space="preserve"> means, in relation to a Financial Year, a certificate substantially in the form of </w:t>
      </w:r>
      <w:r>
        <w:rPr>
          <w:rFonts w:ascii="Arial" w:hAnsi="Arial"/>
          <w:b/>
          <w:sz w:val="20"/>
        </w:rPr>
        <w:t>schedule 9</w:t>
      </w:r>
      <w:r>
        <w:rPr>
          <w:rFonts w:ascii="Arial" w:hAnsi="Arial"/>
          <w:sz w:val="20"/>
        </w:rPr>
        <w:t xml:space="preserve">. </w:t>
      </w:r>
    </w:p>
    <w:p>
      <w:pPr>
        <w:pStyle w:val="TextBody"/>
        <w:bidi w:val="0"/>
        <w:spacing w:lineRule="auto" w:line="264" w:before="109" w:after="0"/>
        <w:ind w:left="3453" w:right="1946" w:hanging="0"/>
        <w:jc w:val="both"/>
        <w:rPr>
          <w:rFonts w:ascii="Arial" w:hAnsi="Arial"/>
          <w:sz w:val="20"/>
        </w:rPr>
      </w:pPr>
      <w:r>
        <w:rPr>
          <w:rFonts w:ascii="Arial" w:hAnsi="Arial"/>
          <w:b/>
          <w:sz w:val="20"/>
        </w:rPr>
        <w:t>Approved</w:t>
      </w:r>
      <w:r>
        <w:rPr>
          <w:rFonts w:ascii="Arial" w:hAnsi="Arial"/>
          <w:sz w:val="20"/>
        </w:rPr>
        <w:t> </w:t>
      </w:r>
      <w:r>
        <w:rPr>
          <w:rFonts w:ascii="Arial" w:hAnsi="Arial"/>
          <w:b/>
          <w:sz w:val="20"/>
        </w:rPr>
        <w:t>Valuer</w:t>
      </w:r>
      <w:r>
        <w:rPr>
          <w:rFonts w:ascii="Arial" w:hAnsi="Arial"/>
          <w:sz w:val="20"/>
        </w:rPr>
        <w:t xml:space="preserve"> means a company or firm of duly qualified and licensed real estate valuers acceptable to the Bank in all respects and instructed by (or with the approval of) the Bank. </w:t>
      </w:r>
    </w:p>
    <w:p>
      <w:pPr>
        <w:pStyle w:val="TextBody"/>
        <w:bidi w:val="0"/>
        <w:spacing w:lineRule="auto" w:line="266" w:before="110" w:after="0"/>
        <w:ind w:left="3986" w:right="2266" w:hanging="531"/>
        <w:jc w:val="both"/>
        <w:rPr>
          <w:rFonts w:ascii="Arial" w:hAnsi="Arial"/>
          <w:sz w:val="20"/>
        </w:rPr>
      </w:pPr>
      <w:r>
        <w:rPr>
          <w:rFonts w:ascii="Arial" w:hAnsi="Arial"/>
          <w:b/>
          <w:sz w:val="20"/>
        </w:rPr>
        <w:t>April</w:t>
      </w:r>
      <w:r>
        <w:rPr>
          <w:rFonts w:ascii="Arial" w:hAnsi="Arial"/>
          <w:sz w:val="20"/>
        </w:rPr>
        <w:t> </w:t>
      </w:r>
      <w:r>
        <w:rPr>
          <w:rFonts w:ascii="Arial" w:hAnsi="Arial"/>
          <w:b/>
          <w:sz w:val="20"/>
        </w:rPr>
        <w:t>2024</w:t>
      </w:r>
      <w:r>
        <w:rPr>
          <w:rFonts w:ascii="Arial" w:hAnsi="Arial"/>
          <w:sz w:val="20"/>
        </w:rPr>
        <w:t> </w:t>
      </w:r>
      <w:r>
        <w:rPr>
          <w:rFonts w:ascii="Arial" w:hAnsi="Arial"/>
          <w:b/>
          <w:sz w:val="20"/>
        </w:rPr>
        <w:t>Amendment</w:t>
      </w:r>
      <w:r>
        <w:rPr>
          <w:rFonts w:ascii="Arial" w:hAnsi="Arial"/>
          <w:sz w:val="20"/>
        </w:rPr>
        <w:t> </w:t>
      </w:r>
      <w:r>
        <w:rPr>
          <w:rFonts w:ascii="Arial" w:hAnsi="Arial"/>
          <w:b/>
          <w:sz w:val="20"/>
        </w:rPr>
        <w:t>Date</w:t>
      </w:r>
      <w:r>
        <w:rPr>
          <w:rFonts w:ascii="Arial" w:hAnsi="Arial"/>
          <w:sz w:val="20"/>
        </w:rPr>
        <w:t xml:space="preserve"> has the meaning given to the term “Effective Date’ April 2024 Amendment Deed. </w:t>
      </w:r>
    </w:p>
    <w:p>
      <w:pPr>
        <w:pStyle w:val="TextBody"/>
        <w:pBdr/>
        <w:bidi w:val="0"/>
        <w:spacing w:lineRule="auto" w:line="264" w:before="104" w:after="0"/>
        <w:ind w:left="3453" w:right="1865" w:hanging="0"/>
        <w:jc w:val="both"/>
        <w:rPr>
          <w:rFonts w:ascii="Arial" w:hAnsi="Arial"/>
          <w:sz w:val="20"/>
        </w:rPr>
      </w:pPr>
      <w:r>
        <w:rPr>
          <w:rFonts w:ascii="Arial" w:hAnsi="Arial"/>
          <w:b/>
          <w:sz w:val="20"/>
        </w:rPr>
        <w:t>April</w:t>
      </w:r>
      <w:r>
        <w:rPr>
          <w:rFonts w:ascii="Arial" w:hAnsi="Arial"/>
          <w:sz w:val="20"/>
        </w:rPr>
        <w:t> </w:t>
      </w:r>
      <w:r>
        <w:rPr>
          <w:rFonts w:ascii="Arial" w:hAnsi="Arial"/>
          <w:b/>
          <w:sz w:val="20"/>
        </w:rPr>
        <w:t>2024</w:t>
      </w:r>
      <w:r>
        <w:rPr>
          <w:rFonts w:ascii="Arial" w:hAnsi="Arial"/>
          <w:sz w:val="20"/>
        </w:rPr>
        <w:t> </w:t>
      </w:r>
      <w:r>
        <w:rPr>
          <w:rFonts w:ascii="Arial" w:hAnsi="Arial"/>
          <w:b/>
          <w:sz w:val="20"/>
        </w:rPr>
        <w:t>Amendment</w:t>
      </w:r>
      <w:r>
        <w:rPr>
          <w:rFonts w:ascii="Arial" w:hAnsi="Arial"/>
          <w:sz w:val="20"/>
        </w:rPr>
        <w:t> </w:t>
      </w:r>
      <w:r>
        <w:rPr>
          <w:rFonts w:ascii="Arial" w:hAnsi="Arial"/>
          <w:b/>
          <w:sz w:val="20"/>
        </w:rPr>
        <w:t>Deed</w:t>
      </w:r>
      <w:r>
        <w:rPr>
          <w:rFonts w:ascii="Arial" w:hAnsi="Arial"/>
          <w:sz w:val="20"/>
        </w:rPr>
        <w:t xml:space="preserve"> means the Amendment Deed dated on or about 4 April 2024 between the Borrower, each Guarantor and the Bank, under which this document is amended. </w:t>
      </w:r>
    </w:p>
    <w:p>
      <w:pPr>
        <w:pStyle w:val="TextBody"/>
        <w:pBdr/>
        <w:bidi w:val="0"/>
        <w:spacing w:lineRule="auto" w:line="264" w:before="110" w:after="0"/>
        <w:ind w:left="3453" w:right="1854" w:hanging="0"/>
        <w:jc w:val="left"/>
        <w:rPr>
          <w:rFonts w:ascii="Arial" w:hAnsi="Arial"/>
          <w:sz w:val="20"/>
        </w:rPr>
      </w:pPr>
      <w:r>
        <w:rPr>
          <w:rFonts w:ascii="Arial" w:hAnsi="Arial"/>
          <w:b/>
          <w:sz w:val="20"/>
        </w:rPr>
        <w:t>Attorney</w:t>
      </w:r>
      <w:r>
        <w:rPr>
          <w:rFonts w:ascii="Arial" w:hAnsi="Arial"/>
          <w:sz w:val="20"/>
        </w:rPr>
        <w:t xml:space="preserve"> means any attorney appointed under this document and any sub- attorney appointed by an Attorney. </w:t>
      </w:r>
    </w:p>
    <w:p>
      <w:pPr>
        <w:pStyle w:val="TextBody"/>
        <w:bidi w:val="0"/>
        <w:spacing w:lineRule="auto" w:line="264" w:before="114" w:after="0"/>
        <w:ind w:left="3470" w:right="1854" w:hanging="17"/>
        <w:jc w:val="left"/>
        <w:rPr>
          <w:rFonts w:ascii="Arial" w:hAnsi="Arial"/>
          <w:sz w:val="20"/>
        </w:rPr>
      </w:pPr>
      <w:r>
        <w:rPr>
          <w:rFonts w:ascii="Arial" w:hAnsi="Arial"/>
          <w:b/>
          <w:sz w:val="20"/>
        </w:rPr>
        <w:t>August</w:t>
      </w:r>
      <w:r>
        <w:rPr>
          <w:rFonts w:ascii="Arial" w:hAnsi="Arial"/>
          <w:sz w:val="20"/>
        </w:rPr>
        <w:t> </w:t>
      </w:r>
      <w:r>
        <w:rPr>
          <w:rFonts w:ascii="Arial" w:hAnsi="Arial"/>
          <w:b/>
          <w:sz w:val="20"/>
        </w:rPr>
        <w:t>2023</w:t>
      </w:r>
      <w:r>
        <w:rPr>
          <w:rFonts w:ascii="Arial" w:hAnsi="Arial"/>
          <w:sz w:val="20"/>
        </w:rPr>
        <w:t> </w:t>
      </w:r>
      <w:r>
        <w:rPr>
          <w:rFonts w:ascii="Arial" w:hAnsi="Arial"/>
          <w:b/>
          <w:sz w:val="20"/>
        </w:rPr>
        <w:t>Amendment</w:t>
      </w:r>
      <w:r>
        <w:rPr>
          <w:rFonts w:ascii="Arial" w:hAnsi="Arial"/>
          <w:sz w:val="20"/>
        </w:rPr>
        <w:t> </w:t>
      </w:r>
      <w:r>
        <w:rPr>
          <w:rFonts w:ascii="Arial" w:hAnsi="Arial"/>
          <w:b/>
          <w:sz w:val="20"/>
        </w:rPr>
        <w:t>Date</w:t>
      </w:r>
      <w:r>
        <w:rPr>
          <w:rFonts w:ascii="Arial" w:hAnsi="Arial"/>
          <w:sz w:val="20"/>
        </w:rPr>
        <w:t xml:space="preserve"> has the meaning given to the term  ‘Effective Date’ in the August 2023 Amendment Deed. </w:t>
      </w:r>
    </w:p>
    <w:p>
      <w:pPr>
        <w:pStyle w:val="TextBody"/>
        <w:pBdr/>
        <w:bidi w:val="0"/>
        <w:spacing w:lineRule="auto" w:line="264" w:before="106" w:after="0"/>
        <w:ind w:left="3453" w:right="1854" w:hanging="0"/>
        <w:jc w:val="left"/>
        <w:rPr>
          <w:rFonts w:ascii="Arial" w:hAnsi="Arial"/>
          <w:sz w:val="20"/>
        </w:rPr>
      </w:pPr>
      <w:r>
        <w:rPr>
          <w:rFonts w:ascii="Arial" w:hAnsi="Arial"/>
          <w:b/>
          <w:sz w:val="20"/>
        </w:rPr>
        <w:t>August</w:t>
      </w:r>
      <w:r>
        <w:rPr>
          <w:rFonts w:ascii="Arial" w:hAnsi="Arial"/>
          <w:sz w:val="20"/>
        </w:rPr>
        <w:t> </w:t>
      </w:r>
      <w:r>
        <w:rPr>
          <w:rFonts w:ascii="Arial" w:hAnsi="Arial"/>
          <w:b/>
          <w:sz w:val="20"/>
        </w:rPr>
        <w:t>2023</w:t>
      </w:r>
      <w:r>
        <w:rPr>
          <w:rFonts w:ascii="Arial" w:hAnsi="Arial"/>
          <w:sz w:val="20"/>
        </w:rPr>
        <w:t> </w:t>
      </w:r>
      <w:r>
        <w:rPr>
          <w:rFonts w:ascii="Arial" w:hAnsi="Arial"/>
          <w:b/>
          <w:sz w:val="20"/>
        </w:rPr>
        <w:t>Amendment</w:t>
      </w:r>
      <w:r>
        <w:rPr>
          <w:rFonts w:ascii="Arial" w:hAnsi="Arial"/>
          <w:sz w:val="20"/>
        </w:rPr>
        <w:t> </w:t>
      </w:r>
      <w:r>
        <w:rPr>
          <w:rFonts w:ascii="Arial" w:hAnsi="Arial"/>
          <w:b/>
          <w:sz w:val="20"/>
        </w:rPr>
        <w:t>Deed</w:t>
      </w:r>
      <w:r>
        <w:rPr>
          <w:rFonts w:ascii="Arial" w:hAnsi="Arial"/>
          <w:sz w:val="20"/>
        </w:rPr>
        <w:t xml:space="preserve"> means the Amendment Deed dated on or about August 2023 between the Borrower, each Guarantor and the Bank, under which this document is amended. </w:t>
      </w:r>
    </w:p>
    <w:p>
      <w:pPr>
        <w:pStyle w:val="TextBody"/>
        <w:pBdr/>
        <w:bidi w:val="0"/>
        <w:spacing w:lineRule="auto" w:line="264" w:before="110" w:after="0"/>
        <w:ind w:left="3456" w:right="1854" w:hanging="0"/>
        <w:jc w:val="left"/>
        <w:rPr>
          <w:rFonts w:ascii="Arial" w:hAnsi="Arial"/>
          <w:sz w:val="20"/>
        </w:rPr>
      </w:pPr>
      <w:r>
        <w:rPr>
          <w:rFonts w:ascii="Arial" w:hAnsi="Arial"/>
          <w:b/>
          <w:sz w:val="20"/>
        </w:rPr>
        <w:t xml:space="preserve">Authorisation </w:t>
      </w:r>
      <w:r>
        <w:rPr>
          <w:rFonts w:ascii="Arial" w:hAnsi="Arial"/>
          <w:sz w:val="20"/>
        </w:rPr>
        <w:t xml:space="preserve">includes any authorisation, consent, licence, permission, approval or exemption from any Government Body. If a Government Body 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 </w:t>
      </w:r>
    </w:p>
    <w:p>
      <w:pPr>
        <w:pStyle w:val="TextBody"/>
        <w:pBdr/>
        <w:bidi w:val="0"/>
        <w:spacing w:lineRule="auto" w:line="264" w:before="120" w:after="0"/>
        <w:ind w:left="3453" w:right="1940" w:hanging="0"/>
        <w:jc w:val="left"/>
        <w:rPr>
          <w:rFonts w:ascii="Arial" w:hAnsi="Arial"/>
          <w:sz w:val="20"/>
        </w:rPr>
      </w:pPr>
      <w:r>
        <w:rPr>
          <w:rFonts w:ascii="Arial" w:hAnsi="Arial"/>
          <w:b/>
          <w:sz w:val="20"/>
        </w:rPr>
        <w:t>Authorised</w:t>
      </w:r>
      <w:r>
        <w:rPr>
          <w:rFonts w:ascii="Arial" w:hAnsi="Arial"/>
          <w:sz w:val="20"/>
        </w:rPr>
        <w:t> </w:t>
      </w:r>
      <w:r>
        <w:rPr>
          <w:rFonts w:ascii="Arial" w:hAnsi="Arial"/>
          <w:b/>
          <w:sz w:val="20"/>
        </w:rPr>
        <w:t>Representative</w:t>
      </w:r>
      <w:r>
        <w:rPr>
          <w:rFonts w:ascii="Arial" w:hAnsi="Arial"/>
          <w:sz w:val="20"/>
        </w:rPr>
        <w:t xml:space="preserve"> means, in relation to any party to this document, a person with the right to act as the agent of that party for the purposes of this document. It includes a director or company secretary of that party (if it is a corporation) and, in the case of the Bank, an employee of the Bank whose title </w:t>
      </w:r>
    </w:p>
    <w:p>
      <w:pPr>
        <w:pStyle w:val="TextBody"/>
        <w:pBdr/>
        <w:bidi w:val="0"/>
        <w:spacing w:lineRule="auto" w:line="264" w:before="4" w:after="0"/>
        <w:ind w:left="3453" w:right="1940" w:hanging="0"/>
        <w:jc w:val="left"/>
        <w:rPr>
          <w:rFonts w:ascii="Arial" w:hAnsi="Arial"/>
          <w:sz w:val="20"/>
        </w:rPr>
      </w:pPr>
      <w:r>
        <w:rPr>
          <w:rFonts w:ascii="Arial" w:hAnsi="Arial"/>
          <w:sz w:val="20"/>
        </w:rPr>
        <w:t xml:space="preserve">Contains the word “manager”, “director”, “associate”or a similar term and a lawyer for the Bank. It also includes a person appointed by a party as an Authorised Representative of that party whose appointment is notified by the appointor to the other party in a notice which contains the specimen signature of the appointee. </w:t>
      </w:r>
    </w:p>
    <w:p>
      <w:pPr>
        <w:pStyle w:val="TextBody"/>
        <w:pBdr/>
        <w:bidi w:val="0"/>
        <w:spacing w:lineRule="auto" w:line="264" w:before="0" w:after="0"/>
        <w:ind w:left="360" w:right="360" w:hanging="0"/>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2</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5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4" w:before="0" w:after="0"/>
        <w:ind w:left="3453" w:right="1912" w:hanging="0"/>
        <w:jc w:val="both"/>
        <w:rPr>
          <w:rFonts w:ascii="Arial" w:hAnsi="Arial"/>
          <w:sz w:val="20"/>
        </w:rPr>
      </w:pPr>
      <w:r>
        <w:rPr>
          <w:rFonts w:ascii="Arial" w:hAnsi="Arial"/>
          <w:b/>
          <w:sz w:val="20"/>
        </w:rPr>
        <w:t>Availability</w:t>
      </w:r>
      <w:r>
        <w:rPr>
          <w:rFonts w:ascii="Arial" w:hAnsi="Arial"/>
          <w:sz w:val="20"/>
        </w:rPr>
        <w:t> </w:t>
      </w:r>
      <w:r>
        <w:rPr>
          <w:rFonts w:ascii="Arial" w:hAnsi="Arial"/>
          <w:b/>
          <w:sz w:val="20"/>
        </w:rPr>
        <w:t>Period</w:t>
      </w:r>
      <w:r>
        <w:rPr>
          <w:rFonts w:ascii="Arial" w:hAnsi="Arial"/>
          <w:sz w:val="20"/>
        </w:rPr>
        <w:t xml:space="preserve"> means in respect of each Facility, the period beginning on the date on which the conditions precedent are satisfied or waived by the Bank in accordance with the Transaction Documents and ending on the Termination Date. </w:t>
      </w:r>
    </w:p>
    <w:p>
      <w:pPr>
        <w:pStyle w:val="TextBody"/>
        <w:pBdr/>
        <w:bidi w:val="0"/>
        <w:spacing w:lineRule="auto" w:line="264" w:before="109" w:after="0"/>
        <w:ind w:left="3453" w:right="1940" w:hanging="0"/>
        <w:jc w:val="left"/>
        <w:rPr>
          <w:rFonts w:ascii="Arial" w:hAnsi="Arial"/>
          <w:sz w:val="20"/>
        </w:rPr>
      </w:pPr>
      <w:r>
        <w:rPr>
          <w:rFonts w:ascii="Arial" w:hAnsi="Arial"/>
          <w:b/>
          <w:sz w:val="20"/>
        </w:rPr>
        <w:t>Available</w:t>
      </w:r>
      <w:r>
        <w:rPr>
          <w:rFonts w:ascii="Arial" w:hAnsi="Arial"/>
          <w:sz w:val="20"/>
        </w:rPr>
        <w:t> </w:t>
      </w:r>
      <w:r>
        <w:rPr>
          <w:rFonts w:ascii="Arial" w:hAnsi="Arial"/>
          <w:b/>
          <w:sz w:val="20"/>
        </w:rPr>
        <w:t>Commitment</w:t>
      </w:r>
      <w:r>
        <w:rPr>
          <w:rFonts w:ascii="Arial" w:hAnsi="Arial"/>
          <w:sz w:val="20"/>
        </w:rPr>
        <w:t xml:space="preserve"> means in respect of a Facility, the Facility Limit less the Outstanding Accommodation relating to that Facility. </w:t>
      </w:r>
    </w:p>
    <w:p>
      <w:pPr>
        <w:pStyle w:val="TextBody"/>
        <w:pBdr/>
        <w:bidi w:val="0"/>
        <w:spacing w:lineRule="auto" w:line="266" w:before="109" w:after="0"/>
        <w:ind w:left="3456" w:right="1940" w:hanging="0"/>
        <w:jc w:val="left"/>
        <w:rPr>
          <w:rFonts w:ascii="Arial" w:hAnsi="Arial"/>
          <w:sz w:val="20"/>
        </w:rPr>
      </w:pPr>
      <w:r>
        <w:rPr>
          <w:rFonts w:ascii="Arial" w:hAnsi="Arial"/>
          <w:b/>
          <w:sz w:val="20"/>
        </w:rPr>
        <w:t>Bank</w:t>
      </w:r>
      <w:r>
        <w:rPr>
          <w:rFonts w:ascii="Arial" w:hAnsi="Arial"/>
          <w:sz w:val="20"/>
        </w:rPr>
        <w:t> </w:t>
      </w:r>
      <w:r>
        <w:rPr>
          <w:rFonts w:ascii="Arial" w:hAnsi="Arial"/>
          <w:b/>
          <w:sz w:val="20"/>
        </w:rPr>
        <w:t>Guarantee</w:t>
      </w:r>
      <w:r>
        <w:rPr>
          <w:rFonts w:ascii="Arial" w:hAnsi="Arial"/>
          <w:sz w:val="20"/>
        </w:rPr>
        <w:t xml:space="preserve"> means each bank guarantee issued (or deemed to have been issued) in accordance with this document. </w:t>
      </w:r>
    </w:p>
    <w:p>
      <w:pPr>
        <w:pStyle w:val="TextBody"/>
        <w:bidi w:val="0"/>
        <w:spacing w:before="106" w:after="0"/>
        <w:ind w:left="3456" w:right="360" w:hanging="0"/>
        <w:jc w:val="left"/>
        <w:rPr>
          <w:rFonts w:ascii="Arial" w:hAnsi="Arial"/>
          <w:sz w:val="20"/>
        </w:rPr>
      </w:pPr>
      <w:r>
        <w:rPr>
          <w:rFonts w:ascii="Arial" w:hAnsi="Arial"/>
          <w:b/>
          <w:sz w:val="20"/>
        </w:rPr>
        <w:t>Bank</w:t>
      </w:r>
      <w:r>
        <w:rPr>
          <w:rFonts w:ascii="Arial" w:hAnsi="Arial"/>
          <w:sz w:val="20"/>
        </w:rPr>
        <w:t> </w:t>
      </w:r>
      <w:r>
        <w:rPr>
          <w:rFonts w:ascii="Arial" w:hAnsi="Arial"/>
          <w:b/>
          <w:sz w:val="20"/>
        </w:rPr>
        <w:t>Guarantee</w:t>
      </w:r>
      <w:r>
        <w:rPr>
          <w:rFonts w:ascii="Arial" w:hAnsi="Arial"/>
          <w:sz w:val="20"/>
        </w:rPr>
        <w:t> </w:t>
      </w:r>
      <w:r>
        <w:rPr>
          <w:rFonts w:ascii="Arial" w:hAnsi="Arial"/>
          <w:b/>
          <w:sz w:val="20"/>
        </w:rPr>
        <w:t>Facility</w:t>
      </w:r>
      <w:r>
        <w:rPr>
          <w:rFonts w:ascii="Arial" w:hAnsi="Arial"/>
          <w:sz w:val="20"/>
        </w:rPr>
        <w:t> means the Facility described as such in </w:t>
      </w:r>
      <w:r>
        <w:rPr>
          <w:rFonts w:ascii="Arial" w:hAnsi="Arial"/>
          <w:b/>
          <w:sz w:val="20"/>
        </w:rPr>
        <w:t>schedule</w:t>
      </w:r>
      <w:r>
        <w:rPr>
          <w:rFonts w:ascii="Arial" w:hAnsi="Arial"/>
          <w:sz w:val="20"/>
        </w:rPr>
        <w:t> </w:t>
      </w:r>
      <w:r>
        <w:rPr>
          <w:rFonts w:ascii="Arial" w:hAnsi="Arial"/>
          <w:b/>
          <w:sz w:val="20"/>
        </w:rPr>
        <w:t>2</w:t>
      </w:r>
      <w:r>
        <w:rPr>
          <w:rFonts w:ascii="Arial" w:hAnsi="Arial"/>
          <w:sz w:val="20"/>
        </w:rPr>
        <w:t xml:space="preserve"> </w:t>
      </w:r>
    </w:p>
    <w:p>
      <w:pPr>
        <w:pStyle w:val="TextBody"/>
        <w:bidi w:val="0"/>
        <w:spacing w:lineRule="auto" w:line="384" w:before="25" w:after="0"/>
        <w:ind w:left="3456" w:right="4387" w:hanging="0"/>
        <w:jc w:val="left"/>
        <w:rPr>
          <w:rFonts w:ascii="Arial" w:hAnsi="Arial"/>
          <w:sz w:val="20"/>
        </w:rPr>
      </w:pPr>
      <w:r>
        <w:rPr>
          <w:rFonts w:ascii="Arial" w:hAnsi="Arial"/>
          <w:sz w:val="20"/>
        </w:rPr>
        <w:t>and granted pursuant to </w:t>
      </w:r>
      <w:r>
        <w:rPr>
          <w:rFonts w:ascii="Arial" w:hAnsi="Arial"/>
          <w:b/>
          <w:sz w:val="20"/>
        </w:rPr>
        <w:t>clause</w:t>
      </w:r>
      <w:r>
        <w:rPr>
          <w:rFonts w:ascii="Arial" w:hAnsi="Arial"/>
          <w:sz w:val="20"/>
        </w:rPr>
        <w:t> </w:t>
      </w:r>
      <w:r>
        <w:rPr>
          <w:rFonts w:ascii="Arial" w:hAnsi="Arial"/>
          <w:b/>
          <w:color w:val="2D97D3"/>
          <w:sz w:val="20"/>
          <w:u w:val="single"/>
        </w:rPr>
        <w:t>4.1</w:t>
      </w:r>
      <w:r>
        <w:rPr>
          <w:rFonts w:ascii="Arial" w:hAnsi="Arial"/>
          <w:b/>
          <w:strike/>
          <w:color w:val="B5082D"/>
          <w:sz w:val="20"/>
        </w:rPr>
        <w:t>4.1</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(ii)</w:t>
      </w:r>
      <w:r>
        <w:rPr>
          <w:rFonts w:ascii="Arial" w:hAnsi="Arial"/>
          <w:b/>
          <w:strike/>
          <w:color w:val="B5082D"/>
          <w:sz w:val="20"/>
        </w:rPr>
        <w:t>(ii)</w:t>
      </w:r>
      <w:r>
        <w:rPr>
          <w:rFonts w:ascii="Arial" w:hAnsi="Arial"/>
          <w:sz w:val="20"/>
        </w:rPr>
        <w:t>.  </w:t>
      </w:r>
      <w:r>
        <w:rPr>
          <w:rFonts w:ascii="Arial" w:hAnsi="Arial"/>
          <w:b/>
          <w:sz w:val="20"/>
        </w:rPr>
        <w:t>Base Rate</w:t>
      </w:r>
      <w:r>
        <w:rPr>
          <w:rFonts w:ascii="Arial" w:hAnsi="Arial"/>
          <w:sz w:val="20"/>
        </w:rPr>
        <w:t xml:space="preserve"> means, in relation to a Pricing Period: </w:t>
      </w:r>
    </w:p>
    <w:p>
      <w:pPr>
        <w:pStyle w:val="TextBody"/>
        <w:bidi w:val="0"/>
        <w:spacing w:lineRule="auto" w:line="264" w:before="107" w:after="0"/>
        <w:ind w:left="3983" w:right="1956" w:hanging="0"/>
        <w:jc w:val="left"/>
        <w:rPr>
          <w:rFonts w:ascii="Arial" w:hAnsi="Arial"/>
          <w:sz w:val="20"/>
        </w:rPr>
      </w:pPr>
      <w:r>
        <w:rPr>
          <w:rFonts w:ascii="Arial" w:hAnsi="Arial"/>
          <w:sz w:val="20"/>
        </w:rPr>
        <w:t>(a)the rate (expressed as a percentage yield per annum to maturity, and not being less than zero) being the arithmetic average (rounded up to the nearest four decimal places) of the buying rates published at or about 10.15 am on the first Business Day of the Pricing Period on the Reuters Screen under the heading ”BBSY” for Bills with a tenor as nearly as possible equal to that Pricing Period;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(b)if:</w:t>
      </w:r>
      <w:r>
        <w:rPr>
          <w:rFonts w:ascii="Arial" w:hAnsi="Arial"/>
          <w:sz w:val="20"/>
        </w:rPr>
        <w:t xml:space="preserve"> </w:t>
      </w:r>
    </w:p>
    <w:p>
      <w:pPr>
        <w:pStyle w:val="TextBody"/>
        <w:bidi w:val="0"/>
        <w:spacing w:before="140" w:after="0"/>
        <w:ind w:left="4520" w:right="360" w:hanging="0"/>
        <w:jc w:val="left"/>
        <w:rPr>
          <w:rFonts w:ascii="Arial" w:hAnsi="Arial"/>
          <w:sz w:val="20"/>
        </w:rPr>
      </w:pPr>
      <w:r>
        <w:rPr>
          <w:rFonts w:ascii="Arial" w:hAnsi="Arial"/>
          <w:sz w:val="20"/>
        </w:rPr>
        <w:t xml:space="preserve">(i)the rate is not displayed for a term equivalent to that period; or </w:t>
      </w:r>
    </w:p>
    <w:p>
      <w:pPr>
        <w:pStyle w:val="TextBody"/>
        <w:bidi w:val="0"/>
        <w:spacing w:lineRule="auto" w:line="264" w:before="135" w:after="0"/>
        <w:ind w:left="4521" w:right="1908" w:hanging="0"/>
        <w:jc w:val="left"/>
        <w:rPr>
          <w:rFonts w:ascii="Arial" w:hAnsi="Arial"/>
          <w:sz w:val="20"/>
        </w:rPr>
      </w:pPr>
      <w:r>
        <w:rPr>
          <w:rFonts w:ascii="Arial" w:hAnsi="Arial"/>
          <w:sz w:val="20"/>
        </w:rPr>
        <w:t xml:space="preserve">(ii)the basis of the calculation of the rate is changed after the date of this document so that in the opinion of the Bank it ceases to reflect the cost of providing the Facility, </w:t>
      </w:r>
    </w:p>
    <w:p>
      <w:pPr>
        <w:pStyle w:val="TextBody"/>
        <w:pBdr/>
        <w:bidi w:val="0"/>
        <w:spacing w:lineRule="auto" w:line="264" w:before="107" w:after="0"/>
        <w:ind w:left="3988" w:right="1854" w:hanging="0"/>
        <w:jc w:val="left"/>
        <w:rPr>
          <w:rFonts w:ascii="Arial" w:hAnsi="Arial"/>
          <w:sz w:val="20"/>
        </w:rPr>
      </w:pPr>
      <w:r>
        <w:rPr>
          <w:rFonts w:ascii="Arial" w:hAnsi="Arial"/>
          <w:sz w:val="20"/>
        </w:rPr>
        <w:t xml:space="preserve">the Base Rate will be the rate per centum per annum, and not being less than zero,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 </w:t>
      </w:r>
    </w:p>
    <w:p>
      <w:pPr>
        <w:pStyle w:val="TextBody"/>
        <w:pBdr/>
        <w:bidi w:val="0"/>
        <w:spacing w:lineRule="auto" w:line="264" w:before="103" w:after="0"/>
        <w:ind w:left="3456" w:right="1854" w:hanging="0"/>
        <w:jc w:val="left"/>
        <w:rPr>
          <w:rFonts w:ascii="Arial" w:hAnsi="Arial"/>
          <w:sz w:val="20"/>
        </w:rPr>
      </w:pPr>
      <w:r>
        <w:rPr>
          <w:rFonts w:ascii="Arial" w:hAnsi="Arial"/>
          <w:b/>
          <w:sz w:val="20"/>
        </w:rPr>
        <w:t>Beneficiary</w:t>
      </w:r>
      <w:r>
        <w:rPr>
          <w:rFonts w:ascii="Arial" w:hAnsi="Arial"/>
          <w:sz w:val="20"/>
        </w:rPr>
        <w:t xml:space="preserve"> means in relation to a Bank Guarantee, the person who from time to time is entitled to make a claim for payment under that Bank Guarantee against the Bank. </w:t>
      </w:r>
    </w:p>
    <w:p>
      <w:pPr>
        <w:pStyle w:val="TextBody"/>
        <w:pBdr/>
        <w:bidi w:val="0"/>
        <w:spacing w:lineRule="auto" w:line="264" w:before="108" w:after="0"/>
        <w:ind w:left="3456" w:right="1896" w:hanging="0"/>
        <w:jc w:val="both"/>
        <w:rPr>
          <w:rFonts w:ascii="Arial" w:hAnsi="Arial"/>
          <w:sz w:val="20"/>
        </w:rPr>
      </w:pPr>
      <w:r>
        <w:rPr>
          <w:rFonts w:ascii="Arial" w:hAnsi="Arial"/>
          <w:b/>
          <w:sz w:val="20"/>
        </w:rPr>
        <w:t>Bill</w:t>
      </w:r>
      <w:r>
        <w:rPr>
          <w:rFonts w:ascii="Arial" w:hAnsi="Arial"/>
          <w:sz w:val="20"/>
        </w:rPr>
        <w:t> means a bill of exchange as defined in the </w:t>
      </w:r>
      <w:r>
        <w:rPr>
          <w:rFonts w:ascii="Arial" w:hAnsi="Arial"/>
          <w:i/>
          <w:sz w:val="20"/>
        </w:rPr>
        <w:t>Bills</w:t>
      </w:r>
      <w:r>
        <w:rPr>
          <w:rFonts w:ascii="Arial" w:hAnsi="Arial"/>
          <w:sz w:val="20"/>
        </w:rPr>
        <w:t> </w:t>
      </w:r>
      <w:r>
        <w:rPr>
          <w:rFonts w:ascii="Arial" w:hAnsi="Arial"/>
          <w:i/>
          <w:sz w:val="20"/>
        </w:rPr>
        <w:t>of</w:t>
      </w:r>
      <w:r>
        <w:rPr>
          <w:rFonts w:ascii="Arial" w:hAnsi="Arial"/>
          <w:sz w:val="20"/>
        </w:rPr>
        <w:t> </w:t>
      </w:r>
      <w:r>
        <w:rPr>
          <w:rFonts w:ascii="Arial" w:hAnsi="Arial"/>
          <w:i/>
          <w:sz w:val="20"/>
        </w:rPr>
        <w:t>Exchange</w:t>
      </w:r>
      <w:r>
        <w:rPr>
          <w:rFonts w:ascii="Arial" w:hAnsi="Arial"/>
          <w:sz w:val="20"/>
        </w:rPr>
        <w:t> </w:t>
      </w:r>
      <w:r>
        <w:rPr>
          <w:rFonts w:ascii="Arial" w:hAnsi="Arial"/>
          <w:i/>
          <w:sz w:val="20"/>
        </w:rPr>
        <w:t>Act</w:t>
      </w:r>
      <w:r>
        <w:rPr>
          <w:rFonts w:ascii="Arial" w:hAnsi="Arial"/>
          <w:sz w:val="20"/>
        </w:rPr>
        <w:t> </w:t>
      </w:r>
      <w:r>
        <w:rPr>
          <w:rFonts w:ascii="Arial" w:hAnsi="Arial"/>
          <w:i/>
          <w:sz w:val="20"/>
        </w:rPr>
        <w:t>1909</w:t>
      </w:r>
      <w:r>
        <w:rPr>
          <w:rFonts w:ascii="Arial" w:hAnsi="Arial"/>
          <w:sz w:val="20"/>
        </w:rPr>
        <w:t xml:space="preserve"> (but does not include a cheque). It includes a document which, when signed by the persons named as drawer and acceptor in the relevant document, will become such a bill of exchange. </w:t>
      </w:r>
    </w:p>
    <w:p>
      <w:pPr>
        <w:pStyle w:val="TextBody"/>
        <w:pBdr/>
        <w:bidi w:val="0"/>
        <w:spacing w:lineRule="auto" w:line="264" w:before="109" w:after="0"/>
        <w:ind w:left="3456" w:right="1854" w:hanging="0"/>
        <w:jc w:val="left"/>
        <w:rPr>
          <w:rFonts w:ascii="Arial" w:hAnsi="Arial"/>
          <w:sz w:val="20"/>
        </w:rPr>
      </w:pPr>
      <w:r>
        <w:rPr>
          <w:rFonts w:ascii="Arial" w:hAnsi="Arial"/>
          <w:b/>
          <w:sz w:val="20"/>
        </w:rPr>
        <w:t>Break</w:t>
      </w:r>
      <w:r>
        <w:rPr>
          <w:rFonts w:ascii="Arial" w:hAnsi="Arial"/>
          <w:sz w:val="20"/>
        </w:rPr>
        <w:t> </w:t>
      </w:r>
      <w:r>
        <w:rPr>
          <w:rFonts w:ascii="Arial" w:hAnsi="Arial"/>
          <w:b/>
          <w:sz w:val="20"/>
        </w:rPr>
        <w:t>Costs</w:t>
      </w:r>
      <w:r>
        <w:rPr>
          <w:rFonts w:ascii="Arial" w:hAnsi="Arial"/>
          <w:sz w:val="20"/>
        </w:rPr>
        <w:t xml:space="preserve"> means, in relation to any financial accommodation provided or to be provided by the Bank under a Facility, any liability or costs incurred by the Bank by reason of: </w:t>
      </w:r>
    </w:p>
    <w:p>
      <w:pPr>
        <w:pStyle w:val="TextBody"/>
        <w:pBdr/>
        <w:bidi w:val="0"/>
        <w:spacing w:lineRule="auto" w:line="264" w:before="0" w:after="0"/>
        <w:ind w:left="360" w:right="360" w:hanging="0"/>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3</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(a)liquidating or re-deploying deposits or other funds acquired or contracted for by or on account of the Borrower or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(b)terminating or reversing any agreement or arrangement (including by entering into new agreements or arrangements to close out or net off existing agreements or arrangements) entered into by or on account of the Borrower or the Bank with a counterparty or an internal department of the Bank responsible for such agreements or arrangements to hedge, fix, swap or limit its effective cost of funding;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(c)any loss of any margins in relation to future lending or loss of any fees.</w:t>
      </w:r>
      <w:r>
        <w:rPr>
          <w:rFonts w:ascii="Arial" w:hAnsi="Arial"/>
          <w:sz w:val="20"/>
        </w:rPr>
        <w:t xml:space="preserve"> </w:t>
      </w:r>
    </w:p>
    <w:p>
      <w:pPr>
        <w:pStyle w:val="TextBody"/>
        <w:bidi w:val="0"/>
        <w:spacing w:before="137" w:after="0"/>
        <w:ind w:left="3456" w:right="360" w:hanging="0"/>
        <w:jc w:val="left"/>
        <w:rPr>
          <w:rFonts w:ascii="Arial" w:hAnsi="Arial"/>
          <w:sz w:val="22"/>
        </w:rPr>
      </w:pPr>
      <w:r>
        <w:rPr>
          <w:rFonts w:ascii="Arial" w:hAnsi="Arial"/>
          <w:b/>
          <w:sz w:val="20"/>
        </w:rPr>
        <w:t>Bridge</w:t>
      </w:r>
      <w:r>
        <w:rPr>
          <w:rFonts w:ascii="Arial" w:hAnsi="Arial"/>
          <w:sz w:val="22"/>
        </w:rPr>
        <w:t> </w:t>
      </w:r>
      <w:r>
        <w:rPr>
          <w:rFonts w:ascii="Arial" w:hAnsi="Arial"/>
          <w:b/>
          <w:sz w:val="20"/>
        </w:rPr>
        <w:t xml:space="preserve">Facility </w:t>
      </w:r>
      <w:r>
        <w:rPr>
          <w:rFonts w:ascii="Arial" w:hAnsi="Arial"/>
          <w:sz w:val="20"/>
        </w:rPr>
        <w:t>means</w:t>
      </w:r>
      <w:r>
        <w:rPr>
          <w:rFonts w:ascii="Arial" w:hAnsi="Arial"/>
          <w:sz w:val="22"/>
        </w:rPr>
        <w:t> </w:t>
      </w:r>
      <w:r>
        <w:rPr>
          <w:rFonts w:ascii="Arial" w:hAnsi="Arial"/>
          <w:sz w:val="20"/>
        </w:rPr>
        <w:t>the</w:t>
      </w:r>
      <w:r>
        <w:rPr>
          <w:rFonts w:ascii="Arial" w:hAnsi="Arial"/>
          <w:sz w:val="22"/>
        </w:rPr>
        <w:t> </w:t>
      </w:r>
      <w:r>
        <w:rPr>
          <w:rFonts w:ascii="Arial" w:hAnsi="Arial"/>
          <w:sz w:val="20"/>
        </w:rPr>
        <w:t>Committed</w:t>
      </w:r>
      <w:r>
        <w:rPr>
          <w:rFonts w:ascii="Arial" w:hAnsi="Arial"/>
          <w:sz w:val="22"/>
        </w:rPr>
        <w:t> </w:t>
      </w:r>
      <w:r>
        <w:rPr>
          <w:rFonts w:ascii="Arial" w:hAnsi="Arial"/>
          <w:sz w:val="20"/>
        </w:rPr>
        <w:t>Revolving</w:t>
      </w:r>
      <w:r>
        <w:rPr>
          <w:rFonts w:ascii="Arial" w:hAnsi="Arial"/>
          <w:sz w:val="22"/>
        </w:rPr>
        <w:t> </w:t>
      </w:r>
      <w:r>
        <w:rPr>
          <w:rFonts w:ascii="Arial" w:hAnsi="Arial"/>
          <w:sz w:val="20"/>
        </w:rPr>
        <w:t>Corporate</w:t>
      </w:r>
      <w:r>
        <w:rPr>
          <w:rFonts w:ascii="Arial" w:hAnsi="Arial"/>
          <w:sz w:val="22"/>
        </w:rPr>
        <w:t> </w:t>
      </w:r>
      <w:r>
        <w:rPr>
          <w:rFonts w:ascii="Arial" w:hAnsi="Arial"/>
          <w:sz w:val="20"/>
        </w:rPr>
        <w:t>Markets</w:t>
      </w:r>
      <w:r>
        <w:rPr>
          <w:rFonts w:ascii="Arial" w:hAnsi="Arial"/>
          <w:sz w:val="22"/>
        </w:rPr>
        <w:t> </w:t>
      </w:r>
      <w:r>
        <w:rPr>
          <w:rFonts w:ascii="Arial" w:hAnsi="Arial"/>
          <w:sz w:val="20"/>
        </w:rPr>
        <w:t>Loan</w:t>
      </w:r>
      <w:r>
        <w:rPr>
          <w:rFonts w:ascii="Arial" w:hAnsi="Arial"/>
          <w:sz w:val="22"/>
        </w:rPr>
        <w:t> </w:t>
      </w:r>
      <w:r>
        <w:rPr>
          <w:rFonts w:ascii="Arial" w:hAnsi="Arial"/>
          <w:sz w:val="20"/>
        </w:rPr>
        <w:t>described as ‘Bridge Facility’</w:t>
      </w:r>
      <w:r>
        <w:rPr>
          <w:rFonts w:ascii="Arial" w:hAnsi="Arial"/>
          <w:sz w:val="22"/>
        </w:rPr>
        <w:t xml:space="preserve"> in  </w:t>
      </w:r>
      <w:r>
        <w:rPr>
          <w:rFonts w:ascii="Arial" w:hAnsi="Arial"/>
          <w:b/>
          <w:sz w:val="20"/>
        </w:rPr>
        <w:t>schedule</w:t>
      </w:r>
      <w:r>
        <w:rPr>
          <w:rFonts w:ascii="Arial" w:hAnsi="Arial"/>
          <w:sz w:val="22"/>
        </w:rPr>
        <w:t> </w:t>
      </w:r>
      <w:r>
        <w:rPr>
          <w:rFonts w:ascii="Arial" w:hAnsi="Arial"/>
          <w:b/>
          <w:sz w:val="20"/>
        </w:rPr>
        <w:t>2</w:t>
      </w:r>
      <w:r>
        <w:rPr>
          <w:rFonts w:ascii="Arial" w:hAnsi="Arial"/>
          <w:sz w:val="22"/>
        </w:rPr>
        <w:t> </w:t>
      </w:r>
      <w:r>
        <w:rPr>
          <w:rFonts w:ascii="Arial" w:hAnsi="Arial"/>
          <w:sz w:val="20"/>
        </w:rPr>
        <w:t>and</w:t>
      </w:r>
      <w:r>
        <w:rPr>
          <w:rFonts w:ascii="Arial" w:hAnsi="Arial"/>
          <w:sz w:val="22"/>
        </w:rPr>
        <w:t> </w:t>
      </w:r>
      <w:r>
        <w:rPr>
          <w:rFonts w:ascii="Arial" w:hAnsi="Arial"/>
          <w:sz w:val="20"/>
        </w:rPr>
        <w:t>granted</w:t>
      </w:r>
      <w:r>
        <w:rPr>
          <w:rFonts w:ascii="Arial" w:hAnsi="Arial"/>
          <w:sz w:val="22"/>
        </w:rPr>
        <w:t> </w:t>
      </w:r>
      <w:r>
        <w:rPr>
          <w:rFonts w:ascii="Arial" w:hAnsi="Arial"/>
          <w:sz w:val="20"/>
        </w:rPr>
        <w:t>pursuant</w:t>
      </w:r>
      <w:r>
        <w:rPr>
          <w:rFonts w:ascii="Arial" w:hAnsi="Arial"/>
          <w:sz w:val="22"/>
        </w:rPr>
        <w:t> </w:t>
      </w:r>
      <w:r>
        <w:rPr>
          <w:rFonts w:ascii="Arial" w:hAnsi="Arial"/>
          <w:sz w:val="20"/>
        </w:rPr>
        <w:t>to</w:t>
      </w:r>
      <w:r>
        <w:rPr>
          <w:rFonts w:ascii="Arial" w:hAnsi="Arial"/>
          <w:sz w:val="22"/>
        </w:rPr>
        <w:t> </w:t>
      </w:r>
      <w:r>
        <w:rPr>
          <w:rFonts w:ascii="Arial" w:hAnsi="Arial"/>
          <w:b/>
          <w:sz w:val="20"/>
        </w:rPr>
        <w:t>clause</w:t>
      </w:r>
      <w:r>
        <w:rPr>
          <w:rFonts w:ascii="Arial" w:hAnsi="Arial"/>
          <w:sz w:val="22"/>
        </w:rPr>
        <w:t xml:space="preserve"> </w:t>
      </w:r>
    </w:p>
    <w:p>
      <w:pPr>
        <w:pStyle w:val="TextBody"/>
        <w:bidi w:val="0"/>
        <w:spacing w:before="25" w:after="0"/>
        <w:ind w:left="3456" w:right="360" w:hanging="0"/>
        <w:jc w:val="left"/>
        <w:rPr>
          <w:rFonts w:ascii="Arial" w:hAnsi="Arial"/>
          <w:b/>
          <w:sz w:val="20"/>
        </w:rPr>
      </w:pPr>
      <w:r>
        <w:rPr>
          <w:rFonts w:ascii="Arial" w:hAnsi="Arial"/>
          <w:b/>
          <w:sz w:val="20"/>
        </w:rPr>
        <w:t>4.1(a)(iii)</w:t>
      </w:r>
      <w:r>
        <w:rPr>
          <w:rFonts w:ascii="Arial" w:hAnsi="Arial"/>
          <w:b w:val="false"/>
          <w:sz w:val="20"/>
        </w:rPr>
        <w:t>.</w:t>
      </w:r>
      <w:r>
        <w:rPr>
          <w:rFonts w:ascii="Arial" w:hAnsi="Arial"/>
          <w:b/>
          <w:sz w:val="20"/>
        </w:rPr>
        <w:t xml:space="preserve"> </w:t>
      </w:r>
    </w:p>
    <w:p>
      <w:pPr>
        <w:pStyle w:val="TextBody"/>
        <w:pBdr/>
        <w:bidi w:val="0"/>
        <w:spacing w:lineRule="auto" w:line="264" w:before="137" w:after="0"/>
        <w:ind w:left="3456" w:right="1854" w:hanging="0"/>
        <w:jc w:val="left"/>
        <w:rPr>
          <w:rFonts w:ascii="Arial" w:hAnsi="Arial"/>
          <w:sz w:val="20"/>
        </w:rPr>
      </w:pPr>
      <w:r>
        <w:rPr>
          <w:rFonts w:ascii="Arial" w:hAnsi="Arial"/>
          <w:b/>
          <w:sz w:val="20"/>
        </w:rPr>
        <w:t>Business</w:t>
      </w:r>
      <w:r>
        <w:rPr>
          <w:rFonts w:ascii="Arial" w:hAnsi="Arial"/>
          <w:sz w:val="20"/>
        </w:rPr>
        <w:t> </w:t>
      </w:r>
      <w:r>
        <w:rPr>
          <w:rFonts w:ascii="Arial" w:hAnsi="Arial"/>
          <w:b/>
          <w:sz w:val="20"/>
        </w:rPr>
        <w:t>Day</w:t>
      </w:r>
      <w:r>
        <w:rPr>
          <w:rFonts w:ascii="Arial" w:hAnsi="Arial"/>
          <w:sz w:val="20"/>
        </w:rPr>
        <w:t xml:space="preserve"> means a day which is not a Saturday, Sunday or bank or public holiday in Melbourne. </w:t>
      </w:r>
    </w:p>
    <w:p>
      <w:pPr>
        <w:pStyle w:val="TextBody"/>
        <w:pBdr/>
        <w:bidi w:val="0"/>
        <w:spacing w:lineRule="auto" w:line="264" w:before="109" w:after="0"/>
        <w:ind w:left="3456" w:right="1854" w:hanging="0"/>
        <w:jc w:val="left"/>
        <w:rPr>
          <w:rFonts w:ascii="Arial" w:hAnsi="Arial"/>
          <w:sz w:val="20"/>
        </w:rPr>
      </w:pPr>
      <w:r>
        <w:rPr>
          <w:rFonts w:ascii="Arial" w:hAnsi="Arial"/>
          <w:b/>
          <w:sz w:val="20"/>
        </w:rPr>
        <w:t>Cannon</w:t>
      </w:r>
      <w:r>
        <w:rPr>
          <w:rFonts w:ascii="Arial" w:hAnsi="Arial"/>
          <w:sz w:val="20"/>
        </w:rPr>
        <w:t> </w:t>
      </w:r>
      <w:r>
        <w:rPr>
          <w:rFonts w:ascii="Arial" w:hAnsi="Arial"/>
          <w:b/>
          <w:sz w:val="20"/>
        </w:rPr>
        <w:t>Park</w:t>
      </w:r>
      <w:r>
        <w:rPr>
          <w:rFonts w:ascii="Arial" w:hAnsi="Arial"/>
          <w:sz w:val="20"/>
        </w:rPr>
        <w:t> </w:t>
      </w:r>
      <w:r>
        <w:rPr>
          <w:rFonts w:ascii="Arial" w:hAnsi="Arial"/>
          <w:b/>
          <w:sz w:val="20"/>
        </w:rPr>
        <w:t>Property</w:t>
      </w:r>
      <w:r>
        <w:rPr>
          <w:rFonts w:ascii="Arial" w:hAnsi="Arial"/>
          <w:sz w:val="20"/>
        </w:rPr>
        <w:t xml:space="preserve"> means the land and improvements known as Cannon Park City Centre and Cannon Park Discount Centre, Corner Hervey Range Road and Pioneer Drive, Thurwingowa Central, Queensland, described in title references 50442105, 50442106 and 51155321. </w:t>
      </w:r>
    </w:p>
    <w:p>
      <w:pPr>
        <w:pStyle w:val="TextBody"/>
        <w:bidi w:val="0"/>
        <w:spacing w:lineRule="auto" w:line="264" w:before="109" w:after="0"/>
        <w:ind w:left="3456" w:right="1854" w:hanging="0"/>
        <w:jc w:val="left"/>
        <w:rPr>
          <w:rFonts w:ascii="Arial" w:hAnsi="Arial"/>
          <w:sz w:val="20"/>
        </w:rPr>
      </w:pPr>
      <w:r>
        <w:rPr>
          <w:rFonts w:ascii="Arial" w:hAnsi="Arial"/>
          <w:b/>
          <w:sz w:val="20"/>
        </w:rPr>
        <w:t>Cannon</w:t>
      </w:r>
      <w:r>
        <w:rPr>
          <w:rFonts w:ascii="Arial" w:hAnsi="Arial"/>
          <w:sz w:val="20"/>
        </w:rPr>
        <w:t> </w:t>
      </w:r>
      <w:r>
        <w:rPr>
          <w:rFonts w:ascii="Arial" w:hAnsi="Arial"/>
          <w:b/>
          <w:sz w:val="20"/>
        </w:rPr>
        <w:t>Park</w:t>
      </w:r>
      <w:r>
        <w:rPr>
          <w:rFonts w:ascii="Arial" w:hAnsi="Arial"/>
          <w:sz w:val="20"/>
        </w:rPr>
        <w:t> </w:t>
      </w:r>
      <w:r>
        <w:rPr>
          <w:rFonts w:ascii="Arial" w:hAnsi="Arial"/>
          <w:b/>
          <w:sz w:val="20"/>
        </w:rPr>
        <w:t>Property</w:t>
      </w:r>
      <w:r>
        <w:rPr>
          <w:rFonts w:ascii="Arial" w:hAnsi="Arial"/>
          <w:sz w:val="20"/>
        </w:rPr>
        <w:t> </w:t>
      </w:r>
      <w:r>
        <w:rPr>
          <w:rFonts w:ascii="Arial" w:hAnsi="Arial"/>
          <w:b/>
          <w:sz w:val="20"/>
        </w:rPr>
        <w:t>Release</w:t>
      </w:r>
      <w:r>
        <w:rPr>
          <w:rFonts w:ascii="Arial" w:hAnsi="Arial"/>
          <w:sz w:val="20"/>
        </w:rPr>
        <w:t> </w:t>
      </w:r>
      <w:r>
        <w:rPr>
          <w:rFonts w:ascii="Arial" w:hAnsi="Arial"/>
          <w:b/>
          <w:sz w:val="20"/>
        </w:rPr>
        <w:t>Date</w:t>
      </w:r>
      <w:r>
        <w:rPr>
          <w:rFonts w:ascii="Arial" w:hAnsi="Arial"/>
          <w:sz w:val="20"/>
        </w:rPr>
        <w:t xml:space="preserve"> means, the date on which the Bank is satisfied in its absolute discretion that: </w:t>
      </w:r>
    </w:p>
    <w:p>
      <w:pPr>
        <w:pStyle w:val="TextBody"/>
        <w:bidi w:val="0"/>
        <w:spacing w:lineRule="auto" w:line="264" w:before="107" w:after="0"/>
        <w:ind w:left="3983" w:right="1956" w:hanging="0"/>
        <w:jc w:val="left"/>
        <w:rPr>
          <w:rFonts w:ascii="Arial" w:hAnsi="Arial"/>
          <w:sz w:val="20"/>
        </w:rPr>
      </w:pPr>
      <w:r>
        <w:rPr>
          <w:rFonts w:ascii="Arial" w:hAnsi="Arial"/>
          <w:sz w:val="20"/>
        </w:rPr>
        <w:t>(a)the Cannon Park Property is sold;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(b)the Borrower will apply the Net Sale Proceeds from that sale in permanent reduction of the Facility Limit of the Bridge Facility,</w:t>
      </w:r>
      <w:r>
        <w:rPr>
          <w:rFonts w:ascii="Arial" w:hAnsi="Arial"/>
          <w:sz w:val="20"/>
        </w:rPr>
        <w:t xml:space="preserve"> </w:t>
      </w:r>
    </w:p>
    <w:p>
      <w:pPr>
        <w:pStyle w:val="TextBody"/>
        <w:pBdr/>
        <w:bidi w:val="0"/>
        <w:spacing w:before="109" w:after="0"/>
        <w:ind w:left="3456" w:right="360" w:hanging="0"/>
        <w:jc w:val="left"/>
        <w:rPr>
          <w:rFonts w:ascii="Arial" w:hAnsi="Arial"/>
          <w:sz w:val="20"/>
        </w:rPr>
      </w:pPr>
      <w:r>
        <w:rPr>
          <w:rFonts w:ascii="Arial" w:hAnsi="Arial"/>
          <w:sz w:val="20"/>
        </w:rPr>
        <w:t xml:space="preserve">in accordance with the terms of this document. </w:t>
      </w:r>
    </w:p>
    <w:p>
      <w:pPr>
        <w:pStyle w:val="TextBody"/>
        <w:pBdr/>
        <w:bidi w:val="0"/>
        <w:spacing w:before="139" w:after="0"/>
        <w:ind w:left="3456" w:right="360" w:hanging="0"/>
        <w:jc w:val="left"/>
        <w:rPr>
          <w:rFonts w:ascii="Arial" w:hAnsi="Arial"/>
          <w:sz w:val="20"/>
        </w:rPr>
      </w:pPr>
      <w:r>
        <w:rPr>
          <w:rFonts w:ascii="Arial" w:hAnsi="Arial"/>
          <w:b/>
          <w:sz w:val="20"/>
        </w:rPr>
        <w:t>Cash</w:t>
      </w:r>
      <w:r>
        <w:rPr>
          <w:rFonts w:ascii="Arial" w:hAnsi="Arial"/>
          <w:sz w:val="20"/>
        </w:rPr>
        <w:t xml:space="preserve"> means all cash on hand, short term deposits and cash equivalents. </w:t>
      </w:r>
    </w:p>
    <w:p>
      <w:pPr>
        <w:pStyle w:val="TextBody"/>
        <w:pBdr/>
        <w:bidi w:val="0"/>
        <w:spacing w:lineRule="auto" w:line="264" w:before="135" w:after="0"/>
        <w:ind w:left="3456" w:right="1854" w:hanging="0"/>
        <w:jc w:val="left"/>
        <w:rPr>
          <w:rFonts w:ascii="Arial" w:hAnsi="Arial"/>
          <w:sz w:val="20"/>
        </w:rPr>
      </w:pPr>
      <w:r>
        <w:rPr>
          <w:rFonts w:ascii="Arial" w:hAnsi="Arial"/>
          <w:b/>
          <w:sz w:val="20"/>
        </w:rPr>
        <w:t>Cash</w:t>
      </w:r>
      <w:r>
        <w:rPr>
          <w:rFonts w:ascii="Arial" w:hAnsi="Arial"/>
          <w:sz w:val="20"/>
        </w:rPr>
        <w:t> </w:t>
      </w:r>
      <w:r>
        <w:rPr>
          <w:rFonts w:ascii="Arial" w:hAnsi="Arial"/>
          <w:b/>
          <w:sz w:val="20"/>
        </w:rPr>
        <w:t>Cover</w:t>
      </w:r>
      <w:r>
        <w:rPr>
          <w:rFonts w:ascii="Arial" w:hAnsi="Arial"/>
          <w:sz w:val="20"/>
        </w:rPr>
        <w:t> </w:t>
      </w:r>
      <w:r>
        <w:rPr>
          <w:rFonts w:ascii="Arial" w:hAnsi="Arial"/>
          <w:b/>
          <w:sz w:val="20"/>
        </w:rPr>
        <w:t>Rate</w:t>
      </w:r>
      <w:r>
        <w:rPr>
          <w:rFonts w:ascii="Arial" w:hAnsi="Arial"/>
          <w:sz w:val="20"/>
        </w:rPr>
        <w:t xml:space="preserve"> means the rate (expressed as a rate per centum per annum) determined by the Bank (in good faith) to be the interest rate which it would pay on deposits at call for an amount similar to the amount at which the relevant deposit is made. </w:t>
      </w:r>
    </w:p>
    <w:p>
      <w:pPr>
        <w:pStyle w:val="TextBody"/>
        <w:bidi w:val="0"/>
        <w:spacing w:lineRule="auto" w:line="264" w:before="109" w:after="0"/>
        <w:ind w:left="3456" w:right="1854" w:hanging="0"/>
        <w:jc w:val="left"/>
        <w:rPr>
          <w:rFonts w:ascii="Arial" w:hAnsi="Arial"/>
          <w:sz w:val="20"/>
        </w:rPr>
      </w:pPr>
      <w:r>
        <w:rPr>
          <w:rFonts w:ascii="Arial" w:hAnsi="Arial"/>
          <w:b/>
          <w:sz w:val="20"/>
        </w:rPr>
        <w:t>Calculation</w:t>
      </w:r>
      <w:r>
        <w:rPr>
          <w:rFonts w:ascii="Arial" w:hAnsi="Arial"/>
          <w:sz w:val="20"/>
        </w:rPr>
        <w:t> </w:t>
      </w:r>
      <w:r>
        <w:rPr>
          <w:rFonts w:ascii="Arial" w:hAnsi="Arial"/>
          <w:b/>
          <w:sz w:val="20"/>
        </w:rPr>
        <w:t>Date</w:t>
      </w:r>
      <w:r>
        <w:rPr>
          <w:rFonts w:ascii="Arial" w:hAnsi="Arial"/>
          <w:sz w:val="20"/>
        </w:rPr>
        <w:t xml:space="preserve"> means 31 March, 30 June, 30 September and 31 December in each year. </w:t>
      </w:r>
    </w:p>
    <w:p>
      <w:pPr>
        <w:pStyle w:val="TextBody"/>
        <w:bidi w:val="0"/>
        <w:spacing w:lineRule="auto" w:line="264" w:before="109" w:after="0"/>
        <w:ind w:left="3456" w:right="1854" w:hanging="0"/>
        <w:jc w:val="left"/>
        <w:rPr>
          <w:rFonts w:ascii="Arial" w:hAnsi="Arial"/>
          <w:sz w:val="20"/>
        </w:rPr>
      </w:pPr>
      <w:r>
        <w:rPr>
          <w:rFonts w:ascii="Arial" w:hAnsi="Arial"/>
          <w:b/>
          <w:sz w:val="20"/>
        </w:rPr>
        <w:t>Calculation</w:t>
      </w:r>
      <w:r>
        <w:rPr>
          <w:rFonts w:ascii="Arial" w:hAnsi="Arial"/>
          <w:sz w:val="20"/>
        </w:rPr>
        <w:t> </w:t>
      </w:r>
      <w:r>
        <w:rPr>
          <w:rFonts w:ascii="Arial" w:hAnsi="Arial"/>
          <w:b/>
          <w:sz w:val="20"/>
        </w:rPr>
        <w:t>Period</w:t>
      </w:r>
      <w:r>
        <w:rPr>
          <w:rFonts w:ascii="Arial" w:hAnsi="Arial"/>
          <w:sz w:val="20"/>
        </w:rPr>
        <w:t xml:space="preserve"> means each period of twelve months ending on a Calculation Date. </w:t>
      </w:r>
    </w:p>
    <w:p>
      <w:pPr>
        <w:pStyle w:val="TextBody"/>
        <w:bidi w:val="0"/>
        <w:spacing w:lineRule="auto" w:line="264" w:before="111" w:after="0"/>
        <w:ind w:left="3456" w:right="1854" w:hanging="0"/>
        <w:jc w:val="left"/>
        <w:rPr>
          <w:rFonts w:ascii="Arial" w:hAnsi="Arial"/>
          <w:sz w:val="20"/>
        </w:rPr>
      </w:pPr>
      <w:r>
        <w:rPr>
          <w:rFonts w:ascii="Arial" w:hAnsi="Arial"/>
          <w:b/>
          <w:sz w:val="20"/>
        </w:rPr>
        <w:t>Change of Control</w:t>
      </w:r>
      <w:r>
        <w:rPr>
          <w:rFonts w:ascii="Arial" w:hAnsi="Arial"/>
          <w:sz w:val="20"/>
        </w:rPr>
        <w:t xml:space="preserve"> means there is a change (from that prevailing at the date of this document) in the persons who control any of the following in respect of a Transaction Party: </w:t>
      </w:r>
    </w:p>
    <w:p>
      <w:pPr>
        <w:pStyle w:val="TextBody"/>
        <w:bidi w:val="0"/>
        <w:spacing w:lineRule="auto" w:line="264" w:before="107" w:after="0"/>
        <w:ind w:left="3983" w:right="1956" w:hanging="0"/>
        <w:jc w:val="left"/>
        <w:rPr>
          <w:rFonts w:ascii="Arial" w:hAnsi="Arial"/>
          <w:sz w:val="20"/>
        </w:rPr>
      </w:pPr>
      <w:r>
        <w:rPr>
          <w:rFonts w:ascii="Arial" w:hAnsi="Arial"/>
          <w:sz w:val="20"/>
        </w:rPr>
        <w:t>(a)more than 50% of the votes eligible to be cast in the election of directors or any similar matter;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(b)the right to appoint or remove directors (or members of a governing body having functions similar to a board of directors) representing more than</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4</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3988" w:right="1854" w:hanging="0"/>
        <w:jc w:val="left"/>
        <w:rPr>
          <w:rFonts w:ascii="Arial" w:hAnsi="Arial"/>
          <w:sz w:val="20"/>
        </w:rPr>
      </w:pPr>
      <w:r>
        <w:rPr>
          <w:rFonts w:ascii="Arial" w:hAnsi="Arial"/>
          <w:sz w:val="20"/>
        </w:rPr>
        <w:t xml:space="preserve">50% of the votes exercisable by the directors (or persons have similar functions); or </w:t>
      </w:r>
    </w:p>
    <w:p>
      <w:pPr>
        <w:pStyle w:val="TextBody"/>
        <w:bidi w:val="0"/>
        <w:spacing w:lineRule="auto" w:line="264" w:before="107" w:after="0"/>
        <w:ind w:left="3983" w:right="1956" w:hanging="0"/>
        <w:jc w:val="left"/>
        <w:rPr>
          <w:rFonts w:ascii="Arial" w:hAnsi="Arial"/>
          <w:sz w:val="20"/>
        </w:rPr>
      </w:pPr>
      <w:r>
        <w:rPr>
          <w:rFonts w:ascii="Arial" w:hAnsi="Arial"/>
          <w:sz w:val="20"/>
        </w:rPr>
        <w:t>(c)an interest of more than 50% in any category of the profits, distributions or net liquidation proceeds,</w:t>
      </w:r>
      <w:r>
        <w:rPr>
          <w:rFonts w:ascii="Arial" w:hAnsi="Arial"/>
          <w:sz w:val="20"/>
        </w:rPr>
        <w:t xml:space="preserve"> </w:t>
      </w:r>
    </w:p>
    <w:p>
      <w:pPr>
        <w:pStyle w:val="TextBody"/>
        <w:pBdr/>
        <w:bidi w:val="0"/>
        <w:spacing w:before="1" w:after="0"/>
        <w:ind w:left="360" w:right="360" w:hanging="0"/>
        <w:jc w:val="left"/>
        <w:rPr>
          <w:rFonts w:cs="Arial"/>
          <w:szCs w:val="10"/>
        </w:rPr>
      </w:pPr>
      <w:r>
        <w:rPr>
          <w:rFonts w:cs="Arial"/>
          <w:szCs w:val="11"/>
        </w:rPr>
        <w:t>﻿</w:t>
      </w:r>
      <w:r>
        <w:rPr>
          <w:rFonts w:cs="Arial"/>
          <w:szCs w:val="10"/>
        </w:rPr>
        <w:t xml:space="preserve"> </w:t>
      </w:r>
    </w:p>
    <w:p>
      <w:pPr>
        <w:pStyle w:val="TextBody"/>
        <w:pBdr/>
        <w:bidi w:val="0"/>
        <w:spacing w:before="25" w:after="0"/>
        <w:ind w:left="3456" w:right="360" w:hanging="0"/>
        <w:jc w:val="left"/>
        <w:rPr>
          <w:rFonts w:ascii="Arial" w:hAnsi="Arial"/>
          <w:sz w:val="20"/>
        </w:rPr>
      </w:pPr>
      <w:r>
        <w:rPr>
          <w:rFonts w:ascii="Arial" w:hAnsi="Arial"/>
          <w:sz w:val="20"/>
        </w:rPr>
        <w:t xml:space="preserve">Provided, however, that none of the above shall be deemed to be a “change of control” so long as Parent continues to control, directly or indirectly, suchTransaction Party. </w:t>
      </w:r>
    </w:p>
    <w:p>
      <w:pPr>
        <w:pStyle w:val="TextBody"/>
        <w:bidi w:val="0"/>
        <w:spacing w:before="137" w:after="0"/>
        <w:ind w:left="3456" w:right="360" w:hanging="0"/>
        <w:jc w:val="left"/>
        <w:rPr>
          <w:rFonts w:ascii="Arial" w:hAnsi="Arial"/>
          <w:sz w:val="20"/>
        </w:rPr>
      </w:pPr>
      <w:r>
        <w:rPr>
          <w:rFonts w:ascii="Arial" w:hAnsi="Arial"/>
          <w:b/>
          <w:sz w:val="20"/>
        </w:rPr>
        <w:t>Collateral</w:t>
      </w:r>
      <w:r>
        <w:rPr>
          <w:rFonts w:ascii="Arial" w:hAnsi="Arial"/>
          <w:sz w:val="20"/>
        </w:rPr>
        <w:t> </w:t>
      </w:r>
      <w:r>
        <w:rPr>
          <w:rFonts w:ascii="Arial" w:hAnsi="Arial"/>
          <w:b/>
          <w:sz w:val="20"/>
        </w:rPr>
        <w:t>Security</w:t>
      </w:r>
      <w:r>
        <w:rPr>
          <w:rFonts w:ascii="Arial" w:hAnsi="Arial"/>
          <w:sz w:val="20"/>
        </w:rPr>
        <w:t xml:space="preserve"> means: </w:t>
      </w:r>
    </w:p>
    <w:p>
      <w:pPr>
        <w:pStyle w:val="TextBody"/>
        <w:bidi w:val="0"/>
        <w:spacing w:lineRule="auto" w:line="264" w:before="107" w:after="0"/>
        <w:ind w:left="3983" w:right="1956" w:hanging="0"/>
        <w:jc w:val="left"/>
        <w:rPr>
          <w:rFonts w:ascii="Arial" w:hAnsi="Arial"/>
          <w:sz w:val="20"/>
        </w:rPr>
      </w:pPr>
      <w:r>
        <w:rPr>
          <w:rFonts w:ascii="Arial" w:hAnsi="Arial"/>
          <w:sz w:val="20"/>
        </w:rPr>
        <w:t>(a)any Guarantee by which any person Guarantees the Borrower compliance with its obligations under any of the Transaction Documents;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(b)any Security which secures the payment of money owing (actually or contingently) from time to time by:</w:t>
      </w:r>
      <w:r>
        <w:rPr>
          <w:rFonts w:ascii="Arial" w:hAnsi="Arial"/>
          <w:sz w:val="20"/>
        </w:rPr>
        <w:t xml:space="preserve"> </w:t>
      </w:r>
    </w:p>
    <w:p>
      <w:pPr>
        <w:pStyle w:val="TextBody"/>
        <w:bidi w:val="0"/>
        <w:spacing w:lineRule="auto" w:line="264" w:before="111" w:after="0"/>
        <w:ind w:left="4521" w:right="2652" w:hanging="0"/>
        <w:jc w:val="left"/>
        <w:rPr>
          <w:rFonts w:ascii="Arial" w:hAnsi="Arial"/>
          <w:sz w:val="20"/>
        </w:rPr>
      </w:pPr>
      <w:r>
        <w:rPr>
          <w:rFonts w:ascii="Arial" w:hAnsi="Arial"/>
          <w:sz w:val="20"/>
        </w:rPr>
        <w:t xml:space="preserve">(i)any Transaction Party in relation to any of the Transaction Documents; or </w:t>
      </w:r>
    </w:p>
    <w:p>
      <w:pPr>
        <w:pStyle w:val="TextBody"/>
        <w:bidi w:val="0"/>
        <w:spacing w:before="108" w:after="0"/>
        <w:ind w:left="4528" w:right="360" w:hanging="0"/>
        <w:jc w:val="left"/>
        <w:rPr>
          <w:rFonts w:ascii="Arial" w:hAnsi="Arial"/>
          <w:sz w:val="20"/>
        </w:rPr>
      </w:pPr>
      <w:r>
        <w:rPr>
          <w:rFonts w:ascii="Arial" w:hAnsi="Arial"/>
          <w:sz w:val="20"/>
        </w:rPr>
        <w:t xml:space="preserve">(ii) any person in relation to a Gurantee of any Transaction Party’s </w:t>
      </w:r>
    </w:p>
    <w:p>
      <w:pPr>
        <w:pStyle w:val="TextBody"/>
        <w:bidi w:val="0"/>
        <w:spacing w:lineRule="auto" w:line="264" w:before="26" w:after="0"/>
        <w:ind w:left="4521" w:right="1854" w:hanging="0"/>
        <w:jc w:val="left"/>
        <w:rPr>
          <w:rFonts w:ascii="Arial" w:hAnsi="Arial"/>
          <w:sz w:val="20"/>
        </w:rPr>
      </w:pPr>
      <w:r>
        <w:rPr>
          <w:rFonts w:ascii="Arial" w:hAnsi="Arial"/>
          <w:sz w:val="20"/>
        </w:rPr>
        <w:t xml:space="preserve">compliance with its obligations under any of the Transaction Documents; and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(c)without limiting the generality of paragraphs (a) and (b) each thing listed in </w:t>
      </w:r>
      <w:r>
        <w:rPr>
          <w:rFonts w:ascii="Arial" w:hAnsi="Arial"/>
          <w:b/>
          <w:sz w:val="20"/>
        </w:rPr>
        <w:t>schedule 3</w:t>
      </w:r>
      <w:r>
        <w:rPr>
          <w:rFonts w:ascii="Arial" w:hAnsi="Arial"/>
          <w:sz w:val="20"/>
        </w:rPr>
        <w:t>.</w:t>
      </w:r>
      <w:r>
        <w:rPr>
          <w:rFonts w:ascii="Arial" w:hAnsi="Arial"/>
          <w:sz w:val="20"/>
        </w:rPr>
        <w:t xml:space="preserve"> </w:t>
      </w:r>
    </w:p>
    <w:p>
      <w:pPr>
        <w:pStyle w:val="TextBody"/>
        <w:bidi w:val="0"/>
        <w:spacing w:lineRule="auto" w:line="264" w:before="106" w:after="0"/>
        <w:ind w:left="3456" w:right="1854" w:hanging="0"/>
        <w:jc w:val="left"/>
        <w:rPr>
          <w:rFonts w:ascii="Arial" w:hAnsi="Arial"/>
          <w:sz w:val="20"/>
        </w:rPr>
      </w:pPr>
      <w:r>
        <w:rPr>
          <w:rFonts w:ascii="Arial" w:hAnsi="Arial"/>
          <w:b/>
          <w:sz w:val="20"/>
        </w:rPr>
        <w:t xml:space="preserve">Contaminant </w:t>
      </w:r>
      <w:r>
        <w:rPr>
          <w:rFonts w:ascii="Arial" w:hAnsi="Arial"/>
          <w:sz w:val="20"/>
        </w:rPr>
        <w:t xml:space="preserve">means a noxious, harmful or hazardous condition (including an odour, temperature, sound, vibration or radiation) or substance the presence or use of which (having regard, without limitation, to the nature and quantity of the substance and other substances with which it is stored or used) does or may result in the breach of an Environmental Law or the issuing of an order or direction under an Environmental Law. </w:t>
      </w:r>
    </w:p>
    <w:p>
      <w:pPr>
        <w:pStyle w:val="TextBody"/>
        <w:bidi w:val="0"/>
        <w:spacing w:before="106" w:after="0"/>
        <w:ind w:left="3456" w:right="360" w:hanging="0"/>
        <w:jc w:val="left"/>
        <w:rPr>
          <w:rFonts w:ascii="Arial" w:hAnsi="Arial"/>
          <w:sz w:val="20"/>
        </w:rPr>
      </w:pPr>
      <w:r>
        <w:rPr>
          <w:rFonts w:ascii="Arial" w:hAnsi="Arial"/>
          <w:b/>
          <w:sz w:val="20"/>
        </w:rPr>
        <w:t>Corporate</w:t>
      </w:r>
      <w:r>
        <w:rPr>
          <w:rFonts w:ascii="Arial" w:hAnsi="Arial"/>
          <w:sz w:val="20"/>
        </w:rPr>
        <w:t> </w:t>
      </w:r>
      <w:r>
        <w:rPr>
          <w:rFonts w:ascii="Arial" w:hAnsi="Arial"/>
          <w:b/>
          <w:sz w:val="20"/>
        </w:rPr>
        <w:t>Markets Loan</w:t>
      </w:r>
      <w:r>
        <w:rPr>
          <w:rFonts w:ascii="Arial" w:hAnsi="Arial"/>
          <w:sz w:val="20"/>
        </w:rPr>
        <w:t> </w:t>
      </w:r>
      <w:r>
        <w:rPr>
          <w:rFonts w:ascii="Arial" w:hAnsi="Arial"/>
          <w:b/>
          <w:sz w:val="20"/>
        </w:rPr>
        <w:t>Facility</w:t>
      </w:r>
      <w:r>
        <w:rPr>
          <w:rFonts w:ascii="Arial" w:hAnsi="Arial"/>
          <w:sz w:val="20"/>
        </w:rPr>
        <w:t xml:space="preserve"> means the Facility described as such in </w:t>
      </w:r>
    </w:p>
    <w:p>
      <w:pPr>
        <w:pStyle w:val="TextBody"/>
        <w:bidi w:val="0"/>
        <w:spacing w:lineRule="auto" w:line="384" w:before="24" w:after="0"/>
        <w:ind w:left="3456" w:right="2221" w:hanging="0"/>
        <w:jc w:val="left"/>
        <w:rPr>
          <w:rFonts w:ascii="Arial" w:hAnsi="Arial"/>
          <w:sz w:val="20"/>
        </w:rPr>
      </w:pPr>
      <w:r>
        <w:rPr>
          <w:rFonts w:ascii="Arial" w:hAnsi="Arial"/>
          <w:b/>
          <w:sz w:val="20"/>
        </w:rPr>
        <w:t>schedule</w:t>
      </w:r>
      <w:r>
        <w:rPr>
          <w:rFonts w:ascii="Arial" w:hAnsi="Arial"/>
          <w:sz w:val="20"/>
        </w:rPr>
        <w:t> </w:t>
      </w:r>
      <w:r>
        <w:rPr>
          <w:rFonts w:ascii="Arial" w:hAnsi="Arial"/>
          <w:b/>
          <w:sz w:val="20"/>
        </w:rPr>
        <w:t>2</w:t>
      </w:r>
      <w:r>
        <w:rPr>
          <w:rFonts w:ascii="Arial" w:hAnsi="Arial"/>
          <w:sz w:val="20"/>
        </w:rPr>
        <w:t> and granted pursuant to </w:t>
      </w:r>
      <w:r>
        <w:rPr>
          <w:rFonts w:ascii="Arial" w:hAnsi="Arial"/>
          <w:b/>
          <w:sz w:val="20"/>
        </w:rPr>
        <w:t>clause</w:t>
      </w:r>
      <w:r>
        <w:rPr>
          <w:rFonts w:ascii="Arial" w:hAnsi="Arial"/>
          <w:sz w:val="20"/>
        </w:rPr>
        <w:t> </w:t>
      </w:r>
      <w:r>
        <w:rPr>
          <w:rFonts w:ascii="Arial" w:hAnsi="Arial"/>
          <w:b/>
          <w:color w:val="2D97D3"/>
          <w:sz w:val="20"/>
          <w:u w:val="single"/>
        </w:rPr>
        <w:t>4.1(a)(i)</w:t>
      </w:r>
      <w:r>
        <w:rPr>
          <w:rFonts w:ascii="Arial" w:hAnsi="Arial"/>
          <w:b/>
          <w:strike/>
          <w:color w:val="B5082D"/>
          <w:sz w:val="20"/>
        </w:rPr>
        <w:t>4.1(a)(i)</w:t>
      </w:r>
      <w:r>
        <w:rPr>
          <w:rFonts w:ascii="Arial" w:hAnsi="Arial"/>
          <w:sz w:val="20"/>
        </w:rPr>
        <w:t>.  </w:t>
      </w:r>
      <w:r>
        <w:rPr>
          <w:rFonts w:ascii="Arial" w:hAnsi="Arial"/>
          <w:b/>
          <w:sz w:val="20"/>
        </w:rPr>
        <w:t xml:space="preserve">Corporations Act </w:t>
      </w:r>
      <w:r>
        <w:rPr>
          <w:rFonts w:ascii="Arial" w:hAnsi="Arial"/>
          <w:sz w:val="20"/>
        </w:rPr>
        <w:t xml:space="preserve">means the </w:t>
      </w:r>
      <w:r>
        <w:rPr>
          <w:rFonts w:ascii="Arial" w:hAnsi="Arial"/>
          <w:i/>
          <w:sz w:val="20"/>
        </w:rPr>
        <w:t xml:space="preserve">Corporations Act 2001 </w:t>
      </w:r>
      <w:r>
        <w:rPr>
          <w:rFonts w:ascii="Arial" w:hAnsi="Arial"/>
          <w:sz w:val="20"/>
        </w:rPr>
        <w:t xml:space="preserve">(Cth). </w:t>
      </w:r>
    </w:p>
    <w:p>
      <w:pPr>
        <w:pStyle w:val="TextBody"/>
        <w:bidi w:val="0"/>
        <w:spacing w:lineRule="auto" w:line="266" w:before="0" w:after="0"/>
        <w:ind w:left="3456" w:right="1854" w:hanging="0"/>
        <w:jc w:val="left"/>
        <w:rPr>
          <w:rFonts w:ascii="Arial" w:hAnsi="Arial"/>
          <w:sz w:val="20"/>
        </w:rPr>
      </w:pPr>
      <w:r>
        <w:rPr>
          <w:rFonts w:ascii="Arial" w:hAnsi="Arial"/>
          <w:b/>
          <w:sz w:val="20"/>
        </w:rPr>
        <w:t>Current</w:t>
      </w:r>
      <w:r>
        <w:rPr>
          <w:rFonts w:ascii="Arial" w:hAnsi="Arial"/>
          <w:sz w:val="20"/>
        </w:rPr>
        <w:t> </w:t>
      </w:r>
      <w:r>
        <w:rPr>
          <w:rFonts w:ascii="Arial" w:hAnsi="Arial"/>
          <w:b/>
          <w:sz w:val="20"/>
        </w:rPr>
        <w:t>Bank</w:t>
      </w:r>
      <w:r>
        <w:rPr>
          <w:rFonts w:ascii="Arial" w:hAnsi="Arial"/>
          <w:sz w:val="20"/>
        </w:rPr>
        <w:t> </w:t>
      </w:r>
      <w:r>
        <w:rPr>
          <w:rFonts w:ascii="Arial" w:hAnsi="Arial"/>
          <w:b/>
          <w:sz w:val="20"/>
        </w:rPr>
        <w:t>Guarantee</w:t>
      </w:r>
      <w:r>
        <w:rPr>
          <w:rFonts w:ascii="Arial" w:hAnsi="Arial"/>
          <w:sz w:val="20"/>
        </w:rPr>
        <w:t xml:space="preserve"> means a Bank Guarantee which has not Matured or Expired. </w:t>
      </w:r>
    </w:p>
    <w:p>
      <w:pPr>
        <w:pStyle w:val="TextBody"/>
        <w:bidi w:val="0"/>
        <w:spacing w:lineRule="auto" w:line="264" w:before="103" w:after="0"/>
        <w:ind w:left="3456" w:right="1940" w:hanging="0"/>
        <w:jc w:val="left"/>
        <w:rPr>
          <w:rFonts w:ascii="Arial" w:hAnsi="Arial"/>
          <w:sz w:val="20"/>
        </w:rPr>
      </w:pPr>
      <w:r>
        <w:rPr>
          <w:rFonts w:ascii="Arial" w:hAnsi="Arial"/>
          <w:b/>
          <w:sz w:val="20"/>
        </w:rPr>
        <w:t>Daily</w:t>
      </w:r>
      <w:r>
        <w:rPr>
          <w:rFonts w:ascii="Arial" w:hAnsi="Arial"/>
          <w:sz w:val="20"/>
        </w:rPr>
        <w:t> </w:t>
      </w:r>
      <w:r>
        <w:rPr>
          <w:rFonts w:ascii="Arial" w:hAnsi="Arial"/>
          <w:b/>
          <w:sz w:val="20"/>
        </w:rPr>
        <w:t>Interest</w:t>
      </w:r>
      <w:r>
        <w:rPr>
          <w:rFonts w:ascii="Arial" w:hAnsi="Arial"/>
          <w:sz w:val="20"/>
        </w:rPr>
        <w:t> </w:t>
      </w:r>
      <w:r>
        <w:rPr>
          <w:rFonts w:ascii="Arial" w:hAnsi="Arial"/>
          <w:b/>
          <w:sz w:val="20"/>
        </w:rPr>
        <w:t>Rate</w:t>
      </w:r>
      <w:r>
        <w:rPr>
          <w:rFonts w:ascii="Arial" w:hAnsi="Arial"/>
          <w:sz w:val="20"/>
        </w:rPr>
        <w:t xml:space="preserve"> means, for any day, the Interest Rate on that day divided by 365. </w:t>
      </w:r>
    </w:p>
    <w:p>
      <w:pPr>
        <w:pStyle w:val="TextBody"/>
        <w:bidi w:val="0"/>
        <w:spacing w:lineRule="auto" w:line="264" w:before="111" w:after="0"/>
        <w:ind w:left="3456" w:right="1854" w:hanging="0"/>
        <w:jc w:val="left"/>
        <w:rPr>
          <w:rFonts w:ascii="Arial" w:hAnsi="Arial"/>
          <w:sz w:val="20"/>
        </w:rPr>
      </w:pPr>
      <w:r>
        <w:rPr>
          <w:rFonts w:ascii="Arial" w:hAnsi="Arial"/>
          <w:b/>
          <w:sz w:val="20"/>
        </w:rPr>
        <w:t>Delay</w:t>
      </w:r>
      <w:r>
        <w:rPr>
          <w:rFonts w:ascii="Arial" w:hAnsi="Arial"/>
          <w:sz w:val="20"/>
        </w:rPr>
        <w:t> </w:t>
      </w:r>
      <w:r>
        <w:rPr>
          <w:rFonts w:ascii="Arial" w:hAnsi="Arial"/>
          <w:b/>
          <w:sz w:val="20"/>
        </w:rPr>
        <w:t>Event</w:t>
      </w:r>
      <w:r>
        <w:rPr>
          <w:rFonts w:ascii="Arial" w:hAnsi="Arial"/>
          <w:sz w:val="20"/>
        </w:rPr>
        <w:t> means, in respect of </w:t>
      </w:r>
      <w:r>
        <w:rPr>
          <w:rFonts w:ascii="Arial" w:hAnsi="Arial"/>
          <w:b/>
          <w:sz w:val="20"/>
        </w:rPr>
        <w:t>clause</w:t>
      </w:r>
      <w:r>
        <w:rPr>
          <w:rFonts w:ascii="Arial" w:hAnsi="Arial"/>
          <w:sz w:val="20"/>
        </w:rPr>
        <w:t> </w:t>
      </w:r>
      <w:r>
        <w:rPr>
          <w:rFonts w:ascii="Arial" w:hAnsi="Arial"/>
          <w:b/>
          <w:sz w:val="20"/>
        </w:rPr>
        <w:t>9.5(h)</w:t>
      </w:r>
      <w:r>
        <w:rPr>
          <w:rFonts w:ascii="Arial" w:hAnsi="Arial"/>
          <w:sz w:val="20"/>
        </w:rPr>
        <w:t xml:space="preserve">, a declaration of emergency and/or natural disaster by the Queensland Government which: </w:t>
      </w:r>
    </w:p>
    <w:p>
      <w:pPr>
        <w:pStyle w:val="TextBody"/>
        <w:bidi w:val="0"/>
        <w:spacing w:lineRule="auto" w:line="264" w:before="107" w:after="0"/>
        <w:ind w:left="3983" w:right="1956" w:hanging="0"/>
        <w:jc w:val="left"/>
        <w:rPr>
          <w:rFonts w:ascii="Arial" w:hAnsi="Arial"/>
          <w:sz w:val="20"/>
        </w:rPr>
      </w:pPr>
      <w:r>
        <w:rPr>
          <w:rFonts w:ascii="Arial" w:hAnsi="Arial"/>
          <w:sz w:val="20"/>
        </w:rPr>
        <w:t>(a)has a direct adverse effect on the Cannon Park Property;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(b)reasonably prevents the Borrower from complying with its obligation under </w:t>
      </w:r>
      <w:r>
        <w:rPr>
          <w:rFonts w:ascii="Arial" w:hAnsi="Arial"/>
          <w:b/>
          <w:sz w:val="20"/>
        </w:rPr>
        <w:t xml:space="preserve">clause 9.5(h) </w:t>
      </w:r>
      <w:r>
        <w:rPr>
          <w:rFonts w:ascii="Arial" w:hAnsi="Arial"/>
          <w:sz w:val="20"/>
        </w:rPr>
        <w:t>by 15 March 2025.</w:t>
      </w:r>
      <w:r>
        <w:rPr>
          <w:rFonts w:ascii="Arial" w:hAnsi="Arial"/>
          <w:sz w:val="20"/>
        </w:rPr>
        <w:t xml:space="preserve"> </w:t>
      </w:r>
    </w:p>
    <w:p>
      <w:pPr>
        <w:pStyle w:val="TextBody"/>
        <w:pBdr/>
        <w:bidi w:val="0"/>
        <w:spacing w:lineRule="auto" w:line="266" w:before="108" w:after="0"/>
        <w:ind w:left="3456" w:right="1854" w:hanging="0"/>
        <w:jc w:val="left"/>
        <w:rPr>
          <w:rFonts w:ascii="Arial" w:hAnsi="Arial"/>
          <w:sz w:val="20"/>
        </w:rPr>
      </w:pPr>
      <w:r>
        <w:rPr>
          <w:rFonts w:ascii="Arial" w:hAnsi="Arial"/>
          <w:b/>
          <w:sz w:val="20"/>
        </w:rPr>
        <w:t>Disposal</w:t>
      </w:r>
      <w:r>
        <w:rPr>
          <w:rFonts w:ascii="Arial" w:hAnsi="Arial"/>
          <w:sz w:val="20"/>
        </w:rPr>
        <w:t xml:space="preserve"> means a sale, lease, transfer or other disposal by any Transaction Party of any interest in: </w:t>
      </w:r>
    </w:p>
    <w:p>
      <w:pPr>
        <w:pStyle w:val="TextBody"/>
        <w:pBdr/>
        <w:bidi w:val="0"/>
        <w:spacing w:lineRule="auto" w:line="266" w:before="0" w:after="0"/>
        <w:ind w:left="360" w:right="360" w:hanging="0"/>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5</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(a)any share or stock (whether or not ordinary or preference and whether or not redeemable) or any other instrument convertible or exchangeable into or entitling a person to acquire or subscribe for any share or stock;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(b)the whole or any part of a business, business unit or line of business;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(c)any other asset under a particular transaction or related transactions not in the ordinary course of business of the Reading Entertainment Australia Group taken as a whole.</w:t>
      </w:r>
      <w:r>
        <w:rPr>
          <w:rFonts w:ascii="Arial" w:hAnsi="Arial"/>
          <w:sz w:val="20"/>
        </w:rPr>
        <w:t xml:space="preserve"> </w:t>
      </w:r>
    </w:p>
    <w:p>
      <w:pPr>
        <w:pStyle w:val="TextBody"/>
        <w:bidi w:val="0"/>
        <w:spacing w:before="110" w:after="0"/>
        <w:ind w:left="3456" w:right="360" w:hanging="0"/>
        <w:jc w:val="left"/>
        <w:rPr>
          <w:rFonts w:ascii="Arial" w:hAnsi="Arial"/>
          <w:sz w:val="20"/>
        </w:rPr>
      </w:pPr>
      <w:r>
        <w:rPr>
          <w:rFonts w:ascii="Arial" w:hAnsi="Arial"/>
          <w:b/>
          <w:sz w:val="20"/>
        </w:rPr>
        <w:t>Distribution</w:t>
      </w:r>
      <w:r>
        <w:rPr>
          <w:rFonts w:ascii="Arial" w:hAnsi="Arial"/>
          <w:sz w:val="20"/>
        </w:rPr>
        <w:t xml:space="preserve"> means: </w:t>
      </w:r>
    </w:p>
    <w:p>
      <w:pPr>
        <w:pStyle w:val="TextBody"/>
        <w:bidi w:val="0"/>
        <w:spacing w:lineRule="auto" w:line="264" w:before="107" w:after="0"/>
        <w:ind w:left="3983" w:right="1956" w:hanging="0"/>
        <w:jc w:val="left"/>
        <w:rPr>
          <w:rFonts w:ascii="Arial" w:hAnsi="Arial"/>
          <w:sz w:val="20"/>
        </w:rPr>
      </w:pPr>
      <w:r>
        <w:rPr>
          <w:rFonts w:ascii="Arial" w:hAnsi="Arial"/>
          <w:sz w:val="20"/>
        </w:rPr>
        <w:t>(a)in relation to any share capital of a Transaction Party, any dividend, charge, interest, fee, payment or other distribution (whether in cash or in kind) or redemption, repurchase, defeasance, retirement or redemption;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(b)any interest, any redemption or early redemption of any amount of principal or any other payment in respect of any shareholder loan or other subordinated loans made to any Transaction Party;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(c)any loan or other financial accommodation made available by a Transaction Party to a person other than another Transaction Party.</w:t>
      </w:r>
      <w:r>
        <w:rPr>
          <w:rFonts w:ascii="Arial" w:hAnsi="Arial"/>
          <w:sz w:val="20"/>
        </w:rPr>
        <w:t xml:space="preserve"> </w:t>
      </w:r>
    </w:p>
    <w:p>
      <w:pPr>
        <w:pStyle w:val="TextBody"/>
        <w:pBdr/>
        <w:bidi w:val="0"/>
        <w:spacing w:lineRule="auto" w:line="264" w:before="107" w:after="0"/>
        <w:ind w:left="3456" w:right="1854" w:hanging="0"/>
        <w:jc w:val="left"/>
        <w:rPr>
          <w:rFonts w:ascii="Arial" w:hAnsi="Arial"/>
          <w:sz w:val="20"/>
        </w:rPr>
      </w:pPr>
      <w:r>
        <w:rPr>
          <w:rFonts w:ascii="Arial" w:hAnsi="Arial"/>
          <w:b/>
          <w:sz w:val="20"/>
        </w:rPr>
        <w:t>Drawing</w:t>
      </w:r>
      <w:r>
        <w:rPr>
          <w:rFonts w:ascii="Arial" w:hAnsi="Arial"/>
          <w:sz w:val="20"/>
        </w:rPr>
        <w:t xml:space="preserve"> means each Bank Guarantee issued or to be issued in accordance with this document under the same Funding Notice. </w:t>
      </w:r>
    </w:p>
    <w:p>
      <w:pPr>
        <w:pStyle w:val="TextBody"/>
        <w:pBdr/>
        <w:bidi w:val="0"/>
        <w:spacing w:lineRule="auto" w:line="264" w:before="111" w:after="0"/>
        <w:ind w:left="3456" w:right="1940" w:hanging="0"/>
        <w:jc w:val="left"/>
        <w:rPr>
          <w:rFonts w:ascii="Arial" w:hAnsi="Arial"/>
          <w:sz w:val="20"/>
        </w:rPr>
      </w:pPr>
      <w:r>
        <w:rPr>
          <w:rFonts w:ascii="Arial" w:hAnsi="Arial"/>
          <w:b/>
          <w:sz w:val="20"/>
        </w:rPr>
        <w:t>EBIT</w:t>
      </w:r>
      <w:r>
        <w:rPr>
          <w:rFonts w:ascii="Arial" w:hAnsi="Arial"/>
          <w:sz w:val="20"/>
        </w:rPr>
        <w:t xml:space="preserve"> means, in relation to any period and without double counting, operating profit (loss) of the Reading Entertainment Australia Group (on a consolidated basis) from ordinary operations before interest, income tax and minority interests, but after deduction of depreciation and amortisation for that period, as determined in accordance with Accounting Standards. </w:t>
      </w:r>
    </w:p>
    <w:p>
      <w:pPr>
        <w:pStyle w:val="TextBody"/>
        <w:pBdr/>
        <w:bidi w:val="0"/>
        <w:spacing w:lineRule="auto" w:line="264" w:before="106" w:after="0"/>
        <w:ind w:left="3456" w:right="1854" w:hanging="0"/>
        <w:jc w:val="left"/>
        <w:rPr>
          <w:rFonts w:ascii="Arial" w:hAnsi="Arial"/>
          <w:sz w:val="20"/>
        </w:rPr>
      </w:pPr>
      <w:r>
        <w:rPr>
          <w:rFonts w:ascii="Arial" w:hAnsi="Arial"/>
          <w:b/>
          <w:sz w:val="20"/>
        </w:rPr>
        <w:t>EBITDA</w:t>
      </w:r>
      <w:r>
        <w:rPr>
          <w:rFonts w:ascii="Arial" w:hAnsi="Arial"/>
          <w:sz w:val="20"/>
        </w:rPr>
        <w:t xml:space="preserve"> means, in relation to any period, EBIT for the Reading Entertainment Australia Group for that period, plus depreciation and amortisation as determined in accordance with Accounting Standards </w:t>
      </w:r>
    </w:p>
    <w:p>
      <w:pPr>
        <w:pStyle w:val="TextBody"/>
        <w:pBdr/>
        <w:bidi w:val="0"/>
        <w:spacing w:lineRule="auto" w:line="264" w:before="110" w:after="0"/>
        <w:ind w:left="3456" w:right="1854" w:hanging="0"/>
        <w:jc w:val="left"/>
        <w:rPr>
          <w:rFonts w:ascii="Arial" w:hAnsi="Arial"/>
          <w:sz w:val="20"/>
        </w:rPr>
      </w:pPr>
      <w:r>
        <w:rPr>
          <w:rFonts w:ascii="Arial" w:hAnsi="Arial"/>
          <w:b/>
          <w:sz w:val="20"/>
        </w:rPr>
        <w:t>Encumbrance</w:t>
      </w:r>
      <w:r>
        <w:rPr>
          <w:rFonts w:ascii="Arial" w:hAnsi="Arial"/>
          <w:sz w:val="20"/>
        </w:rPr>
        <w:t xml:space="preserve"> means any interest in or right over property and anything which would at any time prevent, restrict or delay the registration of any interest in or dealing with property. It includes a Security Interest. </w:t>
      </w:r>
    </w:p>
    <w:p>
      <w:pPr>
        <w:pStyle w:val="TextBody"/>
        <w:bidi w:val="0"/>
        <w:spacing w:lineRule="auto" w:line="264" w:before="110" w:after="0"/>
        <w:ind w:left="3456" w:right="1854" w:hanging="0"/>
        <w:jc w:val="left"/>
        <w:rPr>
          <w:rFonts w:ascii="Arial" w:hAnsi="Arial"/>
          <w:sz w:val="20"/>
        </w:rPr>
      </w:pPr>
      <w:r>
        <w:rPr>
          <w:rFonts w:ascii="Arial" w:hAnsi="Arial"/>
          <w:b/>
          <w:sz w:val="20"/>
        </w:rPr>
        <w:t>Environmental</w:t>
      </w:r>
      <w:r>
        <w:rPr>
          <w:rFonts w:ascii="Arial" w:hAnsi="Arial"/>
          <w:sz w:val="20"/>
        </w:rPr>
        <w:t> </w:t>
      </w:r>
      <w:r>
        <w:rPr>
          <w:rFonts w:ascii="Arial" w:hAnsi="Arial"/>
          <w:b/>
          <w:sz w:val="20"/>
        </w:rPr>
        <w:t>Assessment</w:t>
      </w:r>
      <w:r>
        <w:rPr>
          <w:rFonts w:ascii="Arial" w:hAnsi="Arial"/>
          <w:sz w:val="20"/>
        </w:rPr>
        <w:t> </w:t>
      </w:r>
      <w:r>
        <w:rPr>
          <w:rFonts w:ascii="Arial" w:hAnsi="Arial"/>
          <w:b/>
          <w:sz w:val="20"/>
        </w:rPr>
        <w:t>Report</w:t>
      </w:r>
      <w:r>
        <w:rPr>
          <w:rFonts w:ascii="Arial" w:hAnsi="Arial"/>
          <w:sz w:val="20"/>
        </w:rPr>
        <w:t xml:space="preserve"> means a report in relation to compliance with Environmental Law of the Land and any activities carried out on the Land. </w:t>
      </w:r>
    </w:p>
    <w:p>
      <w:pPr>
        <w:pStyle w:val="TextBody"/>
        <w:pBdr/>
        <w:bidi w:val="0"/>
        <w:spacing w:lineRule="auto" w:line="264" w:before="109" w:after="0"/>
        <w:ind w:left="3456" w:right="1854" w:hanging="0"/>
        <w:jc w:val="left"/>
        <w:rPr>
          <w:rFonts w:ascii="Arial" w:hAnsi="Arial"/>
          <w:sz w:val="20"/>
        </w:rPr>
      </w:pPr>
      <w:r>
        <w:rPr>
          <w:rFonts w:ascii="Arial" w:hAnsi="Arial"/>
          <w:b/>
          <w:sz w:val="20"/>
        </w:rPr>
        <w:t xml:space="preserve">Environmental Law </w:t>
      </w:r>
      <w:r>
        <w:rPr>
          <w:rFonts w:ascii="Arial" w:hAnsi="Arial"/>
          <w:sz w:val="20"/>
        </w:rPr>
        <w:t xml:space="preserve">means any legislation, regulations or related codes, standards or policies which relate to environmental and planning matters, including matters concerning land use, development, building works, pollution, contamination, waste, toxic and hazardous substances, disposal of waste or other substances, human health, conservation of natural or cultural resources, heritage and resource allocation. </w:t>
      </w:r>
    </w:p>
    <w:p>
      <w:pPr>
        <w:pStyle w:val="TextBody"/>
        <w:pBdr/>
        <w:bidi w:val="0"/>
        <w:spacing w:lineRule="auto" w:line="264" w:before="105" w:after="0"/>
        <w:ind w:left="3456" w:right="1854" w:hanging="0"/>
        <w:jc w:val="left"/>
        <w:rPr>
          <w:rFonts w:ascii="Arial" w:hAnsi="Arial"/>
          <w:sz w:val="20"/>
        </w:rPr>
      </w:pPr>
      <w:r>
        <w:rPr>
          <w:rFonts w:ascii="Arial" w:hAnsi="Arial"/>
          <w:b/>
          <w:sz w:val="20"/>
        </w:rPr>
        <w:t xml:space="preserve">Environmental Liability </w:t>
      </w:r>
      <w:r>
        <w:rPr>
          <w:rFonts w:ascii="Arial" w:hAnsi="Arial"/>
          <w:sz w:val="20"/>
        </w:rPr>
        <w:t xml:space="preserve">means any liability, obligation, expense, penalty or fine arising out of a breach of Environmental Law which could be imposed on any Transaction Party or the Bank in respect of the Land as a result of activities carried on during the ownership, occupation or control of the Land by </w:t>
      </w:r>
    </w:p>
    <w:p>
      <w:pPr>
        <w:pStyle w:val="TextBody"/>
        <w:pBdr/>
        <w:bidi w:val="0"/>
        <w:spacing w:lineRule="auto" w:line="264" w:before="0" w:after="0"/>
        <w:ind w:left="360" w:right="360" w:hanging="0"/>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6</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3456" w:right="1854" w:hanging="0"/>
        <w:jc w:val="left"/>
        <w:rPr>
          <w:rFonts w:ascii="Arial" w:hAnsi="Arial"/>
          <w:sz w:val="20"/>
        </w:rPr>
      </w:pPr>
      <w:r>
        <w:rPr>
          <w:rFonts w:ascii="Arial" w:hAnsi="Arial"/>
          <w:sz w:val="20"/>
        </w:rPr>
        <w:t xml:space="preserve">that Transaction Party, the Bank, any predecessor in title or any previous occupier or controller of the Land. </w:t>
      </w:r>
    </w:p>
    <w:p>
      <w:pPr>
        <w:pStyle w:val="TextBody"/>
        <w:bidi w:val="0"/>
        <w:spacing w:before="107" w:after="0"/>
        <w:ind w:left="3456" w:right="360" w:hanging="0"/>
        <w:jc w:val="left"/>
        <w:rPr>
          <w:rFonts w:ascii="Arial" w:hAnsi="Arial"/>
          <w:sz w:val="20"/>
        </w:rPr>
      </w:pPr>
      <w:r>
        <w:rPr>
          <w:rFonts w:ascii="Arial" w:hAnsi="Arial"/>
          <w:b/>
          <w:sz w:val="20"/>
        </w:rPr>
        <w:t>Event of</w:t>
      </w:r>
      <w:r>
        <w:rPr>
          <w:rFonts w:ascii="Arial" w:hAnsi="Arial"/>
          <w:sz w:val="20"/>
        </w:rPr>
        <w:t> </w:t>
      </w:r>
      <w:r>
        <w:rPr>
          <w:rFonts w:ascii="Arial" w:hAnsi="Arial"/>
          <w:b/>
          <w:sz w:val="20"/>
        </w:rPr>
        <w:t>Default</w:t>
      </w:r>
      <w:r>
        <w:rPr>
          <w:rFonts w:ascii="Arial" w:hAnsi="Arial"/>
          <w:sz w:val="20"/>
        </w:rPr>
        <w:t xml:space="preserve"> means any event or circumstance described in </w:t>
      </w:r>
    </w:p>
    <w:p>
      <w:pPr>
        <w:pStyle w:val="TextBody"/>
        <w:bidi w:val="0"/>
        <w:spacing w:before="22" w:after="0"/>
        <w:ind w:left="3456" w:right="360" w:hanging="0"/>
        <w:jc w:val="left"/>
        <w:rPr>
          <w:rFonts w:ascii="Arial" w:hAnsi="Arial"/>
          <w:b/>
          <w:sz w:val="20"/>
        </w:rPr>
      </w:pPr>
      <w:r>
        <w:rPr>
          <w:rFonts w:ascii="Arial" w:hAnsi="Arial"/>
          <w:b/>
          <w:sz w:val="20"/>
        </w:rPr>
        <w:t>clause </w:t>
      </w:r>
      <w:r>
        <w:rPr>
          <w:rFonts w:ascii="Arial" w:hAnsi="Arial"/>
          <w:b/>
          <w:color w:val="2D97D3"/>
          <w:sz w:val="20"/>
          <w:u w:val="single"/>
        </w:rPr>
        <w:t>10.1</w:t>
      </w:r>
      <w:r>
        <w:rPr>
          <w:rFonts w:ascii="Arial" w:hAnsi="Arial"/>
          <w:b/>
          <w:strike/>
          <w:color w:val="B5082D"/>
          <w:sz w:val="20"/>
        </w:rPr>
        <w:t>10.1</w:t>
      </w:r>
      <w:r>
        <w:rPr>
          <w:rFonts w:ascii="Arial" w:hAnsi="Arial"/>
          <w:b w:val="false"/>
          <w:sz w:val="20"/>
        </w:rPr>
        <w:t>.</w:t>
      </w:r>
      <w:r>
        <w:rPr>
          <w:rFonts w:ascii="Arial" w:hAnsi="Arial"/>
          <w:b/>
          <w:sz w:val="20"/>
        </w:rPr>
        <w:t xml:space="preserve"> </w:t>
      </w:r>
    </w:p>
    <w:p>
      <w:pPr>
        <w:pStyle w:val="TextBody"/>
        <w:bidi w:val="0"/>
        <w:spacing w:lineRule="auto" w:line="264" w:before="139" w:after="0"/>
        <w:ind w:left="3456" w:right="1854" w:hanging="0"/>
        <w:jc w:val="left"/>
        <w:rPr>
          <w:rFonts w:ascii="Arial" w:hAnsi="Arial"/>
          <w:sz w:val="20"/>
        </w:rPr>
      </w:pPr>
      <w:r>
        <w:rPr>
          <w:rFonts w:ascii="Arial" w:hAnsi="Arial"/>
          <w:b/>
          <w:sz w:val="20"/>
        </w:rPr>
        <w:t>Excluded</w:t>
      </w:r>
      <w:r>
        <w:rPr>
          <w:rFonts w:ascii="Arial" w:hAnsi="Arial"/>
          <w:sz w:val="20"/>
        </w:rPr>
        <w:t> </w:t>
      </w:r>
      <w:r>
        <w:rPr>
          <w:rFonts w:ascii="Arial" w:hAnsi="Arial"/>
          <w:b/>
          <w:sz w:val="20"/>
        </w:rPr>
        <w:t>Financial</w:t>
      </w:r>
      <w:r>
        <w:rPr>
          <w:rFonts w:ascii="Arial" w:hAnsi="Arial"/>
          <w:sz w:val="20"/>
        </w:rPr>
        <w:t> </w:t>
      </w:r>
      <w:r>
        <w:rPr>
          <w:rFonts w:ascii="Arial" w:hAnsi="Arial"/>
          <w:b/>
          <w:sz w:val="20"/>
        </w:rPr>
        <w:t>Indebtedness</w:t>
      </w:r>
      <w:r>
        <w:rPr>
          <w:rFonts w:ascii="Arial" w:hAnsi="Arial"/>
          <w:sz w:val="20"/>
        </w:rPr>
        <w:t xml:space="preserve"> means Financial Indebtedness of the kind referred to in paragraph (a), (c) or (d) of the definition of Permitted Financial Indebtedness. </w:t>
      </w:r>
    </w:p>
    <w:p>
      <w:pPr>
        <w:pStyle w:val="TextBody"/>
        <w:bidi w:val="0"/>
        <w:spacing w:before="110" w:after="0"/>
        <w:ind w:left="3456" w:right="360" w:hanging="0"/>
        <w:jc w:val="left"/>
        <w:rPr>
          <w:rFonts w:ascii="Arial" w:hAnsi="Arial"/>
          <w:sz w:val="20"/>
        </w:rPr>
      </w:pPr>
      <w:r>
        <w:rPr>
          <w:rFonts w:ascii="Arial" w:hAnsi="Arial"/>
          <w:b/>
          <w:sz w:val="20"/>
        </w:rPr>
        <w:t>Excluded</w:t>
      </w:r>
      <w:r>
        <w:rPr>
          <w:rFonts w:ascii="Arial" w:hAnsi="Arial"/>
          <w:sz w:val="20"/>
        </w:rPr>
        <w:t> </w:t>
      </w:r>
      <w:r>
        <w:rPr>
          <w:rFonts w:ascii="Arial" w:hAnsi="Arial"/>
          <w:b/>
          <w:sz w:val="20"/>
        </w:rPr>
        <w:t>Property</w:t>
      </w:r>
      <w:r>
        <w:rPr>
          <w:rFonts w:ascii="Arial" w:hAnsi="Arial"/>
          <w:sz w:val="20"/>
        </w:rPr>
        <w:t xml:space="preserve"> means: </w:t>
      </w:r>
    </w:p>
    <w:p>
      <w:pPr>
        <w:pStyle w:val="TextBody"/>
        <w:bidi w:val="0"/>
        <w:spacing w:lineRule="auto" w:line="264" w:before="107" w:after="0"/>
        <w:ind w:left="3983" w:right="1956" w:hanging="0"/>
        <w:jc w:val="left"/>
        <w:rPr>
          <w:rFonts w:ascii="Arial" w:hAnsi="Arial"/>
          <w:sz w:val="20"/>
        </w:rPr>
      </w:pPr>
      <w:r>
        <w:rPr>
          <w:rFonts w:ascii="Arial" w:hAnsi="Arial"/>
          <w:sz w:val="20"/>
        </w:rPr>
        <w:t>(a)the present or future interest of Reading Exhibition Pty Ltd in the Garden City Cinema joint venture with Village Roadshow Exhibition and Birch Carroll &amp; Coyle or the assets the subject of the joint venture or the relevant joint venture agreement;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(b)the present or future interest of Epping Cinemas Pty Ltd in the lease granted by Bevendale Pty Ltd or the property the subject of the lease to the extent that the existence of a charge over that interest or property would cause a breach of the that lease.</w:t>
      </w:r>
      <w:r>
        <w:rPr>
          <w:rFonts w:ascii="Arial" w:hAnsi="Arial"/>
          <w:sz w:val="20"/>
        </w:rPr>
        <w:t xml:space="preserve"> </w:t>
      </w:r>
    </w:p>
    <w:p>
      <w:pPr>
        <w:pStyle w:val="TextBody"/>
        <w:pBdr/>
        <w:bidi w:val="0"/>
        <w:spacing w:lineRule="auto" w:line="264" w:before="106" w:after="0"/>
        <w:ind w:left="3456" w:right="1854" w:hanging="0"/>
        <w:jc w:val="left"/>
        <w:rPr>
          <w:rFonts w:ascii="Arial" w:hAnsi="Arial"/>
          <w:sz w:val="20"/>
        </w:rPr>
      </w:pPr>
      <w:r>
        <w:rPr>
          <w:rFonts w:ascii="Arial" w:hAnsi="Arial"/>
          <w:b/>
          <w:sz w:val="20"/>
        </w:rPr>
        <w:t>Expired</w:t>
      </w:r>
      <w:r>
        <w:rPr>
          <w:rFonts w:ascii="Arial" w:hAnsi="Arial"/>
          <w:sz w:val="20"/>
        </w:rPr>
        <w:t xml:space="preserve"> means, in relation to a Bank Guarantee, that its Expiry Date has passed whether or not a claim has been made under it by the Beneficiary. </w:t>
      </w:r>
    </w:p>
    <w:p>
      <w:pPr>
        <w:pStyle w:val="TextBody"/>
        <w:pBdr/>
        <w:bidi w:val="0"/>
        <w:spacing w:lineRule="auto" w:line="264" w:before="111" w:after="0"/>
        <w:ind w:left="3456" w:right="1945" w:hanging="0"/>
        <w:jc w:val="both"/>
        <w:rPr>
          <w:rFonts w:ascii="Arial" w:hAnsi="Arial"/>
          <w:sz w:val="20"/>
        </w:rPr>
      </w:pPr>
      <w:r>
        <w:rPr>
          <w:rFonts w:ascii="Arial" w:hAnsi="Arial"/>
          <w:b/>
          <w:sz w:val="20"/>
        </w:rPr>
        <w:t>Expiry</w:t>
      </w:r>
      <w:r>
        <w:rPr>
          <w:rFonts w:ascii="Arial" w:hAnsi="Arial"/>
          <w:sz w:val="20"/>
        </w:rPr>
        <w:t> </w:t>
      </w:r>
      <w:r>
        <w:rPr>
          <w:rFonts w:ascii="Arial" w:hAnsi="Arial"/>
          <w:b/>
          <w:sz w:val="20"/>
        </w:rPr>
        <w:t>Date</w:t>
      </w:r>
      <w:r>
        <w:rPr>
          <w:rFonts w:ascii="Arial" w:hAnsi="Arial"/>
          <w:sz w:val="20"/>
        </w:rPr>
        <w:t xml:space="preserve"> means, in relation to a Bank Guarantee, the date specified in that Bank Guarantee as the latest date by which the Beneficiary may make a claim under it. </w:t>
      </w:r>
    </w:p>
    <w:p>
      <w:pPr>
        <w:pStyle w:val="TextBody"/>
        <w:bidi w:val="0"/>
        <w:spacing w:before="111" w:after="0"/>
        <w:ind w:left="3456" w:right="360" w:hanging="0"/>
        <w:jc w:val="both"/>
        <w:rPr>
          <w:rFonts w:ascii="Arial" w:hAnsi="Arial"/>
          <w:sz w:val="20"/>
        </w:rPr>
      </w:pPr>
      <w:r>
        <w:rPr>
          <w:rFonts w:ascii="Arial" w:hAnsi="Arial"/>
          <w:b/>
          <w:sz w:val="20"/>
        </w:rPr>
        <w:t>Face</w:t>
      </w:r>
      <w:r>
        <w:rPr>
          <w:rFonts w:ascii="Arial" w:hAnsi="Arial"/>
          <w:sz w:val="20"/>
        </w:rPr>
        <w:t> </w:t>
      </w:r>
      <w:r>
        <w:rPr>
          <w:rFonts w:ascii="Arial" w:hAnsi="Arial"/>
          <w:b/>
          <w:sz w:val="20"/>
        </w:rPr>
        <w:t>Value</w:t>
      </w:r>
      <w:r>
        <w:rPr>
          <w:rFonts w:ascii="Arial" w:hAnsi="Arial"/>
          <w:sz w:val="20"/>
        </w:rPr>
        <w:t xml:space="preserve"> means, in relation to a Bank Guarantee: </w:t>
      </w:r>
    </w:p>
    <w:p>
      <w:pPr>
        <w:pStyle w:val="TextBody"/>
        <w:bidi w:val="0"/>
        <w:spacing w:lineRule="auto" w:line="264" w:before="107" w:after="0"/>
        <w:ind w:left="3983" w:right="1956" w:hanging="0"/>
        <w:jc w:val="left"/>
        <w:rPr>
          <w:rFonts w:ascii="Arial" w:hAnsi="Arial"/>
          <w:sz w:val="22"/>
        </w:rPr>
      </w:pPr>
      <w:r>
        <w:rPr>
          <w:rFonts w:ascii="Arial" w:hAnsi="Arial"/>
          <w:sz w:val="20"/>
        </w:rPr>
        <w:t>(a)subject</w:t>
      </w:r>
      <w:r>
        <w:rPr>
          <w:rFonts w:ascii="Arial" w:hAnsi="Arial"/>
          <w:sz w:val="22"/>
        </w:rPr>
        <w:t> </w:t>
      </w:r>
      <w:r>
        <w:rPr>
          <w:rFonts w:ascii="Arial" w:hAnsi="Arial"/>
          <w:sz w:val="20"/>
        </w:rPr>
        <w:t>to</w:t>
      </w:r>
      <w:r>
        <w:rPr>
          <w:rFonts w:ascii="Arial" w:hAnsi="Arial"/>
          <w:sz w:val="22"/>
        </w:rPr>
        <w:t> </w:t>
      </w:r>
      <w:r>
        <w:rPr>
          <w:rFonts w:ascii="Arial" w:hAnsi="Arial"/>
          <w:sz w:val="20"/>
        </w:rPr>
        <w:t>paragraph</w:t>
      </w:r>
      <w:r>
        <w:rPr>
          <w:rFonts w:ascii="Arial" w:hAnsi="Arial"/>
          <w:sz w:val="22"/>
        </w:rPr>
        <w:t> </w:t>
      </w:r>
      <w:r>
        <w:rPr>
          <w:rFonts w:ascii="Arial" w:hAnsi="Arial"/>
          <w:color w:val="2D97D3"/>
          <w:sz w:val="20"/>
          <w:u w:val="single"/>
        </w:rPr>
        <w:t>(b)</w:t>
      </w:r>
      <w:r>
        <w:rPr>
          <w:rFonts w:ascii="Arial" w:hAnsi="Arial"/>
          <w:strike/>
          <w:color w:val="B5082D"/>
          <w:sz w:val="20"/>
        </w:rPr>
        <w:t>(b)</w:t>
      </w:r>
      <w:r>
        <w:rPr>
          <w:rFonts w:ascii="Arial" w:hAnsi="Arial"/>
          <w:sz w:val="20"/>
        </w:rPr>
        <w:t>,</w:t>
      </w:r>
      <w:r>
        <w:rPr>
          <w:rFonts w:ascii="Arial" w:hAnsi="Arial"/>
          <w:sz w:val="22"/>
        </w:rPr>
        <w:t> </w:t>
      </w:r>
      <w:r>
        <w:rPr>
          <w:rFonts w:ascii="Arial" w:hAnsi="Arial"/>
          <w:sz w:val="20"/>
        </w:rPr>
        <w:t>the</w:t>
      </w:r>
      <w:r>
        <w:rPr>
          <w:rFonts w:ascii="Arial" w:hAnsi="Arial"/>
          <w:sz w:val="22"/>
        </w:rPr>
        <w:t> </w:t>
      </w:r>
      <w:r>
        <w:rPr>
          <w:rFonts w:ascii="Arial" w:hAnsi="Arial"/>
          <w:sz w:val="20"/>
        </w:rPr>
        <w:t>amount</w:t>
      </w:r>
      <w:r>
        <w:rPr>
          <w:rFonts w:ascii="Arial" w:hAnsi="Arial"/>
          <w:sz w:val="22"/>
        </w:rPr>
        <w:t> </w:t>
      </w:r>
      <w:r>
        <w:rPr>
          <w:rFonts w:ascii="Arial" w:hAnsi="Arial"/>
          <w:sz w:val="20"/>
        </w:rPr>
        <w:t>specified</w:t>
      </w:r>
      <w:r>
        <w:rPr>
          <w:rFonts w:ascii="Arial" w:hAnsi="Arial"/>
          <w:sz w:val="22"/>
        </w:rPr>
        <w:t> </w:t>
      </w:r>
      <w:r>
        <w:rPr>
          <w:rFonts w:ascii="Arial" w:hAnsi="Arial"/>
          <w:sz w:val="20"/>
        </w:rPr>
        <w:t>in</w:t>
      </w:r>
      <w:r>
        <w:rPr>
          <w:rFonts w:ascii="Arial" w:hAnsi="Arial"/>
          <w:sz w:val="22"/>
        </w:rPr>
        <w:t> </w:t>
      </w:r>
      <w:r>
        <w:rPr>
          <w:rFonts w:ascii="Arial" w:hAnsi="Arial"/>
          <w:sz w:val="20"/>
        </w:rPr>
        <w:t>that</w:t>
      </w:r>
      <w:r>
        <w:rPr>
          <w:rFonts w:ascii="Arial" w:hAnsi="Arial"/>
          <w:sz w:val="22"/>
        </w:rPr>
        <w:t> </w:t>
      </w:r>
      <w:r>
        <w:rPr>
          <w:rFonts w:ascii="Arial" w:hAnsi="Arial"/>
          <w:sz w:val="20"/>
        </w:rPr>
        <w:t>Bank</w:t>
      </w:r>
      <w:r>
        <w:rPr>
          <w:rFonts w:ascii="Arial" w:hAnsi="Arial"/>
          <w:sz w:val="22"/>
        </w:rPr>
        <w:t> </w:t>
      </w:r>
      <w:r>
        <w:rPr>
          <w:rFonts w:ascii="Arial" w:hAnsi="Arial"/>
          <w:sz w:val="20"/>
        </w:rPr>
        <w:t>Guarantee as the aggregate maximum amount which the Beneficiary may claim under it; or</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(b)if the Beneficiary makes a claim, then between when the Beneficiary makes the first of those claims and the first to occur of the Bank Guarantee Maturing or Expiring, the Face Value of the Bank Guarantee will be the difference between its original face value and the aggregate of all valid claims made under it.</w:t>
      </w:r>
      <w:r>
        <w:rPr>
          <w:rFonts w:ascii="Arial" w:hAnsi="Arial"/>
          <w:sz w:val="20"/>
        </w:rPr>
        <w:t xml:space="preserve"> </w:t>
      </w:r>
    </w:p>
    <w:p>
      <w:pPr>
        <w:pStyle w:val="TextBody"/>
        <w:bidi w:val="0"/>
        <w:spacing w:lineRule="auto" w:line="264" w:before="117" w:after="0"/>
        <w:ind w:left="3456" w:right="2221" w:hanging="0"/>
        <w:jc w:val="left"/>
        <w:rPr>
          <w:rFonts w:ascii="Arial" w:hAnsi="Arial"/>
          <w:sz w:val="20"/>
        </w:rPr>
      </w:pPr>
      <w:r>
        <w:rPr>
          <w:rFonts w:ascii="Arial" w:hAnsi="Arial"/>
          <w:b/>
          <w:sz w:val="20"/>
        </w:rPr>
        <w:t>Facility</w:t>
      </w:r>
      <w:r>
        <w:rPr>
          <w:rFonts w:ascii="Arial" w:hAnsi="Arial"/>
          <w:sz w:val="20"/>
        </w:rPr>
        <w:t> means each of the facilities listed in </w:t>
      </w:r>
      <w:r>
        <w:rPr>
          <w:rFonts w:ascii="Arial" w:hAnsi="Arial"/>
          <w:b/>
          <w:sz w:val="20"/>
        </w:rPr>
        <w:t>schedule</w:t>
      </w:r>
      <w:r>
        <w:rPr>
          <w:rFonts w:ascii="Arial" w:hAnsi="Arial"/>
          <w:sz w:val="20"/>
        </w:rPr>
        <w:t> </w:t>
      </w:r>
      <w:r>
        <w:rPr>
          <w:rFonts w:ascii="Arial" w:hAnsi="Arial"/>
          <w:b/>
          <w:sz w:val="20"/>
        </w:rPr>
        <w:t>2</w:t>
      </w:r>
      <w:r>
        <w:rPr>
          <w:rFonts w:ascii="Arial" w:hAnsi="Arial"/>
          <w:sz w:val="20"/>
        </w:rPr>
        <w:t xml:space="preserve"> (and each Facility may be referred to by the Facility Name listed in </w:t>
      </w:r>
      <w:r>
        <w:rPr>
          <w:rFonts w:ascii="Arial" w:hAnsi="Arial"/>
          <w:b/>
          <w:sz w:val="20"/>
        </w:rPr>
        <w:t>schedule 2</w:t>
      </w:r>
      <w:r>
        <w:rPr>
          <w:rFonts w:ascii="Arial" w:hAnsi="Arial"/>
          <w:sz w:val="20"/>
        </w:rPr>
        <w:t xml:space="preserve">). </w:t>
      </w:r>
    </w:p>
    <w:p>
      <w:pPr>
        <w:pStyle w:val="TextBody"/>
        <w:bidi w:val="0"/>
        <w:spacing w:lineRule="auto" w:line="264" w:before="111" w:after="0"/>
        <w:ind w:left="3456" w:right="1854" w:hanging="0"/>
        <w:jc w:val="left"/>
        <w:rPr>
          <w:rFonts w:ascii="Arial" w:hAnsi="Arial"/>
          <w:sz w:val="20"/>
        </w:rPr>
      </w:pPr>
      <w:r>
        <w:rPr>
          <w:rFonts w:ascii="Arial" w:hAnsi="Arial"/>
          <w:b/>
          <w:sz w:val="20"/>
        </w:rPr>
        <w:t>Facility</w:t>
      </w:r>
      <w:r>
        <w:rPr>
          <w:rFonts w:ascii="Arial" w:hAnsi="Arial"/>
          <w:sz w:val="20"/>
        </w:rPr>
        <w:t> </w:t>
      </w:r>
      <w:r>
        <w:rPr>
          <w:rFonts w:ascii="Arial" w:hAnsi="Arial"/>
          <w:b/>
          <w:sz w:val="20"/>
        </w:rPr>
        <w:t>Limit</w:t>
      </w:r>
      <w:r>
        <w:rPr>
          <w:rFonts w:ascii="Arial" w:hAnsi="Arial"/>
          <w:sz w:val="20"/>
        </w:rPr>
        <w:t xml:space="preserve"> means, in respect of each Facility, the relevant Facility Limit set out in </w:t>
      </w:r>
      <w:r>
        <w:rPr>
          <w:rFonts w:ascii="Arial" w:hAnsi="Arial"/>
          <w:b/>
          <w:sz w:val="20"/>
        </w:rPr>
        <w:t>schedule 2</w:t>
      </w:r>
      <w:r>
        <w:rPr>
          <w:rFonts w:ascii="Arial" w:hAnsi="Arial"/>
          <w:sz w:val="20"/>
        </w:rPr>
        <w:t xml:space="preserve">, as reduced under this document including in accordance with </w:t>
      </w:r>
      <w:r>
        <w:rPr>
          <w:rFonts w:ascii="Arial" w:hAnsi="Arial"/>
          <w:b/>
          <w:sz w:val="20"/>
        </w:rPr>
        <w:t>clause 5.6</w:t>
      </w:r>
      <w:r>
        <w:rPr>
          <w:rFonts w:ascii="Arial" w:hAnsi="Arial"/>
          <w:sz w:val="20"/>
        </w:rPr>
        <w:t xml:space="preserve">. </w:t>
      </w:r>
    </w:p>
    <w:p>
      <w:pPr>
        <w:pStyle w:val="TextBody"/>
        <w:bidi w:val="0"/>
        <w:spacing w:before="108" w:after="0"/>
        <w:ind w:left="3456" w:right="360" w:hanging="0"/>
        <w:jc w:val="left"/>
        <w:rPr>
          <w:rFonts w:ascii="Arial" w:hAnsi="Arial"/>
          <w:sz w:val="20"/>
        </w:rPr>
      </w:pPr>
      <w:r>
        <w:rPr>
          <w:rFonts w:ascii="Arial" w:hAnsi="Arial"/>
          <w:b/>
          <w:sz w:val="20"/>
        </w:rPr>
        <w:t>Financial</w:t>
      </w:r>
      <w:r>
        <w:rPr>
          <w:rFonts w:ascii="Arial" w:hAnsi="Arial"/>
          <w:sz w:val="20"/>
        </w:rPr>
        <w:t> </w:t>
      </w:r>
      <w:r>
        <w:rPr>
          <w:rFonts w:ascii="Arial" w:hAnsi="Arial"/>
          <w:b/>
          <w:sz w:val="20"/>
        </w:rPr>
        <w:t>Close</w:t>
      </w:r>
      <w:r>
        <w:rPr>
          <w:rFonts w:ascii="Arial" w:hAnsi="Arial"/>
          <w:sz w:val="20"/>
        </w:rPr>
        <w:t xml:space="preserve"> means the initial Funding Date. </w:t>
      </w:r>
    </w:p>
    <w:p>
      <w:pPr>
        <w:pStyle w:val="TextBody"/>
        <w:bidi w:val="0"/>
        <w:spacing w:lineRule="auto" w:line="264" w:before="137" w:after="0"/>
        <w:ind w:left="3456" w:right="1854" w:hanging="0"/>
        <w:jc w:val="left"/>
        <w:rPr>
          <w:rFonts w:ascii="Arial" w:hAnsi="Arial"/>
          <w:sz w:val="20"/>
        </w:rPr>
      </w:pPr>
      <w:r>
        <w:rPr>
          <w:rFonts w:ascii="Arial" w:hAnsi="Arial"/>
          <w:b/>
          <w:sz w:val="20"/>
        </w:rPr>
        <w:t>Financial</w:t>
      </w:r>
      <w:r>
        <w:rPr>
          <w:rFonts w:ascii="Arial" w:hAnsi="Arial"/>
          <w:sz w:val="20"/>
        </w:rPr>
        <w:t> </w:t>
      </w:r>
      <w:r>
        <w:rPr>
          <w:rFonts w:ascii="Arial" w:hAnsi="Arial"/>
          <w:b/>
          <w:sz w:val="20"/>
        </w:rPr>
        <w:t>Indebtedness</w:t>
      </w:r>
      <w:r>
        <w:rPr>
          <w:rFonts w:ascii="Arial" w:hAnsi="Arial"/>
          <w:sz w:val="20"/>
        </w:rPr>
        <w:t xml:space="preserve"> means any indebtedness or other liability (present or future, actual or contingent) relating to any financial accommodation including indebtedness or other liability: </w:t>
      </w:r>
    </w:p>
    <w:p>
      <w:pPr>
        <w:pStyle w:val="TextBody"/>
        <w:bidi w:val="0"/>
        <w:spacing w:lineRule="auto" w:line="264" w:before="107" w:after="0"/>
        <w:ind w:left="3983" w:right="1956" w:hanging="0"/>
        <w:jc w:val="left"/>
        <w:rPr>
          <w:rFonts w:ascii="Arial" w:hAnsi="Arial"/>
          <w:sz w:val="20"/>
        </w:rPr>
      </w:pPr>
      <w:r>
        <w:rPr>
          <w:rFonts w:ascii="Arial" w:hAnsi="Arial"/>
          <w:sz w:val="20"/>
        </w:rPr>
        <w:t>(a)for money borrowed or raised;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(b)relating to the sale or negotiation of any negotiable instrument;</w:t>
      </w:r>
      <w:r>
        <w:rPr>
          <w:rFonts w:ascii="Arial" w:hAnsi="Arial"/>
          <w:sz w:val="20"/>
        </w:rPr>
        <w:t xml:space="preserve"> </w:t>
      </w:r>
    </w:p>
    <w:p>
      <w:pPr>
        <w:pStyle w:val="TextBody"/>
        <w:bidi w:val="0"/>
        <w:spacing w:before="137" w:after="0"/>
        <w:ind w:left="3950" w:right="360" w:hanging="533"/>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7</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6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(c)as lessee under any finance lease, as hirer under any hire purchase agreement or as purchaser under any title retention agreement;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(d)relating to any preference share or unit categorised as debt under Accounting Standards;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(e)under any commodity, currency or interest rate swap agreement, forward exchange rate agreement or futures contract (as defined in any statute);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(f)under any Guarantee relating to any financial accommodation;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(g)for any deferred purchase price (other than in the nature of warranty retention amounts) for any asset or service.</w:t>
      </w:r>
      <w:r>
        <w:rPr>
          <w:rFonts w:ascii="Arial" w:hAnsi="Arial"/>
          <w:sz w:val="20"/>
        </w:rPr>
        <w:t xml:space="preserve"> </w:t>
      </w:r>
    </w:p>
    <w:p>
      <w:pPr>
        <w:pStyle w:val="TextBody"/>
        <w:bidi w:val="0"/>
        <w:spacing w:before="109" w:after="0"/>
        <w:ind w:left="3456" w:right="360" w:hanging="0"/>
        <w:jc w:val="left"/>
        <w:rPr>
          <w:rFonts w:ascii="Arial" w:hAnsi="Arial"/>
          <w:sz w:val="20"/>
        </w:rPr>
      </w:pPr>
      <w:r>
        <w:rPr>
          <w:rFonts w:ascii="Arial" w:hAnsi="Arial"/>
          <w:b/>
          <w:sz w:val="20"/>
        </w:rPr>
        <w:t>Financial</w:t>
      </w:r>
      <w:r>
        <w:rPr>
          <w:rFonts w:ascii="Arial" w:hAnsi="Arial"/>
          <w:sz w:val="20"/>
        </w:rPr>
        <w:t> </w:t>
      </w:r>
      <w:r>
        <w:rPr>
          <w:rFonts w:ascii="Arial" w:hAnsi="Arial"/>
          <w:b/>
          <w:sz w:val="20"/>
        </w:rPr>
        <w:t>Ratio</w:t>
      </w:r>
      <w:r>
        <w:rPr>
          <w:rFonts w:ascii="Arial" w:hAnsi="Arial"/>
          <w:sz w:val="20"/>
        </w:rPr>
        <w:t> means any of the financial ratios referred to in </w:t>
      </w:r>
      <w:r>
        <w:rPr>
          <w:rFonts w:ascii="Arial" w:hAnsi="Arial"/>
          <w:b/>
          <w:sz w:val="20"/>
        </w:rPr>
        <w:t>clause</w:t>
      </w:r>
      <w:r>
        <w:rPr>
          <w:rFonts w:ascii="Arial" w:hAnsi="Arial"/>
          <w:sz w:val="20"/>
        </w:rPr>
        <w:t> </w:t>
      </w:r>
      <w:r>
        <w:rPr>
          <w:rFonts w:ascii="Arial" w:hAnsi="Arial"/>
          <w:b/>
          <w:color w:val="2D97D3"/>
          <w:sz w:val="20"/>
          <w:u w:val="single"/>
        </w:rPr>
        <w:t>9.8</w:t>
      </w:r>
      <w:r>
        <w:rPr>
          <w:rFonts w:ascii="Arial" w:hAnsi="Arial"/>
          <w:b/>
          <w:strike/>
          <w:color w:val="B5082D"/>
          <w:sz w:val="20"/>
        </w:rPr>
        <w:t>9.8</w:t>
      </w:r>
      <w:r>
        <w:rPr>
          <w:rFonts w:ascii="Arial" w:hAnsi="Arial"/>
          <w:sz w:val="20"/>
        </w:rPr>
        <w:t xml:space="preserve">. </w:t>
      </w:r>
    </w:p>
    <w:p>
      <w:pPr>
        <w:pStyle w:val="TextBody"/>
        <w:pBdr/>
        <w:bidi w:val="0"/>
        <w:spacing w:lineRule="auto" w:line="264" w:before="137" w:after="0"/>
        <w:ind w:left="3456" w:right="1854" w:hanging="0"/>
        <w:jc w:val="left"/>
        <w:rPr>
          <w:rFonts w:ascii="Arial" w:hAnsi="Arial"/>
          <w:sz w:val="20"/>
        </w:rPr>
      </w:pPr>
      <w:r>
        <w:rPr>
          <w:rFonts w:ascii="Arial" w:hAnsi="Arial"/>
          <w:b/>
          <w:sz w:val="20"/>
        </w:rPr>
        <w:t xml:space="preserve">Financial Statements </w:t>
      </w:r>
      <w:r>
        <w:rPr>
          <w:rFonts w:ascii="Arial" w:hAnsi="Arial"/>
          <w:sz w:val="20"/>
        </w:rPr>
        <w:t xml:space="preserve">means a balance sheet, an income statement, a statement of changes in equity, a cash flow statement, notes comprising a summary of significant accounting policies and other explanatory note; and any </w:t>
      </w:r>
    </w:p>
    <w:p>
      <w:pPr>
        <w:pStyle w:val="TextBody"/>
        <w:pBdr/>
        <w:bidi w:val="0"/>
        <w:spacing w:lineRule="auto" w:line="266" w:before="23" w:after="0"/>
        <w:ind w:left="3456" w:right="1854" w:hanging="0"/>
        <w:jc w:val="left"/>
        <w:rPr>
          <w:rFonts w:ascii="Arial" w:hAnsi="Arial"/>
          <w:sz w:val="20"/>
        </w:rPr>
      </w:pPr>
      <w:r>
        <w:rPr>
          <w:rFonts w:ascii="Arial" w:hAnsi="Arial"/>
          <w:sz w:val="20"/>
        </w:rPr>
        <w:t xml:space="preserve">director’s declarations, directors’ reports and auditor’s reports attached to, intended to be read with or required by the Corporations Act to accompany, all or any of those documents. </w:t>
      </w:r>
    </w:p>
    <w:p>
      <w:pPr>
        <w:pStyle w:val="TextBody"/>
        <w:bidi w:val="0"/>
        <w:spacing w:before="109" w:after="0"/>
        <w:ind w:left="3456" w:right="360" w:hanging="0"/>
        <w:jc w:val="left"/>
        <w:rPr>
          <w:rFonts w:ascii="Arial" w:hAnsi="Arial"/>
          <w:sz w:val="20"/>
        </w:rPr>
      </w:pPr>
      <w:r>
        <w:rPr>
          <w:rFonts w:ascii="Arial" w:hAnsi="Arial"/>
          <w:b/>
          <w:sz w:val="20"/>
        </w:rPr>
        <w:t>Financial</w:t>
      </w:r>
      <w:r>
        <w:rPr>
          <w:rFonts w:ascii="Arial" w:hAnsi="Arial"/>
          <w:sz w:val="20"/>
        </w:rPr>
        <w:t> </w:t>
      </w:r>
      <w:r>
        <w:rPr>
          <w:rFonts w:ascii="Arial" w:hAnsi="Arial"/>
          <w:b/>
          <w:sz w:val="20"/>
        </w:rPr>
        <w:t>Year</w:t>
      </w:r>
      <w:r>
        <w:rPr>
          <w:rFonts w:ascii="Arial" w:hAnsi="Arial"/>
          <w:sz w:val="20"/>
        </w:rPr>
        <w:t xml:space="preserve"> means a period of 12 months ending on 31 December. </w:t>
      </w:r>
    </w:p>
    <w:p>
      <w:pPr>
        <w:pStyle w:val="TextBody"/>
        <w:bidi w:val="0"/>
        <w:spacing w:before="135" w:after="0"/>
        <w:ind w:left="3456" w:right="360" w:hanging="0"/>
        <w:jc w:val="left"/>
        <w:rPr>
          <w:rFonts w:ascii="Arial" w:hAnsi="Arial"/>
          <w:sz w:val="20"/>
        </w:rPr>
      </w:pPr>
      <w:r>
        <w:rPr>
          <w:rFonts w:ascii="Arial" w:hAnsi="Arial"/>
          <w:b/>
          <w:sz w:val="20"/>
        </w:rPr>
        <w:t>Fixed</w:t>
      </w:r>
      <w:r>
        <w:rPr>
          <w:rFonts w:ascii="Arial" w:hAnsi="Arial"/>
          <w:sz w:val="20"/>
        </w:rPr>
        <w:t> </w:t>
      </w:r>
      <w:r>
        <w:rPr>
          <w:rFonts w:ascii="Arial" w:hAnsi="Arial"/>
          <w:b/>
          <w:sz w:val="20"/>
        </w:rPr>
        <w:t>Charges</w:t>
      </w:r>
      <w:r>
        <w:rPr>
          <w:rFonts w:ascii="Arial" w:hAnsi="Arial"/>
          <w:sz w:val="20"/>
        </w:rPr>
        <w:t> </w:t>
      </w:r>
      <w:r>
        <w:rPr>
          <w:rFonts w:ascii="Arial" w:hAnsi="Arial"/>
          <w:b/>
          <w:sz w:val="20"/>
        </w:rPr>
        <w:t>Cover</w:t>
      </w:r>
      <w:r>
        <w:rPr>
          <w:rFonts w:ascii="Arial" w:hAnsi="Arial"/>
          <w:sz w:val="20"/>
        </w:rPr>
        <w:t> </w:t>
      </w:r>
      <w:r>
        <w:rPr>
          <w:rFonts w:ascii="Arial" w:hAnsi="Arial"/>
          <w:b/>
          <w:sz w:val="20"/>
        </w:rPr>
        <w:t>Ratio</w:t>
      </w:r>
      <w:r>
        <w:rPr>
          <w:rFonts w:ascii="Arial" w:hAnsi="Arial"/>
          <w:sz w:val="20"/>
        </w:rPr>
        <w:t xml:space="preserve"> means at any date the ratio of: </w:t>
      </w:r>
    </w:p>
    <w:p>
      <w:pPr>
        <w:pStyle w:val="TextBody"/>
        <w:bidi w:val="0"/>
        <w:spacing w:before="8" w:after="1"/>
        <w:ind w:left="360" w:right="360" w:hanging="0"/>
        <w:jc w:val="left"/>
        <w:rPr>
          <w:rFonts w:cs="Arial"/>
          <w:szCs w:val="12"/>
        </w:rPr>
      </w:pPr>
      <w:r>
        <w:rPr>
          <w:rFonts w:cs="Arial"/>
          <w:szCs w:val="12"/>
        </w:rPr>
        <w:t xml:space="preserve">﻿ </w:t>
      </w:r>
    </w:p>
    <w:tbl>
      <w:tblPr>
        <w:tblW w:w="9485" w:type="dxa"/>
        <w:jc w:val="left"/>
        <w:tblInd w:w="360" w:type="dxa"/>
        <w:tblLayout w:type="fixed"/>
        <w:tblCellMar>
          <w:top w:w="0" w:type="dxa"/>
          <w:left w:w="0" w:type="dxa"/>
          <w:bottom w:w="0" w:type="dxa"/>
          <w:right w:w="0" w:type="dxa"/>
        </w:tblCellMar>
      </w:tblPr>
      <w:tblGrid>
        <w:gridCol w:w="308"/>
        <w:gridCol w:w="290"/>
        <w:gridCol w:w="8887"/>
      </w:tblGrid>
      <w:tr>
        <w:trPr/>
        <w:tc>
          <w:tcPr>
            <w:tcW w:w="308" w:type="dxa"/>
            <w:tcBorders/>
          </w:tcPr>
          <w:p>
            <w:pPr>
              <w:pStyle w:val="TableContents"/>
              <w:bidi w:val="0"/>
              <w:spacing w:lineRule="atLeast" w:line="223" w:before="0" w:after="0"/>
              <w:ind w:left="0" w:right="93" w:hanging="0"/>
              <w:jc w:val="center"/>
              <w:rPr>
                <w:rFonts w:ascii="Arial" w:hAnsi="Arial"/>
                <w:sz w:val="20"/>
              </w:rPr>
            </w:pPr>
            <w:r>
              <w:rPr>
                <w:rFonts w:ascii="Arial" w:hAnsi="Arial"/>
                <w:sz w:val="20"/>
              </w:rPr>
              <w:t>(a)</w:t>
            </w:r>
          </w:p>
        </w:tc>
        <w:tc>
          <w:tcPr>
            <w:tcW w:w="290" w:type="dxa"/>
            <w:tcBorders/>
          </w:tcPr>
          <w:p>
            <w:pPr>
              <w:pStyle w:val="TableContents"/>
              <w:bidi w:val="0"/>
              <w:spacing w:lineRule="atLeast" w:line="223" w:before="0" w:after="0"/>
              <w:ind w:left="117" w:right="0" w:hanging="0"/>
              <w:jc w:val="center"/>
              <w:rPr>
                <w:rFonts w:ascii="Arial" w:hAnsi="Arial"/>
                <w:sz w:val="20"/>
              </w:rPr>
            </w:pPr>
            <w:r>
              <w:rPr>
                <w:rFonts w:ascii="Arial" w:hAnsi="Arial"/>
                <w:sz w:val="20"/>
              </w:rPr>
              <w:t>the</w:t>
            </w:r>
          </w:p>
        </w:tc>
        <w:tc>
          <w:tcPr>
            <w:tcW w:w="8887" w:type="dxa"/>
            <w:tcBorders/>
          </w:tcPr>
          <w:p>
            <w:pPr>
              <w:pStyle w:val="TableContents"/>
              <w:bidi w:val="0"/>
              <w:spacing w:lineRule="atLeast" w:line="223" w:before="0" w:after="0"/>
              <w:ind w:left="25" w:right="0" w:hanging="0"/>
              <w:jc w:val="left"/>
              <w:rPr>
                <w:rFonts w:ascii="Arial" w:hAnsi="Arial"/>
                <w:sz w:val="20"/>
              </w:rPr>
            </w:pPr>
            <w:r>
              <w:rPr>
                <w:rFonts w:ascii="Arial" w:hAnsi="Arial"/>
                <w:sz w:val="20"/>
              </w:rPr>
              <w:t>aggregate amount of:</w:t>
            </w:r>
          </w:p>
        </w:tc>
      </w:tr>
      <w:tr>
        <w:trPr/>
        <w:tc>
          <w:tcPr>
            <w:tcW w:w="308"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290" w:type="dxa"/>
            <w:tcBorders/>
          </w:tcPr>
          <w:p>
            <w:pPr>
              <w:pStyle w:val="TableContents"/>
              <w:bidi w:val="0"/>
              <w:spacing w:before="64" w:after="0"/>
              <w:ind w:left="94" w:right="0" w:hanging="0"/>
              <w:jc w:val="center"/>
              <w:rPr>
                <w:rFonts w:ascii="Arial" w:hAnsi="Arial"/>
                <w:sz w:val="20"/>
              </w:rPr>
            </w:pPr>
            <w:r>
              <w:rPr>
                <w:rFonts w:ascii="Arial" w:hAnsi="Arial"/>
                <w:sz w:val="20"/>
              </w:rPr>
              <w:t>(i)</w:t>
            </w:r>
          </w:p>
        </w:tc>
        <w:tc>
          <w:tcPr>
            <w:tcW w:w="8887" w:type="dxa"/>
            <w:tcBorders/>
          </w:tcPr>
          <w:p>
            <w:pPr>
              <w:pStyle w:val="TableContents"/>
              <w:bidi w:val="0"/>
              <w:spacing w:lineRule="auto" w:line="264" w:before="64" w:after="0"/>
              <w:ind w:left="266" w:right="0" w:hanging="1"/>
              <w:jc w:val="left"/>
              <w:rPr>
                <w:rFonts w:ascii="Arial" w:hAnsi="Arial"/>
                <w:sz w:val="20"/>
              </w:rPr>
            </w:pPr>
            <w:r>
              <w:rPr>
                <w:rFonts w:ascii="Arial" w:hAnsi="Arial"/>
                <w:sz w:val="20"/>
              </w:rPr>
              <w:t>Adjusted EBITDA in respect of the 12 month period ending on that date; and</w:t>
            </w:r>
          </w:p>
        </w:tc>
      </w:tr>
      <w:tr>
        <w:trPr/>
        <w:tc>
          <w:tcPr>
            <w:tcW w:w="308"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290" w:type="dxa"/>
            <w:tcBorders/>
          </w:tcPr>
          <w:p>
            <w:pPr>
              <w:pStyle w:val="TableContents"/>
              <w:bidi w:val="0"/>
              <w:spacing w:before="65" w:after="0"/>
              <w:ind w:left="139" w:right="0" w:hanging="0"/>
              <w:jc w:val="center"/>
              <w:rPr>
                <w:rFonts w:ascii="Arial" w:hAnsi="Arial"/>
                <w:sz w:val="20"/>
              </w:rPr>
            </w:pPr>
            <w:r>
              <w:rPr>
                <w:rFonts w:ascii="Arial" w:hAnsi="Arial"/>
                <w:sz w:val="20"/>
              </w:rPr>
              <w:t>(ii)</w:t>
            </w:r>
          </w:p>
        </w:tc>
        <w:tc>
          <w:tcPr>
            <w:tcW w:w="8887" w:type="dxa"/>
            <w:tcBorders/>
          </w:tcPr>
          <w:p>
            <w:pPr>
              <w:pStyle w:val="TableContents"/>
              <w:bidi w:val="0"/>
              <w:spacing w:lineRule="auto" w:line="264" w:before="65" w:after="0"/>
              <w:ind w:left="266" w:right="0" w:hanging="1"/>
              <w:jc w:val="left"/>
              <w:rPr>
                <w:rFonts w:ascii="Arial" w:hAnsi="Arial"/>
                <w:sz w:val="20"/>
              </w:rPr>
            </w:pPr>
            <w:r>
              <w:rPr>
                <w:rFonts w:ascii="Arial" w:hAnsi="Arial"/>
                <w:sz w:val="20"/>
              </w:rPr>
              <w:t>Total Lease Payments in respect of the 12 month period ending on that date,</w:t>
            </w:r>
          </w:p>
        </w:tc>
      </w:tr>
      <w:tr>
        <w:trPr/>
        <w:tc>
          <w:tcPr>
            <w:tcW w:w="308"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290" w:type="dxa"/>
            <w:tcBorders/>
          </w:tcPr>
          <w:p>
            <w:pPr>
              <w:pStyle w:val="TableContents"/>
              <w:bidi w:val="0"/>
              <w:spacing w:before="64" w:after="0"/>
              <w:ind w:left="84" w:right="0" w:hanging="0"/>
              <w:jc w:val="center"/>
              <w:rPr>
                <w:rFonts w:ascii="Arial" w:hAnsi="Arial"/>
                <w:sz w:val="20"/>
              </w:rPr>
            </w:pPr>
            <w:r>
              <w:rPr>
                <w:rFonts w:ascii="Arial" w:hAnsi="Arial"/>
                <w:sz w:val="20"/>
              </w:rPr>
              <w:t>to</w:t>
            </w:r>
          </w:p>
        </w:tc>
        <w:tc>
          <w:tcPr>
            <w:tcW w:w="8887" w:type="dxa"/>
            <w:tcBorders/>
          </w:tcPr>
          <w:p>
            <w:pPr>
              <w:pStyle w:val="TableContents"/>
              <w:bidi w:val="0"/>
              <w:spacing w:before="0" w:after="0"/>
              <w:ind w:left="0" w:right="0" w:hanging="0"/>
              <w:jc w:val="left"/>
              <w:rPr/>
            </w:pPr>
            <w:r>
              <w:rPr/>
              <w:t> </w:t>
            </w:r>
          </w:p>
        </w:tc>
      </w:tr>
      <w:tr>
        <w:trPr/>
        <w:tc>
          <w:tcPr>
            <w:tcW w:w="308" w:type="dxa"/>
            <w:tcBorders/>
          </w:tcPr>
          <w:p>
            <w:pPr>
              <w:pStyle w:val="TableContents"/>
              <w:bidi w:val="0"/>
              <w:spacing w:before="66" w:after="0"/>
              <w:ind w:left="0" w:right="93" w:hanging="0"/>
              <w:jc w:val="center"/>
              <w:rPr>
                <w:rFonts w:ascii="Arial" w:hAnsi="Arial"/>
                <w:sz w:val="20"/>
              </w:rPr>
            </w:pPr>
            <w:r>
              <w:rPr>
                <w:rFonts w:ascii="Arial" w:hAnsi="Arial"/>
                <w:sz w:val="20"/>
              </w:rPr>
              <w:t>(b)</w:t>
            </w:r>
          </w:p>
        </w:tc>
        <w:tc>
          <w:tcPr>
            <w:tcW w:w="290" w:type="dxa"/>
            <w:tcBorders/>
          </w:tcPr>
          <w:p>
            <w:pPr>
              <w:pStyle w:val="TableContents"/>
              <w:bidi w:val="0"/>
              <w:spacing w:before="66" w:after="0"/>
              <w:ind w:left="117" w:right="0" w:hanging="0"/>
              <w:jc w:val="center"/>
              <w:rPr>
                <w:rFonts w:ascii="Arial" w:hAnsi="Arial"/>
                <w:sz w:val="20"/>
              </w:rPr>
            </w:pPr>
            <w:r>
              <w:rPr>
                <w:rFonts w:ascii="Arial" w:hAnsi="Arial"/>
                <w:sz w:val="20"/>
              </w:rPr>
              <w:t>the</w:t>
            </w:r>
          </w:p>
        </w:tc>
        <w:tc>
          <w:tcPr>
            <w:tcW w:w="8887" w:type="dxa"/>
            <w:tcBorders/>
          </w:tcPr>
          <w:p>
            <w:pPr>
              <w:pStyle w:val="TableContents"/>
              <w:bidi w:val="0"/>
              <w:spacing w:before="66" w:after="0"/>
              <w:ind w:left="25" w:right="0" w:hanging="0"/>
              <w:jc w:val="left"/>
              <w:rPr>
                <w:rFonts w:ascii="Arial" w:hAnsi="Arial"/>
                <w:sz w:val="20"/>
              </w:rPr>
            </w:pPr>
            <w:r>
              <w:rPr>
                <w:rFonts w:ascii="Arial" w:hAnsi="Arial"/>
                <w:sz w:val="20"/>
              </w:rPr>
              <w:t>aggregate amount of:</w:t>
            </w:r>
          </w:p>
        </w:tc>
      </w:tr>
      <w:tr>
        <w:trPr/>
        <w:tc>
          <w:tcPr>
            <w:tcW w:w="308"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290" w:type="dxa"/>
            <w:tcBorders/>
          </w:tcPr>
          <w:p>
            <w:pPr>
              <w:pStyle w:val="TableContents"/>
              <w:bidi w:val="0"/>
              <w:spacing w:before="64" w:after="0"/>
              <w:ind w:left="94" w:right="0" w:hanging="0"/>
              <w:jc w:val="center"/>
              <w:rPr>
                <w:rFonts w:ascii="Arial" w:hAnsi="Arial"/>
                <w:sz w:val="20"/>
              </w:rPr>
            </w:pPr>
            <w:r>
              <w:rPr>
                <w:rFonts w:ascii="Arial" w:hAnsi="Arial"/>
                <w:sz w:val="20"/>
              </w:rPr>
              <w:t>(i)</w:t>
            </w:r>
          </w:p>
        </w:tc>
        <w:tc>
          <w:tcPr>
            <w:tcW w:w="8887" w:type="dxa"/>
            <w:tcBorders/>
          </w:tcPr>
          <w:p>
            <w:pPr>
              <w:pStyle w:val="TableContents"/>
              <w:bidi w:val="0"/>
              <w:spacing w:lineRule="auto" w:line="264" w:before="64" w:after="0"/>
              <w:ind w:left="266" w:right="0" w:hanging="1"/>
              <w:jc w:val="left"/>
              <w:rPr>
                <w:rFonts w:ascii="Arial" w:hAnsi="Arial"/>
                <w:sz w:val="20"/>
              </w:rPr>
            </w:pPr>
            <w:r>
              <w:rPr>
                <w:rFonts w:ascii="Arial" w:hAnsi="Arial"/>
                <w:sz w:val="20"/>
              </w:rPr>
              <w:t>Gross Interest Expense paid or payable by the Reading Entertainment Australia Group (whether payable in respect of the Facilities or otherwise) in respect of the 12 month period ending on that date; and</w:t>
            </w:r>
          </w:p>
        </w:tc>
      </w:tr>
      <w:tr>
        <w:trPr/>
        <w:tc>
          <w:tcPr>
            <w:tcW w:w="308"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290" w:type="dxa"/>
            <w:tcBorders/>
          </w:tcPr>
          <w:p>
            <w:pPr>
              <w:pStyle w:val="TableContents"/>
              <w:bidi w:val="0"/>
              <w:spacing w:before="65" w:after="0"/>
              <w:ind w:left="139" w:right="0" w:hanging="0"/>
              <w:jc w:val="center"/>
              <w:rPr>
                <w:rFonts w:ascii="Arial" w:hAnsi="Arial"/>
                <w:sz w:val="20"/>
              </w:rPr>
            </w:pPr>
            <w:r>
              <w:rPr>
                <w:rFonts w:ascii="Arial" w:hAnsi="Arial"/>
                <w:sz w:val="20"/>
              </w:rPr>
              <w:t>(ii)</w:t>
            </w:r>
          </w:p>
        </w:tc>
        <w:tc>
          <w:tcPr>
            <w:tcW w:w="8887" w:type="dxa"/>
            <w:tcBorders/>
          </w:tcPr>
          <w:p>
            <w:pPr>
              <w:pStyle w:val="TableContents"/>
              <w:bidi w:val="0"/>
              <w:spacing w:before="29" w:after="0"/>
              <w:ind w:left="266" w:right="0" w:hanging="1"/>
              <w:jc w:val="left"/>
              <w:rPr>
                <w:rFonts w:ascii="Arial" w:hAnsi="Arial"/>
                <w:sz w:val="20"/>
              </w:rPr>
            </w:pPr>
            <w:r>
              <w:rPr>
                <w:rFonts w:ascii="Arial" w:hAnsi="Arial"/>
                <w:sz w:val="20"/>
              </w:rPr>
              <w:t>Total Lease Payments in respect of the 12 month period ending on that date;</w:t>
            </w:r>
          </w:p>
        </w:tc>
      </w:tr>
    </w:tbl>
    <w:p>
      <w:pPr>
        <w:pStyle w:val="TextBody"/>
        <w:bidi w:val="0"/>
        <w:spacing w:lineRule="auto" w:line="264" w:before="137" w:after="0"/>
        <w:ind w:left="3456" w:right="2221" w:hanging="0"/>
        <w:jc w:val="left"/>
        <w:rPr>
          <w:rFonts w:ascii="Arial" w:hAnsi="Arial"/>
          <w:sz w:val="20"/>
        </w:rPr>
      </w:pPr>
      <w:r>
        <w:rPr>
          <w:rFonts w:ascii="Arial" w:hAnsi="Arial"/>
          <w:b/>
          <w:sz w:val="20"/>
        </w:rPr>
        <w:t>Freehold</w:t>
      </w:r>
      <w:r>
        <w:rPr>
          <w:rFonts w:ascii="Arial" w:hAnsi="Arial"/>
          <w:sz w:val="20"/>
        </w:rPr>
        <w:t> </w:t>
      </w:r>
      <w:r>
        <w:rPr>
          <w:rFonts w:ascii="Arial" w:hAnsi="Arial"/>
          <w:b/>
          <w:sz w:val="20"/>
        </w:rPr>
        <w:t>Property</w:t>
      </w:r>
      <w:r>
        <w:rPr>
          <w:rFonts w:ascii="Arial" w:hAnsi="Arial"/>
          <w:sz w:val="20"/>
        </w:rPr>
        <w:t xml:space="preserve"> means each freehold property owned by a Transaction Party that is the subject of a real property mortgage referred to in of </w:t>
      </w:r>
      <w:r>
        <w:rPr>
          <w:rFonts w:ascii="Arial" w:hAnsi="Arial"/>
          <w:b/>
          <w:sz w:val="20"/>
        </w:rPr>
        <w:t>schedule 3</w:t>
      </w:r>
      <w:r>
        <w:rPr>
          <w:rFonts w:ascii="Arial" w:hAnsi="Arial"/>
          <w:sz w:val="20"/>
        </w:rPr>
        <w:t xml:space="preserve">. </w:t>
      </w:r>
    </w:p>
    <w:p>
      <w:pPr>
        <w:pStyle w:val="TextBody"/>
        <w:bidi w:val="0"/>
        <w:spacing w:before="110" w:after="0"/>
        <w:ind w:left="3456" w:right="360" w:hanging="0"/>
        <w:jc w:val="left"/>
        <w:rPr>
          <w:rFonts w:ascii="Arial" w:hAnsi="Arial"/>
          <w:sz w:val="20"/>
        </w:rPr>
      </w:pPr>
      <w:r>
        <w:rPr>
          <w:rFonts w:ascii="Arial" w:hAnsi="Arial"/>
          <w:b/>
          <w:sz w:val="20"/>
        </w:rPr>
        <w:t>Funding</w:t>
      </w:r>
      <w:r>
        <w:rPr>
          <w:rFonts w:ascii="Arial" w:hAnsi="Arial"/>
          <w:sz w:val="20"/>
        </w:rPr>
        <w:t> </w:t>
      </w:r>
      <w:r>
        <w:rPr>
          <w:rFonts w:ascii="Arial" w:hAnsi="Arial"/>
          <w:b/>
          <w:sz w:val="20"/>
        </w:rPr>
        <w:t>Date</w:t>
      </w:r>
      <w:r>
        <w:rPr>
          <w:rFonts w:ascii="Arial" w:hAnsi="Arial"/>
          <w:sz w:val="20"/>
        </w:rPr>
        <w:t xml:space="preserve"> means a date on which: </w:t>
      </w:r>
    </w:p>
    <w:p>
      <w:pPr>
        <w:pStyle w:val="TextBody"/>
        <w:bidi w:val="0"/>
        <w:spacing w:lineRule="auto" w:line="264" w:before="107" w:after="0"/>
        <w:ind w:left="3983" w:right="1956" w:hanging="0"/>
        <w:jc w:val="left"/>
        <w:rPr>
          <w:rFonts w:ascii="Arial" w:hAnsi="Arial"/>
          <w:sz w:val="20"/>
        </w:rPr>
      </w:pPr>
      <w:r>
        <w:rPr>
          <w:rFonts w:ascii="Arial" w:hAnsi="Arial"/>
          <w:sz w:val="20"/>
        </w:rPr>
        <w:t>(a)an Advance is, or is proposed to be, made;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sz w:val="20"/>
        </w:rPr>
        <w:t>(b)a</w:t>
      </w:r>
      <w:r>
        <w:rPr>
          <w:rFonts w:ascii="Arial" w:hAnsi="Arial"/>
          <w:sz w:val="22"/>
        </w:rPr>
        <w:t> </w:t>
      </w:r>
      <w:r>
        <w:rPr>
          <w:rFonts w:ascii="Arial" w:hAnsi="Arial"/>
          <w:sz w:val="20"/>
        </w:rPr>
        <w:t>Bank</w:t>
      </w:r>
      <w:r>
        <w:rPr>
          <w:rFonts w:ascii="Arial" w:hAnsi="Arial"/>
          <w:sz w:val="22"/>
        </w:rPr>
        <w:t> </w:t>
      </w:r>
      <w:r>
        <w:rPr>
          <w:rFonts w:ascii="Arial" w:hAnsi="Arial"/>
          <w:sz w:val="20"/>
        </w:rPr>
        <w:t>Guarantee</w:t>
      </w:r>
      <w:r>
        <w:rPr>
          <w:rFonts w:ascii="Arial" w:hAnsi="Arial"/>
          <w:sz w:val="22"/>
        </w:rPr>
        <w:t> </w:t>
      </w:r>
      <w:r>
        <w:rPr>
          <w:rFonts w:ascii="Arial" w:hAnsi="Arial"/>
          <w:sz w:val="20"/>
        </w:rPr>
        <w:t>is,</w:t>
      </w:r>
      <w:r>
        <w:rPr>
          <w:rFonts w:ascii="Arial" w:hAnsi="Arial"/>
          <w:sz w:val="22"/>
        </w:rPr>
        <w:t> </w:t>
      </w:r>
      <w:r>
        <w:rPr>
          <w:rFonts w:ascii="Arial" w:hAnsi="Arial"/>
          <w:sz w:val="20"/>
        </w:rPr>
        <w:t>or</w:t>
      </w:r>
      <w:r>
        <w:rPr>
          <w:rFonts w:ascii="Arial" w:hAnsi="Arial"/>
          <w:sz w:val="22"/>
        </w:rPr>
        <w:t> </w:t>
      </w:r>
      <w:r>
        <w:rPr>
          <w:rFonts w:ascii="Arial" w:hAnsi="Arial"/>
          <w:sz w:val="20"/>
        </w:rPr>
        <w:t>is</w:t>
      </w:r>
      <w:r>
        <w:rPr>
          <w:rFonts w:ascii="Arial" w:hAnsi="Arial"/>
          <w:sz w:val="22"/>
        </w:rPr>
        <w:t> </w:t>
      </w:r>
      <w:r>
        <w:rPr>
          <w:rFonts w:ascii="Arial" w:hAnsi="Arial"/>
          <w:sz w:val="20"/>
        </w:rPr>
        <w:t>proposed</w:t>
      </w:r>
      <w:r>
        <w:rPr>
          <w:rFonts w:ascii="Arial" w:hAnsi="Arial"/>
          <w:sz w:val="22"/>
        </w:rPr>
        <w:t> </w:t>
      </w:r>
      <w:r>
        <w:rPr>
          <w:rFonts w:ascii="Arial" w:hAnsi="Arial"/>
          <w:sz w:val="20"/>
        </w:rPr>
        <w:t>to</w:t>
      </w:r>
      <w:r>
        <w:rPr>
          <w:rFonts w:ascii="Arial" w:hAnsi="Arial"/>
          <w:sz w:val="22"/>
        </w:rPr>
        <w:t> </w:t>
      </w:r>
      <w:r>
        <w:rPr>
          <w:rFonts w:ascii="Arial" w:hAnsi="Arial"/>
          <w:sz w:val="20"/>
        </w:rPr>
        <w:t>be,</w:t>
      </w:r>
      <w:r>
        <w:rPr>
          <w:rFonts w:ascii="Arial" w:hAnsi="Arial"/>
          <w:sz w:val="22"/>
        </w:rPr>
        <w:t> </w:t>
      </w:r>
      <w:r>
        <w:rPr>
          <w:rFonts w:ascii="Arial" w:hAnsi="Arial"/>
          <w:sz w:val="20"/>
        </w:rPr>
        <w:t>issued, under this document.</w:t>
      </w:r>
      <w:r>
        <w:rPr>
          <w:rFonts w:ascii="Arial" w:hAnsi="Arial"/>
          <w:sz w:val="22"/>
        </w:rPr>
        <w:t xml:space="preserve"> </w:t>
      </w:r>
    </w:p>
    <w:p>
      <w:pPr>
        <w:pStyle w:val="TextBody"/>
        <w:bidi w:val="0"/>
        <w:spacing w:lineRule="auto" w:line="264" w:before="107" w:after="0"/>
        <w:ind w:left="3983" w:right="1956" w:hanging="533"/>
        <w:jc w:val="left"/>
        <w:rPr>
          <w:rFonts w:cs="Arial"/>
          <w:szCs w:val="20"/>
        </w:rPr>
      </w:pPr>
      <w:r>
        <w:rPr>
          <w:rFonts w:cs="Arial"/>
          <w:szCs w:val="20"/>
        </w:rPr>
        <w:t xml:space="preserve">﻿ </w:t>
      </w:r>
    </w:p>
    <w:p>
      <w:pPr>
        <w:pStyle w:val="TextBody"/>
        <w:bidi w:val="0"/>
        <w:spacing w:before="0" w:after="0"/>
        <w:ind w:left="3456" w:right="360" w:hanging="0"/>
        <w:jc w:val="left"/>
        <w:rPr>
          <w:rFonts w:ascii="Arial" w:hAnsi="Arial"/>
          <w:sz w:val="20"/>
        </w:rPr>
      </w:pPr>
      <w:r>
        <w:rPr>
          <w:rFonts w:ascii="Arial" w:hAnsi="Arial"/>
          <w:b/>
          <w:sz w:val="20"/>
        </w:rPr>
        <w:t>Funding</w:t>
      </w:r>
      <w:r>
        <w:rPr>
          <w:rFonts w:ascii="Arial" w:hAnsi="Arial"/>
          <w:sz w:val="20"/>
        </w:rPr>
        <w:t> </w:t>
      </w:r>
      <w:r>
        <w:rPr>
          <w:rFonts w:ascii="Arial" w:hAnsi="Arial"/>
          <w:b/>
          <w:sz w:val="20"/>
        </w:rPr>
        <w:t>Notice</w:t>
      </w:r>
      <w:r>
        <w:rPr>
          <w:rFonts w:ascii="Arial" w:hAnsi="Arial"/>
          <w:sz w:val="20"/>
        </w:rPr>
        <w:t> means a notice in accordance with </w:t>
      </w:r>
      <w:r>
        <w:rPr>
          <w:rFonts w:ascii="Arial" w:hAnsi="Arial"/>
          <w:b/>
          <w:sz w:val="20"/>
        </w:rPr>
        <w:t>clause</w:t>
      </w:r>
      <w:r>
        <w:rPr>
          <w:rFonts w:ascii="Arial" w:hAnsi="Arial"/>
          <w:sz w:val="20"/>
        </w:rPr>
        <w:t> </w:t>
      </w:r>
      <w:r>
        <w:rPr>
          <w:rFonts w:ascii="Arial" w:hAnsi="Arial"/>
          <w:b/>
          <w:color w:val="2D97D3"/>
          <w:sz w:val="20"/>
          <w:u w:val="single"/>
        </w:rPr>
        <w:t>4.4</w:t>
      </w:r>
      <w:r>
        <w:rPr>
          <w:rFonts w:ascii="Arial" w:hAnsi="Arial"/>
          <w:b/>
          <w:strike/>
          <w:color w:val="B5082D"/>
          <w:sz w:val="20"/>
        </w:rPr>
        <w:t>4.4</w:t>
      </w:r>
      <w:r>
        <w:rPr>
          <w:rFonts w:ascii="Arial" w:hAnsi="Arial"/>
          <w:sz w:val="20"/>
        </w:rPr>
        <w:t xml:space="preserve">. </w:t>
      </w:r>
    </w:p>
    <w:p>
      <w:pPr>
        <w:pStyle w:val="TextBody"/>
        <w:bidi w:val="0"/>
        <w:spacing w:before="0" w:after="0"/>
        <w:ind w:left="360" w:right="360" w:hanging="0"/>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8</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4" w:before="0" w:after="0"/>
        <w:ind w:left="3456" w:right="1854" w:hanging="0"/>
        <w:jc w:val="left"/>
        <w:rPr>
          <w:rFonts w:ascii="Arial" w:hAnsi="Arial"/>
          <w:sz w:val="20"/>
        </w:rPr>
      </w:pPr>
      <w:r>
        <w:rPr>
          <w:rFonts w:ascii="Arial" w:hAnsi="Arial"/>
          <w:b/>
          <w:sz w:val="20"/>
        </w:rPr>
        <w:t xml:space="preserve">Government Body </w:t>
      </w:r>
      <w:r>
        <w:rPr>
          <w:rFonts w:ascii="Arial" w:hAnsi="Arial"/>
          <w:sz w:val="20"/>
        </w:rPr>
        <w:t xml:space="preserve">means any person or body exercising an executive, legislative, judicial or other governmental function. It includes any public authority constituted under a law of any country or political sub-division of any country. It also includes any person deriving a power directly or indirectly from any other person or body referred to in this definition. </w:t>
      </w:r>
    </w:p>
    <w:p>
      <w:pPr>
        <w:pStyle w:val="TextBody"/>
        <w:pBdr/>
        <w:bidi w:val="0"/>
        <w:spacing w:lineRule="auto" w:line="264" w:before="109" w:after="0"/>
        <w:ind w:left="3456" w:right="1854" w:hanging="0"/>
        <w:jc w:val="left"/>
        <w:rPr>
          <w:rFonts w:ascii="Arial" w:hAnsi="Arial"/>
          <w:sz w:val="20"/>
        </w:rPr>
      </w:pPr>
      <w:r>
        <w:rPr>
          <w:rFonts w:ascii="Arial" w:hAnsi="Arial"/>
          <w:b/>
          <w:sz w:val="20"/>
        </w:rPr>
        <w:t>Gross</w:t>
      </w:r>
      <w:r>
        <w:rPr>
          <w:rFonts w:ascii="Arial" w:hAnsi="Arial"/>
          <w:sz w:val="20"/>
        </w:rPr>
        <w:t> </w:t>
      </w:r>
      <w:r>
        <w:rPr>
          <w:rFonts w:ascii="Arial" w:hAnsi="Arial"/>
          <w:b/>
          <w:sz w:val="20"/>
        </w:rPr>
        <w:t>Interest</w:t>
      </w:r>
      <w:r>
        <w:rPr>
          <w:rFonts w:ascii="Arial" w:hAnsi="Arial"/>
          <w:sz w:val="20"/>
        </w:rPr>
        <w:t> </w:t>
      </w:r>
      <w:r>
        <w:rPr>
          <w:rFonts w:ascii="Arial" w:hAnsi="Arial"/>
          <w:b/>
          <w:sz w:val="20"/>
        </w:rPr>
        <w:t>Expense</w:t>
      </w:r>
      <w:r>
        <w:rPr>
          <w:rFonts w:ascii="Arial" w:hAnsi="Arial"/>
          <w:sz w:val="20"/>
        </w:rPr>
        <w:t xml:space="preserve"> means, in relation to any period, the aggregate of all interest and amounts in the nature of interest (including commissions, 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 </w:t>
      </w:r>
    </w:p>
    <w:p>
      <w:pPr>
        <w:pStyle w:val="TextBody"/>
        <w:bidi w:val="0"/>
        <w:spacing w:before="120" w:after="0"/>
        <w:ind w:left="3456" w:right="360" w:hanging="0"/>
        <w:jc w:val="left"/>
        <w:rPr>
          <w:rFonts w:ascii="Arial" w:hAnsi="Arial"/>
          <w:sz w:val="20"/>
        </w:rPr>
      </w:pPr>
      <w:r>
        <w:rPr>
          <w:rFonts w:ascii="Arial" w:hAnsi="Arial"/>
          <w:b/>
          <w:sz w:val="20"/>
        </w:rPr>
        <w:t>Guarantee</w:t>
      </w:r>
      <w:r>
        <w:rPr>
          <w:rFonts w:ascii="Arial" w:hAnsi="Arial"/>
          <w:sz w:val="20"/>
        </w:rPr>
        <w:t xml:space="preserve"> means: </w:t>
      </w:r>
    </w:p>
    <w:p>
      <w:pPr>
        <w:pStyle w:val="TextBody"/>
        <w:bidi w:val="0"/>
        <w:spacing w:lineRule="auto" w:line="264" w:before="107" w:after="0"/>
        <w:ind w:left="3983" w:right="1956" w:hanging="0"/>
        <w:jc w:val="left"/>
        <w:rPr>
          <w:rFonts w:ascii="Arial" w:hAnsi="Arial"/>
          <w:sz w:val="20"/>
        </w:rPr>
      </w:pPr>
      <w:r>
        <w:rPr>
          <w:rFonts w:ascii="Arial" w:hAnsi="Arial"/>
          <w:sz w:val="20"/>
        </w:rPr>
        <w:t>(a)a guarantee, indemnity, undertaking, letter of credit, Security, acceptance or endorsement of a negotiable instrument or other obligation (actual or contingent) given by any person to secure compliance with an obligation by another person;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(b)an obligation (actual or contingent) of a person to ensure the solvency of another person or the ability of another person to comply with an obligation, including by the advance of money or the acquisition for valuable consideration of property or services;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(c)an option under which a person is obliged on the exercise of the option to buy:</w:t>
      </w:r>
      <w:r>
        <w:rPr>
          <w:rFonts w:ascii="Arial" w:hAnsi="Arial"/>
          <w:sz w:val="20"/>
        </w:rPr>
        <w:t xml:space="preserve"> </w:t>
      </w:r>
    </w:p>
    <w:p>
      <w:pPr>
        <w:pStyle w:val="TextBody"/>
        <w:bidi w:val="0"/>
        <w:spacing w:before="109" w:after="0"/>
        <w:ind w:left="4520" w:right="360" w:hanging="0"/>
        <w:jc w:val="left"/>
        <w:rPr>
          <w:rFonts w:ascii="Arial" w:hAnsi="Arial"/>
          <w:sz w:val="20"/>
        </w:rPr>
      </w:pPr>
      <w:r>
        <w:rPr>
          <w:rFonts w:ascii="Arial" w:hAnsi="Arial"/>
          <w:sz w:val="20"/>
        </w:rPr>
        <w:t xml:space="preserve">(i)any debt or liability owed by another person; or </w:t>
      </w:r>
    </w:p>
    <w:p>
      <w:pPr>
        <w:pStyle w:val="TextBody"/>
        <w:bidi w:val="0"/>
        <w:spacing w:before="140" w:after="0"/>
        <w:ind w:left="4520" w:right="360" w:hanging="0"/>
        <w:jc w:val="left"/>
        <w:rPr>
          <w:rFonts w:ascii="Arial" w:hAnsi="Arial"/>
          <w:sz w:val="20"/>
        </w:rPr>
      </w:pPr>
      <w:r>
        <w:rPr>
          <w:rFonts w:ascii="Arial" w:hAnsi="Arial"/>
          <w:sz w:val="20"/>
        </w:rPr>
        <w:t xml:space="preserve">(ii)any property which is subject to a Security Interest. </w:t>
      </w:r>
    </w:p>
    <w:p>
      <w:pPr>
        <w:pStyle w:val="TextBody"/>
        <w:bidi w:val="0"/>
        <w:spacing w:before="134" w:after="0"/>
        <w:ind w:left="3456" w:right="360" w:hanging="0"/>
        <w:jc w:val="left"/>
        <w:rPr>
          <w:rFonts w:ascii="Arial" w:hAnsi="Arial"/>
          <w:sz w:val="20"/>
        </w:rPr>
      </w:pPr>
      <w:r>
        <w:rPr>
          <w:rFonts w:ascii="Arial" w:hAnsi="Arial"/>
          <w:b/>
          <w:sz w:val="20"/>
        </w:rPr>
        <w:t>Guaranteed</w:t>
      </w:r>
      <w:r>
        <w:rPr>
          <w:rFonts w:ascii="Arial" w:hAnsi="Arial"/>
          <w:sz w:val="20"/>
        </w:rPr>
        <w:t> </w:t>
      </w:r>
      <w:r>
        <w:rPr>
          <w:rFonts w:ascii="Arial" w:hAnsi="Arial"/>
          <w:b/>
          <w:sz w:val="20"/>
        </w:rPr>
        <w:t>Money</w:t>
      </w:r>
      <w:r>
        <w:rPr>
          <w:rFonts w:ascii="Arial" w:hAnsi="Arial"/>
          <w:sz w:val="20"/>
        </w:rPr>
        <w:t xml:space="preserve"> means all money: </w:t>
      </w:r>
    </w:p>
    <w:p>
      <w:pPr>
        <w:pStyle w:val="TextBody"/>
        <w:bidi w:val="0"/>
        <w:spacing w:lineRule="auto" w:line="264" w:before="107" w:after="0"/>
        <w:ind w:left="3983" w:right="1956" w:hanging="0"/>
        <w:jc w:val="left"/>
        <w:rPr>
          <w:rFonts w:ascii="Arial" w:hAnsi="Arial"/>
          <w:sz w:val="20"/>
        </w:rPr>
      </w:pPr>
      <w:r>
        <w:rPr>
          <w:rFonts w:ascii="Arial" w:hAnsi="Arial"/>
          <w:sz w:val="20"/>
        </w:rPr>
        <w:t>(a)which now or in the future is owing (actually or contingently) by a Transaction Party to the Bank under or in relation to any of the Transaction Documents;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(b)which having now or in the future become owing (actually or contingently) by a Transaction Party to the Bank under or in relation to any of the Transaction Documents, ceases to be owing by reason of any law relating to insolvency and remains unpaid by the Transaction Party and unreleased by the Bank;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(c)that now or in the future may become owing (actually or contingently) by a Transaction Party to the Bank under or in relation to any of the Transaction Documents,</w:t>
      </w:r>
      <w:r>
        <w:rPr>
          <w:rFonts w:ascii="Arial" w:hAnsi="Arial"/>
          <w:sz w:val="20"/>
        </w:rPr>
        <w:t xml:space="preserve"> </w:t>
      </w:r>
    </w:p>
    <w:p>
      <w:pPr>
        <w:pStyle w:val="TextBody"/>
        <w:bidi w:val="0"/>
        <w:spacing w:before="110" w:after="0"/>
        <w:ind w:left="3456" w:right="360" w:hanging="0"/>
        <w:jc w:val="left"/>
        <w:rPr>
          <w:rFonts w:ascii="Arial" w:hAnsi="Arial"/>
          <w:sz w:val="20"/>
        </w:rPr>
      </w:pPr>
      <w:r>
        <w:rPr>
          <w:rFonts w:ascii="Arial" w:hAnsi="Arial"/>
          <w:sz w:val="20"/>
        </w:rPr>
        <w:t xml:space="preserve">for any reason, whether such money is payable: </w:t>
      </w:r>
    </w:p>
    <w:p>
      <w:pPr>
        <w:pStyle w:val="TextBody"/>
        <w:bidi w:val="0"/>
        <w:spacing w:lineRule="auto" w:line="264" w:before="107" w:after="0"/>
        <w:ind w:left="3983" w:right="1956" w:hanging="0"/>
        <w:jc w:val="left"/>
        <w:rPr>
          <w:rFonts w:ascii="Arial" w:hAnsi="Arial"/>
          <w:sz w:val="20"/>
        </w:rPr>
      </w:pPr>
      <w:r>
        <w:rPr>
          <w:rFonts w:ascii="Arial" w:hAnsi="Arial"/>
          <w:sz w:val="20"/>
        </w:rPr>
        <w:t>(d)by a Transaction Party alone or jointly or severally with any other person;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(e)by a Transaction Party in its own right or in any capacity;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(f)to the Bank in its own right or in any capacity; and</w:t>
      </w:r>
      <w:r>
        <w:rPr>
          <w:rFonts w:ascii="Arial" w:hAnsi="Arial"/>
          <w:sz w:val="20"/>
        </w:rPr>
        <w:t xml:space="preserve"> </w:t>
      </w:r>
    </w:p>
    <w:p>
      <w:pPr>
        <w:pStyle w:val="TextBody"/>
        <w:bidi w:val="0"/>
        <w:spacing w:before="137" w:after="0"/>
        <w:ind w:left="3950" w:right="360" w:hanging="533"/>
        <w:jc w:val="left"/>
        <w:rPr/>
      </w:pPr>
      <w:r>
        <w:rPr/>
        <w:t xml:space="preserve">  </w:t>
      </w:r>
    </w:p>
    <w:tbl>
      <w:tblPr>
        <w:tblW w:w="1840" w:type="dxa"/>
        <w:jc w:val="left"/>
        <w:tblInd w:w="36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9</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(g)by a Transaction Party as liquidated or unliquidated damages caused or contributed to by any breach by the Transaction Party of any obligation owed by the Transaction Party (or any other Transaction Party) to the Bank under or in relation to any of the Transaction Documents,</w:t>
      </w:r>
      <w:r>
        <w:rPr>
          <w:rFonts w:ascii="Arial" w:hAnsi="Arial"/>
          <w:sz w:val="20"/>
        </w:rPr>
        <w:t xml:space="preserve"> </w:t>
      </w:r>
    </w:p>
    <w:p>
      <w:pPr>
        <w:pStyle w:val="TextBody"/>
        <w:pBdr/>
        <w:bidi w:val="0"/>
        <w:spacing w:lineRule="auto" w:line="264" w:before="109" w:after="0"/>
        <w:ind w:left="3456" w:right="1940" w:hanging="0"/>
        <w:jc w:val="left"/>
        <w:rPr>
          <w:rFonts w:ascii="Arial" w:hAnsi="Arial"/>
          <w:sz w:val="20"/>
        </w:rPr>
      </w:pPr>
      <w:r>
        <w:rPr>
          <w:rFonts w:ascii="Arial" w:hAnsi="Arial"/>
          <w:sz w:val="20"/>
        </w:rPr>
        <w:t xml:space="preserve">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 </w:t>
      </w:r>
    </w:p>
    <w:p>
      <w:pPr>
        <w:pStyle w:val="TextBody"/>
        <w:pBdr/>
        <w:bidi w:val="0"/>
        <w:spacing w:lineRule="auto" w:line="264" w:before="105" w:after="0"/>
        <w:ind w:left="3456" w:right="2118" w:hanging="0"/>
        <w:jc w:val="both"/>
        <w:rPr>
          <w:rFonts w:ascii="Arial" w:hAnsi="Arial"/>
          <w:sz w:val="20"/>
        </w:rPr>
      </w:pPr>
      <w:r>
        <w:rPr>
          <w:rFonts w:ascii="Arial" w:hAnsi="Arial"/>
          <w:b/>
          <w:sz w:val="20"/>
        </w:rPr>
        <w:t>Guarantor</w:t>
      </w:r>
      <w:r>
        <w:rPr>
          <w:rFonts w:ascii="Arial" w:hAnsi="Arial"/>
          <w:sz w:val="20"/>
        </w:rPr>
        <w:t> means the Original Guarantors and each person that becomes a guarantor under </w:t>
      </w:r>
      <w:r>
        <w:rPr>
          <w:rFonts w:ascii="Arial" w:hAnsi="Arial"/>
          <w:b/>
          <w:sz w:val="20"/>
        </w:rPr>
        <w:t>clause</w:t>
      </w:r>
      <w:r>
        <w:rPr>
          <w:rFonts w:ascii="Arial" w:hAnsi="Arial"/>
          <w:sz w:val="20"/>
        </w:rPr>
        <w:t> </w:t>
      </w:r>
      <w:r>
        <w:rPr>
          <w:rFonts w:ascii="Arial" w:hAnsi="Arial"/>
          <w:b/>
          <w:color w:val="2D97D3"/>
          <w:sz w:val="20"/>
          <w:u w:val="single"/>
        </w:rPr>
        <w:t>16</w:t>
      </w:r>
      <w:r>
        <w:rPr>
          <w:rFonts w:ascii="Arial" w:hAnsi="Arial"/>
          <w:b/>
          <w:strike/>
          <w:color w:val="B5082D"/>
          <w:sz w:val="20"/>
        </w:rPr>
        <w:t>16</w:t>
      </w:r>
      <w:r>
        <w:rPr>
          <w:rFonts w:ascii="Arial" w:hAnsi="Arial"/>
          <w:sz w:val="20"/>
        </w:rPr>
        <w:t xml:space="preserve">. If there are more than one, Guarantor means each of them individually and every two or more of them jointly. </w:t>
      </w:r>
    </w:p>
    <w:p>
      <w:pPr>
        <w:pStyle w:val="TextBody"/>
        <w:bidi w:val="0"/>
        <w:spacing w:before="111" w:after="0"/>
        <w:ind w:left="3456" w:right="360" w:hanging="0"/>
        <w:jc w:val="both"/>
        <w:rPr>
          <w:rFonts w:ascii="Arial" w:hAnsi="Arial"/>
          <w:sz w:val="20"/>
        </w:rPr>
      </w:pPr>
      <w:r>
        <w:rPr>
          <w:rFonts w:ascii="Arial" w:hAnsi="Arial"/>
          <w:b/>
          <w:sz w:val="20"/>
        </w:rPr>
        <w:t>Guarantor</w:t>
      </w:r>
      <w:r>
        <w:rPr>
          <w:rFonts w:ascii="Arial" w:hAnsi="Arial"/>
          <w:sz w:val="20"/>
        </w:rPr>
        <w:t> </w:t>
      </w:r>
      <w:r>
        <w:rPr>
          <w:rFonts w:ascii="Arial" w:hAnsi="Arial"/>
          <w:b/>
          <w:sz w:val="20"/>
        </w:rPr>
        <w:t xml:space="preserve">Accession Deed </w:t>
      </w:r>
      <w:r>
        <w:rPr>
          <w:rFonts w:ascii="Arial" w:hAnsi="Arial"/>
          <w:sz w:val="20"/>
        </w:rPr>
        <w:t xml:space="preserve">means a deed substantially in the form of </w:t>
      </w:r>
    </w:p>
    <w:p>
      <w:pPr>
        <w:pStyle w:val="TextBody"/>
        <w:bidi w:val="0"/>
        <w:spacing w:before="24" w:after="0"/>
        <w:ind w:left="3456" w:right="360" w:hanging="0"/>
        <w:jc w:val="both"/>
        <w:rPr>
          <w:rFonts w:ascii="Arial" w:hAnsi="Arial"/>
          <w:b/>
          <w:sz w:val="20"/>
        </w:rPr>
      </w:pPr>
      <w:r>
        <w:rPr>
          <w:rFonts w:ascii="Arial" w:hAnsi="Arial"/>
          <w:b/>
          <w:sz w:val="20"/>
        </w:rPr>
        <w:t>schedule  8</w:t>
      </w:r>
      <w:r>
        <w:rPr>
          <w:rFonts w:ascii="Arial" w:hAnsi="Arial"/>
          <w:b w:val="false"/>
          <w:sz w:val="20"/>
        </w:rPr>
        <w:t>.</w:t>
      </w:r>
      <w:r>
        <w:rPr>
          <w:rFonts w:ascii="Arial" w:hAnsi="Arial"/>
          <w:b/>
          <w:sz w:val="20"/>
        </w:rPr>
        <w:t xml:space="preserve"> </w:t>
      </w:r>
    </w:p>
    <w:p>
      <w:pPr>
        <w:pStyle w:val="TextBody"/>
        <w:pBdr/>
        <w:bidi w:val="0"/>
        <w:spacing w:lineRule="auto" w:line="264" w:before="137" w:after="0"/>
        <w:ind w:left="3456" w:right="1940" w:hanging="0"/>
        <w:jc w:val="left"/>
        <w:rPr>
          <w:rFonts w:ascii="Arial" w:hAnsi="Arial"/>
          <w:sz w:val="20"/>
        </w:rPr>
      </w:pPr>
      <w:r>
        <w:rPr>
          <w:rFonts w:ascii="Arial" w:hAnsi="Arial"/>
          <w:b/>
          <w:sz w:val="20"/>
        </w:rPr>
        <w:t>Half</w:t>
      </w:r>
      <w:r>
        <w:rPr>
          <w:rFonts w:ascii="Arial" w:hAnsi="Arial"/>
          <w:sz w:val="20"/>
        </w:rPr>
        <w:t xml:space="preserve"> means each six month period ending on 30 June and 31 December in each year. </w:t>
      </w:r>
    </w:p>
    <w:p>
      <w:pPr>
        <w:pStyle w:val="TextBody"/>
        <w:pBdr/>
        <w:bidi w:val="0"/>
        <w:spacing w:lineRule="auto" w:line="264" w:before="109" w:after="0"/>
        <w:ind w:left="3456" w:right="1883" w:hanging="0"/>
        <w:jc w:val="left"/>
        <w:rPr>
          <w:rFonts w:ascii="Arial" w:hAnsi="Arial"/>
          <w:sz w:val="20"/>
        </w:rPr>
      </w:pPr>
      <w:r>
        <w:rPr>
          <w:rFonts w:ascii="Arial" w:hAnsi="Arial"/>
          <w:b/>
          <w:sz w:val="20"/>
        </w:rPr>
        <w:t xml:space="preserve">Hedging Transaction </w:t>
      </w:r>
      <w:r>
        <w:rPr>
          <w:rFonts w:ascii="Arial" w:hAnsi="Arial"/>
          <w:sz w:val="20"/>
        </w:rPr>
        <w:t xml:space="preserve">means a contract, agreement or arrangement (other than in respect of the price of electricity, gas, oil, foreign exchange or any other non-interest rate derivative contract) which is a futures contract or an interest rate hedge, swap, option, swaption, forward rate agreement or any other contract, agreement or arrangement similar to or having in respect of its subject matter a similar effect to any of the preceding. </w:t>
      </w:r>
    </w:p>
    <w:p>
      <w:pPr>
        <w:pStyle w:val="TextBody"/>
        <w:pBdr/>
        <w:bidi w:val="0"/>
        <w:spacing w:lineRule="auto" w:line="264" w:before="105" w:after="0"/>
        <w:ind w:left="3456" w:right="1854" w:hanging="0"/>
        <w:jc w:val="left"/>
        <w:rPr>
          <w:rFonts w:ascii="Arial" w:hAnsi="Arial"/>
          <w:sz w:val="20"/>
        </w:rPr>
      </w:pPr>
      <w:r>
        <w:rPr>
          <w:rFonts w:ascii="Arial" w:hAnsi="Arial"/>
          <w:b/>
          <w:sz w:val="20"/>
        </w:rPr>
        <w:t>Indemnity</w:t>
      </w:r>
      <w:r>
        <w:rPr>
          <w:rFonts w:ascii="Arial" w:hAnsi="Arial"/>
          <w:sz w:val="20"/>
        </w:rPr>
        <w:t> </w:t>
      </w:r>
      <w:r>
        <w:rPr>
          <w:rFonts w:ascii="Arial" w:hAnsi="Arial"/>
          <w:b/>
          <w:sz w:val="20"/>
        </w:rPr>
        <w:t>Amount</w:t>
      </w:r>
      <w:r>
        <w:rPr>
          <w:rFonts w:ascii="Arial" w:hAnsi="Arial"/>
          <w:sz w:val="20"/>
        </w:rPr>
        <w:t xml:space="preserve"> means, in relation to a Bank Guarantee, the amount or, as the case may be, the aggregate of the amounts payable by the Borrower in relation to a Bank Guarantee in accordance with </w:t>
      </w:r>
      <w:r>
        <w:rPr>
          <w:rFonts w:ascii="Arial" w:hAnsi="Arial"/>
          <w:b/>
          <w:sz w:val="20"/>
        </w:rPr>
        <w:t xml:space="preserve">clause </w:t>
      </w:r>
      <w:r>
        <w:rPr>
          <w:rFonts w:ascii="Arial" w:hAnsi="Arial"/>
          <w:b/>
          <w:color w:val="2D97D3"/>
          <w:sz w:val="20"/>
          <w:u w:val="single"/>
        </w:rPr>
        <w:t>5.3</w:t>
      </w:r>
      <w:r>
        <w:rPr>
          <w:rFonts w:ascii="Arial" w:hAnsi="Arial"/>
          <w:b/>
          <w:strike/>
          <w:color w:val="B5082D"/>
          <w:sz w:val="20"/>
        </w:rPr>
        <w:t>5.3</w:t>
      </w:r>
      <w:r>
        <w:rPr>
          <w:rFonts w:ascii="Arial" w:hAnsi="Arial"/>
          <w:sz w:val="20"/>
        </w:rPr>
        <w:t xml:space="preserve">. </w:t>
      </w:r>
    </w:p>
    <w:p>
      <w:pPr>
        <w:pStyle w:val="TextBody"/>
        <w:bidi w:val="0"/>
        <w:spacing w:before="117" w:after="0"/>
        <w:ind w:left="3456" w:right="360" w:hanging="0"/>
        <w:jc w:val="left"/>
        <w:rPr>
          <w:rFonts w:ascii="Arial" w:hAnsi="Arial"/>
          <w:sz w:val="20"/>
        </w:rPr>
      </w:pPr>
      <w:r>
        <w:rPr>
          <w:rFonts w:ascii="Arial" w:hAnsi="Arial"/>
          <w:b/>
          <w:sz w:val="20"/>
        </w:rPr>
        <w:t>Insolvency</w:t>
      </w:r>
      <w:r>
        <w:rPr>
          <w:rFonts w:ascii="Arial" w:hAnsi="Arial"/>
          <w:sz w:val="20"/>
        </w:rPr>
        <w:t xml:space="preserve"> means: </w:t>
      </w:r>
    </w:p>
    <w:p>
      <w:pPr>
        <w:pStyle w:val="TextBody"/>
        <w:bidi w:val="0"/>
        <w:spacing w:lineRule="auto" w:line="264" w:before="107" w:after="0"/>
        <w:ind w:left="3983" w:right="1956" w:hanging="0"/>
        <w:jc w:val="left"/>
        <w:rPr>
          <w:rFonts w:ascii="Arial" w:hAnsi="Arial"/>
          <w:sz w:val="20"/>
        </w:rPr>
      </w:pPr>
      <w:r>
        <w:rPr>
          <w:rFonts w:ascii="Arial" w:hAnsi="Arial"/>
          <w:sz w:val="20"/>
        </w:rPr>
        <w:t>(a)in relation to a corporation, its winding up or dissolution or its administration, provisional liquidation or any administration having a similar effect;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(b)in relation to an individual, his or her bankruptcy;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(c)in relation to a person, any arrangement (including a scheme of arrangement or deed of company arrangement), composition or compromise with, or assignment for the benefit of, all or any class of that person’s creditors or members of or a moratorium involving any of them</w:t>
      </w:r>
      <w:r>
        <w:rPr>
          <w:rFonts w:ascii="Arial" w:hAnsi="Arial"/>
          <w:sz w:val="20"/>
        </w:rPr>
        <w:t xml:space="preserve"> </w:t>
      </w:r>
    </w:p>
    <w:p>
      <w:pPr>
        <w:pStyle w:val="TextBody"/>
        <w:bidi w:val="0"/>
        <w:spacing w:before="135" w:after="0"/>
        <w:ind w:left="3456" w:right="360" w:hanging="0"/>
        <w:jc w:val="left"/>
        <w:rPr>
          <w:rFonts w:ascii="Arial" w:hAnsi="Arial"/>
          <w:sz w:val="20"/>
        </w:rPr>
      </w:pPr>
      <w:r>
        <w:rPr>
          <w:rFonts w:ascii="Arial" w:hAnsi="Arial"/>
          <w:b/>
          <w:sz w:val="20"/>
        </w:rPr>
        <w:t>Insolvency</w:t>
      </w:r>
      <w:r>
        <w:rPr>
          <w:rFonts w:ascii="Arial" w:hAnsi="Arial"/>
          <w:sz w:val="20"/>
        </w:rPr>
        <w:t> </w:t>
      </w:r>
      <w:r>
        <w:rPr>
          <w:rFonts w:ascii="Arial" w:hAnsi="Arial"/>
          <w:b/>
          <w:sz w:val="20"/>
        </w:rPr>
        <w:t>Event</w:t>
      </w:r>
      <w:r>
        <w:rPr>
          <w:rFonts w:ascii="Arial" w:hAnsi="Arial"/>
          <w:sz w:val="20"/>
        </w:rPr>
        <w:t xml:space="preserve"> means any of the following: </w:t>
      </w:r>
    </w:p>
    <w:p>
      <w:pPr>
        <w:pStyle w:val="TextBody"/>
        <w:bidi w:val="0"/>
        <w:spacing w:lineRule="auto" w:line="264" w:before="107" w:after="0"/>
        <w:ind w:left="3983" w:right="1956" w:hanging="0"/>
        <w:jc w:val="left"/>
        <w:rPr>
          <w:rFonts w:ascii="Arial" w:hAnsi="Arial"/>
          <w:sz w:val="20"/>
        </w:rPr>
      </w:pPr>
      <w:r>
        <w:rPr>
          <w:rFonts w:ascii="Arial" w:hAnsi="Arial"/>
          <w:sz w:val="20"/>
        </w:rPr>
        <w:t>(a)a person is or states that the person is unable to pay from the person’s own money (or funds or commitments provided by another Reading Entertainment Australia Group Member) all the person’s debts and</w:t>
      </w:r>
      <w:r>
        <w:rPr>
          <w:rFonts w:ascii="Arial" w:hAnsi="Arial"/>
          <w:sz w:val="20"/>
        </w:rPr>
        <w:t xml:space="preserve"> </w:t>
      </w:r>
    </w:p>
    <w:p>
      <w:pPr>
        <w:pStyle w:val="TextBody"/>
        <w:bidi w:val="0"/>
        <w:spacing w:lineRule="atLeast" w:line="227" w:before="0" w:after="0"/>
        <w:ind w:left="3988" w:right="360" w:hanging="0"/>
        <w:jc w:val="left"/>
        <w:rPr>
          <w:rFonts w:ascii="Arial" w:hAnsi="Arial"/>
          <w:sz w:val="20"/>
        </w:rPr>
      </w:pPr>
      <w:r>
        <w:rPr>
          <w:rFonts w:ascii="Arial" w:hAnsi="Arial"/>
          <w:sz w:val="20"/>
        </w:rPr>
        <w:t xml:space="preserve">when they become due and payable; </w:t>
      </w:r>
    </w:p>
    <w:p>
      <w:pPr>
        <w:pStyle w:val="TextBody"/>
        <w:bidi w:val="0"/>
        <w:spacing w:lineRule="auto" w:line="264" w:before="107" w:after="0"/>
        <w:ind w:left="3983" w:right="1956" w:hanging="0"/>
        <w:jc w:val="left"/>
        <w:rPr>
          <w:rFonts w:ascii="Arial" w:hAnsi="Arial"/>
          <w:sz w:val="20"/>
        </w:rPr>
      </w:pPr>
      <w:r>
        <w:rPr>
          <w:rFonts w:ascii="Arial" w:hAnsi="Arial"/>
          <w:sz w:val="20"/>
        </w:rPr>
        <w:t>(b)a person is taken or must be presumed to be insolvent or unable to pay</w:t>
      </w:r>
      <w:r>
        <w:rPr>
          <w:rFonts w:ascii="Arial" w:hAnsi="Arial"/>
          <w:sz w:val="20"/>
        </w:rPr>
        <w:t xml:space="preserve"> </w:t>
      </w:r>
    </w:p>
    <w:p>
      <w:pPr>
        <w:pStyle w:val="TextBody"/>
        <w:bidi w:val="0"/>
        <w:spacing w:lineRule="auto" w:line="264" w:before="0" w:after="0"/>
        <w:ind w:left="3988" w:right="2081" w:hanging="533"/>
        <w:jc w:val="left"/>
        <w:rPr>
          <w:rFonts w:ascii="Arial" w:hAnsi="Arial"/>
          <w:sz w:val="20"/>
        </w:rPr>
      </w:pPr>
      <w:r>
        <w:rPr>
          <w:rFonts w:ascii="Arial" w:hAnsi="Arial"/>
          <w:sz w:val="20"/>
        </w:rPr>
        <w:t xml:space="preserve">The person’s debts under any applicable legislation </w:t>
      </w:r>
    </w:p>
    <w:p>
      <w:pPr>
        <w:pStyle w:val="TextBody"/>
        <w:pBdr/>
        <w:bidi w:val="0"/>
        <w:spacing w:before="9" w:after="0"/>
        <w:ind w:left="360" w:right="360" w:hanging="0"/>
        <w:jc w:val="left"/>
        <w:rPr>
          <w:rFonts w:cs="Arial"/>
          <w:szCs w:val="2"/>
        </w:rPr>
      </w:pPr>
      <w:r>
        <w:rPr>
          <w:rFonts w:cs="Arial"/>
          <w:szCs w:val="3"/>
        </w:rPr>
        <w:t>﻿</w:t>
      </w:r>
      <w:r>
        <w:rPr>
          <w:rFonts w:cs="Arial"/>
          <w:szCs w:val="2"/>
        </w:rPr>
        <w:t xml:space="preserve"> </w:t>
      </w:r>
    </w:p>
    <w:p>
      <w:pPr>
        <w:pStyle w:val="TextBody"/>
        <w:pBdr/>
        <w:bidi w:val="0"/>
        <w:spacing w:before="0" w:after="0"/>
        <w:ind w:left="360" w:right="360" w:hanging="0"/>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10</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(c)an order is made for the winding up or dissolution or an effective resolution is passed for the winding up or dissolution of a corporation;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(d)an administrator, provisional liquidator, liquidator or person having a similar or analogous function under the laws of any relevant jurisdiction is appointed in relation to a corporation or an effective resolution is passed to appoint any such person and the action is not stayed, withdrawn or dismissed within 10 Business Days;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(e)a controller is appointed in relation to any property of a corporation;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(f)a corporation is deregistered under the Corporations Act or notice of its proposed deregistration is given to the corporation;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(g)a distress, attachment or execution is levied or becomes enforceable against any property of a person;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(h)a person enters into or takes any action to enter into an arrangement (including a scheme of arrangement or deed of Borrower arrangement), composition or compromise with, or assignment for the benefit of, all or Any class of the person’s creditors or members or a moratorium involving any of them;</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(i)a petition for the making of a sequestration order against the estate of a person is presented and the petition is not stayed, withdrawn or dismissed within seven days or a person presents a petition against himself or herself;</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(j)a person presents a declaration of intention under section 54A of the </w:t>
      </w:r>
      <w:r>
        <w:rPr>
          <w:rFonts w:ascii="Arial" w:hAnsi="Arial"/>
          <w:i/>
          <w:sz w:val="20"/>
        </w:rPr>
        <w:t>Bankruptcy</w:t>
      </w:r>
      <w:r>
        <w:rPr>
          <w:rFonts w:ascii="Arial" w:hAnsi="Arial"/>
          <w:sz w:val="20"/>
        </w:rPr>
        <w:t> </w:t>
      </w:r>
      <w:r>
        <w:rPr>
          <w:rFonts w:ascii="Arial" w:hAnsi="Arial"/>
          <w:i/>
          <w:sz w:val="20"/>
        </w:rPr>
        <w:t>Act</w:t>
      </w:r>
      <w:r>
        <w:rPr>
          <w:rFonts w:ascii="Arial" w:hAnsi="Arial"/>
          <w:sz w:val="20"/>
        </w:rPr>
        <w:t> </w:t>
      </w:r>
      <w:r>
        <w:rPr>
          <w:rFonts w:ascii="Arial" w:hAnsi="Arial"/>
          <w:i/>
          <w:sz w:val="20"/>
        </w:rPr>
        <w:t>1966</w:t>
      </w:r>
      <w:r>
        <w:rPr>
          <w:rFonts w:ascii="Arial" w:hAnsi="Arial"/>
          <w:sz w:val="20"/>
        </w:rPr>
        <w:t>;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(k)anything analogous to or of a similar effect to anything described above under the law of any relevant jurisdiction occurs in relation to a person.</w:t>
      </w:r>
      <w:r>
        <w:rPr>
          <w:rFonts w:ascii="Arial" w:hAnsi="Arial"/>
          <w:sz w:val="20"/>
        </w:rPr>
        <w:t xml:space="preserve"> </w:t>
      </w:r>
    </w:p>
    <w:p>
      <w:pPr>
        <w:pStyle w:val="TextBody"/>
        <w:pBdr/>
        <w:bidi w:val="0"/>
        <w:spacing w:lineRule="auto" w:line="264" w:before="107" w:after="0"/>
        <w:ind w:left="3456" w:right="1854" w:hanging="0"/>
        <w:jc w:val="left"/>
        <w:rPr>
          <w:rFonts w:ascii="Arial" w:hAnsi="Arial"/>
          <w:sz w:val="20"/>
        </w:rPr>
      </w:pPr>
      <w:r>
        <w:rPr>
          <w:rFonts w:ascii="Arial" w:hAnsi="Arial"/>
          <w:b/>
          <w:sz w:val="20"/>
        </w:rPr>
        <w:t>Insurance</w:t>
      </w:r>
      <w:r>
        <w:rPr>
          <w:rFonts w:ascii="Arial" w:hAnsi="Arial"/>
          <w:sz w:val="20"/>
        </w:rPr>
        <w:t xml:space="preserve"> means insurance which a Transaction Party is obliged to take out or maintain under a Transaction Document. </w:t>
      </w:r>
    </w:p>
    <w:p>
      <w:pPr>
        <w:pStyle w:val="TextBody"/>
        <w:pBdr/>
        <w:bidi w:val="0"/>
        <w:spacing w:lineRule="auto" w:line="264" w:before="111" w:after="0"/>
        <w:ind w:left="3456" w:right="1854" w:hanging="0"/>
        <w:jc w:val="left"/>
        <w:rPr>
          <w:rFonts w:ascii="Arial" w:hAnsi="Arial"/>
          <w:sz w:val="20"/>
        </w:rPr>
      </w:pPr>
      <w:r>
        <w:rPr>
          <w:rFonts w:ascii="Arial" w:hAnsi="Arial"/>
          <w:b/>
          <w:sz w:val="20"/>
        </w:rPr>
        <w:t>Interest Rate</w:t>
      </w:r>
      <w:r>
        <w:rPr>
          <w:rFonts w:ascii="Arial" w:hAnsi="Arial"/>
          <w:sz w:val="20"/>
        </w:rPr>
        <w:t xml:space="preserve"> means, in relation to a Pricing Period for an Advance until it becomes due and owing, an interest rate equal to the aggregate of the Base Rate for that Pricing Period and the Margin. </w:t>
      </w:r>
    </w:p>
    <w:p>
      <w:pPr>
        <w:pStyle w:val="TextBody"/>
        <w:bidi w:val="0"/>
        <w:spacing w:lineRule="auto" w:line="264" w:before="114" w:after="0"/>
        <w:ind w:left="3456" w:right="1940" w:hanging="0"/>
        <w:jc w:val="left"/>
        <w:rPr>
          <w:rFonts w:ascii="Arial" w:hAnsi="Arial"/>
          <w:sz w:val="20"/>
        </w:rPr>
      </w:pPr>
      <w:r>
        <w:rPr>
          <w:rFonts w:ascii="Arial" w:hAnsi="Arial"/>
          <w:b/>
          <w:sz w:val="20"/>
        </w:rPr>
        <w:t>Interim</w:t>
      </w:r>
      <w:r>
        <w:rPr>
          <w:rFonts w:ascii="Arial" w:hAnsi="Arial"/>
          <w:sz w:val="20"/>
        </w:rPr>
        <w:t> </w:t>
      </w:r>
      <w:r>
        <w:rPr>
          <w:rFonts w:ascii="Arial" w:hAnsi="Arial"/>
          <w:b/>
          <w:sz w:val="20"/>
        </w:rPr>
        <w:t>Compliance</w:t>
      </w:r>
      <w:r>
        <w:rPr>
          <w:rFonts w:ascii="Arial" w:hAnsi="Arial"/>
          <w:sz w:val="20"/>
        </w:rPr>
        <w:t> </w:t>
      </w:r>
      <w:r>
        <w:rPr>
          <w:rFonts w:ascii="Arial" w:hAnsi="Arial"/>
          <w:b/>
          <w:sz w:val="20"/>
        </w:rPr>
        <w:t>Certificate</w:t>
      </w:r>
      <w:r>
        <w:rPr>
          <w:rFonts w:ascii="Arial" w:hAnsi="Arial"/>
          <w:sz w:val="20"/>
        </w:rPr>
        <w:t xml:space="preserve"> means a certificate in substantially the form set out in </w:t>
      </w:r>
      <w:r>
        <w:rPr>
          <w:rFonts w:ascii="Arial" w:hAnsi="Arial"/>
          <w:b/>
          <w:sz w:val="20"/>
        </w:rPr>
        <w:t>schedule 10</w:t>
      </w:r>
      <w:r>
        <w:rPr>
          <w:rFonts w:ascii="Arial" w:hAnsi="Arial"/>
          <w:sz w:val="20"/>
        </w:rPr>
        <w:t xml:space="preserve">. </w:t>
      </w:r>
    </w:p>
    <w:p>
      <w:pPr>
        <w:pStyle w:val="TextBody"/>
        <w:pBdr/>
        <w:bidi w:val="0"/>
        <w:spacing w:lineRule="auto" w:line="264" w:before="111" w:after="0"/>
        <w:ind w:left="3456" w:right="1940" w:hanging="0"/>
        <w:jc w:val="left"/>
        <w:rPr>
          <w:rFonts w:ascii="Arial" w:hAnsi="Arial"/>
          <w:sz w:val="20"/>
        </w:rPr>
      </w:pPr>
      <w:r>
        <w:rPr>
          <w:rFonts w:ascii="Arial" w:hAnsi="Arial"/>
          <w:b/>
          <w:sz w:val="20"/>
        </w:rPr>
        <w:t>Land</w:t>
      </w:r>
      <w:r>
        <w:rPr>
          <w:rFonts w:ascii="Arial" w:hAnsi="Arial"/>
          <w:sz w:val="20"/>
        </w:rPr>
        <w:t xml:space="preserve"> means any land owned or occupied by a Transaction Party that forms part of the Secured Property. </w:t>
      </w:r>
    </w:p>
    <w:p>
      <w:pPr>
        <w:pStyle w:val="TextBody"/>
        <w:pBdr/>
        <w:bidi w:val="0"/>
        <w:spacing w:lineRule="auto" w:line="264" w:before="109" w:after="0"/>
        <w:ind w:left="3456" w:right="1940" w:hanging="0"/>
        <w:jc w:val="left"/>
        <w:rPr>
          <w:rFonts w:ascii="Arial" w:hAnsi="Arial"/>
          <w:sz w:val="20"/>
        </w:rPr>
      </w:pPr>
      <w:r>
        <w:rPr>
          <w:rFonts w:ascii="Arial" w:hAnsi="Arial"/>
          <w:b/>
          <w:sz w:val="20"/>
        </w:rPr>
        <w:t xml:space="preserve">Leasehold Properties </w:t>
      </w:r>
      <w:r>
        <w:rPr>
          <w:rFonts w:ascii="Arial" w:hAnsi="Arial"/>
          <w:sz w:val="20"/>
        </w:rPr>
        <w:t xml:space="preserve">means each leasehold property leased by a Transaction Party that is the subject of a mortgage of lease referred to in </w:t>
      </w:r>
      <w:r>
        <w:rPr>
          <w:rFonts w:ascii="Arial" w:hAnsi="Arial"/>
          <w:b/>
          <w:sz w:val="20"/>
        </w:rPr>
        <w:t xml:space="preserve">schedule 3 </w:t>
      </w:r>
      <w:r>
        <w:rPr>
          <w:rFonts w:ascii="Arial" w:hAnsi="Arial"/>
          <w:sz w:val="20"/>
        </w:rPr>
        <w:t xml:space="preserve">(including the mortgage of lease described at item 11 of </w:t>
      </w:r>
      <w:r>
        <w:rPr>
          <w:rFonts w:ascii="Arial" w:hAnsi="Arial"/>
          <w:b/>
          <w:sz w:val="20"/>
        </w:rPr>
        <w:t>schedule 3</w:t>
      </w:r>
      <w:r>
        <w:rPr>
          <w:rFonts w:ascii="Arial" w:hAnsi="Arial"/>
          <w:sz w:val="20"/>
        </w:rPr>
        <w:t xml:space="preserve">). </w:t>
      </w:r>
    </w:p>
    <w:p>
      <w:pPr>
        <w:pStyle w:val="TextBody"/>
        <w:bidi w:val="0"/>
        <w:spacing w:before="111" w:after="0"/>
        <w:ind w:left="3456" w:right="360" w:hanging="0"/>
        <w:jc w:val="left"/>
        <w:rPr>
          <w:rFonts w:ascii="Arial" w:hAnsi="Arial"/>
          <w:sz w:val="20"/>
        </w:rPr>
      </w:pPr>
      <w:r>
        <w:rPr>
          <w:rFonts w:ascii="Arial" w:hAnsi="Arial"/>
          <w:b/>
          <w:sz w:val="20"/>
        </w:rPr>
        <w:t>Leverage</w:t>
      </w:r>
      <w:r>
        <w:rPr>
          <w:rFonts w:ascii="Arial" w:hAnsi="Arial"/>
          <w:sz w:val="20"/>
        </w:rPr>
        <w:t> </w:t>
      </w:r>
      <w:r>
        <w:rPr>
          <w:rFonts w:ascii="Arial" w:hAnsi="Arial"/>
          <w:b/>
          <w:sz w:val="20"/>
        </w:rPr>
        <w:t>Ratio</w:t>
      </w:r>
      <w:r>
        <w:rPr>
          <w:rFonts w:ascii="Arial" w:hAnsi="Arial"/>
          <w:sz w:val="20"/>
        </w:rPr>
        <w:t xml:space="preserve"> means as at any date the ratio of: </w:t>
      </w:r>
    </w:p>
    <w:p>
      <w:pPr>
        <w:pStyle w:val="TextBody"/>
        <w:bidi w:val="0"/>
        <w:spacing w:lineRule="auto" w:line="264" w:before="107" w:after="0"/>
        <w:ind w:left="3983" w:right="1956" w:hanging="0"/>
        <w:jc w:val="left"/>
        <w:rPr>
          <w:rFonts w:ascii="Arial" w:hAnsi="Arial"/>
          <w:sz w:val="20"/>
        </w:rPr>
      </w:pPr>
      <w:r>
        <w:rPr>
          <w:rFonts w:ascii="Arial" w:hAnsi="Arial"/>
          <w:sz w:val="20"/>
        </w:rPr>
        <w:t>(a)Total Gross Debt outstanding on that date; to</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(b)Adjusted EBITDA in respect of the 12 month period ending on that date.</w:t>
      </w:r>
      <w:r>
        <w:rPr>
          <w:rFonts w:ascii="Arial" w:hAnsi="Arial"/>
          <w:sz w:val="20"/>
        </w:rPr>
        <w:t xml:space="preserve"> </w:t>
      </w:r>
    </w:p>
    <w:p>
      <w:pPr>
        <w:pStyle w:val="TextBody"/>
        <w:bidi w:val="0"/>
        <w:spacing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11</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90" w:after="0"/>
        <w:ind w:left="360" w:right="360" w:hanging="0"/>
        <w:jc w:val="left"/>
        <w:rPr>
          <w:rFonts w:cs="Arial"/>
          <w:szCs w:val="20"/>
        </w:rPr>
      </w:pPr>
      <w:r>
        <w:rPr>
          <w:rFonts w:cs="Arial"/>
          <w:szCs w:val="20"/>
        </w:rPr>
        <w:t xml:space="preserve">﻿ </w:t>
      </w:r>
    </w:p>
    <w:p>
      <w:pPr>
        <w:pStyle w:val="TextBody"/>
        <w:bidi w:val="0"/>
        <w:spacing w:lineRule="auto" w:line="264" w:before="0" w:after="0"/>
        <w:ind w:left="3456" w:right="1854" w:hanging="0"/>
        <w:jc w:val="left"/>
        <w:rPr>
          <w:rFonts w:ascii="Arial" w:hAnsi="Arial"/>
          <w:sz w:val="20"/>
        </w:rPr>
      </w:pPr>
      <w:r>
        <w:rPr>
          <w:rFonts w:ascii="Arial" w:hAnsi="Arial"/>
          <w:b/>
          <w:sz w:val="20"/>
        </w:rPr>
        <w:t>Loan</w:t>
      </w:r>
      <w:r>
        <w:rPr>
          <w:rFonts w:ascii="Arial" w:hAnsi="Arial"/>
          <w:sz w:val="20"/>
        </w:rPr>
        <w:t> </w:t>
      </w:r>
      <w:r>
        <w:rPr>
          <w:rFonts w:ascii="Arial" w:hAnsi="Arial"/>
          <w:b/>
          <w:sz w:val="20"/>
        </w:rPr>
        <w:t>to</w:t>
      </w:r>
      <w:r>
        <w:rPr>
          <w:rFonts w:ascii="Arial" w:hAnsi="Arial"/>
          <w:sz w:val="20"/>
        </w:rPr>
        <w:t> </w:t>
      </w:r>
      <w:r>
        <w:rPr>
          <w:rFonts w:ascii="Arial" w:hAnsi="Arial"/>
          <w:b/>
          <w:sz w:val="20"/>
        </w:rPr>
        <w:t>Value</w:t>
      </w:r>
      <w:r>
        <w:rPr>
          <w:rFonts w:ascii="Arial" w:hAnsi="Arial"/>
          <w:sz w:val="20"/>
        </w:rPr>
        <w:t> </w:t>
      </w:r>
      <w:r>
        <w:rPr>
          <w:rFonts w:ascii="Arial" w:hAnsi="Arial"/>
          <w:b/>
          <w:sz w:val="20"/>
        </w:rPr>
        <w:t>Ratio</w:t>
      </w:r>
      <w:r>
        <w:rPr>
          <w:rFonts w:ascii="Arial" w:hAnsi="Arial"/>
          <w:sz w:val="20"/>
        </w:rPr>
        <w:t xml:space="preserve"> at any date means the ratio (expressed as a percentage) of: </w:t>
      </w:r>
    </w:p>
    <w:p>
      <w:pPr>
        <w:pStyle w:val="TextBody"/>
        <w:bidi w:val="0"/>
        <w:spacing w:lineRule="auto" w:line="264" w:before="107" w:after="0"/>
        <w:ind w:left="3983" w:right="1956" w:hanging="0"/>
        <w:jc w:val="left"/>
        <w:rPr>
          <w:rFonts w:ascii="Arial" w:hAnsi="Arial"/>
          <w:sz w:val="20"/>
        </w:rPr>
      </w:pPr>
      <w:r>
        <w:rPr>
          <w:rFonts w:ascii="Arial" w:hAnsi="Arial"/>
          <w:sz w:val="20"/>
        </w:rPr>
        <w:t>(a)the aggregate of the Total Gross Debt outstanding on that date and any Outstanding Accommodation in relation a Current Bank Guarantee as at that date; to</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(b)the market value of the Freehold Properties and Leasehold Properties included in the Secured Property as noted in the most recent Valuation provided to the Bank pursuant to this document and accepted by the Bank.</w:t>
      </w:r>
      <w:r>
        <w:rPr>
          <w:rFonts w:ascii="Arial" w:hAnsi="Arial"/>
          <w:sz w:val="20"/>
        </w:rPr>
        <w:t xml:space="preserve"> </w:t>
      </w:r>
    </w:p>
    <w:p>
      <w:pPr>
        <w:pStyle w:val="TextBody"/>
        <w:pBdr/>
        <w:bidi w:val="0"/>
        <w:spacing w:lineRule="auto" w:line="264" w:before="106" w:after="0"/>
        <w:ind w:left="3456" w:right="1854" w:hanging="0"/>
        <w:jc w:val="left"/>
        <w:rPr>
          <w:rFonts w:ascii="Arial" w:hAnsi="Arial"/>
          <w:sz w:val="20"/>
        </w:rPr>
      </w:pPr>
      <w:r>
        <w:rPr>
          <w:rFonts w:ascii="Arial" w:hAnsi="Arial"/>
          <w:b/>
          <w:sz w:val="20"/>
        </w:rPr>
        <w:t xml:space="preserve">Management Fees </w:t>
      </w:r>
      <w:r>
        <w:rPr>
          <w:rFonts w:ascii="Arial" w:hAnsi="Arial"/>
          <w:sz w:val="20"/>
        </w:rPr>
        <w:t xml:space="preserve">means management and consulting fees payable to Reading International Inc or any of its affiliates (other than any affiliate who is a Reading Entertainment Australia Group Member) each Financial Year. </w:t>
      </w:r>
    </w:p>
    <w:p>
      <w:pPr>
        <w:pStyle w:val="TextBody"/>
        <w:pBdr/>
        <w:bidi w:val="0"/>
        <w:spacing w:lineRule="auto" w:line="264" w:before="111" w:after="0"/>
        <w:ind w:left="3456" w:right="1940" w:hanging="0"/>
        <w:jc w:val="left"/>
        <w:rPr>
          <w:rFonts w:ascii="Arial" w:hAnsi="Arial"/>
          <w:sz w:val="20"/>
        </w:rPr>
      </w:pPr>
      <w:r>
        <w:rPr>
          <w:rFonts w:ascii="Arial" w:hAnsi="Arial"/>
          <w:b/>
          <w:sz w:val="20"/>
        </w:rPr>
        <w:t>Margin</w:t>
      </w:r>
      <w:r>
        <w:rPr>
          <w:rFonts w:ascii="Arial" w:hAnsi="Arial"/>
          <w:sz w:val="20"/>
        </w:rPr>
        <w:t xml:space="preserve"> means in relation to a Pricing Period for an Advance, 1.75% per annum. </w:t>
      </w:r>
    </w:p>
    <w:p>
      <w:pPr>
        <w:pStyle w:val="TextBody"/>
        <w:bidi w:val="0"/>
        <w:spacing w:before="111" w:after="0"/>
        <w:ind w:left="3456" w:right="360" w:hanging="0"/>
        <w:jc w:val="left"/>
        <w:rPr>
          <w:rFonts w:ascii="Arial" w:hAnsi="Arial"/>
          <w:sz w:val="20"/>
        </w:rPr>
      </w:pPr>
      <w:r>
        <w:rPr>
          <w:rFonts w:ascii="Arial" w:hAnsi="Arial"/>
          <w:b/>
          <w:sz w:val="20"/>
        </w:rPr>
        <w:t>Material</w:t>
      </w:r>
      <w:r>
        <w:rPr>
          <w:rFonts w:ascii="Arial" w:hAnsi="Arial"/>
          <w:sz w:val="20"/>
        </w:rPr>
        <w:t> </w:t>
      </w:r>
      <w:r>
        <w:rPr>
          <w:rFonts w:ascii="Arial" w:hAnsi="Arial"/>
          <w:b/>
          <w:sz w:val="20"/>
        </w:rPr>
        <w:t>Adverse Effec</w:t>
      </w:r>
      <w:r>
        <w:rPr>
          <w:rFonts w:ascii="Arial" w:hAnsi="Arial"/>
          <w:sz w:val="20"/>
        </w:rPr>
        <w:t xml:space="preserve">t means a material adverse effect on: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(a)the business, operation, property, condition (financial or otherwise) of a Transaction Party or the Reading Entertainment Australia Group taken as a whole; </w:t>
      </w:r>
    </w:p>
    <w:p>
      <w:pPr>
        <w:pStyle w:val="TextBody"/>
        <w:bidi w:val="0"/>
        <w:spacing w:lineRule="auto" w:line="264" w:before="107" w:after="0"/>
        <w:ind w:left="3983" w:right="1956" w:hanging="0"/>
        <w:jc w:val="left"/>
        <w:rPr>
          <w:rFonts w:ascii="Arial" w:hAnsi="Arial"/>
          <w:sz w:val="20"/>
        </w:rPr>
      </w:pPr>
      <w:r>
        <w:rPr>
          <w:rFonts w:ascii="Arial" w:hAnsi="Arial"/>
          <w:sz w:val="20"/>
        </w:rPr>
        <w:t>(b)the ability of a Transaction Party to perform its obligations under the Transaction Documents;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(c)the validity or enforceability of the whole or any material part of any Transaction Document or any rights or remedies of the Bank under the Transaction Documents.</w:t>
      </w:r>
      <w:r>
        <w:rPr>
          <w:rFonts w:ascii="Arial" w:hAnsi="Arial"/>
          <w:sz w:val="20"/>
        </w:rPr>
        <w:t xml:space="preserve"> </w:t>
      </w:r>
    </w:p>
    <w:p>
      <w:pPr>
        <w:pStyle w:val="TextBody"/>
        <w:bidi w:val="0"/>
        <w:spacing w:lineRule="auto" w:line="264" w:before="114" w:after="0"/>
        <w:ind w:left="3456" w:right="1854" w:hanging="0"/>
        <w:jc w:val="left"/>
        <w:rPr>
          <w:rFonts w:ascii="Arial" w:hAnsi="Arial"/>
          <w:sz w:val="20"/>
        </w:rPr>
      </w:pPr>
      <w:r>
        <w:rPr>
          <w:rFonts w:ascii="Arial" w:hAnsi="Arial"/>
          <w:b/>
          <w:sz w:val="20"/>
        </w:rPr>
        <w:t xml:space="preserve">Matured </w:t>
      </w:r>
      <w:r>
        <w:rPr>
          <w:rFonts w:ascii="Arial" w:hAnsi="Arial"/>
          <w:sz w:val="20"/>
        </w:rPr>
        <w:t xml:space="preserve">means, in relation to a Bank Guarantee, that the Beneficiary has made a claim and is not entitled to claim any more under the relevant Bank Guarantee. </w:t>
      </w:r>
    </w:p>
    <w:p>
      <w:pPr>
        <w:pStyle w:val="TextBody"/>
        <w:bidi w:val="0"/>
        <w:spacing w:lineRule="auto" w:line="264" w:before="110" w:after="0"/>
        <w:ind w:left="3456" w:right="1854" w:hanging="0"/>
        <w:jc w:val="left"/>
        <w:rPr>
          <w:rFonts w:ascii="Arial" w:hAnsi="Arial"/>
          <w:sz w:val="20"/>
        </w:rPr>
      </w:pPr>
      <w:r>
        <w:rPr>
          <w:rFonts w:ascii="Arial" w:hAnsi="Arial"/>
          <w:b/>
          <w:sz w:val="20"/>
        </w:rPr>
        <w:t>Merchant</w:t>
      </w:r>
      <w:r>
        <w:rPr>
          <w:rFonts w:ascii="Arial" w:hAnsi="Arial"/>
          <w:sz w:val="20"/>
        </w:rPr>
        <w:t> </w:t>
      </w:r>
      <w:r>
        <w:rPr>
          <w:rFonts w:ascii="Arial" w:hAnsi="Arial"/>
          <w:b/>
          <w:sz w:val="20"/>
        </w:rPr>
        <w:t>Services</w:t>
      </w:r>
      <w:r>
        <w:rPr>
          <w:rFonts w:ascii="Arial" w:hAnsi="Arial"/>
          <w:sz w:val="20"/>
        </w:rPr>
        <w:t> </w:t>
      </w:r>
      <w:r>
        <w:rPr>
          <w:rFonts w:ascii="Arial" w:hAnsi="Arial"/>
          <w:b/>
          <w:sz w:val="20"/>
        </w:rPr>
        <w:t>Agreement</w:t>
      </w:r>
      <w:r>
        <w:rPr>
          <w:rFonts w:ascii="Arial" w:hAnsi="Arial"/>
          <w:sz w:val="20"/>
        </w:rPr>
        <w:t xml:space="preserve"> means the agreement for merchant services between the Bank and Reading Entertainment Australia Group. </w:t>
      </w:r>
    </w:p>
    <w:p>
      <w:pPr>
        <w:pStyle w:val="TextBody"/>
        <w:bidi w:val="0"/>
        <w:spacing w:lineRule="auto" w:line="266" w:before="112" w:after="0"/>
        <w:ind w:left="3456" w:right="1854" w:hanging="0"/>
        <w:jc w:val="left"/>
        <w:rPr>
          <w:rFonts w:ascii="Arial" w:hAnsi="Arial"/>
          <w:sz w:val="20"/>
        </w:rPr>
      </w:pPr>
      <w:r>
        <w:rPr>
          <w:rFonts w:ascii="Arial" w:hAnsi="Arial"/>
          <w:b/>
          <w:sz w:val="20"/>
        </w:rPr>
        <w:t>Minimum</w:t>
      </w:r>
      <w:r>
        <w:rPr>
          <w:rFonts w:ascii="Arial" w:hAnsi="Arial"/>
          <w:sz w:val="20"/>
        </w:rPr>
        <w:t> </w:t>
      </w:r>
      <w:r>
        <w:rPr>
          <w:rFonts w:ascii="Arial" w:hAnsi="Arial"/>
          <w:b/>
          <w:sz w:val="20"/>
        </w:rPr>
        <w:t>Liquidity</w:t>
      </w:r>
      <w:r>
        <w:rPr>
          <w:rFonts w:ascii="Arial" w:hAnsi="Arial"/>
          <w:sz w:val="20"/>
        </w:rPr>
        <w:t xml:space="preserve"> means all unrestricted Cash of the Borrower, determined on a consolidated basis, as detailed in the Borrower’s management accounts. </w:t>
      </w:r>
    </w:p>
    <w:p>
      <w:pPr>
        <w:pStyle w:val="TextBody"/>
        <w:bidi w:val="0"/>
        <w:spacing w:before="104" w:after="0"/>
        <w:ind w:left="3456" w:right="360" w:hanging="0"/>
        <w:jc w:val="left"/>
        <w:rPr>
          <w:rFonts w:ascii="Arial" w:hAnsi="Arial"/>
          <w:sz w:val="20"/>
        </w:rPr>
      </w:pPr>
      <w:r>
        <w:rPr>
          <w:rFonts w:ascii="Arial" w:hAnsi="Arial"/>
          <w:b/>
          <w:sz w:val="20"/>
        </w:rPr>
        <w:t>Month</w:t>
      </w:r>
      <w:r>
        <w:rPr>
          <w:rFonts w:ascii="Arial" w:hAnsi="Arial"/>
          <w:sz w:val="20"/>
        </w:rPr>
        <w:t xml:space="preserve"> means a calendar month. </w:t>
      </w:r>
    </w:p>
    <w:p>
      <w:pPr>
        <w:pStyle w:val="TextBody"/>
        <w:bidi w:val="0"/>
        <w:spacing w:lineRule="auto" w:line="264" w:before="137" w:after="0"/>
        <w:ind w:left="3456" w:right="1854" w:hanging="0"/>
        <w:jc w:val="left"/>
        <w:rPr>
          <w:rFonts w:ascii="Arial" w:hAnsi="Arial"/>
          <w:sz w:val="20"/>
        </w:rPr>
      </w:pPr>
      <w:r>
        <w:rPr>
          <w:rFonts w:ascii="Arial" w:hAnsi="Arial"/>
          <w:b/>
          <w:sz w:val="20"/>
        </w:rPr>
        <w:t>Net</w:t>
      </w:r>
      <w:r>
        <w:rPr>
          <w:rFonts w:ascii="Arial" w:hAnsi="Arial"/>
          <w:sz w:val="20"/>
        </w:rPr>
        <w:t> </w:t>
      </w:r>
      <w:r>
        <w:rPr>
          <w:rFonts w:ascii="Arial" w:hAnsi="Arial"/>
          <w:b/>
          <w:sz w:val="20"/>
        </w:rPr>
        <w:t>Sale</w:t>
      </w:r>
      <w:r>
        <w:rPr>
          <w:rFonts w:ascii="Arial" w:hAnsi="Arial"/>
          <w:sz w:val="20"/>
        </w:rPr>
        <w:t> </w:t>
      </w:r>
      <w:r>
        <w:rPr>
          <w:rFonts w:ascii="Arial" w:hAnsi="Arial"/>
          <w:b/>
          <w:sz w:val="20"/>
        </w:rPr>
        <w:t>Proceeds</w:t>
      </w:r>
      <w:r>
        <w:rPr>
          <w:rFonts w:ascii="Arial" w:hAnsi="Arial"/>
          <w:sz w:val="20"/>
        </w:rPr>
        <w:t xml:space="preserve"> means in relation to the sale of the Cannon Park Property or the Waurn Ponds Property, the gross sale or disposal price set out in the relevant sale contract less the aggregate of estate agent commissions, conveyancing fees, adjustments (for both water and council rates), land tax owners corporation fees and fees associated with the discharge or release of an Encumbrance over the Cannon Park Property or the Waurn Ponds Property (as applicable) and any GST payable in relation to the sale contract. </w:t>
      </w:r>
    </w:p>
    <w:p>
      <w:pPr>
        <w:pStyle w:val="TextBody"/>
        <w:bidi w:val="0"/>
        <w:spacing w:before="104" w:after="0"/>
        <w:ind w:left="3456" w:right="360" w:hanging="0"/>
        <w:jc w:val="left"/>
        <w:rPr>
          <w:rFonts w:ascii="Arial" w:hAnsi="Arial"/>
          <w:sz w:val="20"/>
        </w:rPr>
      </w:pPr>
      <w:r>
        <w:rPr>
          <w:rFonts w:ascii="Arial" w:hAnsi="Arial"/>
          <w:b/>
          <w:sz w:val="20"/>
        </w:rPr>
        <w:t>Outstanding</w:t>
      </w:r>
      <w:r>
        <w:rPr>
          <w:rFonts w:ascii="Arial" w:hAnsi="Arial"/>
          <w:sz w:val="20"/>
        </w:rPr>
        <w:t> </w:t>
      </w:r>
      <w:r>
        <w:rPr>
          <w:rFonts w:ascii="Arial" w:hAnsi="Arial"/>
          <w:b/>
          <w:sz w:val="20"/>
        </w:rPr>
        <w:t>Accommodation</w:t>
      </w:r>
      <w:r>
        <w:rPr>
          <w:rFonts w:ascii="Arial" w:hAnsi="Arial"/>
          <w:sz w:val="20"/>
        </w:rPr>
        <w:t xml:space="preserve"> means at any time, the aggregate of: </w:t>
      </w:r>
    </w:p>
    <w:p>
      <w:pPr>
        <w:pStyle w:val="TextBody"/>
        <w:bidi w:val="0"/>
        <w:spacing w:before="0" w:after="0"/>
        <w:ind w:left="360" w:right="360" w:hanging="0"/>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12</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7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(a)the aggregate of the unpaid Advances outstanding under the Corporate Markets Loan Facility or the Bridge Facility (as applicable);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(b)the Face Values of all Current Bank Guarantees and all Indemnity Amounts in relation to each Bank Guarantee which are due and payable;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sz w:val="20"/>
        </w:rPr>
        <w:t>(c)for</w:t>
      </w:r>
      <w:r>
        <w:rPr>
          <w:rFonts w:ascii="Arial" w:hAnsi="Arial"/>
          <w:sz w:val="22"/>
        </w:rPr>
        <w:t> </w:t>
      </w:r>
      <w:r>
        <w:rPr>
          <w:rFonts w:ascii="Arial" w:hAnsi="Arial"/>
          <w:sz w:val="20"/>
        </w:rPr>
        <w:t>the</w:t>
      </w:r>
      <w:r>
        <w:rPr>
          <w:rFonts w:ascii="Arial" w:hAnsi="Arial"/>
          <w:sz w:val="22"/>
        </w:rPr>
        <w:t> </w:t>
      </w:r>
      <w:r>
        <w:rPr>
          <w:rFonts w:ascii="Arial" w:hAnsi="Arial"/>
          <w:sz w:val="20"/>
        </w:rPr>
        <w:t>purposes</w:t>
      </w:r>
      <w:r>
        <w:rPr>
          <w:rFonts w:ascii="Arial" w:hAnsi="Arial"/>
          <w:sz w:val="22"/>
        </w:rPr>
        <w:t> </w:t>
      </w:r>
      <w:r>
        <w:rPr>
          <w:rFonts w:ascii="Arial" w:hAnsi="Arial"/>
          <w:sz w:val="20"/>
        </w:rPr>
        <w:t>of</w:t>
      </w:r>
      <w:r>
        <w:rPr>
          <w:rFonts w:ascii="Arial" w:hAnsi="Arial"/>
          <w:sz w:val="22"/>
        </w:rPr>
        <w:t> </w:t>
      </w:r>
      <w:r>
        <w:rPr>
          <w:rFonts w:ascii="Arial" w:hAnsi="Arial"/>
          <w:b/>
          <w:sz w:val="20"/>
        </w:rPr>
        <w:t>clauses</w:t>
      </w:r>
      <w:r>
        <w:rPr>
          <w:rFonts w:ascii="Arial" w:hAnsi="Arial"/>
          <w:sz w:val="22"/>
        </w:rPr>
        <w:t> </w:t>
      </w:r>
      <w:r>
        <w:rPr>
          <w:rFonts w:ascii="Arial" w:hAnsi="Arial"/>
          <w:b/>
          <w:color w:val="2D97D3"/>
          <w:sz w:val="20"/>
          <w:u w:val="single"/>
        </w:rPr>
        <w:t>5.5</w:t>
      </w:r>
      <w:r>
        <w:rPr>
          <w:rFonts w:ascii="Arial" w:hAnsi="Arial"/>
          <w:b/>
          <w:strike/>
          <w:color w:val="B5082D"/>
          <w:sz w:val="20"/>
        </w:rPr>
        <w:t>5.5</w:t>
      </w:r>
      <w:r>
        <w:rPr>
          <w:rFonts w:ascii="Arial" w:hAnsi="Arial"/>
          <w:sz w:val="20"/>
        </w:rPr>
        <w:t>,</w:t>
      </w:r>
      <w:r>
        <w:rPr>
          <w:rFonts w:ascii="Arial" w:hAnsi="Arial"/>
          <w:sz w:val="22"/>
        </w:rPr>
        <w:t> </w:t>
      </w:r>
      <w:r>
        <w:rPr>
          <w:rFonts w:ascii="Arial" w:hAnsi="Arial"/>
          <w:b/>
          <w:color w:val="2D97D3"/>
          <w:sz w:val="20"/>
          <w:u w:val="single"/>
        </w:rPr>
        <w:t>10</w:t>
      </w:r>
      <w:r>
        <w:rPr>
          <w:rFonts w:ascii="Arial" w:hAnsi="Arial"/>
          <w:b/>
          <w:strike/>
          <w:color w:val="B5082D"/>
          <w:sz w:val="20"/>
        </w:rPr>
        <w:t>10</w:t>
      </w:r>
      <w:r>
        <w:rPr>
          <w:rFonts w:ascii="Arial" w:hAnsi="Arial"/>
          <w:color w:val="B5082D"/>
          <w:sz w:val="22"/>
        </w:rPr>
        <w:t> </w:t>
      </w:r>
      <w:r>
        <w:rPr>
          <w:rFonts w:ascii="Arial" w:hAnsi="Arial"/>
          <w:sz w:val="20"/>
        </w:rPr>
        <w:t>and</w:t>
      </w:r>
      <w:r>
        <w:rPr>
          <w:rFonts w:ascii="Arial" w:hAnsi="Arial"/>
          <w:sz w:val="22"/>
        </w:rPr>
        <w:t> </w:t>
      </w:r>
      <w:r>
        <w:rPr>
          <w:rFonts w:ascii="Arial" w:hAnsi="Arial"/>
          <w:b/>
          <w:color w:val="2D97D3"/>
          <w:sz w:val="20"/>
          <w:u w:val="single"/>
        </w:rPr>
        <w:t>18.14</w:t>
      </w:r>
      <w:r>
        <w:rPr>
          <w:rFonts w:ascii="Arial" w:hAnsi="Arial"/>
          <w:b/>
          <w:strike/>
          <w:color w:val="B5082D"/>
          <w:sz w:val="20"/>
        </w:rPr>
        <w:t>18.14</w:t>
      </w:r>
      <w:r>
        <w:rPr>
          <w:rFonts w:ascii="Arial" w:hAnsi="Arial"/>
          <w:color w:val="B5082D"/>
          <w:sz w:val="22"/>
        </w:rPr>
        <w:t> </w:t>
      </w:r>
      <w:r>
        <w:rPr>
          <w:rFonts w:ascii="Arial" w:hAnsi="Arial"/>
          <w:sz w:val="20"/>
        </w:rPr>
        <w:t>only</w:t>
      </w:r>
      <w:r>
        <w:rPr>
          <w:rFonts w:ascii="Arial" w:hAnsi="Arial"/>
          <w:sz w:val="22"/>
        </w:rPr>
        <w:t> </w:t>
      </w:r>
      <w:r>
        <w:rPr>
          <w:rFonts w:ascii="Arial" w:hAnsi="Arial"/>
          <w:sz w:val="20"/>
        </w:rPr>
        <w:t>and</w:t>
      </w:r>
      <w:r>
        <w:rPr>
          <w:rFonts w:ascii="Arial" w:hAnsi="Arial"/>
          <w:sz w:val="22"/>
        </w:rPr>
        <w:t> </w:t>
      </w:r>
      <w:r>
        <w:rPr>
          <w:rFonts w:ascii="Arial" w:hAnsi="Arial"/>
          <w:sz w:val="20"/>
        </w:rPr>
        <w:t>for</w:t>
      </w:r>
      <w:r>
        <w:rPr>
          <w:rFonts w:ascii="Arial" w:hAnsi="Arial"/>
          <w:sz w:val="22"/>
        </w:rPr>
        <w:t> </w:t>
      </w:r>
      <w:r>
        <w:rPr>
          <w:rFonts w:ascii="Arial" w:hAnsi="Arial"/>
          <w:sz w:val="20"/>
        </w:rPr>
        <w:t>no other</w:t>
      </w:r>
      <w:r>
        <w:rPr>
          <w:rFonts w:ascii="Arial" w:hAnsi="Arial"/>
          <w:sz w:val="22"/>
        </w:rPr>
        <w:t> </w:t>
      </w:r>
      <w:r>
        <w:rPr>
          <w:rFonts w:ascii="Arial" w:hAnsi="Arial"/>
          <w:sz w:val="20"/>
        </w:rPr>
        <w:t>purposes,</w:t>
      </w:r>
      <w:r>
        <w:rPr>
          <w:rFonts w:ascii="Arial" w:hAnsi="Arial"/>
          <w:sz w:val="22"/>
        </w:rPr>
        <w:t> </w:t>
      </w:r>
      <w:r>
        <w:rPr>
          <w:rFonts w:ascii="Arial" w:hAnsi="Arial"/>
          <w:sz w:val="20"/>
        </w:rPr>
        <w:t>any</w:t>
      </w:r>
      <w:r>
        <w:rPr>
          <w:rFonts w:ascii="Arial" w:hAnsi="Arial"/>
          <w:sz w:val="22"/>
        </w:rPr>
        <w:t> </w:t>
      </w:r>
      <w:r>
        <w:rPr>
          <w:rFonts w:ascii="Arial" w:hAnsi="Arial"/>
          <w:sz w:val="20"/>
        </w:rPr>
        <w:t>other</w:t>
      </w:r>
      <w:r>
        <w:rPr>
          <w:rFonts w:ascii="Arial" w:hAnsi="Arial"/>
          <w:sz w:val="22"/>
        </w:rPr>
        <w:t> </w:t>
      </w:r>
      <w:r>
        <w:rPr>
          <w:rFonts w:ascii="Arial" w:hAnsi="Arial"/>
          <w:sz w:val="20"/>
        </w:rPr>
        <w:t>amounts</w:t>
      </w:r>
      <w:r>
        <w:rPr>
          <w:rFonts w:ascii="Arial" w:hAnsi="Arial"/>
          <w:sz w:val="22"/>
        </w:rPr>
        <w:t> </w:t>
      </w:r>
      <w:r>
        <w:rPr>
          <w:rFonts w:ascii="Arial" w:hAnsi="Arial"/>
          <w:sz w:val="20"/>
        </w:rPr>
        <w:t>which</w:t>
      </w:r>
      <w:r>
        <w:rPr>
          <w:rFonts w:ascii="Arial" w:hAnsi="Arial"/>
          <w:sz w:val="22"/>
        </w:rPr>
        <w:t> </w:t>
      </w:r>
      <w:r>
        <w:rPr>
          <w:rFonts w:ascii="Arial" w:hAnsi="Arial"/>
          <w:sz w:val="20"/>
        </w:rPr>
        <w:t>the</w:t>
      </w:r>
      <w:r>
        <w:rPr>
          <w:rFonts w:ascii="Arial" w:hAnsi="Arial"/>
          <w:sz w:val="22"/>
        </w:rPr>
        <w:t> </w:t>
      </w:r>
      <w:r>
        <w:rPr>
          <w:rFonts w:ascii="Arial" w:hAnsi="Arial"/>
          <w:sz w:val="20"/>
        </w:rPr>
        <w:t>Borrower</w:t>
      </w:r>
      <w:r>
        <w:rPr>
          <w:rFonts w:ascii="Arial" w:hAnsi="Arial"/>
          <w:sz w:val="22"/>
        </w:rPr>
        <w:t> </w:t>
      </w:r>
      <w:r>
        <w:rPr>
          <w:rFonts w:ascii="Arial" w:hAnsi="Arial"/>
          <w:sz w:val="20"/>
        </w:rPr>
        <w:t>owes</w:t>
      </w:r>
      <w:r>
        <w:rPr>
          <w:rFonts w:ascii="Arial" w:hAnsi="Arial"/>
          <w:sz w:val="22"/>
        </w:rPr>
        <w:t> </w:t>
      </w:r>
      <w:r>
        <w:rPr>
          <w:rFonts w:ascii="Arial" w:hAnsi="Arial"/>
          <w:sz w:val="20"/>
        </w:rPr>
        <w:t>to</w:t>
      </w:r>
      <w:r>
        <w:rPr>
          <w:rFonts w:ascii="Arial" w:hAnsi="Arial"/>
          <w:sz w:val="22"/>
        </w:rPr>
        <w:t> </w:t>
      </w:r>
      <w:r>
        <w:rPr>
          <w:rFonts w:ascii="Arial" w:hAnsi="Arial"/>
          <w:sz w:val="20"/>
        </w:rPr>
        <w:t>the</w:t>
      </w:r>
      <w:r>
        <w:rPr>
          <w:rFonts w:ascii="Arial" w:hAnsi="Arial"/>
          <w:sz w:val="22"/>
        </w:rPr>
        <w:t> </w:t>
      </w:r>
      <w:r>
        <w:rPr>
          <w:rFonts w:ascii="Arial" w:hAnsi="Arial"/>
          <w:sz w:val="20"/>
        </w:rPr>
        <w:t>Bank or which the</w:t>
      </w:r>
      <w:r>
        <w:rPr>
          <w:rFonts w:ascii="Arial" w:hAnsi="Arial"/>
          <w:sz w:val="22"/>
        </w:rPr>
        <w:t> </w:t>
      </w:r>
      <w:r>
        <w:rPr>
          <w:rFonts w:ascii="Arial" w:hAnsi="Arial"/>
          <w:sz w:val="20"/>
        </w:rPr>
        <w:t>Borrower</w:t>
      </w:r>
      <w:r>
        <w:rPr>
          <w:rFonts w:ascii="Arial" w:hAnsi="Arial"/>
          <w:sz w:val="22"/>
        </w:rPr>
        <w:t> </w:t>
      </w:r>
      <w:r>
        <w:rPr>
          <w:rFonts w:ascii="Arial" w:hAnsi="Arial"/>
          <w:sz w:val="20"/>
        </w:rPr>
        <w:t>may owe to the Bank under or in connection with the Facilities and includes:</w:t>
      </w:r>
      <w:r>
        <w:rPr>
          <w:rFonts w:ascii="Arial" w:hAnsi="Arial"/>
          <w:sz w:val="22"/>
        </w:rPr>
        <w:t xml:space="preserve"> </w:t>
      </w:r>
    </w:p>
    <w:p>
      <w:pPr>
        <w:pStyle w:val="TextBody"/>
        <w:bidi w:val="0"/>
        <w:spacing w:lineRule="auto" w:line="264" w:before="112" w:after="0"/>
        <w:ind w:left="4521" w:right="1893" w:hanging="0"/>
        <w:jc w:val="left"/>
        <w:rPr>
          <w:rFonts w:ascii="Arial" w:hAnsi="Arial"/>
          <w:sz w:val="20"/>
        </w:rPr>
      </w:pPr>
      <w:r>
        <w:rPr>
          <w:rFonts w:ascii="Arial" w:hAnsi="Arial"/>
          <w:sz w:val="20"/>
        </w:rPr>
        <w:t xml:space="preserve">(i)any other amounts which the Borrower owes to the Bank or which the Borrower may owe to the Bank under or in connection with any Hedging Transaction; and </w:t>
      </w:r>
    </w:p>
    <w:p>
      <w:pPr>
        <w:pStyle w:val="TextBody"/>
        <w:bidi w:val="0"/>
        <w:spacing w:lineRule="auto" w:line="264" w:before="115" w:after="0"/>
        <w:ind w:left="4521" w:right="2704" w:hanging="0"/>
        <w:jc w:val="left"/>
        <w:rPr>
          <w:rFonts w:ascii="Arial" w:hAnsi="Arial"/>
          <w:sz w:val="20"/>
        </w:rPr>
      </w:pPr>
      <w:r>
        <w:rPr>
          <w:rFonts w:ascii="Arial" w:hAnsi="Arial"/>
          <w:sz w:val="20"/>
        </w:rPr>
        <w:t xml:space="preserve">(ii)all interest, costs and fees payable under the Transaction Documents, </w:t>
      </w:r>
    </w:p>
    <w:p>
      <w:pPr>
        <w:pStyle w:val="TextBody"/>
        <w:pBdr/>
        <w:bidi w:val="0"/>
        <w:spacing w:lineRule="auto" w:line="264" w:before="108" w:after="0"/>
        <w:ind w:left="3988" w:right="2106" w:hanging="0"/>
        <w:jc w:val="left"/>
        <w:rPr>
          <w:rFonts w:ascii="Arial" w:hAnsi="Arial"/>
          <w:sz w:val="20"/>
        </w:rPr>
      </w:pPr>
      <w:r>
        <w:rPr>
          <w:rFonts w:ascii="Arial" w:hAnsi="Arial"/>
          <w:sz w:val="20"/>
        </w:rPr>
        <w:t xml:space="preserve">whether such amounts are owing actually or contingently and whether such amounts are then due for payment or will or may become due for payment and includes all interest, costs and fees payable under the Transaction Documents. </w:t>
      </w:r>
    </w:p>
    <w:p>
      <w:pPr>
        <w:pStyle w:val="TextBody"/>
        <w:pBdr/>
        <w:bidi w:val="0"/>
        <w:spacing w:lineRule="auto" w:line="264" w:before="110" w:after="0"/>
        <w:ind w:left="3456" w:right="1854" w:hanging="0"/>
        <w:jc w:val="left"/>
        <w:rPr>
          <w:rFonts w:ascii="Arial" w:hAnsi="Arial"/>
          <w:sz w:val="20"/>
        </w:rPr>
      </w:pPr>
      <w:r>
        <w:rPr>
          <w:rFonts w:ascii="Arial" w:hAnsi="Arial"/>
          <w:sz w:val="20"/>
        </w:rPr>
        <w:t xml:space="preserve">When used in relation to any Facility, it means the Outstanding Accommodation in relation to Advances or Drawings under that Facility (as applicable). </w:t>
      </w:r>
    </w:p>
    <w:p>
      <w:pPr>
        <w:pStyle w:val="TextBody"/>
        <w:pBdr/>
        <w:bidi w:val="0"/>
        <w:spacing w:lineRule="auto" w:line="264" w:before="110" w:after="0"/>
        <w:ind w:left="3456" w:right="1854" w:hanging="0"/>
        <w:jc w:val="left"/>
        <w:rPr>
          <w:rFonts w:ascii="Arial" w:hAnsi="Arial"/>
          <w:sz w:val="20"/>
        </w:rPr>
      </w:pPr>
      <w:r>
        <w:rPr>
          <w:rFonts w:ascii="Arial" w:hAnsi="Arial"/>
          <w:b/>
          <w:sz w:val="20"/>
        </w:rPr>
        <w:t>Overdue</w:t>
      </w:r>
      <w:r>
        <w:rPr>
          <w:rFonts w:ascii="Arial" w:hAnsi="Arial"/>
          <w:sz w:val="20"/>
        </w:rPr>
        <w:t> </w:t>
      </w:r>
      <w:r>
        <w:rPr>
          <w:rFonts w:ascii="Arial" w:hAnsi="Arial"/>
          <w:b/>
          <w:sz w:val="20"/>
        </w:rPr>
        <w:t>Money</w:t>
      </w:r>
      <w:r>
        <w:rPr>
          <w:rFonts w:ascii="Arial" w:hAnsi="Arial"/>
          <w:sz w:val="20"/>
        </w:rPr>
        <w:t xml:space="preserve"> means money due and payable from time to time under each Transaction Document. </w:t>
      </w:r>
    </w:p>
    <w:p>
      <w:pPr>
        <w:pStyle w:val="TextBody"/>
        <w:pBdr/>
        <w:bidi w:val="0"/>
        <w:spacing w:lineRule="auto" w:line="266" w:before="108" w:after="0"/>
        <w:ind w:left="3456" w:right="1854" w:hanging="0"/>
        <w:jc w:val="left"/>
        <w:rPr>
          <w:rFonts w:ascii="Arial" w:hAnsi="Arial"/>
          <w:sz w:val="20"/>
        </w:rPr>
      </w:pPr>
      <w:r>
        <w:rPr>
          <w:rFonts w:ascii="Arial" w:hAnsi="Arial"/>
          <w:b/>
          <w:sz w:val="20"/>
        </w:rPr>
        <w:t>Overdue</w:t>
      </w:r>
      <w:r>
        <w:rPr>
          <w:rFonts w:ascii="Arial" w:hAnsi="Arial"/>
          <w:sz w:val="20"/>
        </w:rPr>
        <w:t> </w:t>
      </w:r>
      <w:r>
        <w:rPr>
          <w:rFonts w:ascii="Arial" w:hAnsi="Arial"/>
          <w:b/>
          <w:sz w:val="20"/>
        </w:rPr>
        <w:t>Rate</w:t>
      </w:r>
      <w:r>
        <w:rPr>
          <w:rFonts w:ascii="Arial" w:hAnsi="Arial"/>
          <w:sz w:val="20"/>
        </w:rPr>
        <w:t xml:space="preserve"> means at any time, the aggregate of the Interest Rate and a default margin of 1.00% per annum. </w:t>
      </w:r>
    </w:p>
    <w:p>
      <w:pPr>
        <w:pStyle w:val="TextBody"/>
        <w:pBdr/>
        <w:bidi w:val="0"/>
        <w:spacing w:before="107" w:after="0"/>
        <w:ind w:left="3456" w:right="360" w:hanging="0"/>
        <w:jc w:val="left"/>
        <w:rPr>
          <w:rFonts w:ascii="Arial" w:hAnsi="Arial"/>
          <w:sz w:val="20"/>
        </w:rPr>
      </w:pPr>
      <w:r>
        <w:rPr>
          <w:rFonts w:ascii="Arial" w:hAnsi="Arial"/>
          <w:b/>
          <w:sz w:val="20"/>
        </w:rPr>
        <w:t>Parent</w:t>
      </w:r>
      <w:r>
        <w:rPr>
          <w:rFonts w:ascii="Arial" w:hAnsi="Arial"/>
          <w:sz w:val="20"/>
        </w:rPr>
        <w:t xml:space="preserve"> means Reading International Cinemas LLC. </w:t>
      </w:r>
    </w:p>
    <w:p>
      <w:pPr>
        <w:pStyle w:val="TextBody"/>
        <w:bidi w:val="0"/>
        <w:spacing w:lineRule="auto" w:line="264" w:before="140" w:after="0"/>
        <w:ind w:left="3456" w:right="1854" w:hanging="0"/>
        <w:jc w:val="left"/>
        <w:rPr>
          <w:rFonts w:ascii="Arial" w:hAnsi="Arial"/>
          <w:sz w:val="20"/>
        </w:rPr>
      </w:pPr>
      <w:r>
        <w:rPr>
          <w:rFonts w:ascii="Arial" w:hAnsi="Arial"/>
          <w:b/>
          <w:sz w:val="20"/>
        </w:rPr>
        <w:t xml:space="preserve">Parent Subordination Agreement </w:t>
      </w:r>
      <w:r>
        <w:rPr>
          <w:rFonts w:ascii="Arial" w:hAnsi="Arial"/>
          <w:sz w:val="20"/>
        </w:rPr>
        <w:t xml:space="preserve"> means the document entitled  ‘deed of subordination to be entered into by the Borrower, the Parent and the Bank. </w:t>
      </w:r>
    </w:p>
    <w:p>
      <w:pPr>
        <w:pStyle w:val="TextBody"/>
        <w:bidi w:val="0"/>
        <w:spacing w:before="113" w:after="0"/>
        <w:ind w:left="3456" w:right="360" w:hanging="0"/>
        <w:jc w:val="left"/>
        <w:rPr>
          <w:rFonts w:ascii="Arial" w:hAnsi="Arial"/>
          <w:sz w:val="20"/>
        </w:rPr>
      </w:pPr>
      <w:r>
        <w:rPr>
          <w:rFonts w:ascii="Arial" w:hAnsi="Arial"/>
          <w:b/>
          <w:sz w:val="20"/>
        </w:rPr>
        <w:t>Permitted</w:t>
      </w:r>
      <w:r>
        <w:rPr>
          <w:rFonts w:ascii="Arial" w:hAnsi="Arial"/>
          <w:sz w:val="20"/>
        </w:rPr>
        <w:t> </w:t>
      </w:r>
      <w:r>
        <w:rPr>
          <w:rFonts w:ascii="Arial" w:hAnsi="Arial"/>
          <w:b/>
          <w:sz w:val="20"/>
        </w:rPr>
        <w:t>Disposal</w:t>
      </w:r>
      <w:r>
        <w:rPr>
          <w:rFonts w:ascii="Arial" w:hAnsi="Arial"/>
          <w:sz w:val="20"/>
        </w:rPr>
        <w:t xml:space="preserve"> means a disposal: </w:t>
      </w:r>
    </w:p>
    <w:p>
      <w:pPr>
        <w:pStyle w:val="TextBody"/>
        <w:bidi w:val="0"/>
        <w:spacing w:before="0" w:after="0"/>
        <w:ind w:left="3987" w:right="360" w:hanging="0"/>
        <w:jc w:val="left"/>
        <w:rPr>
          <w:rFonts w:ascii="Arial" w:hAnsi="Arial"/>
          <w:sz w:val="20"/>
        </w:rPr>
      </w:pPr>
      <w:r>
        <w:rPr>
          <w:rFonts w:ascii="Arial" w:hAnsi="Arial"/>
          <w:sz w:val="20"/>
        </w:rPr>
        <w:t xml:space="preserve">(a)of assets between the Transaction Parties; </w:t>
      </w:r>
    </w:p>
    <w:p>
      <w:pPr>
        <w:pStyle w:val="TextBody"/>
        <w:bidi w:val="0"/>
        <w:spacing w:lineRule="auto" w:line="264" w:before="107" w:after="0"/>
        <w:ind w:left="3983" w:right="1956" w:hanging="0"/>
        <w:jc w:val="left"/>
        <w:rPr>
          <w:rFonts w:ascii="Arial" w:hAnsi="Arial"/>
          <w:sz w:val="20"/>
        </w:rPr>
      </w:pPr>
      <w:r>
        <w:rPr>
          <w:rFonts w:ascii="Arial" w:hAnsi="Arial"/>
          <w:sz w:val="20"/>
        </w:rPr>
        <w:t>(b)represented by a lease or licence of real property granted by a Transaction Party in the ordinary course of business of the Reading Entertainment Australia Group;</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(c)of trading stock or cash made in the ordinary course of business;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(d)of plant and equipment in exchange for other assets comparable or superior as to type, value and quality;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(e)of obsolete or redundant assets;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(f)arising as a result of a Permitted Encumbrance or a Distribution or payment permitted by </w:t>
      </w:r>
      <w:r>
        <w:rPr>
          <w:rFonts w:ascii="Arial" w:hAnsi="Arial"/>
          <w:b/>
          <w:sz w:val="20"/>
        </w:rPr>
        <w:t xml:space="preserve">clause 9.6(f) </w:t>
      </w:r>
      <w:r>
        <w:rPr>
          <w:rFonts w:ascii="Arial" w:hAnsi="Arial"/>
          <w:sz w:val="20"/>
        </w:rPr>
        <w:t xml:space="preserve">or </w:t>
      </w:r>
      <w:r>
        <w:rPr>
          <w:rFonts w:ascii="Arial" w:hAnsi="Arial"/>
          <w:b/>
          <w:sz w:val="20"/>
        </w:rPr>
        <w:t>clause 9.6(k)</w:t>
      </w:r>
      <w:r>
        <w:rPr>
          <w:rFonts w:ascii="Arial" w:hAnsi="Arial"/>
          <w:sz w:val="20"/>
        </w:rPr>
        <w:t>;</w:t>
      </w:r>
      <w:r>
        <w:rPr>
          <w:rFonts w:ascii="Arial" w:hAnsi="Arial"/>
          <w:sz w:val="20"/>
        </w:rPr>
        <w:t xml:space="preserve"> </w:t>
      </w:r>
    </w:p>
    <w:p>
      <w:pPr>
        <w:pStyle w:val="TextBody"/>
        <w:bidi w:val="0"/>
        <w:spacing w:lineRule="auto" w:line="266"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13</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9" descr=""/>
                    <pic:cNvPicPr>
                      <a:picLocks noChangeAspect="1" noChangeArrowheads="1"/>
                    </pic:cNvPicPr>
                  </pic:nvPicPr>
                  <pic:blipFill>
                    <a:blip r:embed="rId7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0" descr=""/>
                    <pic:cNvPicPr>
                      <a:picLocks noChangeAspect="1" noChangeArrowheads="1"/>
                    </pic:cNvPicPr>
                  </pic:nvPicPr>
                  <pic:blipFill>
                    <a:blip r:embed="rId7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(g)of assets that are the subject of a floating charge (or its equivalent) under a Collateral Security, provided the disposal is made in the ordinary course of business;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(h)where the aggregate value of the assets disposed of in the 12 month period ending on the date of the relevant disposal (and including the value of the relevant disposal) does not exceed $2,000,000; </w:t>
      </w:r>
    </w:p>
    <w:p>
      <w:pPr>
        <w:pStyle w:val="TextBody"/>
        <w:bidi w:val="0"/>
        <w:spacing w:lineRule="auto" w:line="264" w:before="107" w:after="0"/>
        <w:ind w:left="3983" w:right="1956" w:hanging="0"/>
        <w:jc w:val="left"/>
        <w:rPr>
          <w:rFonts w:ascii="Arial" w:hAnsi="Arial"/>
          <w:sz w:val="20"/>
        </w:rPr>
      </w:pPr>
      <w:r>
        <w:rPr>
          <w:rFonts w:ascii="Arial" w:hAnsi="Arial"/>
          <w:sz w:val="20"/>
        </w:rPr>
        <w:t>(i)of the Cannon Park Property or the Waurn Ponds Property;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(j)of cash under any Permitted Distribution;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(k)of cash being payments of any expenses pursuant to </w:t>
      </w:r>
      <w:r>
        <w:rPr>
          <w:rFonts w:ascii="Arial" w:hAnsi="Arial"/>
          <w:b/>
          <w:sz w:val="20"/>
        </w:rPr>
        <w:t>clause</w:t>
      </w:r>
      <w:r>
        <w:rPr>
          <w:rFonts w:ascii="Arial" w:hAnsi="Arial"/>
          <w:sz w:val="20"/>
        </w:rPr>
        <w:t> </w:t>
      </w:r>
      <w:r>
        <w:rPr>
          <w:rFonts w:ascii="Arial" w:hAnsi="Arial"/>
          <w:b/>
          <w:sz w:val="20"/>
        </w:rPr>
        <w:t>9.13(b)</w:t>
      </w:r>
      <w:r>
        <w:rPr>
          <w:rFonts w:ascii="Arial" w:hAnsi="Arial"/>
          <w:sz w:val="20"/>
        </w:rPr>
        <w:t>.  </w:t>
      </w:r>
      <w:r>
        <w:rPr>
          <w:rFonts w:ascii="Arial" w:hAnsi="Arial"/>
          <w:b/>
          <w:sz w:val="20"/>
        </w:rPr>
        <w:t xml:space="preserve">Permitted Distribution </w:t>
      </w:r>
      <w:r>
        <w:rPr>
          <w:rFonts w:ascii="Arial" w:hAnsi="Arial"/>
          <w:sz w:val="20"/>
        </w:rPr>
        <w:t>means a Distribution: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(a)</w:t>
      </w:r>
      <w:r>
        <w:rPr>
          <w:rFonts w:ascii="Arial" w:hAnsi="Arial"/>
          <w:sz w:val="20"/>
        </w:rPr>
        <w:t xml:space="preserve">made by a Transaction Party only in form of dividend provided that no Event of Default, Potential Event of Default or Review Event subsists or will occur from making such Distribution; or </w:t>
      </w:r>
    </w:p>
    <w:p>
      <w:pPr>
        <w:pStyle w:val="TextBody"/>
        <w:bidi w:val="0"/>
        <w:spacing w:before="106" w:after="0"/>
        <w:ind w:left="3988" w:right="360" w:hanging="0"/>
        <w:jc w:val="left"/>
        <w:rPr>
          <w:rFonts w:ascii="Arial" w:hAnsi="Arial"/>
          <w:sz w:val="22"/>
        </w:rPr>
      </w:pPr>
      <w:r>
        <w:rPr>
          <w:rFonts w:ascii="Arial" w:hAnsi="Arial"/>
          <w:color w:val="2D97D3"/>
          <w:sz w:val="20"/>
        </w:rPr>
        <w:t>(b)</w:t>
      </w:r>
      <w:r>
        <w:rPr>
          <w:rFonts w:ascii="Arial" w:hAnsi="Arial"/>
          <w:sz w:val="20"/>
        </w:rPr>
        <w:t>in</w:t>
      </w:r>
      <w:r>
        <w:rPr>
          <w:rFonts w:ascii="Arial" w:hAnsi="Arial"/>
          <w:sz w:val="22"/>
        </w:rPr>
        <w:t> </w:t>
      </w:r>
      <w:r>
        <w:rPr>
          <w:rFonts w:ascii="Arial" w:hAnsi="Arial"/>
          <w:sz w:val="20"/>
        </w:rPr>
        <w:t>respect</w:t>
      </w:r>
      <w:r>
        <w:rPr>
          <w:rFonts w:ascii="Arial" w:hAnsi="Arial"/>
          <w:sz w:val="22"/>
        </w:rPr>
        <w:t> </w:t>
      </w:r>
      <w:r>
        <w:rPr>
          <w:rFonts w:ascii="Arial" w:hAnsi="Arial"/>
          <w:sz w:val="20"/>
        </w:rPr>
        <w:t>of</w:t>
      </w:r>
      <w:r>
        <w:rPr>
          <w:rFonts w:ascii="Arial" w:hAnsi="Arial"/>
          <w:sz w:val="22"/>
        </w:rPr>
        <w:t> </w:t>
      </w:r>
      <w:r>
        <w:rPr>
          <w:rFonts w:ascii="Arial" w:hAnsi="Arial"/>
          <w:sz w:val="20"/>
        </w:rPr>
        <w:t>the</w:t>
      </w:r>
      <w:r>
        <w:rPr>
          <w:rFonts w:ascii="Arial" w:hAnsi="Arial"/>
          <w:sz w:val="22"/>
        </w:rPr>
        <w:t> </w:t>
      </w:r>
      <w:r>
        <w:rPr>
          <w:rFonts w:ascii="Arial" w:hAnsi="Arial"/>
          <w:sz w:val="20"/>
        </w:rPr>
        <w:t>Canon</w:t>
      </w:r>
      <w:r>
        <w:rPr>
          <w:rFonts w:ascii="Arial" w:hAnsi="Arial"/>
          <w:sz w:val="22"/>
        </w:rPr>
        <w:t> </w:t>
      </w:r>
      <w:r>
        <w:rPr>
          <w:rFonts w:ascii="Arial" w:hAnsi="Arial"/>
          <w:sz w:val="20"/>
        </w:rPr>
        <w:t>Park</w:t>
      </w:r>
      <w:r>
        <w:rPr>
          <w:rFonts w:ascii="Arial" w:hAnsi="Arial"/>
          <w:sz w:val="22"/>
        </w:rPr>
        <w:t> </w:t>
      </w:r>
      <w:r>
        <w:rPr>
          <w:rFonts w:ascii="Arial" w:hAnsi="Arial"/>
          <w:sz w:val="20"/>
        </w:rPr>
        <w:t>Property</w:t>
      </w:r>
      <w:r>
        <w:rPr>
          <w:rFonts w:ascii="Arial" w:hAnsi="Arial"/>
          <w:color w:val="2D97D3"/>
          <w:sz w:val="20"/>
          <w:u w:val="single"/>
        </w:rPr>
        <w:t>,</w:t>
      </w:r>
      <w:r>
        <w:rPr>
          <w:rFonts w:ascii="Arial" w:hAnsi="Arial"/>
          <w:color w:val="2D97D3"/>
          <w:sz w:val="22"/>
          <w:u w:val="single"/>
        </w:rPr>
        <w:t> </w:t>
      </w:r>
      <w:r>
        <w:rPr>
          <w:rFonts w:ascii="Arial" w:hAnsi="Arial"/>
          <w:color w:val="2D97D3"/>
          <w:sz w:val="20"/>
          <w:u w:val="single"/>
        </w:rPr>
        <w:t>following:</w:t>
      </w:r>
      <w:r>
        <w:rPr>
          <w:rFonts w:ascii="Arial" w:hAnsi="Arial"/>
          <w:sz w:val="22"/>
        </w:rPr>
        <w:t xml:space="preserve"> </w:t>
      </w:r>
    </w:p>
    <w:p>
      <w:pPr>
        <w:pStyle w:val="TextBody"/>
        <w:bidi w:val="0"/>
        <w:spacing w:lineRule="auto" w:line="264" w:before="135" w:after="0"/>
        <w:ind w:left="4521" w:right="1850" w:hanging="0"/>
        <w:jc w:val="both"/>
        <w:rPr>
          <w:rFonts w:ascii="Arial" w:hAnsi="Arial"/>
          <w:sz w:val="20"/>
        </w:rPr>
      </w:pPr>
      <w:r>
        <w:rPr>
          <w:rFonts w:ascii="Arial" w:hAnsi="Arial"/>
          <w:color w:val="2D97D3"/>
          <w:sz w:val="20"/>
          <w:u w:val="single"/>
        </w:rPr>
        <w:t>(i)    the repayment from the Net Sale Proceeds in permanent reduction</w:t>
      </w:r>
      <w:r>
        <w:rPr>
          <w:rFonts w:ascii="Arial" w:hAnsi="Arial"/>
          <w:color w:val="2D97D3"/>
          <w:sz w:val="20"/>
        </w:rPr>
        <w:t> </w:t>
      </w:r>
      <w:r>
        <w:rPr>
          <w:rFonts w:ascii="Arial" w:hAnsi="Arial"/>
          <w:color w:val="2D97D3"/>
          <w:sz w:val="20"/>
          <w:u w:val="single"/>
        </w:rPr>
        <w:t>of the Outstanding Accommodation for the Bridge Facility to nil and</w:t>
      </w:r>
      <w:r>
        <w:rPr>
          <w:rFonts w:ascii="Arial" w:hAnsi="Arial"/>
          <w:color w:val="2D97D3"/>
          <w:sz w:val="20"/>
        </w:rPr>
        <w:t> </w:t>
      </w:r>
      <w:r>
        <w:rPr>
          <w:rFonts w:ascii="Arial" w:hAnsi="Arial"/>
          <w:color w:val="2D97D3"/>
          <w:sz w:val="20"/>
          <w:u w:val="single"/>
        </w:rPr>
        <w:t>cancellation of the Facility Limit of the Bridge Facility in accordance</w:t>
      </w:r>
      <w:r>
        <w:rPr>
          <w:rFonts w:ascii="Arial" w:hAnsi="Arial"/>
          <w:color w:val="2D97D3"/>
          <w:sz w:val="20"/>
        </w:rPr>
        <w:t> </w:t>
      </w:r>
      <w:r>
        <w:rPr>
          <w:rFonts w:ascii="Arial" w:hAnsi="Arial"/>
          <w:color w:val="2D97D3"/>
          <w:sz w:val="20"/>
        </w:rPr>
        <w:t xml:space="preserve">with </w:t>
      </w:r>
      <w:r>
        <w:rPr>
          <w:rFonts w:ascii="Arial" w:hAnsi="Arial"/>
          <w:b/>
          <w:color w:val="2D97D3"/>
          <w:sz w:val="20"/>
        </w:rPr>
        <w:t>clause 5.4(b)(i)(A)</w:t>
      </w:r>
      <w:r>
        <w:rPr>
          <w:rFonts w:ascii="Arial" w:hAnsi="Arial"/>
          <w:color w:val="2D97D3"/>
          <w:sz w:val="20"/>
        </w:rPr>
        <w:t>; and</w:t>
      </w:r>
      <w:r>
        <w:rPr>
          <w:rFonts w:ascii="Arial" w:hAnsi="Arial"/>
          <w:sz w:val="20"/>
        </w:rPr>
        <w:t xml:space="preserve"> </w:t>
      </w:r>
    </w:p>
    <w:p>
      <w:pPr>
        <w:pStyle w:val="TextBody"/>
        <w:bidi w:val="0"/>
        <w:spacing w:lineRule="auto" w:line="264" w:before="109" w:after="0"/>
        <w:ind w:left="4521" w:right="1872" w:hanging="0"/>
        <w:jc w:val="left"/>
        <w:rPr>
          <w:rFonts w:ascii="Arial" w:hAnsi="Arial"/>
          <w:sz w:val="20"/>
        </w:rPr>
      </w:pPr>
      <w:r>
        <w:rPr>
          <w:rFonts w:ascii="Arial" w:hAnsi="Arial"/>
          <w:color w:val="2D97D3"/>
          <w:sz w:val="20"/>
          <w:u w:val="single"/>
        </w:rPr>
        <w:t>(ii)the repayment of $1,500,000 from the Net Sale Proceeds in</w:t>
      </w:r>
      <w:r>
        <w:rPr>
          <w:rFonts w:ascii="Arial" w:hAnsi="Arial"/>
          <w:color w:val="2D97D3"/>
          <w:sz w:val="20"/>
        </w:rPr>
        <w:t> </w:t>
      </w:r>
      <w:r>
        <w:rPr>
          <w:rFonts w:ascii="Arial" w:hAnsi="Arial"/>
          <w:color w:val="2D97D3"/>
          <w:sz w:val="20"/>
          <w:u w:val="single"/>
        </w:rPr>
        <w:t>permanent reduction of the Outstanding Accommodation and the</w:t>
      </w:r>
      <w:r>
        <w:rPr>
          <w:rFonts w:ascii="Arial" w:hAnsi="Arial"/>
          <w:color w:val="2D97D3"/>
          <w:sz w:val="20"/>
        </w:rPr>
        <w:t> </w:t>
      </w:r>
      <w:r>
        <w:rPr>
          <w:rFonts w:ascii="Arial" w:hAnsi="Arial"/>
          <w:color w:val="2D97D3"/>
          <w:sz w:val="20"/>
          <w:u w:val="single"/>
        </w:rPr>
        <w:t>Facility Limit for the Corporate Markets Loan Facility in accordance</w:t>
      </w:r>
      <w:r>
        <w:rPr>
          <w:rFonts w:ascii="Arial" w:hAnsi="Arial"/>
          <w:color w:val="2D97D3"/>
          <w:sz w:val="20"/>
        </w:rPr>
        <w:t> </w:t>
      </w:r>
      <w:r>
        <w:rPr>
          <w:rFonts w:ascii="Arial" w:hAnsi="Arial"/>
          <w:color w:val="2D97D3"/>
          <w:sz w:val="20"/>
          <w:u w:val="single"/>
        </w:rPr>
        <w:t xml:space="preserve">with </w:t>
      </w:r>
      <w:r>
        <w:rPr>
          <w:rFonts w:ascii="Arial" w:hAnsi="Arial"/>
          <w:b/>
          <w:color w:val="2D97D3"/>
          <w:sz w:val="20"/>
          <w:u w:val="single"/>
        </w:rPr>
        <w:t>clause 5.4(b)(i)(B)</w:t>
      </w:r>
      <w:r>
        <w:rPr>
          <w:rFonts w:ascii="Arial" w:hAnsi="Arial"/>
          <w:color w:val="2D97D3"/>
          <w:sz w:val="20"/>
          <w:u w:val="single"/>
        </w:rPr>
        <w:t>,</w:t>
      </w:r>
      <w:r>
        <w:rPr>
          <w:rFonts w:ascii="Arial" w:hAnsi="Arial"/>
          <w:sz w:val="20"/>
        </w:rPr>
        <w:t xml:space="preserve"> </w:t>
      </w:r>
    </w:p>
    <w:p>
      <w:pPr>
        <w:pStyle w:val="TextBody"/>
        <w:bidi w:val="0"/>
        <w:spacing w:before="109" w:after="0"/>
        <w:ind w:left="3988" w:right="360" w:hanging="0"/>
        <w:jc w:val="left"/>
        <w:rPr>
          <w:rFonts w:ascii="Arial" w:hAnsi="Arial"/>
          <w:sz w:val="20"/>
        </w:rPr>
      </w:pPr>
      <w:r>
        <w:rPr>
          <w:rFonts w:ascii="Arial" w:hAnsi="Arial"/>
          <w:color w:val="2D97D3"/>
          <w:sz w:val="20"/>
          <w:u w:val="single"/>
        </w:rPr>
        <w:t>any remaining Net Sale Proceeds;</w:t>
      </w:r>
      <w:r>
        <w:rPr>
          <w:rFonts w:ascii="Arial" w:hAnsi="Arial"/>
          <w:color w:val="B5082D"/>
          <w:sz w:val="20"/>
        </w:rPr>
        <w:t>:</w:t>
      </w:r>
      <w:r>
        <w:rPr>
          <w:rFonts w:ascii="Arial" w:hAnsi="Arial"/>
          <w:sz w:val="20"/>
        </w:rPr>
        <w:t xml:space="preserve"> </w:t>
      </w:r>
    </w:p>
    <w:p>
      <w:pPr>
        <w:pStyle w:val="TextBody"/>
        <w:bidi w:val="0"/>
        <w:spacing w:lineRule="auto" w:line="264" w:before="135" w:after="0"/>
        <w:ind w:left="4521" w:right="1859" w:hanging="0"/>
        <w:jc w:val="left"/>
        <w:rPr>
          <w:rFonts w:ascii="Arial" w:hAnsi="Arial"/>
          <w:sz w:val="20"/>
        </w:rPr>
      </w:pPr>
      <w:r>
        <w:rPr>
          <w:rFonts w:ascii="Arial" w:hAnsi="Arial"/>
          <w:strike/>
          <w:color w:val="B5082D"/>
          <w:sz w:val="20"/>
        </w:rPr>
        <w:t>(i)following repayment of the Stage 1 Amount in permanent reduction</w:t>
      </w:r>
      <w:r>
        <w:rPr>
          <w:rFonts w:ascii="Arial" w:hAnsi="Arial"/>
          <w:color w:val="B5082D"/>
          <w:sz w:val="20"/>
        </w:rPr>
        <w:t> </w:t>
      </w:r>
      <w:r>
        <w:rPr>
          <w:rFonts w:ascii="Arial" w:hAnsi="Arial"/>
          <w:strike/>
          <w:color w:val="B5082D"/>
          <w:sz w:val="20"/>
        </w:rPr>
        <w:t>of the Outstanding Accommodation and the Facility Limit under the</w:t>
      </w:r>
      <w:r>
        <w:rPr>
          <w:rFonts w:ascii="Arial" w:hAnsi="Arial"/>
          <w:color w:val="B5082D"/>
          <w:sz w:val="20"/>
        </w:rPr>
        <w:t> </w:t>
      </w:r>
      <w:r>
        <w:rPr>
          <w:rFonts w:ascii="Arial" w:hAnsi="Arial"/>
          <w:strike/>
          <w:color w:val="B5082D"/>
          <w:sz w:val="20"/>
        </w:rPr>
        <w:t xml:space="preserve">Bridge Facility to $10,000,000 in accordance with </w:t>
      </w:r>
      <w:r>
        <w:rPr>
          <w:rFonts w:ascii="Arial" w:hAnsi="Arial"/>
          <w:b/>
          <w:strike/>
          <w:color w:val="B5082D"/>
          <w:sz w:val="20"/>
        </w:rPr>
        <w:t>clause</w:t>
      </w:r>
      <w:r>
        <w:rPr>
          <w:rFonts w:ascii="Arial" w:hAnsi="Arial"/>
          <w:color w:val="B5082D"/>
          <w:sz w:val="20"/>
        </w:rPr>
        <w:t> </w:t>
      </w:r>
      <w:r>
        <w:rPr>
          <w:rFonts w:ascii="Arial" w:hAnsi="Arial"/>
          <w:b/>
          <w:strike/>
          <w:color w:val="B5082D"/>
          <w:sz w:val="20"/>
        </w:rPr>
        <w:t>5.4(b)(i)(A)</w:t>
      </w:r>
      <w:r>
        <w:rPr>
          <w:rFonts w:ascii="Arial" w:hAnsi="Arial"/>
          <w:strike/>
          <w:color w:val="B5082D"/>
          <w:sz w:val="20"/>
        </w:rPr>
        <w:t>, the remaining Net Sale Proceeds from the Stage 1</w:t>
      </w:r>
      <w:r>
        <w:rPr>
          <w:rFonts w:ascii="Arial" w:hAnsi="Arial"/>
          <w:color w:val="B5082D"/>
          <w:sz w:val="20"/>
        </w:rPr>
        <w:t> </w:t>
      </w:r>
      <w:r>
        <w:rPr>
          <w:rFonts w:ascii="Arial" w:hAnsi="Arial"/>
          <w:strike/>
          <w:color w:val="B5082D"/>
          <w:sz w:val="20"/>
        </w:rPr>
        <w:t>Sale up to $5,000,000; and</w:t>
      </w:r>
      <w:r>
        <w:rPr>
          <w:rFonts w:ascii="Arial" w:hAnsi="Arial"/>
          <w:sz w:val="20"/>
        </w:rPr>
        <w:t xml:space="preserve"> </w:t>
      </w:r>
    </w:p>
    <w:p>
      <w:pPr>
        <w:pStyle w:val="TextBody"/>
        <w:bidi w:val="0"/>
        <w:spacing w:lineRule="auto" w:line="264" w:before="107" w:after="0"/>
        <w:ind w:left="3983" w:right="1956" w:hanging="533"/>
        <w:jc w:val="left"/>
        <w:rPr>
          <w:rFonts w:ascii="Arial" w:hAnsi="Arial"/>
          <w:sz w:val="20"/>
        </w:rPr>
      </w:pPr>
      <w:r>
        <w:rPr>
          <w:rFonts w:ascii="Arial" w:hAnsi="Arial"/>
          <w:strike/>
          <w:color w:val="B5082D"/>
          <w:sz w:val="20"/>
        </w:rPr>
        <w:t>(b)</w:t>
      </w:r>
      <w:r>
        <w:rPr>
          <w:rFonts w:ascii="Arial" w:hAnsi="Arial"/>
          <w:color w:val="2D97D3"/>
          <w:sz w:val="20"/>
          <w:u w:val="single"/>
        </w:rPr>
        <w:t xml:space="preserve">(c) </w:t>
      </w:r>
      <w:r>
        <w:rPr>
          <w:rFonts w:ascii="Arial" w:hAnsi="Arial"/>
          <w:strike/>
          <w:color w:val="B5082D"/>
          <w:sz w:val="20"/>
        </w:rPr>
        <w:t>following the repayment of the Stage 2 Amount in permanent reduction</w:t>
      </w:r>
      <w:r>
        <w:rPr>
          <w:rFonts w:ascii="Arial" w:hAnsi="Arial"/>
          <w:color w:val="B5082D"/>
          <w:sz w:val="20"/>
        </w:rPr>
        <w:t> </w:t>
      </w:r>
      <w:r>
        <w:rPr>
          <w:rFonts w:ascii="Arial" w:hAnsi="Arial"/>
          <w:strike/>
          <w:color w:val="B5082D"/>
          <w:sz w:val="20"/>
        </w:rPr>
        <w:t>of the Outstanding Accommodation under the Bridge Facility to nil and</w:t>
      </w:r>
      <w:r>
        <w:rPr>
          <w:rFonts w:ascii="Arial" w:hAnsi="Arial"/>
          <w:color w:val="B5082D"/>
          <w:sz w:val="20"/>
        </w:rPr>
        <w:t> </w:t>
      </w:r>
      <w:r>
        <w:rPr>
          <w:rFonts w:ascii="Arial" w:hAnsi="Arial"/>
          <w:strike/>
          <w:color w:val="B5082D"/>
          <w:sz w:val="20"/>
        </w:rPr>
        <w:t>cancellation of the Facility Limit of the Bridge Facility in accordance with</w:t>
      </w:r>
      <w:r>
        <w:rPr>
          <w:rFonts w:ascii="Arial" w:hAnsi="Arial"/>
          <w:color w:val="B5082D"/>
          <w:sz w:val="20"/>
        </w:rPr>
        <w:t> </w:t>
      </w:r>
      <w:r>
        <w:rPr>
          <w:rFonts w:ascii="Arial" w:hAnsi="Arial"/>
          <w:b/>
          <w:strike/>
          <w:color w:val="B5082D"/>
          <w:sz w:val="20"/>
        </w:rPr>
        <w:t>clause</w:t>
      </w:r>
      <w:r>
        <w:rPr>
          <w:rFonts w:ascii="Arial" w:hAnsi="Arial"/>
          <w:strike/>
          <w:color w:val="B5082D"/>
          <w:sz w:val="20"/>
        </w:rPr>
        <w:t> </w:t>
      </w:r>
      <w:r>
        <w:rPr>
          <w:rFonts w:ascii="Arial" w:hAnsi="Arial"/>
          <w:b/>
          <w:strike/>
          <w:color w:val="B5082D"/>
          <w:sz w:val="20"/>
        </w:rPr>
        <w:t>5.4(b)(i)(B)</w:t>
      </w:r>
      <w:r>
        <w:rPr>
          <w:rFonts w:ascii="Arial" w:hAnsi="Arial"/>
          <w:strike/>
          <w:color w:val="B5082D"/>
          <w:sz w:val="20"/>
        </w:rPr>
        <w:t>, any remaining Net Sale Proceeds from the Stage 2</w:t>
      </w:r>
      <w:r>
        <w:rPr>
          <w:rFonts w:ascii="Arial" w:hAnsi="Arial"/>
          <w:color w:val="B5082D"/>
          <w:sz w:val="20"/>
        </w:rPr>
        <w:t> </w:t>
      </w:r>
      <w:r>
        <w:rPr>
          <w:rFonts w:ascii="Arial" w:hAnsi="Arial"/>
          <w:strike/>
          <w:color w:val="B5082D"/>
          <w:sz w:val="20"/>
        </w:rPr>
        <w:t>Sale; in respect of the Cannon Park Property or the Waurn Ponds</w:t>
      </w:r>
      <w:r>
        <w:rPr>
          <w:rFonts w:ascii="Arial" w:hAnsi="Arial"/>
          <w:color w:val="B5082D"/>
          <w:sz w:val="20"/>
        </w:rPr>
        <w:t> </w:t>
      </w:r>
      <w:r>
        <w:rPr>
          <w:rFonts w:ascii="Arial" w:hAnsi="Arial"/>
          <w:strike/>
          <w:color w:val="B5082D"/>
          <w:sz w:val="20"/>
        </w:rPr>
        <w:t>Property; or</w:t>
      </w:r>
      <w:r>
        <w:rPr>
          <w:rFonts w:ascii="Arial" w:hAnsi="Arial"/>
          <w:sz w:val="20"/>
        </w:rPr>
        <w:t xml:space="preserve">following repayment of the Bridge Facility and cancellation of the Bridge Facility Limit, any remaining Net Sale Proceeds in respect of the Waurn Ponds Property; or </w:t>
      </w:r>
    </w:p>
    <w:p>
      <w:pPr>
        <w:pStyle w:val="TextBody"/>
        <w:bidi w:val="0"/>
        <w:spacing w:lineRule="auto" w:line="264" w:before="107" w:after="0"/>
        <w:ind w:left="3983" w:right="1956" w:hanging="533"/>
        <w:jc w:val="left"/>
        <w:rPr>
          <w:rFonts w:ascii="Arial" w:hAnsi="Arial"/>
          <w:sz w:val="20"/>
        </w:rPr>
      </w:pPr>
      <w:r>
        <w:rPr>
          <w:rFonts w:ascii="Arial" w:hAnsi="Arial"/>
          <w:strike/>
          <w:color w:val="B5082D"/>
          <w:sz w:val="20"/>
        </w:rPr>
        <w:t>(c)</w:t>
      </w:r>
      <w:r>
        <w:rPr>
          <w:rFonts w:ascii="Arial" w:hAnsi="Arial"/>
          <w:color w:val="2D97D3"/>
          <w:sz w:val="20"/>
          <w:u w:val="single"/>
        </w:rPr>
        <w:t>(d) </w:t>
      </w:r>
      <w:r>
        <w:rPr>
          <w:rFonts w:ascii="Arial" w:hAnsi="Arial"/>
          <w:sz w:val="20"/>
        </w:rPr>
        <w:t xml:space="preserve">made with the Bank’s prior written consent. </w:t>
      </w:r>
    </w:p>
    <w:p>
      <w:pPr>
        <w:pStyle w:val="TextBody"/>
        <w:bidi w:val="0"/>
        <w:spacing w:before="135" w:after="0"/>
        <w:ind w:left="3456" w:right="360" w:hanging="0"/>
        <w:jc w:val="left"/>
        <w:rPr>
          <w:rFonts w:ascii="Arial" w:hAnsi="Arial"/>
          <w:sz w:val="20"/>
        </w:rPr>
      </w:pPr>
      <w:r>
        <w:rPr>
          <w:rFonts w:ascii="Arial" w:hAnsi="Arial"/>
          <w:b/>
          <w:sz w:val="20"/>
        </w:rPr>
        <w:t>Permitted</w:t>
      </w:r>
      <w:r>
        <w:rPr>
          <w:rFonts w:ascii="Arial" w:hAnsi="Arial"/>
          <w:sz w:val="20"/>
        </w:rPr>
        <w:t> </w:t>
      </w:r>
      <w:r>
        <w:rPr>
          <w:rFonts w:ascii="Arial" w:hAnsi="Arial"/>
          <w:b/>
          <w:sz w:val="20"/>
        </w:rPr>
        <w:t>Encumbrance</w:t>
      </w:r>
      <w:r>
        <w:rPr>
          <w:rFonts w:ascii="Arial" w:hAnsi="Arial"/>
          <w:sz w:val="20"/>
        </w:rPr>
        <w:t xml:space="preserve"> means: </w:t>
      </w:r>
    </w:p>
    <w:p>
      <w:pPr>
        <w:pStyle w:val="TextBody"/>
        <w:bidi w:val="0"/>
        <w:spacing w:lineRule="auto" w:line="264" w:before="107" w:after="0"/>
        <w:ind w:left="3983" w:right="1956" w:hanging="0"/>
        <w:jc w:val="left"/>
        <w:rPr>
          <w:rFonts w:ascii="Arial" w:hAnsi="Arial"/>
          <w:sz w:val="20"/>
        </w:rPr>
      </w:pPr>
      <w:r>
        <w:rPr>
          <w:rFonts w:ascii="Arial" w:hAnsi="Arial"/>
          <w:sz w:val="20"/>
        </w:rPr>
        <w:t>(a)an Encumbrance which has been approved by the Bank (including the Security Interests created by any Transaction Document);</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14</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1" descr=""/>
                    <pic:cNvPicPr>
                      <a:picLocks noChangeAspect="1" noChangeArrowheads="1"/>
                    </pic:cNvPicPr>
                  </pic:nvPicPr>
                  <pic:blipFill>
                    <a:blip r:embed="rId7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2" descr=""/>
                    <pic:cNvPicPr>
                      <a:picLocks noChangeAspect="1" noChangeArrowheads="1"/>
                    </pic:cNvPicPr>
                  </pic:nvPicPr>
                  <pic:blipFill>
                    <a:blip r:embed="rId7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(b)any right of set off or combination arising by operation of law or practice over money deposited with a bank or financial institution in the ordinary course of the business of a Transaction Party;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(c)an Encumbrance which arises by operation of law in the ordinary course of the business of a Transaction Party provided the debt secured by that Encumbrance is paid when due or contested in good faith by appropriate proceedings; </w:t>
      </w:r>
    </w:p>
    <w:p>
      <w:pPr>
        <w:pStyle w:val="TextBody"/>
        <w:bidi w:val="0"/>
        <w:spacing w:lineRule="auto" w:line="264" w:before="107" w:after="0"/>
        <w:ind w:left="3983" w:right="1956" w:hanging="0"/>
        <w:jc w:val="left"/>
        <w:rPr>
          <w:rFonts w:ascii="Arial" w:hAnsi="Arial"/>
          <w:sz w:val="20"/>
        </w:rPr>
      </w:pPr>
      <w:r>
        <w:rPr>
          <w:rFonts w:ascii="Arial" w:hAnsi="Arial"/>
          <w:sz w:val="20"/>
        </w:rPr>
        <w:t>(d)every easement, restrictive covenant, caveat or similar restriction over property, right of way, exception, encroachment, reservation, restriction, condition or limitation which arises in the ordinary course of the ordinary business of the relevant Transaction Party and does not either by itself or in the aggregate materially interfere with or impair the operation or use of a property affected thereby, have a Material Adverse Effect or otherwise restrict or prevent the Bank exercising its rights against any Secured Property under the relevant Collateral Security;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(e)every right reserved to, or vested in, any municipality 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 or the use thereof, have a Material Adverse Effect or otherwise restrict or prevent the Bank exercising its rights against any Secured Property under the relevant Collateral Security;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(f)every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 connection with worker’s compensation, unemployment insurance and other  types of social security;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(g)every Encumbrance incurred or deposit made in the ordinary course of the business of a Transaction Party in respect of a leasehold property, the purchase of assets or the use of utilities, provided that: </w:t>
      </w:r>
    </w:p>
    <w:p>
      <w:pPr>
        <w:pStyle w:val="TextBody"/>
        <w:bidi w:val="0"/>
        <w:spacing w:lineRule="auto" w:line="264" w:before="108" w:after="0"/>
        <w:ind w:left="4540" w:right="1921" w:hanging="0"/>
        <w:jc w:val="left"/>
        <w:rPr>
          <w:rFonts w:ascii="Arial" w:hAnsi="Arial"/>
          <w:sz w:val="20"/>
        </w:rPr>
      </w:pPr>
      <w:r>
        <w:rPr>
          <w:rFonts w:ascii="Arial" w:hAnsi="Arial"/>
          <w:sz w:val="20"/>
        </w:rPr>
        <w:t xml:space="preserve">(i)in relation to an Encumbrance incurred or deposit made in respect of the purchase of assets which secures an aggregate amount greater than $250,000 the Bank has given prior written consent to the Borrower; and </w:t>
      </w:r>
    </w:p>
    <w:p>
      <w:pPr>
        <w:pStyle w:val="TextBody"/>
        <w:bidi w:val="0"/>
        <w:spacing w:lineRule="auto" w:line="264" w:before="107" w:after="0"/>
        <w:ind w:left="4540" w:right="1961" w:hanging="0"/>
        <w:jc w:val="left"/>
        <w:rPr>
          <w:rFonts w:ascii="Arial" w:hAnsi="Arial"/>
          <w:sz w:val="20"/>
        </w:rPr>
      </w:pPr>
      <w:r>
        <w:rPr>
          <w:rFonts w:ascii="Arial" w:hAnsi="Arial"/>
          <w:sz w:val="20"/>
        </w:rPr>
        <w:t xml:space="preserve">(ii)the recourse of the holder of that Encumbrance is limited to the leasehold interest, the assets purchased or use of utilities and the proceeds of enforcement of the Encumbrance. </w:t>
      </w:r>
    </w:p>
    <w:p>
      <w:pPr>
        <w:pStyle w:val="TextBody"/>
        <w:bidi w:val="0"/>
        <w:spacing w:lineRule="auto" w:line="264" w:before="107" w:after="0"/>
        <w:ind w:left="3983" w:right="1956" w:hanging="0"/>
        <w:jc w:val="left"/>
        <w:rPr>
          <w:rFonts w:ascii="Arial" w:hAnsi="Arial"/>
          <w:sz w:val="20"/>
        </w:rPr>
      </w:pPr>
      <w:r>
        <w:rPr>
          <w:rFonts w:ascii="Arial" w:hAnsi="Arial"/>
          <w:sz w:val="20"/>
        </w:rPr>
        <w:t>(h)every retention of title arrangement in respect of trading stock acquired or to be acquired by a Transaction Party in the ordinary course of business;</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15</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3" descr=""/>
                    <pic:cNvPicPr>
                      <a:picLocks noChangeAspect="1" noChangeArrowheads="1"/>
                    </pic:cNvPicPr>
                  </pic:nvPicPr>
                  <pic:blipFill>
                    <a:blip r:embed="rId7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4" descr=""/>
                    <pic:cNvPicPr>
                      <a:picLocks noChangeAspect="1" noChangeArrowheads="1"/>
                    </pic:cNvPicPr>
                  </pic:nvPicPr>
                  <pic:blipFill>
                    <a:blip r:embed="rId7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(i)any easement, caveat or other restriction in relation to a Freehold Property that would be apparent from a title search conducted before the date of this document.</w:t>
      </w:r>
      <w:r>
        <w:rPr>
          <w:rFonts w:ascii="Arial" w:hAnsi="Arial"/>
          <w:sz w:val="20"/>
        </w:rPr>
        <w:t xml:space="preserve"> </w:t>
      </w:r>
    </w:p>
    <w:p>
      <w:pPr>
        <w:pStyle w:val="TextBody"/>
        <w:bidi w:val="0"/>
        <w:spacing w:before="110" w:after="0"/>
        <w:ind w:left="3456" w:right="360" w:hanging="0"/>
        <w:jc w:val="left"/>
        <w:rPr>
          <w:rFonts w:ascii="Arial" w:hAnsi="Arial"/>
          <w:b/>
          <w:sz w:val="20"/>
        </w:rPr>
      </w:pPr>
      <w:r>
        <w:rPr>
          <w:rFonts w:ascii="Arial" w:hAnsi="Arial"/>
          <w:b/>
          <w:sz w:val="20"/>
        </w:rPr>
        <w:t>Permitted Financial Accommodation </w:t>
      </w:r>
      <w:r>
        <w:rPr>
          <w:rFonts w:ascii="Arial" w:hAnsi="Arial"/>
          <w:b w:val="false"/>
          <w:sz w:val="20"/>
        </w:rPr>
        <w:t>means:</w:t>
      </w:r>
      <w:r>
        <w:rPr>
          <w:rFonts w:ascii="Arial" w:hAnsi="Arial"/>
          <w:b/>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(a)financial accommodation granted by a Transaction Party to another Transaction Party;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(b)loan granted by Reading Entertainment Australia Group to the Parent and/or Reading New Zealand Ltd, up to $15,100,000;</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(c)any trade credit extended by a Transaction Party to its customers on normal commercial terms and in the ordinary course of business;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(d)additional financial accommodation up to a maximum aggregate amount not exceeding $15,900,000;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(e)any other financial accommodation granted with the prior consent of the Bank.</w:t>
      </w:r>
      <w:r>
        <w:rPr>
          <w:rFonts w:ascii="Arial" w:hAnsi="Arial"/>
          <w:sz w:val="20"/>
        </w:rPr>
        <w:t xml:space="preserve"> </w:t>
      </w:r>
    </w:p>
    <w:p>
      <w:pPr>
        <w:pStyle w:val="TextBody"/>
        <w:bidi w:val="0"/>
        <w:spacing w:before="111" w:after="0"/>
        <w:ind w:left="3456" w:right="360" w:hanging="0"/>
        <w:jc w:val="left"/>
        <w:rPr>
          <w:rFonts w:ascii="Arial" w:hAnsi="Arial"/>
          <w:b/>
          <w:sz w:val="20"/>
        </w:rPr>
      </w:pPr>
      <w:r>
        <w:rPr>
          <w:rFonts w:ascii="Arial" w:hAnsi="Arial"/>
          <w:b/>
          <w:sz w:val="20"/>
        </w:rPr>
        <w:t>Permitted Financial Indebtedness </w:t>
      </w:r>
      <w:r>
        <w:rPr>
          <w:rFonts w:ascii="Arial" w:hAnsi="Arial"/>
          <w:b w:val="false"/>
          <w:sz w:val="20"/>
        </w:rPr>
        <w:t>means:</w:t>
      </w:r>
      <w:r>
        <w:rPr>
          <w:rFonts w:ascii="Arial" w:hAnsi="Arial"/>
          <w:b/>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(a)trade debt incurred in the ordinary course of business of the Transaction Parties;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(b)Financial Indebtedness incurred under the Transaction Documents;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(c)Financial Indebtedness owing from one Transaction Party to another Transaction Party;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(d)any Subordinated Debt;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(e)a $225,000 loan from the landlord of the Westlakes Cinema property;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(f)a $400,000 loan from the landlord of the Rhodes Cinema property;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(g)Financial Indebtedness arising under any performance or similar bond guaranteeing performance by a Transaction Party under any contract entered into in the ordinary course of business;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(h)Financial Indebtedness arising under a guarantee given to a landlord in respect of a lease entered into by a Transaction Party;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(i)Financial Indebtedness under finance or capital leases of vehicles, plant, equipment or computers;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(j)Financial Indebtedness not permitted by the preceding paragraphs and the outstanding principal amount of which does not exceed $2,000,000 in aggregate for the Transaction Parties at any time.</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16</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5" descr=""/>
                    <pic:cNvPicPr>
                      <a:picLocks noChangeAspect="1" noChangeArrowheads="1"/>
                    </pic:cNvPicPr>
                  </pic:nvPicPr>
                  <pic:blipFill>
                    <a:blip r:embed="rId7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7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6" descr=""/>
                    <pic:cNvPicPr>
                      <a:picLocks noChangeAspect="1" noChangeArrowheads="1"/>
                    </pic:cNvPicPr>
                  </pic:nvPicPr>
                  <pic:blipFill>
                    <a:blip r:embed="rId7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bidi w:val="0"/>
        <w:spacing w:before="1" w:after="0"/>
        <w:ind w:left="3456" w:right="360" w:hanging="0"/>
        <w:jc w:val="left"/>
        <w:rPr>
          <w:rFonts w:ascii="Arial" w:hAnsi="Arial"/>
          <w:sz w:val="20"/>
        </w:rPr>
      </w:pPr>
      <w:r>
        <w:rPr>
          <w:rFonts w:ascii="Arial" w:hAnsi="Arial"/>
          <w:b/>
          <w:sz w:val="20"/>
        </w:rPr>
        <w:t>PPS</w:t>
      </w:r>
      <w:r>
        <w:rPr>
          <w:rFonts w:ascii="Arial" w:hAnsi="Arial"/>
          <w:sz w:val="20"/>
        </w:rPr>
        <w:t> </w:t>
      </w:r>
      <w:r>
        <w:rPr>
          <w:rFonts w:ascii="Arial" w:hAnsi="Arial"/>
          <w:b/>
          <w:sz w:val="20"/>
        </w:rPr>
        <w:t>Act</w:t>
      </w:r>
      <w:r>
        <w:rPr>
          <w:rFonts w:ascii="Arial" w:hAnsi="Arial"/>
          <w:sz w:val="20"/>
        </w:rPr>
        <w:t> means the </w:t>
      </w:r>
      <w:r>
        <w:rPr>
          <w:rFonts w:ascii="Arial" w:hAnsi="Arial"/>
          <w:i/>
          <w:sz w:val="20"/>
        </w:rPr>
        <w:t>Personal</w:t>
      </w:r>
      <w:r>
        <w:rPr>
          <w:rFonts w:ascii="Arial" w:hAnsi="Arial"/>
          <w:sz w:val="20"/>
        </w:rPr>
        <w:t> </w:t>
      </w:r>
      <w:r>
        <w:rPr>
          <w:rFonts w:ascii="Arial" w:hAnsi="Arial"/>
          <w:i/>
          <w:sz w:val="20"/>
        </w:rPr>
        <w:t>Property</w:t>
      </w:r>
      <w:r>
        <w:rPr>
          <w:rFonts w:ascii="Arial" w:hAnsi="Arial"/>
          <w:sz w:val="20"/>
        </w:rPr>
        <w:t> </w:t>
      </w:r>
      <w:r>
        <w:rPr>
          <w:rFonts w:ascii="Arial" w:hAnsi="Arial"/>
          <w:i/>
          <w:sz w:val="20"/>
        </w:rPr>
        <w:t>Securities</w:t>
      </w:r>
      <w:r>
        <w:rPr>
          <w:rFonts w:ascii="Arial" w:hAnsi="Arial"/>
          <w:sz w:val="20"/>
        </w:rPr>
        <w:t> </w:t>
      </w:r>
      <w:r>
        <w:rPr>
          <w:rFonts w:ascii="Arial" w:hAnsi="Arial"/>
          <w:i/>
          <w:sz w:val="20"/>
        </w:rPr>
        <w:t>Act</w:t>
      </w:r>
      <w:r>
        <w:rPr>
          <w:rFonts w:ascii="Arial" w:hAnsi="Arial"/>
          <w:sz w:val="20"/>
        </w:rPr>
        <w:t> </w:t>
      </w:r>
      <w:r>
        <w:rPr>
          <w:rFonts w:ascii="Arial" w:hAnsi="Arial"/>
          <w:i/>
          <w:sz w:val="20"/>
        </w:rPr>
        <w:t>2009</w:t>
      </w:r>
      <w:r>
        <w:rPr>
          <w:rFonts w:ascii="Arial" w:hAnsi="Arial"/>
          <w:sz w:val="20"/>
        </w:rPr>
        <w:t xml:space="preserve"> (Cth). </w:t>
      </w:r>
    </w:p>
    <w:p>
      <w:pPr>
        <w:pStyle w:val="TextBody"/>
        <w:pBdr/>
        <w:bidi w:val="0"/>
        <w:spacing w:lineRule="auto" w:line="264" w:before="137" w:after="0"/>
        <w:ind w:left="3456" w:right="1940" w:hanging="0"/>
        <w:jc w:val="left"/>
        <w:rPr>
          <w:rFonts w:ascii="Arial" w:hAnsi="Arial"/>
          <w:sz w:val="20"/>
        </w:rPr>
      </w:pPr>
      <w:r>
        <w:rPr>
          <w:rFonts w:ascii="Arial" w:hAnsi="Arial"/>
          <w:b/>
          <w:sz w:val="20"/>
        </w:rPr>
        <w:t>PPS</w:t>
      </w:r>
      <w:r>
        <w:rPr>
          <w:rFonts w:ascii="Arial" w:hAnsi="Arial"/>
          <w:sz w:val="20"/>
        </w:rPr>
        <w:t> </w:t>
      </w:r>
      <w:r>
        <w:rPr>
          <w:rFonts w:ascii="Arial" w:hAnsi="Arial"/>
          <w:b/>
          <w:sz w:val="20"/>
        </w:rPr>
        <w:t>property</w:t>
      </w:r>
      <w:r>
        <w:rPr>
          <w:rFonts w:ascii="Arial" w:hAnsi="Arial"/>
          <w:sz w:val="20"/>
        </w:rPr>
        <w:t xml:space="preserve"> means all property (other than Excluded Property) over which the Borrower or a Security Provider is legally capable under the PPS Act of granting a security interest. </w:t>
      </w:r>
    </w:p>
    <w:p>
      <w:pPr>
        <w:pStyle w:val="TextBody"/>
        <w:pBdr/>
        <w:bidi w:val="0"/>
        <w:spacing w:lineRule="auto" w:line="264" w:before="114" w:after="0"/>
        <w:ind w:left="3456" w:right="1854" w:hanging="0"/>
        <w:jc w:val="left"/>
        <w:rPr>
          <w:rFonts w:ascii="Arial" w:hAnsi="Arial"/>
          <w:sz w:val="20"/>
        </w:rPr>
      </w:pPr>
      <w:r>
        <w:rPr>
          <w:rFonts w:ascii="Arial" w:hAnsi="Arial"/>
          <w:b/>
          <w:sz w:val="20"/>
        </w:rPr>
        <w:t xml:space="preserve">Potential Event of Default </w:t>
      </w:r>
      <w:r>
        <w:rPr>
          <w:rFonts w:ascii="Arial" w:hAnsi="Arial"/>
          <w:sz w:val="20"/>
        </w:rPr>
        <w:t xml:space="preserve">means any thing which, with the giving of notice, lapse of time or determination of materiality, will constitute an Event of Default. </w:t>
      </w:r>
    </w:p>
    <w:p>
      <w:pPr>
        <w:pStyle w:val="TextBody"/>
        <w:pBdr/>
        <w:bidi w:val="0"/>
        <w:spacing w:lineRule="auto" w:line="264" w:before="111" w:after="0"/>
        <w:ind w:left="3456" w:right="1854" w:hanging="0"/>
        <w:jc w:val="left"/>
        <w:rPr>
          <w:rFonts w:ascii="Arial" w:hAnsi="Arial"/>
          <w:sz w:val="20"/>
        </w:rPr>
      </w:pPr>
      <w:r>
        <w:rPr>
          <w:rFonts w:ascii="Arial" w:hAnsi="Arial"/>
          <w:b/>
          <w:sz w:val="20"/>
        </w:rPr>
        <w:t>Pricing</w:t>
      </w:r>
      <w:r>
        <w:rPr>
          <w:rFonts w:ascii="Arial" w:hAnsi="Arial"/>
          <w:sz w:val="20"/>
        </w:rPr>
        <w:t> </w:t>
      </w:r>
      <w:r>
        <w:rPr>
          <w:rFonts w:ascii="Arial" w:hAnsi="Arial"/>
          <w:b/>
          <w:sz w:val="20"/>
        </w:rPr>
        <w:t>Period</w:t>
      </w:r>
      <w:r>
        <w:rPr>
          <w:rFonts w:ascii="Arial" w:hAnsi="Arial"/>
          <w:sz w:val="20"/>
        </w:rPr>
        <w:t xml:space="preserve"> means, in relation to an Advance under the Corporate Markets Loan Facility or the Bridge Facility (as applicable), the period having the duration selected in accordance with </w:t>
      </w:r>
      <w:r>
        <w:rPr>
          <w:rFonts w:ascii="Arial" w:hAnsi="Arial"/>
          <w:b/>
          <w:sz w:val="20"/>
        </w:rPr>
        <w:t>clause</w:t>
      </w:r>
      <w:r>
        <w:rPr>
          <w:rFonts w:ascii="Arial" w:hAnsi="Arial"/>
          <w:sz w:val="20"/>
        </w:rPr>
        <w:t> </w:t>
      </w:r>
      <w:r>
        <w:rPr>
          <w:rFonts w:ascii="Arial" w:hAnsi="Arial"/>
          <w:b/>
          <w:color w:val="2D97D3"/>
          <w:sz w:val="20"/>
          <w:u w:val="single"/>
        </w:rPr>
        <w:t>6.1</w:t>
      </w:r>
      <w:r>
        <w:rPr>
          <w:rFonts w:ascii="Arial" w:hAnsi="Arial"/>
          <w:b/>
          <w:strike/>
          <w:color w:val="B5082D"/>
          <w:sz w:val="20"/>
        </w:rPr>
        <w:t>6.1</w:t>
      </w:r>
      <w:r>
        <w:rPr>
          <w:rFonts w:ascii="Arial" w:hAnsi="Arial"/>
          <w:color w:val="B5082D"/>
          <w:sz w:val="20"/>
        </w:rPr>
        <w:t> </w:t>
      </w:r>
      <w:r>
        <w:rPr>
          <w:rFonts w:ascii="Arial" w:hAnsi="Arial"/>
          <w:sz w:val="20"/>
        </w:rPr>
        <w:t xml:space="preserve">and beginning on the Funding Date in relation to the Advance. </w:t>
      </w:r>
    </w:p>
    <w:p>
      <w:pPr>
        <w:pStyle w:val="TextBody"/>
        <w:pBdr/>
        <w:bidi w:val="0"/>
        <w:spacing w:lineRule="auto" w:line="264" w:before="107" w:after="0"/>
        <w:ind w:left="3456" w:right="2392" w:hanging="0"/>
        <w:jc w:val="left"/>
        <w:rPr>
          <w:rFonts w:ascii="Arial" w:hAnsi="Arial"/>
          <w:sz w:val="20"/>
        </w:rPr>
      </w:pPr>
      <w:r>
        <w:rPr>
          <w:rFonts w:ascii="Arial" w:hAnsi="Arial"/>
          <w:b/>
          <w:sz w:val="20"/>
        </w:rPr>
        <w:t>Quarter</w:t>
      </w:r>
      <w:r>
        <w:rPr>
          <w:rFonts w:ascii="Arial" w:hAnsi="Arial"/>
          <w:sz w:val="20"/>
        </w:rPr>
        <w:t xml:space="preserve"> means each three month period ending on 31 March, 30 June, 30 September and 31 December in each year. </w:t>
      </w:r>
    </w:p>
    <w:p>
      <w:pPr>
        <w:pStyle w:val="TextBody"/>
        <w:bidi w:val="0"/>
        <w:spacing w:lineRule="auto" w:line="264" w:before="111" w:after="0"/>
        <w:ind w:left="3456" w:right="1854"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Entertainment</w:t>
      </w:r>
      <w:r>
        <w:rPr>
          <w:rFonts w:ascii="Arial" w:hAnsi="Arial"/>
          <w:sz w:val="20"/>
        </w:rPr>
        <w:t> </w:t>
      </w:r>
      <w:r>
        <w:rPr>
          <w:rFonts w:ascii="Arial" w:hAnsi="Arial"/>
          <w:b/>
          <w:sz w:val="20"/>
        </w:rPr>
        <w:t>Australia</w:t>
      </w:r>
      <w:r>
        <w:rPr>
          <w:rFonts w:ascii="Arial" w:hAnsi="Arial"/>
          <w:sz w:val="20"/>
        </w:rPr>
        <w:t> </w:t>
      </w:r>
      <w:r>
        <w:rPr>
          <w:rFonts w:ascii="Arial" w:hAnsi="Arial"/>
          <w:b/>
          <w:sz w:val="20"/>
        </w:rPr>
        <w:t>Group</w:t>
      </w:r>
      <w:r>
        <w:rPr>
          <w:rFonts w:ascii="Arial" w:hAnsi="Arial"/>
          <w:sz w:val="20"/>
        </w:rPr>
        <w:t xml:space="preserve"> means, at any time, the Borrower and any subsidiary of the Borrower and </w:t>
      </w:r>
      <w:r>
        <w:rPr>
          <w:rFonts w:ascii="Arial" w:hAnsi="Arial"/>
          <w:b/>
          <w:sz w:val="20"/>
        </w:rPr>
        <w:t>Reading Entertainment</w:t>
      </w:r>
      <w:r>
        <w:rPr>
          <w:rFonts w:ascii="Arial" w:hAnsi="Arial"/>
          <w:sz w:val="20"/>
        </w:rPr>
        <w:t> </w:t>
      </w:r>
      <w:r>
        <w:rPr>
          <w:rFonts w:ascii="Arial" w:hAnsi="Arial"/>
          <w:b/>
          <w:sz w:val="20"/>
        </w:rPr>
        <w:t xml:space="preserve">Australia Group Member </w:t>
      </w:r>
      <w:r>
        <w:rPr>
          <w:rFonts w:ascii="Arial" w:hAnsi="Arial"/>
          <w:sz w:val="20"/>
        </w:rPr>
        <w:t xml:space="preserve">means any one of them. </w:t>
      </w:r>
    </w:p>
    <w:p>
      <w:pPr>
        <w:pStyle w:val="TextBody"/>
        <w:bidi w:val="0"/>
        <w:spacing w:before="111" w:after="0"/>
        <w:ind w:left="3456" w:right="360" w:hanging="0"/>
        <w:jc w:val="left"/>
        <w:rPr>
          <w:rFonts w:ascii="Arial" w:hAnsi="Arial"/>
          <w:sz w:val="20"/>
        </w:rPr>
      </w:pPr>
      <w:r>
        <w:rPr>
          <w:rFonts w:ascii="Arial" w:hAnsi="Arial"/>
          <w:b/>
          <w:sz w:val="20"/>
        </w:rPr>
        <w:t>Release</w:t>
      </w:r>
      <w:r>
        <w:rPr>
          <w:rFonts w:ascii="Arial" w:hAnsi="Arial"/>
          <w:sz w:val="20"/>
        </w:rPr>
        <w:t> </w:t>
      </w:r>
      <w:r>
        <w:rPr>
          <w:rFonts w:ascii="Arial" w:hAnsi="Arial"/>
          <w:b/>
          <w:sz w:val="20"/>
        </w:rPr>
        <w:t>Date</w:t>
      </w:r>
      <w:r>
        <w:rPr>
          <w:rFonts w:ascii="Arial" w:hAnsi="Arial"/>
          <w:sz w:val="20"/>
        </w:rPr>
        <w:t xml:space="preserve"> means the Business Day following the later of: </w:t>
      </w:r>
    </w:p>
    <w:p>
      <w:pPr>
        <w:pStyle w:val="TextBody"/>
        <w:bidi w:val="0"/>
        <w:spacing w:lineRule="auto" w:line="264" w:before="107" w:after="0"/>
        <w:ind w:left="3983" w:right="1956" w:hanging="0"/>
        <w:jc w:val="left"/>
        <w:rPr>
          <w:rFonts w:ascii="Arial" w:hAnsi="Arial"/>
          <w:sz w:val="20"/>
        </w:rPr>
      </w:pPr>
      <w:r>
        <w:rPr>
          <w:rFonts w:ascii="Arial" w:hAnsi="Arial"/>
          <w:sz w:val="20"/>
        </w:rPr>
        <w:t>(a)the latest of the Expiry Dates of all Current Bank Guarantees;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(b)the date on which the Bank is satisfied in its reasonable opinion that it has been paid all amounts which are then or may in the future become due and payable to the Bank under any of the Transaction Documents and that there is no prospect that any amounts which the Bank has received in relation to any of the Transaction Documents will subsequently be made void or be required to be repaid in whole or in part.</w:t>
      </w:r>
      <w:r>
        <w:rPr>
          <w:rFonts w:ascii="Arial" w:hAnsi="Arial"/>
          <w:sz w:val="20"/>
        </w:rPr>
        <w:t xml:space="preserve"> </w:t>
      </w:r>
    </w:p>
    <w:p>
      <w:pPr>
        <w:pStyle w:val="TextBody"/>
        <w:bidi w:val="0"/>
        <w:spacing w:lineRule="auto" w:line="264" w:before="120" w:after="0"/>
        <w:ind w:left="3456" w:right="1854" w:hanging="0"/>
        <w:jc w:val="left"/>
        <w:rPr>
          <w:rFonts w:ascii="Arial" w:hAnsi="Arial"/>
          <w:sz w:val="20"/>
        </w:rPr>
      </w:pPr>
      <w:r>
        <w:rPr>
          <w:rFonts w:ascii="Arial" w:hAnsi="Arial"/>
          <w:b/>
          <w:sz w:val="20"/>
        </w:rPr>
        <w:t xml:space="preserve">Relevant Date </w:t>
      </w:r>
      <w:r>
        <w:rPr>
          <w:rFonts w:ascii="Arial" w:hAnsi="Arial"/>
          <w:sz w:val="20"/>
        </w:rPr>
        <w:t>means the date on which the Bank receives the Annual Compliance Certificate in accordance with </w:t>
      </w:r>
      <w:r>
        <w:rPr>
          <w:rFonts w:ascii="Arial" w:hAnsi="Arial"/>
          <w:b/>
          <w:sz w:val="20"/>
        </w:rPr>
        <w:t>clause</w:t>
      </w:r>
      <w:r>
        <w:rPr>
          <w:rFonts w:ascii="Arial" w:hAnsi="Arial"/>
          <w:sz w:val="20"/>
        </w:rPr>
        <w:t> </w:t>
      </w:r>
      <w:r>
        <w:rPr>
          <w:rFonts w:ascii="Arial" w:hAnsi="Arial"/>
          <w:b/>
          <w:sz w:val="20"/>
        </w:rPr>
        <w:t>9.5(b)</w:t>
      </w:r>
      <w:r>
        <w:rPr>
          <w:rFonts w:ascii="Arial" w:hAnsi="Arial"/>
          <w:sz w:val="20"/>
        </w:rPr>
        <w:t xml:space="preserve"> for the Financial Year ending on 31 December 2023. </w:t>
      </w:r>
    </w:p>
    <w:p>
      <w:pPr>
        <w:pStyle w:val="TextBody"/>
        <w:bidi w:val="0"/>
        <w:spacing w:before="110" w:after="0"/>
        <w:ind w:left="3456" w:right="360" w:hanging="0"/>
        <w:jc w:val="left"/>
        <w:rPr>
          <w:rFonts w:ascii="Arial" w:hAnsi="Arial"/>
          <w:sz w:val="20"/>
        </w:rPr>
      </w:pPr>
      <w:r>
        <w:rPr>
          <w:rFonts w:ascii="Arial" w:hAnsi="Arial"/>
          <w:b/>
          <w:sz w:val="20"/>
        </w:rPr>
        <w:t>Relevant</w:t>
      </w:r>
      <w:r>
        <w:rPr>
          <w:rFonts w:ascii="Arial" w:hAnsi="Arial"/>
          <w:sz w:val="20"/>
        </w:rPr>
        <w:t> </w:t>
      </w:r>
      <w:r>
        <w:rPr>
          <w:rFonts w:ascii="Arial" w:hAnsi="Arial"/>
          <w:b/>
          <w:sz w:val="20"/>
        </w:rPr>
        <w:t>Jurisdiction</w:t>
      </w:r>
      <w:r>
        <w:rPr>
          <w:rFonts w:ascii="Arial" w:hAnsi="Arial"/>
          <w:sz w:val="20"/>
        </w:rPr>
        <w:t xml:space="preserve"> means Victoria. </w:t>
      </w:r>
    </w:p>
    <w:p>
      <w:pPr>
        <w:pStyle w:val="TextBody"/>
        <w:pBdr/>
        <w:bidi w:val="0"/>
        <w:spacing w:lineRule="auto" w:line="266" w:before="135" w:after="0"/>
        <w:ind w:left="3456" w:right="1940" w:hanging="0"/>
        <w:jc w:val="left"/>
        <w:rPr>
          <w:rFonts w:ascii="Arial" w:hAnsi="Arial"/>
          <w:sz w:val="20"/>
        </w:rPr>
      </w:pPr>
      <w:r>
        <w:rPr>
          <w:rFonts w:ascii="Arial" w:hAnsi="Arial"/>
          <w:b/>
          <w:sz w:val="20"/>
        </w:rPr>
        <w:t>Relevant</w:t>
      </w:r>
      <w:r>
        <w:rPr>
          <w:rFonts w:ascii="Arial" w:hAnsi="Arial"/>
          <w:sz w:val="20"/>
        </w:rPr>
        <w:t> </w:t>
      </w:r>
      <w:r>
        <w:rPr>
          <w:rFonts w:ascii="Arial" w:hAnsi="Arial"/>
          <w:b/>
          <w:sz w:val="20"/>
        </w:rPr>
        <w:t>Period</w:t>
      </w:r>
      <w:r>
        <w:rPr>
          <w:rFonts w:ascii="Arial" w:hAnsi="Arial"/>
          <w:sz w:val="20"/>
        </w:rPr>
        <w:t xml:space="preserve"> means the period from (and including) 31 August 2020 to (and including) the Relevant Date. </w:t>
      </w:r>
    </w:p>
    <w:p>
      <w:pPr>
        <w:pStyle w:val="TextBody"/>
        <w:pBdr/>
        <w:bidi w:val="0"/>
        <w:spacing w:lineRule="auto" w:line="264" w:before="106" w:after="0"/>
        <w:ind w:left="3456" w:right="1940" w:hanging="0"/>
        <w:jc w:val="left"/>
        <w:rPr>
          <w:rFonts w:ascii="Arial" w:hAnsi="Arial"/>
          <w:sz w:val="20"/>
        </w:rPr>
      </w:pPr>
      <w:r>
        <w:rPr>
          <w:rFonts w:ascii="Arial" w:hAnsi="Arial"/>
          <w:b/>
          <w:sz w:val="20"/>
        </w:rPr>
        <w:t>Receiver</w:t>
      </w:r>
      <w:r>
        <w:rPr>
          <w:rFonts w:ascii="Arial" w:hAnsi="Arial"/>
          <w:sz w:val="20"/>
        </w:rPr>
        <w:t xml:space="preserve"> means a receiver or receiver and manager appointed by the Bank under any Transaction Document and any person who derives a right directly or indirectly from a Receiver. </w:t>
      </w:r>
    </w:p>
    <w:p>
      <w:pPr>
        <w:pStyle w:val="TextBody"/>
        <w:pBdr/>
        <w:bidi w:val="0"/>
        <w:spacing w:lineRule="auto" w:line="264" w:before="110" w:after="0"/>
        <w:ind w:left="3456" w:right="1854" w:hanging="0"/>
        <w:jc w:val="left"/>
        <w:rPr>
          <w:rFonts w:ascii="Arial" w:hAnsi="Arial"/>
          <w:sz w:val="20"/>
        </w:rPr>
      </w:pPr>
      <w:r>
        <w:rPr>
          <w:rFonts w:ascii="Arial" w:hAnsi="Arial"/>
          <w:b/>
          <w:sz w:val="20"/>
        </w:rPr>
        <w:t>Reference Banks</w:t>
      </w:r>
      <w:r>
        <w:rPr>
          <w:rFonts w:ascii="Arial" w:hAnsi="Arial"/>
          <w:sz w:val="20"/>
        </w:rPr>
        <w:t xml:space="preserve"> means each of Australia and New Zealand Banking Group Limited, Commonwealth Bank of Australia and Westpac Banking Corporation, or any other banks or financial institutions determined by the Bank from time to time following consultation with the Borrower. </w:t>
      </w:r>
    </w:p>
    <w:p>
      <w:pPr>
        <w:pStyle w:val="TextBody"/>
        <w:bidi w:val="0"/>
        <w:spacing w:before="107" w:after="0"/>
        <w:ind w:left="3456" w:right="360" w:hanging="0"/>
        <w:jc w:val="left"/>
        <w:rPr>
          <w:rFonts w:ascii="Arial" w:hAnsi="Arial"/>
          <w:sz w:val="20"/>
        </w:rPr>
      </w:pPr>
      <w:r>
        <w:rPr>
          <w:rFonts w:ascii="Arial" w:hAnsi="Arial"/>
          <w:b/>
          <w:sz w:val="20"/>
        </w:rPr>
        <w:t>Regulatory</w:t>
      </w:r>
      <w:r>
        <w:rPr>
          <w:rFonts w:ascii="Arial" w:hAnsi="Arial"/>
          <w:sz w:val="20"/>
        </w:rPr>
        <w:t> </w:t>
      </w:r>
      <w:r>
        <w:rPr>
          <w:rFonts w:ascii="Arial" w:hAnsi="Arial"/>
          <w:b/>
          <w:sz w:val="20"/>
        </w:rPr>
        <w:t>Event</w:t>
      </w:r>
      <w:r>
        <w:rPr>
          <w:rFonts w:ascii="Arial" w:hAnsi="Arial"/>
          <w:sz w:val="20"/>
        </w:rPr>
        <w:t xml:space="preserve"> means any: </w:t>
      </w:r>
    </w:p>
    <w:p>
      <w:pPr>
        <w:pStyle w:val="TextBody"/>
        <w:bidi w:val="0"/>
        <w:spacing w:lineRule="auto" w:line="264" w:before="107" w:after="0"/>
        <w:ind w:left="3983" w:right="1956" w:hanging="0"/>
        <w:jc w:val="left"/>
        <w:rPr>
          <w:rFonts w:ascii="Arial" w:hAnsi="Arial"/>
          <w:sz w:val="20"/>
        </w:rPr>
      </w:pPr>
      <w:r>
        <w:rPr>
          <w:rFonts w:ascii="Arial" w:hAnsi="Arial"/>
          <w:sz w:val="20"/>
        </w:rPr>
        <w:t>(a)change in, or introduction of a new, law or other form of regulation;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(b)change in, or introduction of a new, practice or policy of an Government Body;</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17</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7" descr=""/>
                    <pic:cNvPicPr>
                      <a:picLocks noChangeAspect="1" noChangeArrowheads="1"/>
                    </pic:cNvPicPr>
                  </pic:nvPicPr>
                  <pic:blipFill>
                    <a:blip r:embed="rId7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8" descr=""/>
                    <pic:cNvPicPr>
                      <a:picLocks noChangeAspect="1" noChangeArrowheads="1"/>
                    </pic:cNvPicPr>
                  </pic:nvPicPr>
                  <pic:blipFill>
                    <a:blip r:embed="rId8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(c)investigation into a Transaction Party or any related entity of a Transaction Party by a Government Body;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(d)application for or grant of an injunction or order in respect of any Encumbrance, Facility or account held with the Bank made by a Government Body, or </w:t>
      </w:r>
    </w:p>
    <w:p>
      <w:pPr>
        <w:pStyle w:val="TextBody"/>
        <w:bidi w:val="0"/>
        <w:spacing w:lineRule="auto" w:line="264" w:before="107" w:after="0"/>
        <w:ind w:left="3983" w:right="1956" w:hanging="0"/>
        <w:jc w:val="left"/>
        <w:rPr>
          <w:rFonts w:ascii="Arial" w:hAnsi="Arial"/>
          <w:sz w:val="20"/>
        </w:rPr>
      </w:pPr>
      <w:r>
        <w:rPr>
          <w:rFonts w:ascii="Arial" w:hAnsi="Arial"/>
          <w:sz w:val="20"/>
        </w:rPr>
        <w:t>(e)change in, or introduction of a new, code of practice or custom relating to the provision of the Services which a reasonable and prudent banker would comply with,</w:t>
      </w:r>
      <w:r>
        <w:rPr>
          <w:rFonts w:ascii="Arial" w:hAnsi="Arial"/>
          <w:sz w:val="20"/>
        </w:rPr>
        <w:t xml:space="preserve"> </w:t>
      </w:r>
    </w:p>
    <w:p>
      <w:pPr>
        <w:pStyle w:val="TextBody"/>
        <w:pBdr/>
        <w:bidi w:val="0"/>
        <w:spacing w:before="10" w:after="0"/>
        <w:ind w:left="360" w:right="360" w:hanging="0"/>
        <w:jc w:val="left"/>
        <w:rPr>
          <w:rFonts w:cs="Arial"/>
          <w:szCs w:val="10"/>
        </w:rPr>
      </w:pPr>
      <w:r>
        <w:rPr>
          <w:rFonts w:cs="Arial"/>
          <w:szCs w:val="10"/>
        </w:rPr>
        <w:t xml:space="preserve">﻿ </w:t>
      </w:r>
    </w:p>
    <w:p>
      <w:pPr>
        <w:pStyle w:val="TextBody"/>
        <w:pBdr/>
        <w:bidi w:val="0"/>
        <w:spacing w:before="24" w:after="0"/>
        <w:ind w:left="3456" w:right="360" w:hanging="0"/>
        <w:jc w:val="left"/>
        <w:rPr>
          <w:rFonts w:ascii="Arial" w:hAnsi="Arial"/>
          <w:sz w:val="20"/>
        </w:rPr>
      </w:pPr>
      <w:r>
        <w:rPr>
          <w:rFonts w:ascii="Arial" w:hAnsi="Arial"/>
          <w:sz w:val="20"/>
        </w:rPr>
        <w:t xml:space="preserve">Whether in Australia or elsewhere, that, in the Bank’s good faith opinion </w:t>
      </w:r>
    </w:p>
    <w:p>
      <w:pPr>
        <w:pStyle w:val="TextBody"/>
        <w:pBdr/>
        <w:bidi w:val="0"/>
        <w:spacing w:before="24" w:after="0"/>
        <w:ind w:left="3456" w:right="360" w:hanging="0"/>
        <w:jc w:val="left"/>
        <w:rPr>
          <w:rFonts w:ascii="Arial" w:hAnsi="Arial"/>
          <w:sz w:val="20"/>
        </w:rPr>
      </w:pPr>
      <w:r>
        <w:rPr>
          <w:rFonts w:ascii="Arial" w:hAnsi="Arial"/>
          <w:sz w:val="20"/>
        </w:rPr>
        <w:t xml:space="preserve">applies in any way to a Transaction Party, or the Service. </w:t>
      </w:r>
    </w:p>
    <w:p>
      <w:pPr>
        <w:pStyle w:val="TextBody"/>
        <w:pBdr/>
        <w:bidi w:val="0"/>
        <w:spacing w:lineRule="auto" w:line="264" w:before="135" w:after="0"/>
        <w:ind w:left="3456" w:right="1854" w:hanging="0"/>
        <w:jc w:val="left"/>
        <w:rPr>
          <w:rFonts w:ascii="Arial" w:hAnsi="Arial"/>
          <w:sz w:val="20"/>
        </w:rPr>
      </w:pPr>
      <w:r>
        <w:rPr>
          <w:rFonts w:ascii="Arial" w:hAnsi="Arial"/>
          <w:b/>
          <w:sz w:val="20"/>
        </w:rPr>
        <w:t>Representative</w:t>
      </w:r>
      <w:r>
        <w:rPr>
          <w:rFonts w:ascii="Arial" w:hAnsi="Arial"/>
          <w:sz w:val="20"/>
        </w:rPr>
        <w:t xml:space="preserve"> of a person means an officer, employee, contractor or agent of that person. </w:t>
      </w:r>
    </w:p>
    <w:p>
      <w:pPr>
        <w:pStyle w:val="TextBody"/>
        <w:pBdr/>
        <w:bidi w:val="0"/>
        <w:spacing w:lineRule="auto" w:line="264" w:before="111" w:after="0"/>
        <w:ind w:left="3456" w:right="1854" w:hanging="0"/>
        <w:jc w:val="left"/>
        <w:rPr>
          <w:rFonts w:ascii="Arial" w:hAnsi="Arial"/>
          <w:sz w:val="20"/>
        </w:rPr>
      </w:pPr>
      <w:r>
        <w:rPr>
          <w:rFonts w:ascii="Arial" w:hAnsi="Arial"/>
          <w:b/>
          <w:sz w:val="20"/>
        </w:rPr>
        <w:t>Reset</w:t>
      </w:r>
      <w:r>
        <w:rPr>
          <w:rFonts w:ascii="Arial" w:hAnsi="Arial"/>
          <w:sz w:val="20"/>
        </w:rPr>
        <w:t> </w:t>
      </w:r>
      <w:r>
        <w:rPr>
          <w:rFonts w:ascii="Arial" w:hAnsi="Arial"/>
          <w:b/>
          <w:sz w:val="20"/>
        </w:rPr>
        <w:t>Margin</w:t>
      </w:r>
      <w:r>
        <w:rPr>
          <w:rFonts w:ascii="Arial" w:hAnsi="Arial"/>
          <w:sz w:val="20"/>
        </w:rPr>
        <w:t xml:space="preserve"> means the reset margin (if any) applicable if a Pricing Period is, or becomes, shorter than three months, as determined in accordance with </w:t>
      </w:r>
      <w:r>
        <w:rPr>
          <w:rFonts w:ascii="Arial" w:hAnsi="Arial"/>
          <w:b/>
          <w:sz w:val="20"/>
        </w:rPr>
        <w:t>clause 6.6</w:t>
      </w:r>
      <w:r>
        <w:rPr>
          <w:rFonts w:ascii="Arial" w:hAnsi="Arial"/>
          <w:sz w:val="20"/>
        </w:rPr>
        <w:t xml:space="preserve">. It is 0.02% per annum (indicatively). </w:t>
      </w:r>
    </w:p>
    <w:p>
      <w:pPr>
        <w:pStyle w:val="TextBody"/>
        <w:bidi w:val="0"/>
        <w:spacing w:before="112" w:after="0"/>
        <w:ind w:left="3456" w:right="360" w:hanging="0"/>
        <w:jc w:val="left"/>
        <w:rPr>
          <w:rFonts w:ascii="Arial" w:hAnsi="Arial"/>
          <w:b/>
          <w:sz w:val="20"/>
        </w:rPr>
      </w:pPr>
      <w:r>
        <w:rPr>
          <w:rFonts w:ascii="Arial" w:hAnsi="Arial"/>
          <w:b/>
          <w:sz w:val="20"/>
        </w:rPr>
        <w:t xml:space="preserve">Restatement Deed </w:t>
      </w:r>
      <w:r>
        <w:rPr>
          <w:rFonts w:ascii="Arial" w:hAnsi="Arial"/>
          <w:b w:val="false"/>
          <w:sz w:val="20"/>
        </w:rPr>
        <w:t>means the document entitiled ‘Restatment Deed”</w:t>
      </w:r>
      <w:r>
        <w:rPr>
          <w:rFonts w:ascii="Arial" w:hAnsi="Arial"/>
          <w:b/>
          <w:sz w:val="20"/>
        </w:rPr>
        <w:t xml:space="preserve"> </w:t>
      </w:r>
    </w:p>
    <w:p>
      <w:pPr>
        <w:pStyle w:val="TextBody"/>
        <w:bidi w:val="0"/>
        <w:spacing w:before="22" w:after="0"/>
        <w:ind w:left="3456" w:right="360" w:hanging="0"/>
        <w:jc w:val="left"/>
        <w:rPr>
          <w:rFonts w:ascii="Arial" w:hAnsi="Arial"/>
          <w:sz w:val="20"/>
        </w:rPr>
      </w:pPr>
      <w:r>
        <w:rPr>
          <w:rFonts w:ascii="Arial" w:hAnsi="Arial"/>
          <w:sz w:val="20"/>
        </w:rPr>
        <w:t xml:space="preserve">executed in December 2015 between the Bank and the Transaction Parties. </w:t>
      </w:r>
    </w:p>
    <w:p>
      <w:pPr>
        <w:pStyle w:val="TextBody"/>
        <w:bidi w:val="0"/>
        <w:spacing w:lineRule="auto" w:line="264" w:before="135" w:after="0"/>
        <w:ind w:left="3456" w:right="2221" w:hanging="0"/>
        <w:jc w:val="left"/>
        <w:rPr>
          <w:rFonts w:ascii="Arial" w:hAnsi="Arial"/>
          <w:sz w:val="20"/>
        </w:rPr>
      </w:pPr>
      <w:r>
        <w:rPr>
          <w:rFonts w:ascii="Arial" w:hAnsi="Arial"/>
          <w:b/>
          <w:sz w:val="20"/>
        </w:rPr>
        <w:t>Review</w:t>
      </w:r>
      <w:r>
        <w:rPr>
          <w:rFonts w:ascii="Arial" w:hAnsi="Arial"/>
          <w:sz w:val="20"/>
        </w:rPr>
        <w:t> </w:t>
      </w:r>
      <w:r>
        <w:rPr>
          <w:rFonts w:ascii="Arial" w:hAnsi="Arial"/>
          <w:b/>
          <w:sz w:val="20"/>
        </w:rPr>
        <w:t>Event</w:t>
      </w:r>
      <w:r>
        <w:rPr>
          <w:rFonts w:ascii="Arial" w:hAnsi="Arial"/>
          <w:sz w:val="20"/>
        </w:rPr>
        <w:t> means any event or circumstance described in </w:t>
      </w:r>
      <w:r>
        <w:rPr>
          <w:rFonts w:ascii="Arial" w:hAnsi="Arial"/>
          <w:b/>
          <w:sz w:val="20"/>
        </w:rPr>
        <w:t xml:space="preserve">clause </w:t>
      </w:r>
      <w:r>
        <w:rPr>
          <w:rFonts w:ascii="Arial" w:hAnsi="Arial"/>
          <w:b/>
          <w:color w:val="2D97D3"/>
          <w:sz w:val="20"/>
          <w:u w:val="single"/>
        </w:rPr>
        <w:t>10.4</w:t>
      </w:r>
      <w:r>
        <w:rPr>
          <w:rFonts w:ascii="Arial" w:hAnsi="Arial"/>
          <w:b/>
          <w:strike/>
          <w:color w:val="B5082D"/>
          <w:sz w:val="20"/>
        </w:rPr>
        <w:t>10.4</w:t>
      </w:r>
      <w:r>
        <w:rPr>
          <w:rFonts w:ascii="Arial" w:hAnsi="Arial"/>
          <w:sz w:val="20"/>
        </w:rPr>
        <w:t xml:space="preserve">. </w:t>
      </w:r>
    </w:p>
    <w:p>
      <w:pPr>
        <w:pStyle w:val="TextBody"/>
        <w:pBdr/>
        <w:bidi w:val="0"/>
        <w:spacing w:lineRule="auto" w:line="264" w:before="111" w:after="0"/>
        <w:ind w:left="3456" w:right="1854" w:hanging="0"/>
        <w:jc w:val="left"/>
        <w:rPr>
          <w:rFonts w:ascii="Arial" w:hAnsi="Arial"/>
          <w:sz w:val="20"/>
        </w:rPr>
      </w:pPr>
      <w:r>
        <w:rPr>
          <w:rFonts w:ascii="Arial" w:hAnsi="Arial"/>
          <w:b/>
          <w:sz w:val="20"/>
        </w:rPr>
        <w:t>Revolving</w:t>
      </w:r>
      <w:r>
        <w:rPr>
          <w:rFonts w:ascii="Arial" w:hAnsi="Arial"/>
          <w:sz w:val="20"/>
        </w:rPr>
        <w:t> </w:t>
      </w:r>
      <w:r>
        <w:rPr>
          <w:rFonts w:ascii="Arial" w:hAnsi="Arial"/>
          <w:b/>
          <w:sz w:val="20"/>
        </w:rPr>
        <w:t>Tranche</w:t>
      </w:r>
      <w:r>
        <w:rPr>
          <w:rFonts w:ascii="Arial" w:hAnsi="Arial"/>
          <w:sz w:val="20"/>
        </w:rPr>
        <w:t xml:space="preserve"> means at any time, the aggregate of the unpaid Advances outstanding under the Corporate Markets Loan Facility at that time less the Term Tranche at that time. </w:t>
      </w:r>
    </w:p>
    <w:p>
      <w:pPr>
        <w:pStyle w:val="TextBody"/>
        <w:pBdr/>
        <w:bidi w:val="0"/>
        <w:spacing w:lineRule="auto" w:line="264" w:before="108" w:after="0"/>
        <w:ind w:left="3456" w:right="1854" w:hanging="0"/>
        <w:jc w:val="left"/>
        <w:rPr>
          <w:rFonts w:ascii="Arial" w:hAnsi="Arial"/>
          <w:sz w:val="20"/>
        </w:rPr>
      </w:pPr>
      <w:r>
        <w:rPr>
          <w:rFonts w:ascii="Arial" w:hAnsi="Arial"/>
          <w:b/>
          <w:sz w:val="20"/>
        </w:rPr>
        <w:t>Secured</w:t>
      </w:r>
      <w:r>
        <w:rPr>
          <w:rFonts w:ascii="Arial" w:hAnsi="Arial"/>
          <w:sz w:val="20"/>
        </w:rPr>
        <w:t> </w:t>
      </w:r>
      <w:r>
        <w:rPr>
          <w:rFonts w:ascii="Arial" w:hAnsi="Arial"/>
          <w:b/>
          <w:sz w:val="20"/>
        </w:rPr>
        <w:t>Property</w:t>
      </w:r>
      <w:r>
        <w:rPr>
          <w:rFonts w:ascii="Arial" w:hAnsi="Arial"/>
          <w:sz w:val="20"/>
        </w:rPr>
        <w:t xml:space="preserve"> means all property which, from time to time, is subject to a Security which forms part of the Collateral Security. </w:t>
      </w:r>
    </w:p>
    <w:p>
      <w:pPr>
        <w:pStyle w:val="TextBody"/>
        <w:pBdr/>
        <w:bidi w:val="0"/>
        <w:spacing w:lineRule="auto" w:line="264" w:before="111" w:after="0"/>
        <w:ind w:left="3456" w:right="1854" w:hanging="0"/>
        <w:jc w:val="left"/>
        <w:rPr>
          <w:rFonts w:ascii="Arial" w:hAnsi="Arial"/>
          <w:sz w:val="20"/>
        </w:rPr>
      </w:pPr>
      <w:r>
        <w:rPr>
          <w:rFonts w:ascii="Arial" w:hAnsi="Arial"/>
          <w:b/>
          <w:sz w:val="20"/>
        </w:rPr>
        <w:t>Security</w:t>
      </w:r>
      <w:r>
        <w:rPr>
          <w:rFonts w:ascii="Arial" w:hAnsi="Arial"/>
          <w:sz w:val="20"/>
        </w:rPr>
        <w:t xml:space="preserve"> means any document or transaction which reserves or creates a Security Interest. </w:t>
      </w:r>
    </w:p>
    <w:p>
      <w:pPr>
        <w:pStyle w:val="TextBody"/>
        <w:pBdr/>
        <w:bidi w:val="0"/>
        <w:spacing w:lineRule="auto" w:line="264" w:before="111" w:after="0"/>
        <w:ind w:left="3456" w:right="1961" w:hanging="0"/>
        <w:jc w:val="left"/>
        <w:rPr>
          <w:rFonts w:ascii="Arial" w:hAnsi="Arial"/>
          <w:sz w:val="20"/>
        </w:rPr>
      </w:pPr>
      <w:r>
        <w:rPr>
          <w:rFonts w:ascii="Arial" w:hAnsi="Arial"/>
          <w:b/>
          <w:sz w:val="20"/>
        </w:rPr>
        <w:t>Security</w:t>
      </w:r>
      <w:r>
        <w:rPr>
          <w:rFonts w:ascii="Arial" w:hAnsi="Arial"/>
          <w:sz w:val="20"/>
        </w:rPr>
        <w:t> </w:t>
      </w:r>
      <w:r>
        <w:rPr>
          <w:rFonts w:ascii="Arial" w:hAnsi="Arial"/>
          <w:b/>
          <w:sz w:val="20"/>
        </w:rPr>
        <w:t>Interest</w:t>
      </w:r>
      <w:r>
        <w:rPr>
          <w:rFonts w:ascii="Arial" w:hAnsi="Arial"/>
          <w:sz w:val="20"/>
        </w:rPr>
        <w:t xml:space="preserve"> means any interest or right which secures the payment of a debt or other monetary obligation or the compliance with any other obligation. It includes any retention of title to any property and any right to set off or withhold payment of any deposit or other money. </w:t>
      </w:r>
    </w:p>
    <w:p>
      <w:pPr>
        <w:pStyle w:val="TextBody"/>
        <w:pBdr/>
        <w:bidi w:val="0"/>
        <w:spacing w:lineRule="auto" w:line="264" w:before="107" w:after="0"/>
        <w:ind w:left="3456" w:right="1854" w:hanging="0"/>
        <w:jc w:val="left"/>
        <w:rPr>
          <w:rFonts w:ascii="Arial" w:hAnsi="Arial"/>
          <w:sz w:val="20"/>
        </w:rPr>
      </w:pPr>
      <w:r>
        <w:rPr>
          <w:rFonts w:ascii="Arial" w:hAnsi="Arial"/>
          <w:b/>
          <w:sz w:val="20"/>
        </w:rPr>
        <w:t>Security</w:t>
      </w:r>
      <w:r>
        <w:rPr>
          <w:rFonts w:ascii="Arial" w:hAnsi="Arial"/>
          <w:sz w:val="20"/>
        </w:rPr>
        <w:t> </w:t>
      </w:r>
      <w:r>
        <w:rPr>
          <w:rFonts w:ascii="Arial" w:hAnsi="Arial"/>
          <w:b/>
          <w:sz w:val="20"/>
        </w:rPr>
        <w:t>Provider</w:t>
      </w:r>
      <w:r>
        <w:rPr>
          <w:rFonts w:ascii="Arial" w:hAnsi="Arial"/>
          <w:sz w:val="20"/>
        </w:rPr>
        <w:t xml:space="preserve"> means each person who gives a Collateral Security (other than a related body corporate of the Bank). </w:t>
      </w:r>
    </w:p>
    <w:p>
      <w:pPr>
        <w:pStyle w:val="TextBody"/>
        <w:pBdr/>
        <w:bidi w:val="0"/>
        <w:spacing w:lineRule="auto" w:line="264" w:before="111" w:after="0"/>
        <w:ind w:left="3456" w:right="1854" w:hanging="0"/>
        <w:jc w:val="left"/>
        <w:rPr>
          <w:rFonts w:ascii="Arial" w:hAnsi="Arial"/>
          <w:sz w:val="20"/>
        </w:rPr>
      </w:pPr>
      <w:r>
        <w:rPr>
          <w:rFonts w:ascii="Arial" w:hAnsi="Arial"/>
          <w:b/>
          <w:sz w:val="20"/>
        </w:rPr>
        <w:t xml:space="preserve">Service </w:t>
      </w:r>
      <w:r>
        <w:rPr>
          <w:rFonts w:ascii="Arial" w:hAnsi="Arial"/>
          <w:sz w:val="20"/>
        </w:rPr>
        <w:t xml:space="preserve">means any service the Bank provides to the Borrower under or in relation to a Facility including making or processing any payment or issuing any document. </w:t>
      </w:r>
    </w:p>
    <w:p>
      <w:pPr>
        <w:pStyle w:val="TextBody"/>
        <w:bidi w:val="0"/>
        <w:spacing w:before="110" w:after="0"/>
        <w:ind w:left="3456" w:right="360" w:hanging="0"/>
        <w:jc w:val="left"/>
        <w:rPr>
          <w:rFonts w:ascii="Arial" w:hAnsi="Arial"/>
          <w:sz w:val="20"/>
        </w:rPr>
      </w:pPr>
      <w:r>
        <w:rPr>
          <w:rFonts w:ascii="Arial" w:hAnsi="Arial"/>
          <w:b/>
          <w:sz w:val="20"/>
        </w:rPr>
        <w:t>Subordinated</w:t>
      </w:r>
      <w:r>
        <w:rPr>
          <w:rFonts w:ascii="Arial" w:hAnsi="Arial"/>
          <w:sz w:val="20"/>
        </w:rPr>
        <w:t> </w:t>
      </w:r>
      <w:r>
        <w:rPr>
          <w:rFonts w:ascii="Arial" w:hAnsi="Arial"/>
          <w:b/>
          <w:sz w:val="20"/>
        </w:rPr>
        <w:t>Debt</w:t>
      </w:r>
      <w:r>
        <w:rPr>
          <w:rFonts w:ascii="Arial" w:hAnsi="Arial"/>
          <w:sz w:val="20"/>
        </w:rPr>
        <w:t xml:space="preserve"> means: </w:t>
      </w:r>
    </w:p>
    <w:p>
      <w:pPr>
        <w:pStyle w:val="TextBody"/>
        <w:bidi w:val="0"/>
        <w:spacing w:lineRule="auto" w:line="264" w:before="107" w:after="0"/>
        <w:ind w:left="3983" w:right="1956" w:hanging="0"/>
        <w:jc w:val="left"/>
        <w:rPr>
          <w:rFonts w:ascii="Arial" w:hAnsi="Arial"/>
          <w:sz w:val="20"/>
        </w:rPr>
      </w:pPr>
      <w:r>
        <w:rPr>
          <w:rFonts w:ascii="Arial" w:hAnsi="Arial"/>
          <w:sz w:val="20"/>
        </w:rPr>
        <w:t>(a)Financial Indebtedness that is or may become owing by the Borrower to Reading International Cinemas, LLC, that is fully subordinated on the terms set out in the Parent Subordination Agreement;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(b)Financial Indebtedness that is or may become owing by a Transaction Party to Reading International Inc (or any subsidiary or affiliate of</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18</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8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9" descr=""/>
                    <pic:cNvPicPr>
                      <a:picLocks noChangeAspect="1" noChangeArrowheads="1"/>
                    </pic:cNvPicPr>
                  </pic:nvPicPr>
                  <pic:blipFill>
                    <a:blip r:embed="rId8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8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0" descr=""/>
                    <pic:cNvPicPr>
                      <a:picLocks noChangeAspect="1" noChangeArrowheads="1"/>
                    </pic:cNvPicPr>
                  </pic:nvPicPr>
                  <pic:blipFill>
                    <a:blip r:embed="rId8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4" w:before="0" w:after="0"/>
        <w:ind w:left="3988" w:right="2056" w:hanging="0"/>
        <w:jc w:val="both"/>
        <w:rPr>
          <w:rFonts w:ascii="Arial" w:hAnsi="Arial"/>
          <w:sz w:val="20"/>
        </w:rPr>
      </w:pPr>
      <w:r>
        <w:rPr>
          <w:rFonts w:ascii="Arial" w:hAnsi="Arial"/>
          <w:sz w:val="20"/>
        </w:rPr>
        <w:t xml:space="preserve">Reading International Inc) that is fully subordinated on substantially the same terms (except for the name and other details of the subordinated lender) as those set out in the Parent Subordination Agreement. </w:t>
      </w:r>
    </w:p>
    <w:p>
      <w:pPr>
        <w:pStyle w:val="TextBody"/>
        <w:pBdr/>
        <w:bidi w:val="0"/>
        <w:spacing w:lineRule="auto" w:line="264" w:before="110" w:after="0"/>
        <w:ind w:left="3456" w:right="1854" w:hanging="0"/>
        <w:jc w:val="left"/>
        <w:rPr>
          <w:rFonts w:ascii="Arial" w:hAnsi="Arial"/>
          <w:sz w:val="20"/>
        </w:rPr>
      </w:pPr>
      <w:r>
        <w:rPr>
          <w:rFonts w:ascii="Arial" w:hAnsi="Arial"/>
          <w:b/>
          <w:sz w:val="20"/>
        </w:rPr>
        <w:t>Tax</w:t>
      </w:r>
      <w:r>
        <w:rPr>
          <w:rFonts w:ascii="Arial" w:hAnsi="Arial"/>
          <w:sz w:val="20"/>
        </w:rPr>
        <w:t xml:space="preserve"> means a tax (including any tax in the nature of a goods and services tax), rate, levy, impost or duty (other than a tax on the net overall income of the Bank) and any interest, penalty, fine or expense relating to any of them. </w:t>
      </w:r>
    </w:p>
    <w:p>
      <w:pPr>
        <w:pStyle w:val="TextBody"/>
        <w:pBdr/>
        <w:bidi w:val="0"/>
        <w:spacing w:lineRule="auto" w:line="268" w:before="108" w:after="0"/>
        <w:ind w:left="3456" w:right="1854" w:hanging="0"/>
        <w:jc w:val="left"/>
        <w:rPr>
          <w:rFonts w:ascii="Arial" w:hAnsi="Arial"/>
          <w:sz w:val="20"/>
        </w:rPr>
      </w:pPr>
      <w:r>
        <w:rPr>
          <w:rFonts w:ascii="Arial" w:hAnsi="Arial"/>
          <w:b/>
          <w:sz w:val="20"/>
        </w:rPr>
        <w:t xml:space="preserve">Term Tranche </w:t>
      </w:r>
      <w:r>
        <w:rPr>
          <w:rFonts w:ascii="Arial" w:hAnsi="Arial"/>
          <w:sz w:val="20"/>
        </w:rPr>
        <w:t xml:space="preserve">means the first $43,000,000 of the unpaid Advances outstanding under the Corporate Markets Loan Facility on the Amendment </w:t>
      </w:r>
    </w:p>
    <w:p>
      <w:pPr>
        <w:pStyle w:val="TextBody"/>
        <w:pBdr/>
        <w:bidi w:val="0"/>
        <w:spacing w:lineRule="auto" w:line="264" w:before="0" w:after="0"/>
        <w:ind w:left="3456" w:right="1940" w:hanging="0"/>
        <w:jc w:val="left"/>
        <w:rPr>
          <w:rFonts w:ascii="Arial" w:hAnsi="Arial"/>
          <w:sz w:val="20"/>
        </w:rPr>
      </w:pPr>
      <w:r>
        <w:rPr>
          <w:rFonts w:ascii="Arial" w:hAnsi="Arial"/>
          <w:sz w:val="20"/>
        </w:rPr>
        <w:t xml:space="preserve">Date’ as defined in the Amendment Deed;, as that amount may be reduced from time to time in accordance with </w:t>
      </w:r>
      <w:r>
        <w:rPr>
          <w:rFonts w:ascii="Arial" w:hAnsi="Arial"/>
          <w:b/>
          <w:sz w:val="20"/>
        </w:rPr>
        <w:t>clause 5.6</w:t>
      </w:r>
      <w:r>
        <w:rPr>
          <w:rFonts w:ascii="Arial" w:hAnsi="Arial"/>
          <w:sz w:val="20"/>
        </w:rPr>
        <w:t xml:space="preserve">. </w:t>
      </w:r>
    </w:p>
    <w:p>
      <w:pPr>
        <w:pStyle w:val="TextBody"/>
        <w:pBdr/>
        <w:bidi w:val="0"/>
        <w:spacing w:lineRule="auto" w:line="264" w:before="100" w:after="0"/>
        <w:ind w:left="3456" w:right="1854" w:hanging="0"/>
        <w:jc w:val="left"/>
        <w:rPr>
          <w:rFonts w:ascii="Arial" w:hAnsi="Arial"/>
          <w:sz w:val="20"/>
        </w:rPr>
      </w:pPr>
      <w:r>
        <w:rPr>
          <w:rFonts w:ascii="Arial" w:hAnsi="Arial"/>
          <w:b/>
          <w:sz w:val="20"/>
        </w:rPr>
        <w:t>Termination</w:t>
      </w:r>
      <w:r>
        <w:rPr>
          <w:rFonts w:ascii="Arial" w:hAnsi="Arial"/>
          <w:sz w:val="20"/>
        </w:rPr>
        <w:t> </w:t>
      </w:r>
      <w:r>
        <w:rPr>
          <w:rFonts w:ascii="Arial" w:hAnsi="Arial"/>
          <w:b/>
          <w:sz w:val="20"/>
        </w:rPr>
        <w:t>Date</w:t>
      </w:r>
      <w:r>
        <w:rPr>
          <w:rFonts w:ascii="Arial" w:hAnsi="Arial"/>
          <w:sz w:val="20"/>
        </w:rPr>
        <w:t xml:space="preserve"> means, in respect of each Facility, the Termination Date set out in </w:t>
      </w:r>
      <w:r>
        <w:rPr>
          <w:rFonts w:ascii="Arial" w:hAnsi="Arial"/>
          <w:b/>
          <w:sz w:val="20"/>
        </w:rPr>
        <w:t xml:space="preserve">schedule 2, </w:t>
      </w:r>
      <w:r>
        <w:rPr>
          <w:rFonts w:ascii="Arial" w:hAnsi="Arial"/>
          <w:sz w:val="20"/>
        </w:rPr>
        <w:t xml:space="preserve">or such other date agreed in writing by the parties. </w:t>
      </w:r>
    </w:p>
    <w:p>
      <w:pPr>
        <w:pStyle w:val="TextBody"/>
        <w:pBdr/>
        <w:bidi w:val="0"/>
        <w:spacing w:lineRule="auto" w:line="264" w:before="111" w:after="0"/>
        <w:ind w:left="3456" w:right="1854" w:hanging="0"/>
        <w:jc w:val="left"/>
        <w:rPr>
          <w:rFonts w:ascii="Arial" w:hAnsi="Arial"/>
          <w:sz w:val="20"/>
        </w:rPr>
      </w:pPr>
      <w:r>
        <w:rPr>
          <w:rFonts w:ascii="Arial" w:hAnsi="Arial"/>
          <w:b/>
          <w:sz w:val="20"/>
        </w:rPr>
        <w:t xml:space="preserve">Total Gross Debt </w:t>
      </w:r>
      <w:r>
        <w:rPr>
          <w:rFonts w:ascii="Arial" w:hAnsi="Arial"/>
          <w:sz w:val="20"/>
        </w:rPr>
        <w:t xml:space="preserve">means, on any date, all Financial Indebtedness of the Reading Entertainment Australia Group, but excluding any Excluded Financial Indebtedness. </w:t>
      </w:r>
    </w:p>
    <w:p>
      <w:pPr>
        <w:pStyle w:val="TextBody"/>
        <w:pBdr/>
        <w:bidi w:val="0"/>
        <w:spacing w:lineRule="auto" w:line="264" w:before="110" w:after="0"/>
        <w:ind w:left="3456" w:right="1940" w:hanging="0"/>
        <w:jc w:val="left"/>
        <w:rPr>
          <w:rFonts w:ascii="Arial" w:hAnsi="Arial"/>
          <w:sz w:val="20"/>
        </w:rPr>
      </w:pPr>
      <w:r>
        <w:rPr>
          <w:rFonts w:ascii="Arial" w:hAnsi="Arial"/>
          <w:b/>
          <w:sz w:val="20"/>
        </w:rPr>
        <w:t>Total</w:t>
      </w:r>
      <w:r>
        <w:rPr>
          <w:rFonts w:ascii="Arial" w:hAnsi="Arial"/>
          <w:sz w:val="20"/>
        </w:rPr>
        <w:t> </w:t>
      </w:r>
      <w:r>
        <w:rPr>
          <w:rFonts w:ascii="Arial" w:hAnsi="Arial"/>
          <w:b/>
          <w:sz w:val="20"/>
        </w:rPr>
        <w:t>Lease</w:t>
      </w:r>
      <w:r>
        <w:rPr>
          <w:rFonts w:ascii="Arial" w:hAnsi="Arial"/>
          <w:sz w:val="20"/>
        </w:rPr>
        <w:t> </w:t>
      </w:r>
      <w:r>
        <w:rPr>
          <w:rFonts w:ascii="Arial" w:hAnsi="Arial"/>
          <w:b/>
          <w:sz w:val="20"/>
        </w:rPr>
        <w:t>Payments</w:t>
      </w:r>
      <w:r>
        <w:rPr>
          <w:rFonts w:ascii="Arial" w:hAnsi="Arial"/>
          <w:sz w:val="20"/>
        </w:rPr>
        <w:t xml:space="preserve"> means the aggregate amount of all rental expenditure of the Reading Entertainment Australia Group, other than rental expenditure payable to any Transaction Party, calculated in accordance with Accounting Standards, for that period. </w:t>
      </w:r>
    </w:p>
    <w:p>
      <w:pPr>
        <w:pStyle w:val="TextBody"/>
        <w:bidi w:val="0"/>
        <w:spacing w:before="107" w:after="0"/>
        <w:ind w:left="3456" w:right="360" w:hanging="0"/>
        <w:jc w:val="left"/>
        <w:rPr>
          <w:rFonts w:ascii="Arial" w:hAnsi="Arial"/>
          <w:sz w:val="20"/>
        </w:rPr>
      </w:pPr>
      <w:r>
        <w:rPr>
          <w:rFonts w:ascii="Arial" w:hAnsi="Arial"/>
          <w:b/>
          <w:sz w:val="20"/>
        </w:rPr>
        <w:t>Transaction</w:t>
      </w:r>
      <w:r>
        <w:rPr>
          <w:rFonts w:ascii="Arial" w:hAnsi="Arial"/>
          <w:sz w:val="20"/>
        </w:rPr>
        <w:t> </w:t>
      </w:r>
      <w:r>
        <w:rPr>
          <w:rFonts w:ascii="Arial" w:hAnsi="Arial"/>
          <w:b/>
          <w:sz w:val="20"/>
        </w:rPr>
        <w:t>Documents</w:t>
      </w:r>
      <w:r>
        <w:rPr>
          <w:rFonts w:ascii="Arial" w:hAnsi="Arial"/>
          <w:sz w:val="20"/>
        </w:rPr>
        <w:t xml:space="preserve"> means: </w:t>
      </w:r>
    </w:p>
    <w:p>
      <w:pPr>
        <w:pStyle w:val="TextBody"/>
        <w:bidi w:val="0"/>
        <w:spacing w:lineRule="auto" w:line="264" w:before="107" w:after="0"/>
        <w:ind w:left="3983" w:right="1956" w:hanging="0"/>
        <w:jc w:val="left"/>
        <w:rPr>
          <w:rFonts w:ascii="Arial" w:hAnsi="Arial"/>
          <w:sz w:val="20"/>
        </w:rPr>
      </w:pPr>
      <w:r>
        <w:rPr>
          <w:rFonts w:ascii="Arial" w:hAnsi="Arial"/>
          <w:sz w:val="20"/>
        </w:rPr>
        <w:t>(a)this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(b)not used;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(c)each Guarantor Accession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(d)the Collateral Security;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(e)the Parent Subordination Agreement;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(f)the ISDA Master Agreement dated 17 June 2011 between the Bank and the Borrower, as amended from time to time;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(g)each deed of consent referred to in item 12 (Deed of consent) of</w:t>
      </w:r>
      <w:r>
        <w:rPr>
          <w:rFonts w:ascii="Arial" w:hAnsi="Arial"/>
          <w:sz w:val="20"/>
        </w:rPr>
        <w:t xml:space="preserve"> </w:t>
      </w:r>
    </w:p>
    <w:p>
      <w:pPr>
        <w:pStyle w:val="TextBody"/>
        <w:bidi w:val="0"/>
        <w:spacing w:lineRule="auto" w:line="264" w:before="107" w:after="0"/>
        <w:ind w:left="3983" w:right="1956" w:hanging="533"/>
        <w:jc w:val="left"/>
        <w:rPr>
          <w:rFonts w:ascii="Arial" w:hAnsi="Arial"/>
          <w:sz w:val="20"/>
        </w:rPr>
      </w:pPr>
      <w:r>
        <w:rPr>
          <w:rFonts w:ascii="Arial" w:hAnsi="Arial"/>
          <w:sz w:val="20"/>
        </w:rPr>
        <w:t xml:space="preserve">schedule 3 upon it being executed by the relevant parties; </w:t>
      </w:r>
    </w:p>
    <w:p>
      <w:pPr>
        <w:pStyle w:val="TextBody"/>
        <w:bidi w:val="0"/>
        <w:spacing w:lineRule="auto" w:line="264" w:before="107" w:after="0"/>
        <w:ind w:left="3983" w:right="1956" w:hanging="0"/>
        <w:jc w:val="left"/>
        <w:rPr>
          <w:rFonts w:ascii="Arial" w:hAnsi="Arial"/>
          <w:sz w:val="20"/>
        </w:rPr>
      </w:pPr>
      <w:r>
        <w:rPr>
          <w:rFonts w:ascii="Arial" w:hAnsi="Arial"/>
          <w:sz w:val="20"/>
        </w:rPr>
        <w:t>(h)any agreement relating to the priority of any Security which is a Collateral Security;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(i)the Merchant Services Agreement;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(j)any document which the Borrower and the Bank agree is a Transaction Document for the purposes of this document;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(k)each document entered into for the purpose of amending, novating, restating or replacing any of them.</w:t>
      </w:r>
      <w:r>
        <w:rPr>
          <w:rFonts w:ascii="Arial" w:hAnsi="Arial"/>
          <w:sz w:val="20"/>
        </w:rPr>
        <w:t xml:space="preserve"> </w:t>
      </w:r>
    </w:p>
    <w:p>
      <w:pPr>
        <w:pStyle w:val="TextBody"/>
        <w:bidi w:val="0"/>
        <w:spacing w:lineRule="auto" w:line="266"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19</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8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1" descr=""/>
                    <pic:cNvPicPr>
                      <a:picLocks noChangeAspect="1" noChangeArrowheads="1"/>
                    </pic:cNvPicPr>
                  </pic:nvPicPr>
                  <pic:blipFill>
                    <a:blip r:embed="rId8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2" descr=""/>
                    <pic:cNvPicPr>
                      <a:picLocks noChangeAspect="1" noChangeArrowheads="1"/>
                    </pic:cNvPicPr>
                  </pic:nvPicPr>
                  <pic:blipFill>
                    <a:blip r:embed="rId8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bidi w:val="0"/>
        <w:spacing w:before="1" w:after="0"/>
        <w:ind w:left="3456" w:right="360" w:hanging="0"/>
        <w:jc w:val="left"/>
        <w:rPr>
          <w:rFonts w:ascii="Arial" w:hAnsi="Arial"/>
          <w:sz w:val="20"/>
        </w:rPr>
      </w:pPr>
      <w:r>
        <w:rPr>
          <w:rFonts w:ascii="Arial" w:hAnsi="Arial"/>
          <w:b/>
          <w:sz w:val="20"/>
        </w:rPr>
        <w:t>Transaction</w:t>
      </w:r>
      <w:r>
        <w:rPr>
          <w:rFonts w:ascii="Arial" w:hAnsi="Arial"/>
          <w:sz w:val="20"/>
        </w:rPr>
        <w:t> </w:t>
      </w:r>
      <w:r>
        <w:rPr>
          <w:rFonts w:ascii="Arial" w:hAnsi="Arial"/>
          <w:b/>
          <w:sz w:val="20"/>
        </w:rPr>
        <w:t>Parties</w:t>
      </w:r>
      <w:r>
        <w:rPr>
          <w:rFonts w:ascii="Arial" w:hAnsi="Arial"/>
          <w:sz w:val="20"/>
        </w:rPr>
        <w:t xml:space="preserve"> means the Borrower and each Guarantor. </w:t>
      </w:r>
    </w:p>
    <w:p>
      <w:pPr>
        <w:pStyle w:val="TextBody"/>
        <w:pBdr/>
        <w:bidi w:val="0"/>
        <w:spacing w:lineRule="auto" w:line="264" w:before="137" w:after="0"/>
        <w:ind w:left="3456" w:right="1854" w:hanging="0"/>
        <w:jc w:val="left"/>
        <w:rPr>
          <w:rFonts w:ascii="Arial" w:hAnsi="Arial"/>
          <w:sz w:val="20"/>
        </w:rPr>
      </w:pPr>
      <w:r>
        <w:rPr>
          <w:rFonts w:ascii="Arial" w:hAnsi="Arial"/>
          <w:b/>
          <w:sz w:val="20"/>
        </w:rPr>
        <w:t>Trust</w:t>
      </w:r>
      <w:r>
        <w:rPr>
          <w:rFonts w:ascii="Arial" w:hAnsi="Arial"/>
          <w:sz w:val="20"/>
        </w:rPr>
        <w:t xml:space="preserve"> means, in relation to any Transaction Party that enters into a Transaction Document in the capacity as trustee of a trust, the relevant trust. </w:t>
      </w:r>
    </w:p>
    <w:p>
      <w:pPr>
        <w:pStyle w:val="TextBody"/>
        <w:pBdr/>
        <w:bidi w:val="0"/>
        <w:spacing w:lineRule="auto" w:line="266" w:before="108" w:after="0"/>
        <w:ind w:left="3456" w:right="1854" w:hanging="0"/>
        <w:jc w:val="left"/>
        <w:rPr>
          <w:rFonts w:ascii="Arial" w:hAnsi="Arial"/>
          <w:sz w:val="20"/>
        </w:rPr>
      </w:pPr>
      <w:r>
        <w:rPr>
          <w:rFonts w:ascii="Arial" w:hAnsi="Arial"/>
          <w:b/>
          <w:sz w:val="20"/>
        </w:rPr>
        <w:t>Trust</w:t>
      </w:r>
      <w:r>
        <w:rPr>
          <w:rFonts w:ascii="Arial" w:hAnsi="Arial"/>
          <w:sz w:val="20"/>
        </w:rPr>
        <w:t> </w:t>
      </w:r>
      <w:r>
        <w:rPr>
          <w:rFonts w:ascii="Arial" w:hAnsi="Arial"/>
          <w:b/>
          <w:sz w:val="20"/>
        </w:rPr>
        <w:t>Deed</w:t>
      </w:r>
      <w:r>
        <w:rPr>
          <w:rFonts w:ascii="Arial" w:hAnsi="Arial"/>
          <w:sz w:val="20"/>
        </w:rPr>
        <w:t xml:space="preserve"> means, in relation to a Trust, the trust deed or other document which establishes or evidences that Trust. </w:t>
      </w:r>
    </w:p>
    <w:p>
      <w:pPr>
        <w:pStyle w:val="TextBody"/>
        <w:pBdr/>
        <w:bidi w:val="0"/>
        <w:spacing w:lineRule="auto" w:line="266" w:before="107" w:after="0"/>
        <w:ind w:left="3456" w:right="1854" w:hanging="0"/>
        <w:jc w:val="left"/>
        <w:rPr>
          <w:rFonts w:ascii="Arial" w:hAnsi="Arial"/>
          <w:sz w:val="20"/>
        </w:rPr>
      </w:pPr>
      <w:r>
        <w:rPr>
          <w:rFonts w:ascii="Arial" w:hAnsi="Arial"/>
          <w:b/>
          <w:sz w:val="20"/>
        </w:rPr>
        <w:t>Trustee</w:t>
      </w:r>
      <w:r>
        <w:rPr>
          <w:rFonts w:ascii="Arial" w:hAnsi="Arial"/>
          <w:sz w:val="20"/>
        </w:rPr>
        <w:t xml:space="preserve"> means a Transaction Party that enters into a Transaction Document acting as the trustee of a Trust. </w:t>
      </w:r>
    </w:p>
    <w:p>
      <w:pPr>
        <w:pStyle w:val="TextBody"/>
        <w:pBdr/>
        <w:bidi w:val="0"/>
        <w:spacing w:lineRule="auto" w:line="264" w:before="106" w:after="0"/>
        <w:ind w:left="3456" w:right="1854" w:hanging="0"/>
        <w:jc w:val="left"/>
        <w:rPr>
          <w:rFonts w:ascii="Arial" w:hAnsi="Arial"/>
          <w:sz w:val="20"/>
        </w:rPr>
      </w:pPr>
      <w:r>
        <w:rPr>
          <w:rFonts w:ascii="Arial" w:hAnsi="Arial"/>
          <w:b/>
          <w:sz w:val="20"/>
        </w:rPr>
        <w:t xml:space="preserve">Valuation </w:t>
      </w:r>
      <w:r>
        <w:rPr>
          <w:rFonts w:ascii="Arial" w:hAnsi="Arial"/>
          <w:sz w:val="20"/>
        </w:rPr>
        <w:t xml:space="preserve">means a valuation of the Freehold Properties or leasehold properties included in the Secured Property addressed to the Bank, by an Approved Valuer in form and substance satisfactory to the Bank in all respects. </w:t>
      </w:r>
    </w:p>
    <w:p>
      <w:pPr>
        <w:pStyle w:val="TextBody"/>
        <w:bidi w:val="0"/>
        <w:spacing w:before="108" w:after="0"/>
        <w:ind w:left="3456" w:right="360" w:hanging="0"/>
        <w:jc w:val="left"/>
        <w:rPr>
          <w:rFonts w:ascii="Arial" w:hAnsi="Arial"/>
          <w:sz w:val="20"/>
        </w:rPr>
      </w:pPr>
      <w:r>
        <w:rPr>
          <w:rFonts w:ascii="Arial" w:hAnsi="Arial"/>
          <w:b/>
          <w:sz w:val="20"/>
        </w:rPr>
        <w:t>Verification</w:t>
      </w:r>
      <w:r>
        <w:rPr>
          <w:rFonts w:ascii="Arial" w:hAnsi="Arial"/>
          <w:sz w:val="20"/>
        </w:rPr>
        <w:t> </w:t>
      </w:r>
      <w:r>
        <w:rPr>
          <w:rFonts w:ascii="Arial" w:hAnsi="Arial"/>
          <w:b/>
          <w:sz w:val="20"/>
        </w:rPr>
        <w:t>Certificate</w:t>
      </w:r>
      <w:r>
        <w:rPr>
          <w:rFonts w:ascii="Arial" w:hAnsi="Arial"/>
          <w:sz w:val="20"/>
        </w:rPr>
        <w:t xml:space="preserve"> means a certificate in substantially the form set out in </w:t>
      </w:r>
    </w:p>
    <w:p>
      <w:pPr>
        <w:pStyle w:val="TextBody"/>
        <w:bidi w:val="0"/>
        <w:spacing w:before="24" w:after="0"/>
        <w:ind w:left="3456" w:right="360" w:hanging="0"/>
        <w:jc w:val="left"/>
        <w:rPr>
          <w:rFonts w:ascii="Arial" w:hAnsi="Arial"/>
          <w:b/>
          <w:sz w:val="20"/>
        </w:rPr>
      </w:pPr>
      <w:r>
        <w:rPr>
          <w:rFonts w:ascii="Arial" w:hAnsi="Arial"/>
          <w:b/>
          <w:sz w:val="20"/>
        </w:rPr>
        <w:t>schedule  6</w:t>
      </w:r>
      <w:r>
        <w:rPr>
          <w:rFonts w:ascii="Arial" w:hAnsi="Arial"/>
          <w:b w:val="false"/>
          <w:sz w:val="20"/>
        </w:rPr>
        <w:t>.</w:t>
      </w:r>
      <w:r>
        <w:rPr>
          <w:rFonts w:ascii="Arial" w:hAnsi="Arial"/>
          <w:b/>
          <w:sz w:val="20"/>
        </w:rPr>
        <w:t xml:space="preserve"> </w:t>
      </w:r>
    </w:p>
    <w:p>
      <w:pPr>
        <w:pStyle w:val="TextBody"/>
        <w:bidi w:val="0"/>
        <w:spacing w:lineRule="auto" w:line="264" w:before="138" w:after="0"/>
        <w:ind w:left="3456" w:right="2115" w:hanging="0"/>
        <w:jc w:val="both"/>
        <w:rPr>
          <w:rFonts w:ascii="Arial" w:hAnsi="Arial"/>
          <w:sz w:val="20"/>
        </w:rPr>
      </w:pPr>
      <w:r>
        <w:rPr>
          <w:rFonts w:ascii="Arial" w:hAnsi="Arial"/>
          <w:b/>
          <w:sz w:val="20"/>
        </w:rPr>
        <w:t>Waurn</w:t>
      </w:r>
      <w:r>
        <w:rPr>
          <w:rFonts w:ascii="Arial" w:hAnsi="Arial"/>
          <w:sz w:val="20"/>
        </w:rPr>
        <w:t> </w:t>
      </w:r>
      <w:r>
        <w:rPr>
          <w:rFonts w:ascii="Arial" w:hAnsi="Arial"/>
          <w:b/>
          <w:sz w:val="20"/>
        </w:rPr>
        <w:t>Ponds</w:t>
      </w:r>
      <w:r>
        <w:rPr>
          <w:rFonts w:ascii="Arial" w:hAnsi="Arial"/>
          <w:sz w:val="20"/>
        </w:rPr>
        <w:t> </w:t>
      </w:r>
      <w:r>
        <w:rPr>
          <w:rFonts w:ascii="Arial" w:hAnsi="Arial"/>
          <w:b/>
          <w:sz w:val="20"/>
        </w:rPr>
        <w:t>Property</w:t>
      </w:r>
      <w:r>
        <w:rPr>
          <w:rFonts w:ascii="Arial" w:hAnsi="Arial"/>
          <w:sz w:val="20"/>
        </w:rPr>
        <w:t xml:space="preserve"> means the leasehold land improvements known as Reading Cinema Waurn Ponds, Corner Pioneer Road and Princes Highway, Waurn Ponds Victoria and described in certificate of title volume 10530 folio 739. </w:t>
      </w:r>
    </w:p>
    <w:p>
      <w:pPr>
        <w:pStyle w:val="TextBody"/>
        <w:bidi w:val="0"/>
        <w:spacing w:lineRule="auto" w:line="264" w:before="106" w:after="0"/>
        <w:ind w:left="3456" w:right="2014" w:hanging="0"/>
        <w:jc w:val="both"/>
        <w:rPr>
          <w:rFonts w:ascii="Arial" w:hAnsi="Arial"/>
          <w:sz w:val="20"/>
        </w:rPr>
      </w:pPr>
      <w:r>
        <w:rPr>
          <w:rFonts w:ascii="Arial" w:hAnsi="Arial"/>
          <w:b/>
          <w:sz w:val="20"/>
        </w:rPr>
        <w:t>Waurn</w:t>
      </w:r>
      <w:r>
        <w:rPr>
          <w:rFonts w:ascii="Arial" w:hAnsi="Arial"/>
          <w:sz w:val="20"/>
        </w:rPr>
        <w:t> </w:t>
      </w:r>
      <w:r>
        <w:rPr>
          <w:rFonts w:ascii="Arial" w:hAnsi="Arial"/>
          <w:b/>
          <w:sz w:val="20"/>
        </w:rPr>
        <w:t>Ponds</w:t>
      </w:r>
      <w:r>
        <w:rPr>
          <w:rFonts w:ascii="Arial" w:hAnsi="Arial"/>
          <w:sz w:val="20"/>
        </w:rPr>
        <w:t> </w:t>
      </w:r>
      <w:r>
        <w:rPr>
          <w:rFonts w:ascii="Arial" w:hAnsi="Arial"/>
          <w:b/>
          <w:sz w:val="20"/>
        </w:rPr>
        <w:t>Property</w:t>
      </w:r>
      <w:r>
        <w:rPr>
          <w:rFonts w:ascii="Arial" w:hAnsi="Arial"/>
          <w:sz w:val="20"/>
        </w:rPr>
        <w:t> </w:t>
      </w:r>
      <w:r>
        <w:rPr>
          <w:rFonts w:ascii="Arial" w:hAnsi="Arial"/>
          <w:b/>
          <w:sz w:val="20"/>
        </w:rPr>
        <w:t>Release</w:t>
      </w:r>
      <w:r>
        <w:rPr>
          <w:rFonts w:ascii="Arial" w:hAnsi="Arial"/>
          <w:sz w:val="20"/>
        </w:rPr>
        <w:t> </w:t>
      </w:r>
      <w:r>
        <w:rPr>
          <w:rFonts w:ascii="Arial" w:hAnsi="Arial"/>
          <w:b/>
          <w:sz w:val="20"/>
        </w:rPr>
        <w:t>Date</w:t>
      </w:r>
      <w:r>
        <w:rPr>
          <w:rFonts w:ascii="Arial" w:hAnsi="Arial"/>
          <w:sz w:val="20"/>
        </w:rPr>
        <w:t xml:space="preserve"> means, the date on which the Bank is satisfied in its absolute discretion that: </w:t>
      </w:r>
    </w:p>
    <w:p>
      <w:pPr>
        <w:pStyle w:val="TextBody"/>
        <w:bidi w:val="0"/>
        <w:spacing w:lineRule="auto" w:line="264" w:before="107" w:after="0"/>
        <w:ind w:left="3983" w:right="1956" w:hanging="0"/>
        <w:jc w:val="left"/>
        <w:rPr>
          <w:rFonts w:ascii="Arial" w:hAnsi="Arial"/>
          <w:sz w:val="20"/>
        </w:rPr>
      </w:pPr>
      <w:r>
        <w:rPr>
          <w:rFonts w:ascii="Arial" w:hAnsi="Arial"/>
          <w:sz w:val="20"/>
        </w:rPr>
        <w:t>(a)the Waurn Pond Property is sold;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(b)the Borrower will apply the Net Sale Proceeds from that sale in permanent reduction of the Facility Limit of the Bridge Facility,</w:t>
      </w:r>
      <w:r>
        <w:rPr>
          <w:rFonts w:ascii="Arial" w:hAnsi="Arial"/>
          <w:sz w:val="20"/>
        </w:rPr>
        <w:t xml:space="preserve"> </w:t>
      </w:r>
    </w:p>
    <w:p>
      <w:pPr>
        <w:pStyle w:val="TextBody"/>
        <w:bidi w:val="0"/>
        <w:spacing w:before="111" w:after="0"/>
        <w:ind w:left="3456" w:right="360" w:hanging="0"/>
        <w:jc w:val="left"/>
        <w:rPr>
          <w:rFonts w:ascii="Arial" w:hAnsi="Arial"/>
          <w:sz w:val="20"/>
        </w:rPr>
      </w:pPr>
      <w:r>
        <w:rPr>
          <w:rFonts w:ascii="Arial" w:hAnsi="Arial"/>
          <w:sz w:val="20"/>
        </w:rPr>
        <w:t xml:space="preserve">in accordance with the terms of this document. </w:t>
      </w:r>
    </w:p>
    <w:tbl>
      <w:tblPr>
        <w:tblW w:w="2036" w:type="dxa"/>
        <w:jc w:val="left"/>
        <w:tblInd w:w="360" w:type="dxa"/>
        <w:tblLayout w:type="fixed"/>
        <w:tblCellMar>
          <w:top w:w="0" w:type="dxa"/>
          <w:left w:w="0" w:type="dxa"/>
          <w:bottom w:w="0" w:type="dxa"/>
          <w:right w:w="0" w:type="dxa"/>
        </w:tblCellMar>
      </w:tblPr>
      <w:tblGrid>
        <w:gridCol w:w="38"/>
        <w:gridCol w:w="560"/>
        <w:gridCol w:w="23"/>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7.11. </w:t>
            </w:r>
          </w:p>
        </w:tc>
        <w:tc>
          <w:tcPr>
            <w:tcW w:w="23" w:type="dxa"/>
            <w:tcBorders/>
            <w:vAlign w:val="center"/>
          </w:tcPr>
          <w:p>
            <w:pPr>
              <w:pStyle w:val="TableContents"/>
              <w:bidi w:val="0"/>
              <w:spacing w:before="0" w:after="283"/>
              <w:jc w:val="left"/>
              <w:rPr>
                <w:sz w:val="4"/>
                <w:szCs w:val="4"/>
              </w:rPr>
            </w:pPr>
            <w:r>
              <w:rPr>
                <w:sz w:val="4"/>
                <w:szCs w:val="4"/>
              </w:rPr>
            </w:r>
          </w:p>
        </w:tc>
        <w:tc>
          <w:tcPr>
            <w:tcW w:w="1415" w:type="dxa"/>
            <w:tcBorders/>
          </w:tcPr>
          <w:p>
            <w:pPr>
              <w:pStyle w:val="TableContents"/>
              <w:bidi w:val="0"/>
              <w:spacing w:before="174" w:after="0"/>
              <w:ind w:left="0" w:right="0" w:hanging="0"/>
              <w:jc w:val="left"/>
              <w:rPr>
                <w:rFonts w:ascii="Arial" w:hAnsi="Arial"/>
                <w:b/>
                <w:sz w:val="22"/>
              </w:rPr>
            </w:pPr>
            <w:bookmarkStart w:id="139" w:name="_TOC_250086"/>
            <w:bookmarkEnd w:id="139"/>
            <w:r>
              <w:rPr>
                <w:rFonts w:ascii="Arial" w:hAnsi="Arial"/>
                <w:b/>
                <w:color w:val="000000"/>
                <w:sz w:val="22"/>
              </w:rPr>
              <w:t>C</w:t>
            </w:r>
            <w:bookmarkStart w:id="140" w:name="Construction12"/>
            <w:bookmarkEnd w:id="140"/>
            <w:r>
              <w:rPr>
                <w:rFonts w:ascii="Arial" w:hAnsi="Arial"/>
                <w:b/>
                <w:color w:val="000000"/>
                <w:sz w:val="22"/>
              </w:rPr>
              <w:t>onstruction</w:t>
            </w:r>
          </w:p>
        </w:tc>
      </w:tr>
    </w:tbl>
    <w:p>
      <w:pPr>
        <w:pStyle w:val="TextBody"/>
        <w:bidi w:val="0"/>
        <w:spacing w:before="87" w:after="0"/>
        <w:ind w:left="3453" w:right="360" w:hanging="0"/>
        <w:jc w:val="left"/>
        <w:rPr>
          <w:rFonts w:ascii="Arial" w:hAnsi="Arial"/>
          <w:sz w:val="20"/>
        </w:rPr>
      </w:pPr>
      <w:r>
        <w:rPr>
          <w:rFonts w:ascii="Arial" w:hAnsi="Arial"/>
          <w:color w:val="000000"/>
          <w:sz w:val="20"/>
        </w:rPr>
        <w:t>Unless expressed to the contrary, in this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(a)words in the singular include the plural and vice versa;</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(b)any gender includes the other genders;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(c)if a word or phrase is defined its other grammatical forms have corresponding meanings;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(d)“includes” means includes without limitation;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(e)no rule of construction will apply to a clause to the disadvantage of a party merely because that party put forward the clause or would otherwise benefit from it;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(f)a reference to:</w:t>
      </w:r>
      <w:r>
        <w:rPr>
          <w:rFonts w:ascii="Arial" w:hAnsi="Arial"/>
          <w:sz w:val="20"/>
        </w:rPr>
        <w:t xml:space="preserve"> </w:t>
      </w:r>
    </w:p>
    <w:p>
      <w:pPr>
        <w:pStyle w:val="TextBody"/>
        <w:bidi w:val="0"/>
        <w:spacing w:lineRule="auto" w:line="264" w:before="135" w:after="0"/>
        <w:ind w:left="4540" w:right="2204" w:hanging="0"/>
        <w:jc w:val="left"/>
        <w:rPr>
          <w:rFonts w:ascii="Arial" w:hAnsi="Arial"/>
          <w:sz w:val="20"/>
        </w:rPr>
      </w:pPr>
      <w:r>
        <w:rPr>
          <w:rFonts w:ascii="Arial" w:hAnsi="Arial"/>
          <w:color w:val="000000"/>
          <w:sz w:val="20"/>
        </w:rPr>
        <w:t>(i)a person includes a partnership, joint venture, unincorporated association, corporation and a government or statutory body or authority;</w:t>
      </w:r>
      <w:r>
        <w:rPr>
          <w:rFonts w:ascii="Arial" w:hAnsi="Arial"/>
          <w:sz w:val="20"/>
        </w:rPr>
        <w:t xml:space="preserve"> </w:t>
      </w:r>
    </w:p>
    <w:p>
      <w:pPr>
        <w:pStyle w:val="TextBody"/>
        <w:bidi w:val="0"/>
        <w:spacing w:before="110" w:after="0"/>
        <w:ind w:left="4547" w:right="360" w:hanging="0"/>
        <w:jc w:val="left"/>
        <w:rPr>
          <w:rFonts w:ascii="Arial" w:hAnsi="Arial"/>
          <w:sz w:val="20"/>
        </w:rPr>
      </w:pPr>
      <w:r>
        <w:rPr>
          <w:rFonts w:ascii="Arial" w:hAnsi="Arial"/>
          <w:color w:val="000000"/>
          <w:sz w:val="20"/>
        </w:rPr>
        <w:t>(ii)  a  person includes the person’s legal personal representatives</w:t>
      </w:r>
      <w:r>
        <w:rPr>
          <w:rFonts w:ascii="Arial" w:hAnsi="Arial"/>
          <w:sz w:val="20"/>
        </w:rPr>
        <w:t xml:space="preserve"> </w:t>
      </w:r>
    </w:p>
    <w:p>
      <w:pPr>
        <w:pStyle w:val="TextBody"/>
        <w:pBdr/>
        <w:bidi w:val="0"/>
        <w:spacing w:before="24" w:after="0"/>
        <w:ind w:left="4540" w:right="360" w:hanging="0"/>
        <w:jc w:val="left"/>
        <w:rPr>
          <w:rFonts w:ascii="Arial" w:hAnsi="Arial"/>
          <w:sz w:val="20"/>
        </w:rPr>
      </w:pPr>
      <w:r>
        <w:rPr>
          <w:rFonts w:ascii="Arial" w:hAnsi="Arial"/>
          <w:color w:val="000000"/>
          <w:sz w:val="20"/>
        </w:rPr>
        <w:t>successors, assigns and persons substituted by novation;</w:t>
      </w:r>
      <w:r>
        <w:rPr>
          <w:rFonts w:ascii="Arial" w:hAnsi="Arial"/>
          <w:sz w:val="20"/>
        </w:rPr>
        <w:t xml:space="preserve"> </w:t>
      </w:r>
    </w:p>
    <w:p>
      <w:pPr>
        <w:pStyle w:val="TextBody"/>
        <w:pBdr/>
        <w:bidi w:val="0"/>
        <w:spacing w:before="0" w:after="0"/>
        <w:ind w:left="360" w:right="360" w:hanging="0"/>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20</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3" descr=""/>
                    <pic:cNvPicPr>
                      <a:picLocks noChangeAspect="1" noChangeArrowheads="1"/>
                    </pic:cNvPicPr>
                  </pic:nvPicPr>
                  <pic:blipFill>
                    <a:blip r:embed="rId8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4" descr=""/>
                    <pic:cNvPicPr>
                      <a:picLocks noChangeAspect="1" noChangeArrowheads="1"/>
                    </pic:cNvPicPr>
                  </pic:nvPicPr>
                  <pic:blipFill>
                    <a:blip r:embed="rId8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0" w:after="0"/>
        <w:ind w:left="4540" w:right="1955" w:hanging="0"/>
        <w:jc w:val="left"/>
        <w:rPr>
          <w:rFonts w:ascii="Arial" w:hAnsi="Arial"/>
          <w:sz w:val="20"/>
        </w:rPr>
      </w:pPr>
      <w:r>
        <w:rPr>
          <w:rFonts w:ascii="Arial" w:hAnsi="Arial"/>
          <w:sz w:val="20"/>
        </w:rPr>
        <w:t xml:space="preserve">(iii)any legislation includes subordinate legislation under it and includes that legislation and subordinate legislation as modified or replaced; </w:t>
      </w:r>
    </w:p>
    <w:p>
      <w:pPr>
        <w:pStyle w:val="TextBody"/>
        <w:bidi w:val="0"/>
        <w:spacing w:lineRule="auto" w:line="264" w:before="110" w:after="0"/>
        <w:ind w:left="4540" w:right="2461" w:hanging="0"/>
        <w:jc w:val="left"/>
        <w:rPr>
          <w:rFonts w:ascii="Arial" w:hAnsi="Arial"/>
          <w:sz w:val="20"/>
        </w:rPr>
      </w:pPr>
      <w:r>
        <w:rPr>
          <w:rFonts w:ascii="Arial" w:hAnsi="Arial"/>
          <w:sz w:val="20"/>
        </w:rPr>
        <w:t xml:space="preserve">(iv)an obligation includes a representation or warranty and a reference to a failure to comply with an obligation includes a breach of representation or warranty; </w:t>
      </w:r>
    </w:p>
    <w:p>
      <w:pPr>
        <w:pStyle w:val="TextBody"/>
        <w:bidi w:val="0"/>
        <w:spacing w:before="110" w:after="0"/>
        <w:ind w:left="4539" w:right="360" w:hanging="0"/>
        <w:jc w:val="left"/>
        <w:rPr>
          <w:rFonts w:ascii="Arial" w:hAnsi="Arial"/>
          <w:sz w:val="20"/>
        </w:rPr>
      </w:pPr>
      <w:r>
        <w:rPr>
          <w:rFonts w:ascii="Arial" w:hAnsi="Arial"/>
          <w:sz w:val="20"/>
        </w:rPr>
        <w:t xml:space="preserve">(v)a right includes a benefit, remedy, discretion or power; </w:t>
      </w:r>
    </w:p>
    <w:p>
      <w:pPr>
        <w:pStyle w:val="TextBody"/>
        <w:bidi w:val="0"/>
        <w:spacing w:before="138" w:after="0"/>
        <w:ind w:left="4539" w:right="360" w:hanging="0"/>
        <w:jc w:val="left"/>
        <w:rPr>
          <w:rFonts w:ascii="Arial" w:hAnsi="Arial"/>
          <w:sz w:val="20"/>
        </w:rPr>
      </w:pPr>
      <w:r>
        <w:rPr>
          <w:rFonts w:ascii="Arial" w:hAnsi="Arial"/>
          <w:sz w:val="20"/>
        </w:rPr>
        <w:t xml:space="preserve">(vi)time is to local time in Melbourne; </w:t>
      </w:r>
    </w:p>
    <w:p>
      <w:pPr>
        <w:pStyle w:val="TextBody"/>
        <w:bidi w:val="0"/>
        <w:spacing w:before="136" w:after="0"/>
        <w:ind w:left="4547" w:right="360" w:hanging="0"/>
        <w:jc w:val="left"/>
        <w:rPr>
          <w:rFonts w:ascii="Arial" w:hAnsi="Arial"/>
          <w:sz w:val="20"/>
        </w:rPr>
      </w:pPr>
      <w:r>
        <w:rPr>
          <w:rFonts w:ascii="Arial" w:hAnsi="Arial"/>
          <w:sz w:val="20"/>
        </w:rPr>
        <w:t xml:space="preserve">(vii)“$”  or “dollars”  is a reference to Australian currency; </w:t>
      </w:r>
    </w:p>
    <w:p>
      <w:pPr>
        <w:pStyle w:val="TextBody"/>
        <w:bidi w:val="0"/>
        <w:spacing w:lineRule="auto" w:line="264" w:before="0" w:after="0"/>
        <w:ind w:left="4540" w:right="2196" w:hanging="0"/>
        <w:jc w:val="both"/>
        <w:rPr>
          <w:rFonts w:ascii="Arial" w:hAnsi="Arial"/>
          <w:sz w:val="20"/>
        </w:rPr>
      </w:pPr>
      <w:r>
        <w:rPr>
          <w:rFonts w:ascii="Arial" w:hAnsi="Arial"/>
          <w:sz w:val="20"/>
        </w:rPr>
        <w:t xml:space="preserve">(viii)this or any other document includes the document as novated, varied or replaced and despite any change in the identity of the parties; </w:t>
      </w:r>
    </w:p>
    <w:p>
      <w:pPr>
        <w:pStyle w:val="TextBody"/>
        <w:bidi w:val="0"/>
        <w:spacing w:lineRule="auto" w:line="264" w:before="114" w:after="0"/>
        <w:ind w:left="4540" w:right="1932" w:hanging="0"/>
        <w:jc w:val="left"/>
        <w:rPr>
          <w:rFonts w:ascii="Arial" w:hAnsi="Arial"/>
          <w:sz w:val="20"/>
        </w:rPr>
      </w:pPr>
      <w:r>
        <w:rPr>
          <w:rFonts w:ascii="Arial" w:hAnsi="Arial"/>
          <w:sz w:val="20"/>
        </w:rPr>
        <w:t xml:space="preserve">(ix)writing includes any mode of representing or reproducing words in tangible and permanently visible form, and includes fax transmissions; </w:t>
      </w:r>
    </w:p>
    <w:p>
      <w:pPr>
        <w:pStyle w:val="TextBody"/>
        <w:bidi w:val="0"/>
        <w:spacing w:lineRule="auto" w:line="264" w:before="110" w:after="0"/>
        <w:ind w:left="4540" w:right="1865" w:hanging="0"/>
        <w:jc w:val="left"/>
        <w:rPr>
          <w:rFonts w:ascii="Arial" w:hAnsi="Arial"/>
          <w:sz w:val="20"/>
        </w:rPr>
      </w:pPr>
      <w:r>
        <w:rPr>
          <w:rFonts w:ascii="Arial" w:hAnsi="Arial"/>
          <w:sz w:val="20"/>
        </w:rPr>
        <w:t xml:space="preserve">(x)any thing (including any amount) is a reference to the whole or any part of it and a reference to a group of things or persons is a reference to any one or more of them; </w:t>
      </w:r>
    </w:p>
    <w:p>
      <w:pPr>
        <w:pStyle w:val="TextBody"/>
        <w:bidi w:val="0"/>
        <w:spacing w:before="117" w:after="0"/>
        <w:ind w:left="4539" w:right="360" w:hanging="0"/>
        <w:jc w:val="left"/>
        <w:rPr>
          <w:rFonts w:ascii="Arial" w:hAnsi="Arial"/>
          <w:sz w:val="20"/>
        </w:rPr>
      </w:pPr>
      <w:r>
        <w:rPr>
          <w:rFonts w:ascii="Arial" w:hAnsi="Arial"/>
          <w:sz w:val="20"/>
        </w:rPr>
        <w:t xml:space="preserve">(xi)this document includes all schedules and annexures to it; and </w:t>
      </w:r>
    </w:p>
    <w:p>
      <w:pPr>
        <w:pStyle w:val="TextBody"/>
        <w:bidi w:val="0"/>
        <w:spacing w:lineRule="auto" w:line="264" w:before="135" w:after="0"/>
        <w:ind w:left="4540" w:right="2359" w:hanging="0"/>
        <w:jc w:val="left"/>
        <w:rPr>
          <w:rFonts w:ascii="Arial" w:hAnsi="Arial"/>
          <w:sz w:val="20"/>
        </w:rPr>
      </w:pPr>
      <w:r>
        <w:rPr>
          <w:rFonts w:ascii="Arial" w:hAnsi="Arial"/>
          <w:sz w:val="20"/>
        </w:rPr>
        <w:t xml:space="preserve">(xii)a clause, schedule or annexure is a reference to a clause, schedule or annexure, as the case may be, of this document. </w:t>
      </w:r>
    </w:p>
    <w:tbl>
      <w:tblPr>
        <w:tblW w:w="1646" w:type="dxa"/>
        <w:jc w:val="left"/>
        <w:tblInd w:w="360" w:type="dxa"/>
        <w:tblLayout w:type="fixed"/>
        <w:tblCellMar>
          <w:top w:w="0" w:type="dxa"/>
          <w:left w:w="0" w:type="dxa"/>
          <w:bottom w:w="0" w:type="dxa"/>
          <w:right w:w="0" w:type="dxa"/>
        </w:tblCellMar>
      </w:tblPr>
      <w:tblGrid>
        <w:gridCol w:w="38"/>
        <w:gridCol w:w="560"/>
        <w:gridCol w:w="23"/>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7.12. </w:t>
            </w:r>
          </w:p>
        </w:tc>
        <w:tc>
          <w:tcPr>
            <w:tcW w:w="23" w:type="dxa"/>
            <w:tcBorders/>
            <w:vAlign w:val="center"/>
          </w:tcPr>
          <w:p>
            <w:pPr>
              <w:pStyle w:val="TableContents"/>
              <w:bidi w:val="0"/>
              <w:spacing w:before="0" w:after="283"/>
              <w:jc w:val="left"/>
              <w:rPr>
                <w:sz w:val="4"/>
                <w:szCs w:val="4"/>
              </w:rPr>
            </w:pPr>
            <w:r>
              <w:rPr>
                <w:sz w:val="4"/>
                <w:szCs w:val="4"/>
              </w:rPr>
            </w:r>
          </w:p>
        </w:tc>
        <w:tc>
          <w:tcPr>
            <w:tcW w:w="1025" w:type="dxa"/>
            <w:tcBorders/>
          </w:tcPr>
          <w:p>
            <w:pPr>
              <w:pStyle w:val="TableContents"/>
              <w:bidi w:val="0"/>
              <w:spacing w:before="174" w:after="0"/>
              <w:ind w:left="0" w:right="0" w:hanging="0"/>
              <w:jc w:val="left"/>
              <w:rPr>
                <w:rFonts w:ascii="Arial" w:hAnsi="Arial"/>
                <w:b/>
                <w:color w:val="000000"/>
                <w:sz w:val="22"/>
              </w:rPr>
            </w:pPr>
            <w:bookmarkStart w:id="141" w:name="Headings13"/>
            <w:bookmarkStart w:id="142" w:name="_TOC_250085"/>
            <w:bookmarkEnd w:id="141"/>
            <w:bookmarkEnd w:id="142"/>
            <w:r>
              <w:rPr>
                <w:rFonts w:ascii="Arial" w:hAnsi="Arial"/>
                <w:b/>
                <w:color w:val="000000"/>
                <w:sz w:val="22"/>
              </w:rPr>
              <w:t>Headings</w:t>
            </w:r>
          </w:p>
        </w:tc>
      </w:tr>
    </w:tbl>
    <w:p>
      <w:pPr>
        <w:pStyle w:val="TextBody"/>
        <w:bidi w:val="0"/>
        <w:spacing w:before="87" w:after="0"/>
        <w:ind w:left="3453" w:right="360" w:hanging="0"/>
        <w:jc w:val="left"/>
        <w:rPr>
          <w:rFonts w:ascii="Arial" w:hAnsi="Arial"/>
          <w:sz w:val="20"/>
        </w:rPr>
      </w:pPr>
      <w:r>
        <w:rPr>
          <w:rFonts w:ascii="Arial" w:hAnsi="Arial"/>
          <w:color w:val="000000"/>
          <w:sz w:val="20"/>
        </w:rPr>
        <w:t>Headings do not affect the interpretation of this document.</w:t>
      </w:r>
      <w:r>
        <w:rPr>
          <w:rFonts w:ascii="Arial" w:hAnsi="Arial"/>
          <w:sz w:val="20"/>
        </w:rPr>
        <w:t xml:space="preserve"> </w:t>
      </w:r>
    </w:p>
    <w:tbl>
      <w:tblPr>
        <w:tblW w:w="5921" w:type="dxa"/>
        <w:jc w:val="left"/>
        <w:tblInd w:w="360" w:type="dxa"/>
        <w:tblLayout w:type="fixed"/>
        <w:tblCellMar>
          <w:top w:w="0" w:type="dxa"/>
          <w:left w:w="0" w:type="dxa"/>
          <w:bottom w:w="0" w:type="dxa"/>
          <w:right w:w="0" w:type="dxa"/>
        </w:tblCellMar>
      </w:tblPr>
      <w:tblGrid>
        <w:gridCol w:w="38"/>
        <w:gridCol w:w="560"/>
        <w:gridCol w:w="23"/>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7.13. </w:t>
            </w:r>
          </w:p>
        </w:tc>
        <w:tc>
          <w:tcPr>
            <w:tcW w:w="23" w:type="dxa"/>
            <w:tcBorders/>
            <w:vAlign w:val="center"/>
          </w:tcPr>
          <w:p>
            <w:pPr>
              <w:pStyle w:val="TableContents"/>
              <w:bidi w:val="0"/>
              <w:spacing w:before="0" w:after="283"/>
              <w:jc w:val="left"/>
              <w:rPr>
                <w:sz w:val="4"/>
                <w:szCs w:val="4"/>
              </w:rPr>
            </w:pPr>
            <w:r>
              <w:rPr>
                <w:sz w:val="4"/>
                <w:szCs w:val="4"/>
              </w:rPr>
            </w:r>
          </w:p>
        </w:tc>
        <w:tc>
          <w:tcPr>
            <w:tcW w:w="5300" w:type="dxa"/>
            <w:tcBorders/>
          </w:tcPr>
          <w:p>
            <w:pPr>
              <w:pStyle w:val="TableContents"/>
              <w:bidi w:val="0"/>
              <w:spacing w:before="174" w:after="0"/>
              <w:ind w:left="0" w:right="0" w:hanging="0"/>
              <w:jc w:val="left"/>
              <w:rPr>
                <w:rFonts w:ascii="Arial" w:hAnsi="Arial"/>
                <w:b/>
                <w:color w:val="000000"/>
                <w:sz w:val="22"/>
              </w:rPr>
            </w:pPr>
            <w:bookmarkStart w:id="143" w:name="CorporationsAct14"/>
            <w:bookmarkStart w:id="144" w:name="_TOC_250084"/>
            <w:bookmarkEnd w:id="143"/>
            <w:bookmarkEnd w:id="144"/>
            <w:r>
              <w:rPr>
                <w:rFonts w:ascii="Arial" w:hAnsi="Arial"/>
                <w:b/>
                <w:color w:val="000000"/>
                <w:sz w:val="22"/>
              </w:rPr>
              <w:t>Corporations Act, GST and Accounting Standards</w:t>
            </w:r>
          </w:p>
        </w:tc>
      </w:tr>
    </w:tbl>
    <w:p>
      <w:pPr>
        <w:pStyle w:val="TextBody"/>
        <w:pBdr/>
        <w:bidi w:val="0"/>
        <w:spacing w:before="87" w:after="0"/>
        <w:ind w:left="3453" w:right="360" w:hanging="0"/>
        <w:jc w:val="left"/>
        <w:rPr>
          <w:rFonts w:ascii="Arial" w:hAnsi="Arial"/>
          <w:sz w:val="20"/>
        </w:rPr>
      </w:pPr>
      <w:r>
        <w:rPr>
          <w:rFonts w:ascii="Arial" w:hAnsi="Arial"/>
          <w:color w:val="000000"/>
          <w:sz w:val="20"/>
        </w:rPr>
        <w:t>Unless expressed to the contrary:</w:t>
      </w:r>
      <w:r>
        <w:rPr>
          <w:rFonts w:ascii="Arial" w:hAnsi="Arial"/>
          <w:sz w:val="20"/>
        </w:rPr>
        <w:t xml:space="preserve"> </w:t>
      </w:r>
    </w:p>
    <w:p>
      <w:pPr>
        <w:pStyle w:val="TextBody"/>
        <w:pBdr/>
        <w:bidi w:val="0"/>
        <w:spacing w:before="87" w:after="0"/>
        <w:ind w:left="3453" w:right="360" w:hanging="0"/>
        <w:jc w:val="left"/>
        <w:rPr>
          <w:rFonts w:cs="Arial"/>
          <w:szCs w:val="20"/>
        </w:rPr>
      </w:pPr>
      <w:r>
        <w:rPr>
          <w:rFonts w:cs="Arial"/>
          <w:color w:val="000000"/>
          <w:szCs w:val="20"/>
        </w:rPr>
        <w:t>﻿</w:t>
      </w: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(a)“control”, “controller”, “corporation”, “disclosing entity”, “holding company  “marketable security”, prospective liability”, “public company” “related body corporate” and “subsidiary” each has the meaning which it is defined to have in the Corporations Act;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(b)“adjustment event”, “consideration”, “GST”, input tax credit”, “supply”, “taxable supply” and “tax invoice” each has the meaning which it is defined to have in the </w:t>
      </w:r>
      <w:r>
        <w:rPr>
          <w:rFonts w:ascii="Arial" w:hAnsi="Arial"/>
          <w:i/>
          <w:color w:val="000000"/>
          <w:sz w:val="20"/>
        </w:rPr>
        <w:t>A</w:t>
      </w:r>
      <w:r>
        <w:rPr>
          <w:rFonts w:ascii="Arial" w:hAnsi="Arial"/>
          <w:color w:val="000000"/>
          <w:sz w:val="20"/>
        </w:rPr>
        <w:t> </w:t>
      </w:r>
      <w:r>
        <w:rPr>
          <w:rFonts w:ascii="Arial" w:hAnsi="Arial"/>
          <w:i/>
          <w:color w:val="000000"/>
          <w:sz w:val="20"/>
        </w:rPr>
        <w:t>New</w:t>
      </w:r>
      <w:r>
        <w:rPr>
          <w:rFonts w:ascii="Arial" w:hAnsi="Arial"/>
          <w:color w:val="000000"/>
          <w:sz w:val="20"/>
        </w:rPr>
        <w:t> </w:t>
      </w:r>
      <w:r>
        <w:rPr>
          <w:rFonts w:ascii="Arial" w:hAnsi="Arial"/>
          <w:i/>
          <w:color w:val="000000"/>
          <w:sz w:val="20"/>
        </w:rPr>
        <w:t>Tax</w:t>
      </w:r>
      <w:r>
        <w:rPr>
          <w:rFonts w:ascii="Arial" w:hAnsi="Arial"/>
          <w:color w:val="000000"/>
          <w:sz w:val="20"/>
        </w:rPr>
        <w:t> </w:t>
      </w:r>
      <w:r>
        <w:rPr>
          <w:rFonts w:ascii="Arial" w:hAnsi="Arial"/>
          <w:i/>
          <w:color w:val="000000"/>
          <w:sz w:val="20"/>
        </w:rPr>
        <w:t>System</w:t>
      </w:r>
      <w:r>
        <w:rPr>
          <w:rFonts w:ascii="Arial" w:hAnsi="Arial"/>
          <w:color w:val="000000"/>
          <w:sz w:val="20"/>
        </w:rPr>
        <w:t> </w:t>
      </w:r>
      <w:r>
        <w:rPr>
          <w:rFonts w:ascii="Arial" w:hAnsi="Arial"/>
          <w:i/>
          <w:color w:val="000000"/>
          <w:sz w:val="20"/>
        </w:rPr>
        <w:t>(Goods</w:t>
      </w:r>
      <w:r>
        <w:rPr>
          <w:rFonts w:ascii="Arial" w:hAnsi="Arial"/>
          <w:color w:val="000000"/>
          <w:sz w:val="20"/>
        </w:rPr>
        <w:t> </w:t>
      </w:r>
      <w:r>
        <w:rPr>
          <w:rFonts w:ascii="Arial" w:hAnsi="Arial"/>
          <w:i/>
          <w:color w:val="000000"/>
          <w:sz w:val="20"/>
        </w:rPr>
        <w:t>and</w:t>
      </w:r>
      <w:r>
        <w:rPr>
          <w:rFonts w:ascii="Arial" w:hAnsi="Arial"/>
          <w:color w:val="000000"/>
          <w:sz w:val="20"/>
        </w:rPr>
        <w:t> </w:t>
      </w:r>
      <w:r>
        <w:rPr>
          <w:rFonts w:ascii="Arial" w:hAnsi="Arial"/>
          <w:i/>
          <w:color w:val="000000"/>
          <w:sz w:val="20"/>
        </w:rPr>
        <w:t>Services</w:t>
      </w:r>
      <w:r>
        <w:rPr>
          <w:rFonts w:ascii="Arial" w:hAnsi="Arial"/>
          <w:color w:val="000000"/>
          <w:sz w:val="20"/>
        </w:rPr>
        <w:t> </w:t>
      </w:r>
      <w:r>
        <w:rPr>
          <w:rFonts w:ascii="Arial" w:hAnsi="Arial"/>
          <w:i/>
          <w:color w:val="000000"/>
          <w:sz w:val="20"/>
        </w:rPr>
        <w:t>Tax)</w:t>
      </w:r>
      <w:r>
        <w:rPr>
          <w:rFonts w:ascii="Arial" w:hAnsi="Arial"/>
          <w:color w:val="000000"/>
          <w:sz w:val="20"/>
        </w:rPr>
        <w:t> </w:t>
      </w:r>
      <w:r>
        <w:rPr>
          <w:rFonts w:ascii="Arial" w:hAnsi="Arial"/>
          <w:i/>
          <w:color w:val="000000"/>
          <w:sz w:val="20"/>
        </w:rPr>
        <w:t>Act 1999</w:t>
      </w:r>
      <w:r>
        <w:rPr>
          <w:rFonts w:ascii="Arial" w:hAnsi="Arial"/>
          <w:color w:val="000000"/>
          <w:sz w:val="20"/>
        </w:rPr>
        <w: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(c)“economic entity” , “entity” and “finance ease” each has the meaning which it has in the Accounting Standards.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(d)terms have the meanings given to them in the PPS Act.</w:t>
      </w:r>
      <w:r>
        <w:rPr>
          <w:rFonts w:ascii="Arial" w:hAnsi="Arial"/>
          <w:sz w:val="20"/>
        </w:rPr>
        <w:t xml:space="preserve"> </w:t>
      </w:r>
    </w:p>
    <w:tbl>
      <w:tblPr>
        <w:tblW w:w="6941" w:type="dxa"/>
        <w:jc w:val="left"/>
        <w:tblInd w:w="360" w:type="dxa"/>
        <w:tblLayout w:type="fixed"/>
        <w:tblCellMar>
          <w:top w:w="0" w:type="dxa"/>
          <w:left w:w="0" w:type="dxa"/>
          <w:bottom w:w="0" w:type="dxa"/>
          <w:right w:w="0" w:type="dxa"/>
        </w:tblCellMar>
      </w:tblPr>
      <w:tblGrid>
        <w:gridCol w:w="38"/>
        <w:gridCol w:w="560"/>
        <w:gridCol w:w="23"/>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7.14. </w:t>
            </w:r>
          </w:p>
        </w:tc>
        <w:tc>
          <w:tcPr>
            <w:tcW w:w="23" w:type="dxa"/>
            <w:tcBorders/>
            <w:vAlign w:val="center"/>
          </w:tcPr>
          <w:p>
            <w:pPr>
              <w:pStyle w:val="TableContents"/>
              <w:bidi w:val="0"/>
              <w:spacing w:before="0" w:after="283"/>
              <w:jc w:val="left"/>
              <w:rPr>
                <w:sz w:val="4"/>
                <w:szCs w:val="4"/>
              </w:rPr>
            </w:pPr>
            <w:r>
              <w:rPr>
                <w:sz w:val="4"/>
                <w:szCs w:val="4"/>
              </w:rPr>
            </w:r>
          </w:p>
        </w:tc>
        <w:tc>
          <w:tcPr>
            <w:tcW w:w="6320" w:type="dxa"/>
            <w:tcBorders/>
          </w:tcPr>
          <w:p>
            <w:pPr>
              <w:pStyle w:val="TableContents"/>
              <w:bidi w:val="0"/>
              <w:spacing w:before="174" w:after="0"/>
              <w:ind w:left="0" w:right="0" w:hanging="0"/>
              <w:jc w:val="left"/>
              <w:rPr>
                <w:rFonts w:ascii="Arial" w:hAnsi="Arial"/>
                <w:b/>
                <w:color w:val="000000"/>
                <w:sz w:val="22"/>
              </w:rPr>
            </w:pPr>
            <w:bookmarkStart w:id="145" w:name="SubsistingEvents15"/>
            <w:bookmarkStart w:id="146" w:name="_TOC_250083"/>
            <w:bookmarkEnd w:id="145"/>
            <w:bookmarkEnd w:id="146"/>
            <w:r>
              <w:rPr>
                <w:rFonts w:ascii="Arial" w:hAnsi="Arial"/>
                <w:b/>
                <w:color w:val="000000"/>
                <w:sz w:val="22"/>
              </w:rPr>
              <w:t>Subsisting Events of Default and Potential Events of Default</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(a)An Event of Default subsists if it has occurred and has not been waived by the Bank in accordance with this document or remedied.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21</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5" descr=""/>
                    <pic:cNvPicPr>
                      <a:picLocks noChangeAspect="1" noChangeArrowheads="1"/>
                    </pic:cNvPicPr>
                  </pic:nvPicPr>
                  <pic:blipFill>
                    <a:blip r:embed="rId8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6" descr=""/>
                    <pic:cNvPicPr>
                      <a:picLocks noChangeAspect="1" noChangeArrowheads="1"/>
                    </pic:cNvPicPr>
                  </pic:nvPicPr>
                  <pic:blipFill>
                    <a:blip r:embed="rId8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(b)A Potential Event of Default subsists if it exists and has not been waived by the Bank in accordance with this document or remedied. </w:t>
      </w:r>
    </w:p>
    <w:tbl>
      <w:tblPr>
        <w:tblW w:w="1601" w:type="dxa"/>
        <w:jc w:val="left"/>
        <w:tblInd w:w="360" w:type="dxa"/>
        <w:tblLayout w:type="fixed"/>
        <w:tblCellMar>
          <w:top w:w="0" w:type="dxa"/>
          <w:left w:w="0" w:type="dxa"/>
          <w:bottom w:w="0" w:type="dxa"/>
          <w:right w:w="0" w:type="dxa"/>
        </w:tblCellMar>
      </w:tblPr>
      <w:tblGrid>
        <w:gridCol w:w="38"/>
        <w:gridCol w:w="560"/>
        <w:gridCol w:w="23"/>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7.15.</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80" w:type="dxa"/>
            <w:tcBorders/>
          </w:tcPr>
          <w:p>
            <w:pPr>
              <w:pStyle w:val="TableContents"/>
              <w:pBdr/>
              <w:bidi w:val="0"/>
              <w:spacing w:before="174" w:after="0"/>
              <w:ind w:left="0" w:right="0" w:hanging="0"/>
              <w:jc w:val="left"/>
              <w:rPr>
                <w:rFonts w:ascii="Arial" w:hAnsi="Arial"/>
                <w:b/>
                <w:color w:val="000000"/>
                <w:sz w:val="22"/>
              </w:rPr>
            </w:pPr>
            <w:bookmarkStart w:id="147" w:name="Notused16"/>
            <w:bookmarkStart w:id="148" w:name="_TOC_250082"/>
            <w:bookmarkEnd w:id="147"/>
            <w:bookmarkEnd w:id="148"/>
            <w:r>
              <w:rPr>
                <w:rFonts w:ascii="Arial" w:hAnsi="Arial"/>
                <w:b/>
                <w:color w:val="000000"/>
                <w:sz w:val="22"/>
              </w:rPr>
              <w:t>Not used</w:t>
            </w:r>
          </w:p>
        </w:tc>
      </w:tr>
    </w:tbl>
    <w:tbl>
      <w:tblPr>
        <w:tblW w:w="2111" w:type="dxa"/>
        <w:jc w:val="left"/>
        <w:tblInd w:w="360" w:type="dxa"/>
        <w:tblLayout w:type="fixed"/>
        <w:tblCellMar>
          <w:top w:w="0" w:type="dxa"/>
          <w:left w:w="0" w:type="dxa"/>
          <w:bottom w:w="0" w:type="dxa"/>
          <w:right w:w="0" w:type="dxa"/>
        </w:tblCellMar>
      </w:tblPr>
      <w:tblGrid>
        <w:gridCol w:w="38"/>
        <w:gridCol w:w="560"/>
        <w:gridCol w:w="23"/>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7.16.</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90" w:type="dxa"/>
            <w:tcBorders/>
          </w:tcPr>
          <w:p>
            <w:pPr>
              <w:pStyle w:val="TableContents"/>
              <w:pBdr/>
              <w:bidi w:val="0"/>
              <w:spacing w:before="174" w:after="0"/>
              <w:ind w:left="0" w:right="0" w:hanging="0"/>
              <w:jc w:val="left"/>
              <w:rPr>
                <w:rFonts w:ascii="Arial" w:hAnsi="Arial"/>
                <w:b/>
                <w:color w:val="000000"/>
                <w:sz w:val="22"/>
              </w:rPr>
            </w:pPr>
            <w:bookmarkStart w:id="149" w:name="Inconsistency17"/>
            <w:bookmarkStart w:id="150" w:name="_TOC_250081"/>
            <w:bookmarkEnd w:id="149"/>
            <w:bookmarkEnd w:id="150"/>
            <w:r>
              <w:rPr>
                <w:rFonts w:ascii="Arial" w:hAnsi="Arial"/>
                <w:b/>
                <w:color w:val="000000"/>
                <w:sz w:val="22"/>
              </w:rPr>
              <w:t>Inconsistency</w:t>
            </w:r>
          </w:p>
        </w:tc>
      </w:tr>
    </w:tbl>
    <w:p>
      <w:pPr>
        <w:pStyle w:val="TextBody"/>
        <w:pBdr/>
        <w:bidi w:val="0"/>
        <w:spacing w:lineRule="auto" w:line="266" w:before="85" w:after="0"/>
        <w:ind w:left="3453" w:right="1854" w:hanging="0"/>
        <w:jc w:val="left"/>
        <w:rPr>
          <w:rFonts w:ascii="Arial" w:hAnsi="Arial"/>
          <w:sz w:val="20"/>
        </w:rPr>
      </w:pPr>
      <w:r>
        <w:rPr>
          <w:rFonts w:ascii="Arial" w:hAnsi="Arial"/>
          <w:color w:val="000000"/>
          <w:sz w:val="20"/>
        </w:rPr>
        <w:t>If there is any inconsistency between this document and any other Transaction Document, then this document prevails to the extent of that inconsistency.</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5" w:after="0"/>
        <w:ind w:left="360" w:right="360" w:hanging="0"/>
        <w:jc w:val="left"/>
        <w:rPr>
          <w:rFonts w:cs="Arial"/>
          <w:szCs w:val="20"/>
        </w:rPr>
      </w:pPr>
      <w:r>
        <w:rPr>
          <w:rFonts w:cs="Arial"/>
          <w:color w:val="000000"/>
          <w:szCs w:val="20"/>
        </w:rPr>
        <w:t>﻿</w:t>
      </w:r>
      <w:r>
        <w:rPr>
          <w:rFonts w:cs="Arial"/>
          <w:szCs w:val="20"/>
        </w:rPr>
        <w:t xml:space="preserve"> </w:t>
      </w:r>
    </w:p>
    <w:tbl>
      <w:tblPr>
        <w:tblW w:w="2291" w:type="dxa"/>
        <w:jc w:val="left"/>
        <w:tblInd w:w="360" w:type="dxa"/>
        <w:tblLayout w:type="fixed"/>
        <w:tblCellMar>
          <w:top w:w="0" w:type="dxa"/>
          <w:left w:w="0" w:type="dxa"/>
          <w:bottom w:w="0" w:type="dxa"/>
          <w:right w:w="0" w:type="dxa"/>
        </w:tblCellMar>
      </w:tblPr>
      <w:tblGrid>
        <w:gridCol w:w="38"/>
        <w:gridCol w:w="365"/>
        <w:gridCol w:w="23"/>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8. </w:t>
            </w:r>
          </w:p>
        </w:tc>
        <w:tc>
          <w:tcPr>
            <w:tcW w:w="23" w:type="dxa"/>
            <w:tcBorders/>
            <w:vAlign w:val="center"/>
          </w:tcPr>
          <w:p>
            <w:pPr>
              <w:pStyle w:val="TableContents"/>
              <w:bidi w:val="0"/>
              <w:spacing w:before="0" w:after="283"/>
              <w:jc w:val="left"/>
              <w:rPr>
                <w:sz w:val="4"/>
                <w:szCs w:val="4"/>
              </w:rPr>
            </w:pPr>
            <w:r>
              <w:rPr>
                <w:sz w:val="4"/>
                <w:szCs w:val="4"/>
              </w:rPr>
            </w:r>
          </w:p>
        </w:tc>
        <w:tc>
          <w:tcPr>
            <w:tcW w:w="1865" w:type="dxa"/>
            <w:tcBorders/>
          </w:tcPr>
          <w:p>
            <w:pPr>
              <w:pStyle w:val="TableContents"/>
              <w:bidi w:val="0"/>
              <w:spacing w:before="0" w:after="0"/>
              <w:ind w:left="0" w:right="0" w:hanging="0"/>
              <w:jc w:val="left"/>
              <w:rPr>
                <w:rFonts w:ascii="Arial" w:hAnsi="Arial"/>
                <w:color w:val="000000"/>
                <w:sz w:val="30"/>
              </w:rPr>
            </w:pPr>
            <w:bookmarkStart w:id="151" w:name="Consideration2"/>
            <w:bookmarkStart w:id="152" w:name="_TOC_250080"/>
            <w:bookmarkEnd w:id="151"/>
            <w:bookmarkEnd w:id="152"/>
            <w:r>
              <w:rPr>
                <w:rFonts w:ascii="Arial" w:hAnsi="Arial"/>
                <w:color w:val="000000"/>
                <w:sz w:val="30"/>
              </w:rPr>
              <w:t>Consideration</w:t>
            </w:r>
          </w:p>
        </w:tc>
      </w:tr>
    </w:tbl>
    <w:p>
      <w:pPr>
        <w:pStyle w:val="TextBody"/>
        <w:pBdr/>
        <w:bidi w:val="0"/>
        <w:spacing w:lineRule="auto" w:line="264" w:before="83" w:after="0"/>
        <w:ind w:left="3453" w:right="1940" w:hanging="0"/>
        <w:jc w:val="left"/>
        <w:rPr>
          <w:rFonts w:ascii="Arial" w:hAnsi="Arial"/>
          <w:sz w:val="20"/>
        </w:rPr>
      </w:pPr>
      <w:r>
        <w:rPr>
          <w:rFonts w:ascii="Arial" w:hAnsi="Arial"/>
          <w:color w:val="000000"/>
          <w:sz w:val="20"/>
        </w:rPr>
        <w:t>The Borrower enters into this document in consideration of the Bank agreeing to make the Facility available in accordance with this document.</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8" w:after="0"/>
        <w:ind w:left="360" w:right="360" w:hanging="0"/>
        <w:jc w:val="left"/>
        <w:rPr>
          <w:rFonts w:cs="Arial"/>
          <w:szCs w:val="20"/>
        </w:rPr>
      </w:pPr>
      <w:r>
        <w:rPr>
          <w:rFonts w:cs="Arial"/>
          <w:color w:val="000000"/>
          <w:szCs w:val="20"/>
        </w:rPr>
        <w:t>﻿</w:t>
      </w:r>
      <w:r>
        <w:rPr>
          <w:rFonts w:cs="Arial"/>
          <w:szCs w:val="20"/>
        </w:rPr>
        <w:t xml:space="preserve"> </w:t>
      </w:r>
    </w:p>
    <w:tbl>
      <w:tblPr>
        <w:tblW w:w="3281" w:type="dxa"/>
        <w:jc w:val="left"/>
        <w:tblInd w:w="360" w:type="dxa"/>
        <w:tblLayout w:type="fixed"/>
        <w:tblCellMar>
          <w:top w:w="0" w:type="dxa"/>
          <w:left w:w="0" w:type="dxa"/>
          <w:bottom w:w="0" w:type="dxa"/>
          <w:right w:w="0" w:type="dxa"/>
        </w:tblCellMar>
      </w:tblPr>
      <w:tblGrid>
        <w:gridCol w:w="38"/>
        <w:gridCol w:w="365"/>
        <w:gridCol w:w="23"/>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0"/>
              <w:ind w:left="0" w:right="0" w:hanging="0"/>
              <w:jc w:val="left"/>
              <w:rPr>
                <w:rFonts w:ascii="Arial" w:hAnsi="Arial"/>
                <w:sz w:val="30"/>
              </w:rPr>
            </w:pPr>
            <w:r>
              <w:rPr>
                <w:rFonts w:ascii="Arial" w:hAnsi="Arial"/>
                <w:sz w:val="30"/>
              </w:rPr>
              <w:t xml:space="preserve">9. </w:t>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tcPr>
          <w:p>
            <w:pPr>
              <w:pStyle w:val="TableContents"/>
              <w:bidi w:val="0"/>
              <w:spacing w:before="0" w:after="0"/>
              <w:ind w:left="0" w:right="0" w:hanging="0"/>
              <w:jc w:val="left"/>
              <w:rPr>
                <w:rFonts w:ascii="Arial" w:hAnsi="Arial"/>
                <w:color w:val="000000"/>
                <w:sz w:val="30"/>
              </w:rPr>
            </w:pPr>
            <w:bookmarkStart w:id="153" w:name="ConditionsPrecedent3"/>
            <w:bookmarkStart w:id="154" w:name="_TOC_250079"/>
            <w:bookmarkEnd w:id="153"/>
            <w:bookmarkEnd w:id="154"/>
            <w:r>
              <w:rPr>
                <w:rFonts w:ascii="Arial" w:hAnsi="Arial"/>
                <w:color w:val="000000"/>
                <w:sz w:val="30"/>
              </w:rPr>
              <w:t>Conditions precedent</w:t>
            </w:r>
          </w:p>
        </w:tc>
      </w:tr>
    </w:tbl>
    <w:tbl>
      <w:tblPr>
        <w:tblW w:w="1481" w:type="dxa"/>
        <w:jc w:val="left"/>
        <w:tblInd w:w="360" w:type="dxa"/>
        <w:tblLayout w:type="fixed"/>
        <w:tblCellMar>
          <w:top w:w="0" w:type="dxa"/>
          <w:left w:w="0" w:type="dxa"/>
          <w:bottom w:w="0" w:type="dxa"/>
          <w:right w:w="0" w:type="dxa"/>
        </w:tblCellMar>
      </w:tblPr>
      <w:tblGrid>
        <w:gridCol w:w="38"/>
        <w:gridCol w:w="440"/>
        <w:gridCol w:w="23"/>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pBdr/>
              <w:bidi w:val="0"/>
              <w:spacing w:before="174" w:after="0"/>
              <w:ind w:left="0" w:right="0" w:hanging="0"/>
              <w:jc w:val="left"/>
              <w:rPr>
                <w:rFonts w:ascii="Arial" w:hAnsi="Arial"/>
                <w:b/>
                <w:sz w:val="22"/>
              </w:rPr>
            </w:pPr>
            <w:r>
              <w:rPr>
                <w:rFonts w:ascii="Arial" w:hAnsi="Arial"/>
                <w:b/>
                <w:sz w:val="22"/>
              </w:rPr>
              <w:t>9.1.</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80" w:type="dxa"/>
            <w:tcBorders/>
          </w:tcPr>
          <w:p>
            <w:pPr>
              <w:pStyle w:val="TableContents"/>
              <w:pBdr/>
              <w:bidi w:val="0"/>
              <w:spacing w:before="174" w:after="0"/>
              <w:ind w:left="0" w:right="0" w:hanging="0"/>
              <w:jc w:val="left"/>
              <w:rPr>
                <w:rFonts w:ascii="Arial" w:hAnsi="Arial"/>
                <w:b/>
                <w:color w:val="000000"/>
                <w:sz w:val="22"/>
              </w:rPr>
            </w:pPr>
            <w:bookmarkStart w:id="155" w:name="Notused31"/>
            <w:bookmarkStart w:id="156" w:name="_TOC_250078"/>
            <w:bookmarkEnd w:id="155"/>
            <w:bookmarkEnd w:id="156"/>
            <w:r>
              <w:rPr>
                <w:rFonts w:ascii="Arial" w:hAnsi="Arial"/>
                <w:b/>
                <w:color w:val="000000"/>
                <w:sz w:val="22"/>
              </w:rPr>
              <w:t>Not used</w:t>
            </w:r>
          </w:p>
        </w:tc>
      </w:tr>
    </w:tbl>
    <w:tbl>
      <w:tblPr>
        <w:tblW w:w="5681" w:type="dxa"/>
        <w:jc w:val="left"/>
        <w:tblInd w:w="360" w:type="dxa"/>
        <w:tblLayout w:type="fixed"/>
        <w:tblCellMar>
          <w:top w:w="0" w:type="dxa"/>
          <w:left w:w="0" w:type="dxa"/>
          <w:bottom w:w="0" w:type="dxa"/>
          <w:right w:w="0" w:type="dxa"/>
        </w:tblCellMar>
      </w:tblPr>
      <w:tblGrid>
        <w:gridCol w:w="38"/>
        <w:gridCol w:w="440"/>
        <w:gridCol w:w="23"/>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pBdr/>
              <w:bidi w:val="0"/>
              <w:spacing w:before="174" w:after="0"/>
              <w:ind w:left="0" w:right="0" w:hanging="0"/>
              <w:jc w:val="left"/>
              <w:rPr>
                <w:rFonts w:ascii="Arial" w:hAnsi="Arial"/>
                <w:b/>
                <w:sz w:val="22"/>
              </w:rPr>
            </w:pPr>
            <w:r>
              <w:rPr>
                <w:rFonts w:ascii="Arial" w:hAnsi="Arial"/>
                <w:b/>
                <w:sz w:val="22"/>
              </w:rPr>
              <w:t>9.2.</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80" w:type="dxa"/>
            <w:tcBorders/>
          </w:tcPr>
          <w:p>
            <w:pPr>
              <w:pStyle w:val="TableContents"/>
              <w:pBdr/>
              <w:bidi w:val="0"/>
              <w:spacing w:before="174" w:after="0"/>
              <w:ind w:left="0" w:right="0" w:hanging="0"/>
              <w:jc w:val="left"/>
              <w:rPr>
                <w:rFonts w:ascii="Arial" w:hAnsi="Arial"/>
                <w:b/>
                <w:color w:val="000000"/>
                <w:sz w:val="22"/>
              </w:rPr>
            </w:pPr>
            <w:bookmarkStart w:id="157" w:name="Conditionsprecedent32"/>
            <w:bookmarkStart w:id="158" w:name="_TOC_250077"/>
            <w:bookmarkEnd w:id="157"/>
            <w:bookmarkEnd w:id="158"/>
            <w:r>
              <w:rPr>
                <w:rFonts w:ascii="Arial" w:hAnsi="Arial"/>
                <w:b/>
                <w:color w:val="000000"/>
                <w:sz w:val="22"/>
              </w:rPr>
              <w:t>Conditions precedent to Advances and Drawings</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The obligation of the Bank to make any Advances or Drawings is subject to the further conditions precedent that the Bank is satisfied in its absolute discretion that:</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(a)the</w:t>
      </w:r>
      <w:r>
        <w:rPr>
          <w:rFonts w:ascii="Arial" w:hAnsi="Arial"/>
          <w:color w:val="000000"/>
          <w:sz w:val="22"/>
        </w:rPr>
        <w:t> </w:t>
      </w:r>
      <w:r>
        <w:rPr>
          <w:rFonts w:ascii="Arial" w:hAnsi="Arial"/>
          <w:color w:val="000000"/>
          <w:sz w:val="20"/>
        </w:rPr>
        <w:t>representations</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warranties</w:t>
      </w:r>
      <w:r>
        <w:rPr>
          <w:rFonts w:ascii="Arial" w:hAnsi="Arial"/>
          <w:color w:val="000000"/>
          <w:sz w:val="22"/>
        </w:rPr>
        <w:t> </w:t>
      </w:r>
      <w:r>
        <w:rPr>
          <w:rFonts w:ascii="Arial" w:hAnsi="Arial"/>
          <w:color w:val="000000"/>
          <w:sz w:val="20"/>
        </w:rPr>
        <w:t>set</w:t>
      </w:r>
      <w:r>
        <w:rPr>
          <w:rFonts w:ascii="Arial" w:hAnsi="Arial"/>
          <w:color w:val="000000"/>
          <w:sz w:val="22"/>
        </w:rPr>
        <w:t> </w:t>
      </w:r>
      <w:r>
        <w:rPr>
          <w:rFonts w:ascii="Arial" w:hAnsi="Arial"/>
          <w:color w:val="000000"/>
          <w:sz w:val="20"/>
        </w:rPr>
        <w:t>out</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8.1</w:t>
      </w:r>
      <w:r>
        <w:rPr>
          <w:rFonts w:ascii="Arial" w:hAnsi="Arial"/>
          <w:b/>
          <w:strike/>
          <w:color w:val="B5082D"/>
          <w:sz w:val="20"/>
        </w:rPr>
        <w:t>8.1</w:t>
      </w:r>
      <w:r>
        <w:rPr>
          <w:rFonts w:ascii="Arial" w:hAnsi="Arial"/>
          <w:color w:val="B5082D"/>
          <w:sz w:val="22"/>
        </w:rPr>
        <w:t> </w:t>
      </w:r>
      <w:r>
        <w:rPr>
          <w:rFonts w:ascii="Arial" w:hAnsi="Arial"/>
          <w:color w:val="000000"/>
          <w:sz w:val="20"/>
        </w:rPr>
        <w:t>are</w:t>
      </w:r>
      <w:r>
        <w:rPr>
          <w:rFonts w:ascii="Arial" w:hAnsi="Arial"/>
          <w:color w:val="000000"/>
          <w:sz w:val="22"/>
        </w:rPr>
        <w:t> </w:t>
      </w:r>
      <w:r>
        <w:rPr>
          <w:rFonts w:ascii="Arial" w:hAnsi="Arial"/>
          <w:color w:val="000000"/>
          <w:sz w:val="20"/>
        </w:rPr>
        <w:t>correct and</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all</w:t>
      </w:r>
      <w:r>
        <w:rPr>
          <w:rFonts w:ascii="Arial" w:hAnsi="Arial"/>
          <w:color w:val="000000"/>
          <w:sz w:val="22"/>
        </w:rPr>
        <w:t> </w:t>
      </w:r>
      <w:r>
        <w:rPr>
          <w:rFonts w:ascii="Arial" w:hAnsi="Arial"/>
          <w:color w:val="000000"/>
          <w:sz w:val="20"/>
        </w:rPr>
        <w:t>material</w:t>
      </w:r>
      <w:r>
        <w:rPr>
          <w:rFonts w:ascii="Arial" w:hAnsi="Arial"/>
          <w:color w:val="000000"/>
          <w:sz w:val="22"/>
        </w:rPr>
        <w:t> </w:t>
      </w:r>
      <w:r>
        <w:rPr>
          <w:rFonts w:ascii="Arial" w:hAnsi="Arial"/>
          <w:color w:val="000000"/>
          <w:sz w:val="20"/>
        </w:rPr>
        <w:t>respects</w:t>
      </w:r>
      <w:r>
        <w:rPr>
          <w:rFonts w:ascii="Arial" w:hAnsi="Arial"/>
          <w:color w:val="000000"/>
          <w:sz w:val="22"/>
        </w:rPr>
        <w:t> </w:t>
      </w:r>
      <w:r>
        <w:rPr>
          <w:rFonts w:ascii="Arial" w:hAnsi="Arial"/>
          <w:color w:val="000000"/>
          <w:sz w:val="20"/>
        </w:rPr>
        <w:t>not</w:t>
      </w:r>
      <w:r>
        <w:rPr>
          <w:rFonts w:ascii="Arial" w:hAnsi="Arial"/>
          <w:color w:val="000000"/>
          <w:sz w:val="22"/>
        </w:rPr>
        <w:t> </w:t>
      </w:r>
      <w:r>
        <w:rPr>
          <w:rFonts w:ascii="Arial" w:hAnsi="Arial"/>
          <w:color w:val="000000"/>
          <w:sz w:val="20"/>
        </w:rPr>
        <w:t>misleading</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material</w:t>
      </w:r>
      <w:r>
        <w:rPr>
          <w:rFonts w:ascii="Arial" w:hAnsi="Arial"/>
          <w:color w:val="000000"/>
          <w:sz w:val="22"/>
        </w:rPr>
        <w:t> </w:t>
      </w:r>
      <w:r>
        <w:rPr>
          <w:rFonts w:ascii="Arial" w:hAnsi="Arial"/>
          <w:color w:val="000000"/>
          <w:sz w:val="20"/>
        </w:rPr>
        <w:t>respect</w:t>
      </w:r>
      <w:r>
        <w:rPr>
          <w:rFonts w:ascii="Arial" w:hAnsi="Arial"/>
          <w:color w:val="000000"/>
          <w:sz w:val="22"/>
        </w:rPr>
        <w:t> </w:t>
      </w:r>
      <w:r>
        <w:rPr>
          <w:rFonts w:ascii="Arial" w:hAnsi="Arial"/>
          <w:color w:val="000000"/>
          <w:sz w:val="20"/>
        </w:rPr>
        <w:t>when the Funding Notice is given and on the Funding Date;</w:t>
      </w:r>
      <w:r>
        <w:rPr>
          <w:rFonts w:ascii="Arial" w:hAnsi="Arial"/>
          <w:sz w:val="22"/>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(b)all</w:t>
      </w:r>
      <w:r>
        <w:rPr>
          <w:rFonts w:ascii="Arial" w:hAnsi="Arial"/>
          <w:color w:val="000000"/>
          <w:sz w:val="22"/>
        </w:rPr>
        <w:t> </w:t>
      </w:r>
      <w:r>
        <w:rPr>
          <w:rFonts w:ascii="Arial" w:hAnsi="Arial"/>
          <w:color w:val="000000"/>
          <w:sz w:val="20"/>
        </w:rPr>
        <w:t>fees</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charges</w:t>
      </w:r>
      <w:r>
        <w:rPr>
          <w:rFonts w:ascii="Arial" w:hAnsi="Arial"/>
          <w:color w:val="000000"/>
          <w:sz w:val="22"/>
        </w:rPr>
        <w:t> </w:t>
      </w:r>
      <w:r>
        <w:rPr>
          <w:rFonts w:ascii="Arial" w:hAnsi="Arial"/>
          <w:color w:val="000000"/>
          <w:sz w:val="20"/>
        </w:rPr>
        <w:t>then</w:t>
      </w:r>
      <w:r>
        <w:rPr>
          <w:rFonts w:ascii="Arial" w:hAnsi="Arial"/>
          <w:color w:val="000000"/>
          <w:sz w:val="22"/>
        </w:rPr>
        <w:t> </w:t>
      </w:r>
      <w:r>
        <w:rPr>
          <w:rFonts w:ascii="Arial" w:hAnsi="Arial"/>
          <w:color w:val="000000"/>
          <w:sz w:val="20"/>
        </w:rPr>
        <w:t>due</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payable</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connection</w:t>
      </w:r>
      <w:r>
        <w:rPr>
          <w:rFonts w:ascii="Arial" w:hAnsi="Arial"/>
          <w:color w:val="000000"/>
          <w:sz w:val="22"/>
        </w:rPr>
        <w:t> </w:t>
      </w:r>
      <w:r>
        <w:rPr>
          <w:rFonts w:ascii="Arial" w:hAnsi="Arial"/>
          <w:color w:val="000000"/>
          <w:sz w:val="20"/>
        </w:rPr>
        <w:t>with</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 xml:space="preserve">Facility have been paid (including the Restructure Fee set out in </w:t>
      </w:r>
      <w:r>
        <w:rPr>
          <w:rFonts w:ascii="Arial" w:hAnsi="Arial"/>
          <w:b/>
          <w:color w:val="000000"/>
          <w:sz w:val="20"/>
        </w:rPr>
        <w:t xml:space="preserve">clause </w:t>
      </w:r>
      <w:r>
        <w:rPr>
          <w:rFonts w:ascii="Arial" w:hAnsi="Arial"/>
          <w:b/>
          <w:color w:val="2D97D3"/>
          <w:sz w:val="20"/>
          <w:u w:val="single"/>
        </w:rPr>
        <w:t>9.1</w:t>
      </w:r>
      <w:r>
        <w:rPr>
          <w:rFonts w:ascii="Arial" w:hAnsi="Arial"/>
          <w:b/>
          <w:strike/>
          <w:color w:val="B5082D"/>
          <w:sz w:val="20"/>
        </w:rPr>
        <w:t>9.1</w:t>
      </w:r>
      <w:r>
        <w:rPr>
          <w:rFonts w:ascii="Arial" w:hAnsi="Arial"/>
          <w:b/>
          <w:color w:val="2D97D3"/>
          <w:sz w:val="20"/>
          <w:u w:val="single"/>
        </w:rPr>
        <w:t>(a)</w:t>
      </w:r>
      <w:r>
        <w:rPr>
          <w:rFonts w:ascii="Arial" w:hAnsi="Arial"/>
          <w:b/>
          <w:strike/>
          <w:color w:val="B5082D"/>
          <w:sz w:val="20"/>
        </w:rPr>
        <w:t>(a)</w:t>
      </w:r>
      <w:r>
        <w:rPr>
          <w:rFonts w:ascii="Arial" w:hAnsi="Arial"/>
          <w:color w:val="000000"/>
          <w:sz w:val="20"/>
        </w:rPr>
        <w:t>); and</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(c)no Event of Default or Potential Event of Default subsists when the Funding Notice is given and on the Funding Date.</w:t>
      </w:r>
      <w:r>
        <w:rPr>
          <w:rFonts w:ascii="Arial" w:hAnsi="Arial"/>
          <w:sz w:val="20"/>
        </w:rPr>
        <w:t xml:space="preserve"> </w:t>
      </w:r>
    </w:p>
    <w:p>
      <w:pPr>
        <w:pStyle w:val="TextBody"/>
        <w:bidi w:val="0"/>
        <w:spacing w:before="193" w:after="0"/>
        <w:ind w:left="360" w:right="360" w:hanging="0"/>
        <w:jc w:val="left"/>
        <w:rPr>
          <w:rFonts w:cs="Arial"/>
          <w:szCs w:val="20"/>
        </w:rPr>
      </w:pPr>
      <w:r>
        <w:rPr>
          <w:rFonts w:cs="Arial"/>
          <w:color w:val="000000"/>
          <w:szCs w:val="20"/>
        </w:rPr>
        <w:t>﻿</w:t>
      </w:r>
      <w:r>
        <w:rPr>
          <w:rFonts w:cs="Arial"/>
          <w:szCs w:val="20"/>
        </w:rPr>
        <w:t xml:space="preserve"> </w:t>
      </w:r>
    </w:p>
    <w:tbl>
      <w:tblPr>
        <w:tblW w:w="1541" w:type="dxa"/>
        <w:jc w:val="left"/>
        <w:tblInd w:w="360" w:type="dxa"/>
        <w:tblLayout w:type="fixed"/>
        <w:tblCellMar>
          <w:top w:w="0" w:type="dxa"/>
          <w:left w:w="0" w:type="dxa"/>
          <w:bottom w:w="0" w:type="dxa"/>
          <w:right w:w="0" w:type="dxa"/>
        </w:tblCellMar>
      </w:tblPr>
      <w:tblGrid>
        <w:gridCol w:w="38"/>
        <w:gridCol w:w="530"/>
        <w:gridCol w:w="23"/>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10. </w:t>
            </w:r>
          </w:p>
        </w:tc>
        <w:tc>
          <w:tcPr>
            <w:tcW w:w="23" w:type="dxa"/>
            <w:tcBorders/>
            <w:vAlign w:val="center"/>
          </w:tcPr>
          <w:p>
            <w:pPr>
              <w:pStyle w:val="TableContents"/>
              <w:bidi w:val="0"/>
              <w:spacing w:before="0" w:after="283"/>
              <w:jc w:val="left"/>
              <w:rPr>
                <w:sz w:val="4"/>
                <w:szCs w:val="4"/>
              </w:rPr>
            </w:pPr>
            <w:r>
              <w:rPr>
                <w:sz w:val="4"/>
                <w:szCs w:val="4"/>
              </w:rPr>
            </w:r>
          </w:p>
        </w:tc>
        <w:tc>
          <w:tcPr>
            <w:tcW w:w="950" w:type="dxa"/>
            <w:tcBorders/>
          </w:tcPr>
          <w:p>
            <w:pPr>
              <w:pStyle w:val="TableContents"/>
              <w:bidi w:val="0"/>
              <w:spacing w:before="0" w:after="0"/>
              <w:ind w:left="0" w:right="0" w:hanging="0"/>
              <w:jc w:val="left"/>
              <w:rPr>
                <w:rFonts w:ascii="Arial" w:hAnsi="Arial"/>
                <w:color w:val="000000"/>
                <w:sz w:val="30"/>
              </w:rPr>
            </w:pPr>
            <w:bookmarkStart w:id="159" w:name="Facility4"/>
            <w:bookmarkStart w:id="160" w:name="_TOC_250076"/>
            <w:bookmarkEnd w:id="159"/>
            <w:bookmarkEnd w:id="160"/>
            <w:r>
              <w:rPr>
                <w:rFonts w:ascii="Arial" w:hAnsi="Arial"/>
                <w:color w:val="000000"/>
                <w:sz w:val="30"/>
              </w:rPr>
              <w:t>Facility</w:t>
            </w:r>
          </w:p>
        </w:tc>
      </w:tr>
    </w:tbl>
    <w:tbl>
      <w:tblPr>
        <w:tblW w:w="1361" w:type="dxa"/>
        <w:jc w:val="left"/>
        <w:tblInd w:w="360" w:type="dxa"/>
        <w:tblLayout w:type="fixed"/>
        <w:tblCellMar>
          <w:top w:w="0" w:type="dxa"/>
          <w:left w:w="0" w:type="dxa"/>
          <w:bottom w:w="0" w:type="dxa"/>
          <w:right w:w="0" w:type="dxa"/>
        </w:tblCellMar>
      </w:tblPr>
      <w:tblGrid>
        <w:gridCol w:w="38"/>
        <w:gridCol w:w="560"/>
        <w:gridCol w:w="23"/>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10.1. </w:t>
            </w:r>
          </w:p>
        </w:tc>
        <w:tc>
          <w:tcPr>
            <w:tcW w:w="23" w:type="dxa"/>
            <w:tcBorders/>
            <w:vAlign w:val="center"/>
          </w:tcPr>
          <w:p>
            <w:pPr>
              <w:pStyle w:val="TableContents"/>
              <w:bidi w:val="0"/>
              <w:spacing w:before="0" w:after="283"/>
              <w:jc w:val="left"/>
              <w:rPr>
                <w:sz w:val="4"/>
                <w:szCs w:val="4"/>
              </w:rPr>
            </w:pPr>
            <w:r>
              <w:rPr>
                <w:sz w:val="4"/>
                <w:szCs w:val="4"/>
              </w:rPr>
            </w:r>
          </w:p>
        </w:tc>
        <w:tc>
          <w:tcPr>
            <w:tcW w:w="740" w:type="dxa"/>
            <w:tcBorders/>
          </w:tcPr>
          <w:p>
            <w:pPr>
              <w:pStyle w:val="TableContents"/>
              <w:bidi w:val="0"/>
              <w:spacing w:before="174" w:after="0"/>
              <w:ind w:left="0" w:right="0" w:hanging="0"/>
              <w:jc w:val="left"/>
              <w:rPr>
                <w:rFonts w:ascii="Arial" w:hAnsi="Arial"/>
                <w:b/>
                <w:color w:val="000000"/>
                <w:sz w:val="22"/>
              </w:rPr>
            </w:pPr>
            <w:bookmarkStart w:id="161" w:name="Nature41"/>
            <w:bookmarkStart w:id="162" w:name="_TOC_250075"/>
            <w:bookmarkEnd w:id="161"/>
            <w:bookmarkEnd w:id="162"/>
            <w:r>
              <w:rPr>
                <w:rFonts w:ascii="Arial" w:hAnsi="Arial"/>
                <w:b/>
                <w:color w:val="000000"/>
                <w:sz w:val="22"/>
              </w:rPr>
              <w:t>Nature</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(a)Subject to </w:t>
      </w:r>
      <w:r>
        <w:rPr>
          <w:rFonts w:ascii="Arial" w:hAnsi="Arial"/>
          <w:b/>
          <w:color w:val="000000"/>
          <w:sz w:val="20"/>
        </w:rPr>
        <w:t>clauses</w:t>
      </w:r>
      <w:r>
        <w:rPr>
          <w:rFonts w:ascii="Arial" w:hAnsi="Arial"/>
          <w:color w:val="000000"/>
          <w:sz w:val="20"/>
        </w:rPr>
        <w:t> </w:t>
      </w:r>
      <w:r>
        <w:rPr>
          <w:rFonts w:ascii="Arial" w:hAnsi="Arial"/>
          <w:b/>
          <w:color w:val="2D97D3"/>
          <w:sz w:val="20"/>
          <w:u w:val="single"/>
        </w:rPr>
        <w:t>3</w:t>
      </w:r>
      <w:r>
        <w:rPr>
          <w:rFonts w:ascii="Arial" w:hAnsi="Arial"/>
          <w:b/>
          <w:strike/>
          <w:color w:val="B5082D"/>
          <w:sz w:val="20"/>
        </w:rPr>
        <w:t>3</w:t>
      </w:r>
      <w:r>
        <w:rPr>
          <w:rFonts w:ascii="Arial" w:hAnsi="Arial"/>
          <w:color w:val="B5082D"/>
          <w:sz w:val="20"/>
        </w:rPr>
        <w:t> </w:t>
      </w:r>
      <w:r>
        <w:rPr>
          <w:rFonts w:ascii="Arial" w:hAnsi="Arial"/>
          <w:color w:val="000000"/>
          <w:sz w:val="20"/>
        </w:rPr>
        <w:t>and </w:t>
      </w:r>
      <w:r>
        <w:rPr>
          <w:rFonts w:ascii="Arial" w:hAnsi="Arial"/>
          <w:b/>
          <w:color w:val="2D97D3"/>
          <w:sz w:val="20"/>
          <w:u w:val="single"/>
        </w:rPr>
        <w:t>10.2</w:t>
      </w:r>
      <w:r>
        <w:rPr>
          <w:rFonts w:ascii="Arial" w:hAnsi="Arial"/>
          <w:b/>
          <w:strike/>
          <w:color w:val="B5082D"/>
          <w:sz w:val="20"/>
        </w:rPr>
        <w:t>10.2</w:t>
      </w:r>
      <w:r>
        <w:rPr>
          <w:rFonts w:ascii="Arial" w:hAnsi="Arial"/>
          <w:color w:val="000000"/>
          <w:sz w:val="20"/>
        </w:rPr>
        <w:t>, the Bank will make available:</w:t>
      </w:r>
      <w:r>
        <w:rPr>
          <w:rFonts w:ascii="Arial" w:hAnsi="Arial"/>
          <w:sz w:val="20"/>
        </w:rPr>
        <w:t xml:space="preserve"> </w:t>
      </w:r>
    </w:p>
    <w:p>
      <w:pPr>
        <w:pStyle w:val="TextBody"/>
        <w:bidi w:val="0"/>
        <w:spacing w:lineRule="auto" w:line="266" w:before="138" w:after="0"/>
        <w:ind w:left="4540" w:right="2118" w:hanging="0"/>
        <w:jc w:val="left"/>
        <w:rPr>
          <w:rFonts w:ascii="Arial" w:hAnsi="Arial"/>
          <w:sz w:val="20"/>
        </w:rPr>
      </w:pPr>
      <w:r>
        <w:rPr>
          <w:rFonts w:ascii="Arial" w:hAnsi="Arial"/>
          <w:color w:val="000000"/>
          <w:sz w:val="20"/>
        </w:rPr>
        <w:t>(i)the revolving Corporate Markets Loan Facility under which it will make Advances;</w:t>
      </w:r>
      <w:r>
        <w:rPr>
          <w:rFonts w:ascii="Arial" w:hAnsi="Arial"/>
          <w:sz w:val="20"/>
        </w:rPr>
        <w:t xml:space="preserve"> </w:t>
      </w:r>
    </w:p>
    <w:p>
      <w:pPr>
        <w:pStyle w:val="TextBody"/>
        <w:bidi w:val="0"/>
        <w:spacing w:lineRule="auto" w:line="264" w:before="106" w:after="0"/>
        <w:ind w:left="4540" w:right="2630" w:hanging="0"/>
        <w:jc w:val="left"/>
        <w:rPr>
          <w:rFonts w:ascii="Arial" w:hAnsi="Arial"/>
          <w:sz w:val="20"/>
        </w:rPr>
      </w:pPr>
      <w:r>
        <w:rPr>
          <w:rFonts w:ascii="Arial" w:hAnsi="Arial"/>
          <w:color w:val="000000"/>
          <w:sz w:val="20"/>
        </w:rPr>
        <w:t>(ii)the Bank Guarantee Facility under which it will issue Bank Guarantees at the request of the Borrower; and</w:t>
      </w:r>
      <w:r>
        <w:rPr>
          <w:rFonts w:ascii="Arial" w:hAnsi="Arial"/>
          <w:sz w:val="20"/>
        </w:rPr>
        <w:t xml:space="preserve"> </w:t>
      </w:r>
    </w:p>
    <w:p>
      <w:pPr>
        <w:pStyle w:val="TextBody"/>
        <w:bidi w:val="0"/>
        <w:spacing w:lineRule="auto" w:line="264" w:before="111" w:after="0"/>
        <w:ind w:left="4540" w:right="1916" w:hanging="0"/>
        <w:jc w:val="left"/>
        <w:rPr>
          <w:rFonts w:ascii="Arial" w:hAnsi="Arial"/>
          <w:sz w:val="20"/>
        </w:rPr>
      </w:pPr>
      <w:r>
        <w:rPr>
          <w:rFonts w:ascii="Arial" w:hAnsi="Arial"/>
          <w:color w:val="000000"/>
          <w:sz w:val="20"/>
        </w:rPr>
        <w:t>(iii)on and from the April 2024 Amendment Date, the revolving Bridge Facility under which it will make Advances,</w:t>
      </w:r>
      <w:r>
        <w:rPr>
          <w:rFonts w:ascii="Arial" w:hAnsi="Arial"/>
          <w:sz w:val="20"/>
        </w:rPr>
        <w:t xml:space="preserve"> </w:t>
      </w:r>
    </w:p>
    <w:p>
      <w:pPr>
        <w:pStyle w:val="TextBody"/>
        <w:pBdr/>
        <w:bidi w:val="0"/>
        <w:spacing w:before="111" w:after="0"/>
        <w:ind w:left="3988" w:right="360" w:hanging="0"/>
        <w:jc w:val="left"/>
        <w:rPr>
          <w:rFonts w:ascii="Arial" w:hAnsi="Arial"/>
          <w:sz w:val="20"/>
        </w:rPr>
      </w:pPr>
      <w:r>
        <w:rPr>
          <w:rFonts w:ascii="Arial" w:hAnsi="Arial"/>
          <w:color w:val="000000"/>
          <w:sz w:val="20"/>
        </w:rPr>
        <w:t>in accordance with this document.</w:t>
      </w:r>
      <w:r>
        <w:rPr>
          <w:rFonts w:ascii="Arial" w:hAnsi="Arial"/>
          <w:sz w:val="20"/>
        </w:rPr>
        <w:t xml:space="preserve"> </w:t>
      </w:r>
    </w:p>
    <w:p>
      <w:pPr>
        <w:pStyle w:val="TextBody"/>
        <w:pBdr/>
        <w:bidi w:val="0"/>
        <w:spacing w:before="0" w:after="0"/>
        <w:ind w:left="360" w:right="360" w:hanging="0"/>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22</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7" descr=""/>
                    <pic:cNvPicPr>
                      <a:picLocks noChangeAspect="1" noChangeArrowheads="1"/>
                    </pic:cNvPicPr>
                  </pic:nvPicPr>
                  <pic:blipFill>
                    <a:blip r:embed="rId8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9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8" descr=""/>
                    <pic:cNvPicPr>
                      <a:picLocks noChangeAspect="1" noChangeArrowheads="1"/>
                    </pic:cNvPicPr>
                  </pic:nvPicPr>
                  <pic:blipFill>
                    <a:blip r:embed="rId9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sz w:val="20"/>
        </w:rPr>
        <w:t>(b)The Borrower</w:t>
      </w:r>
      <w:r>
        <w:rPr>
          <w:rFonts w:ascii="Arial" w:hAnsi="Arial"/>
          <w:sz w:val="22"/>
        </w:rPr>
        <w:t> </w:t>
      </w:r>
      <w:r>
        <w:rPr>
          <w:rFonts w:ascii="Arial" w:hAnsi="Arial"/>
          <w:sz w:val="20"/>
        </w:rPr>
        <w:t>may request one or more Advances and Drawings in accordance with</w:t>
      </w:r>
      <w:r>
        <w:rPr>
          <w:rFonts w:ascii="Arial" w:hAnsi="Arial"/>
          <w:sz w:val="22"/>
        </w:rPr>
        <w:t xml:space="preserve"> </w:t>
      </w:r>
      <w:r>
        <w:rPr>
          <w:rFonts w:ascii="Arial" w:hAnsi="Arial"/>
          <w:sz w:val="20"/>
        </w:rPr>
        <w:t xml:space="preserve">this </w:t>
      </w:r>
      <w:r>
        <w:rPr>
          <w:rFonts w:ascii="Arial" w:hAnsi="Arial"/>
          <w:b/>
          <w:sz w:val="20"/>
        </w:rPr>
        <w:t xml:space="preserve">clause </w:t>
      </w:r>
      <w:r>
        <w:rPr>
          <w:rFonts w:ascii="Arial" w:hAnsi="Arial"/>
          <w:b/>
          <w:color w:val="2D97D3"/>
          <w:sz w:val="20"/>
          <w:u w:val="single"/>
        </w:rPr>
        <w:t>4</w:t>
      </w:r>
      <w:r>
        <w:rPr>
          <w:rFonts w:ascii="Arial" w:hAnsi="Arial"/>
          <w:b/>
          <w:strike/>
          <w:color w:val="B5082D"/>
          <w:sz w:val="20"/>
        </w:rPr>
        <w:t>4</w:t>
      </w:r>
      <w:r>
        <w:rPr>
          <w:rFonts w:ascii="Arial" w:hAnsi="Arial"/>
          <w:sz w:val="20"/>
        </w:rPr>
        <w:t>, but so that the Outstanding Accommodation</w:t>
      </w:r>
      <w:r>
        <w:rPr>
          <w:rFonts w:ascii="Arial" w:hAnsi="Arial"/>
          <w:sz w:val="22"/>
        </w:rPr>
        <w:t> </w:t>
      </w:r>
      <w:r>
        <w:rPr>
          <w:rFonts w:ascii="Arial" w:hAnsi="Arial"/>
          <w:sz w:val="20"/>
        </w:rPr>
        <w:t>under</w:t>
      </w:r>
      <w:r>
        <w:rPr>
          <w:rFonts w:ascii="Arial" w:hAnsi="Arial"/>
          <w:sz w:val="22"/>
        </w:rPr>
        <w:t> </w:t>
      </w:r>
      <w:r>
        <w:rPr>
          <w:rFonts w:ascii="Arial" w:hAnsi="Arial"/>
          <w:sz w:val="20"/>
        </w:rPr>
        <w:t>each</w:t>
      </w:r>
      <w:r>
        <w:rPr>
          <w:rFonts w:ascii="Arial" w:hAnsi="Arial"/>
          <w:sz w:val="22"/>
        </w:rPr>
        <w:t> </w:t>
      </w:r>
      <w:r>
        <w:rPr>
          <w:rFonts w:ascii="Arial" w:hAnsi="Arial"/>
          <w:sz w:val="20"/>
        </w:rPr>
        <w:t>Facility</w:t>
      </w:r>
      <w:r>
        <w:rPr>
          <w:rFonts w:ascii="Arial" w:hAnsi="Arial"/>
          <w:sz w:val="22"/>
        </w:rPr>
        <w:t> </w:t>
      </w:r>
      <w:r>
        <w:rPr>
          <w:rFonts w:ascii="Arial" w:hAnsi="Arial"/>
          <w:sz w:val="20"/>
        </w:rPr>
        <w:t>does</w:t>
      </w:r>
      <w:r>
        <w:rPr>
          <w:rFonts w:ascii="Arial" w:hAnsi="Arial"/>
          <w:sz w:val="22"/>
        </w:rPr>
        <w:t> </w:t>
      </w:r>
      <w:r>
        <w:rPr>
          <w:rFonts w:ascii="Arial" w:hAnsi="Arial"/>
          <w:sz w:val="20"/>
        </w:rPr>
        <w:t>not</w:t>
      </w:r>
      <w:r>
        <w:rPr>
          <w:rFonts w:ascii="Arial" w:hAnsi="Arial"/>
          <w:sz w:val="22"/>
        </w:rPr>
        <w:t> </w:t>
      </w:r>
      <w:r>
        <w:rPr>
          <w:rFonts w:ascii="Arial" w:hAnsi="Arial"/>
          <w:sz w:val="20"/>
        </w:rPr>
        <w:t>at</w:t>
      </w:r>
      <w:r>
        <w:rPr>
          <w:rFonts w:ascii="Arial" w:hAnsi="Arial"/>
          <w:sz w:val="22"/>
        </w:rPr>
        <w:t> </w:t>
      </w:r>
      <w:r>
        <w:rPr>
          <w:rFonts w:ascii="Arial" w:hAnsi="Arial"/>
          <w:sz w:val="20"/>
        </w:rPr>
        <w:t>any</w:t>
      </w:r>
      <w:r>
        <w:rPr>
          <w:rFonts w:ascii="Arial" w:hAnsi="Arial"/>
          <w:sz w:val="22"/>
        </w:rPr>
        <w:t> </w:t>
      </w:r>
      <w:r>
        <w:rPr>
          <w:rFonts w:ascii="Arial" w:hAnsi="Arial"/>
          <w:sz w:val="20"/>
        </w:rPr>
        <w:t>time</w:t>
      </w:r>
      <w:r>
        <w:rPr>
          <w:rFonts w:ascii="Arial" w:hAnsi="Arial"/>
          <w:sz w:val="22"/>
        </w:rPr>
        <w:t> </w:t>
      </w:r>
      <w:r>
        <w:rPr>
          <w:rFonts w:ascii="Arial" w:hAnsi="Arial"/>
          <w:sz w:val="20"/>
        </w:rPr>
        <w:t>exceed</w:t>
      </w:r>
      <w:r>
        <w:rPr>
          <w:rFonts w:ascii="Arial" w:hAnsi="Arial"/>
          <w:sz w:val="22"/>
        </w:rPr>
        <w:t> </w:t>
      </w:r>
      <w:r>
        <w:rPr>
          <w:rFonts w:ascii="Arial" w:hAnsi="Arial"/>
          <w:sz w:val="20"/>
        </w:rPr>
        <w:t>the relevant Facility Limit.</w:t>
      </w:r>
      <w:r>
        <w:rPr>
          <w:rFonts w:ascii="Arial" w:hAnsi="Arial"/>
          <w:sz w:val="22"/>
        </w:rPr>
        <w:t xml:space="preserve"> </w:t>
      </w:r>
    </w:p>
    <w:tbl>
      <w:tblPr>
        <w:tblW w:w="1541" w:type="dxa"/>
        <w:jc w:val="left"/>
        <w:tblInd w:w="360" w:type="dxa"/>
        <w:tblLayout w:type="fixed"/>
        <w:tblCellMar>
          <w:top w:w="0" w:type="dxa"/>
          <w:left w:w="0" w:type="dxa"/>
          <w:bottom w:w="0" w:type="dxa"/>
          <w:right w:w="0" w:type="dxa"/>
        </w:tblCellMar>
      </w:tblPr>
      <w:tblGrid>
        <w:gridCol w:w="38"/>
        <w:gridCol w:w="56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10.2.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bidi w:val="0"/>
              <w:spacing w:before="174" w:after="0"/>
              <w:ind w:left="0" w:right="0" w:hanging="0"/>
              <w:jc w:val="left"/>
              <w:rPr>
                <w:rFonts w:ascii="Arial" w:hAnsi="Arial"/>
                <w:b/>
                <w:color w:val="000000"/>
                <w:sz w:val="22"/>
              </w:rPr>
            </w:pPr>
            <w:bookmarkStart w:id="163" w:name="Purpose42"/>
            <w:bookmarkStart w:id="164" w:name="_TOC_250074"/>
            <w:bookmarkEnd w:id="163"/>
            <w:bookmarkEnd w:id="164"/>
            <w:r>
              <w:rPr>
                <w:rFonts w:ascii="Arial" w:hAnsi="Arial"/>
                <w:b/>
                <w:color w:val="000000"/>
                <w:sz w:val="22"/>
              </w:rPr>
              <w:t>Purpose</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The Borrower must only use Advances and Drawings under each Facility for the relevant purposes set out in </w:t>
      </w:r>
      <w:r>
        <w:rPr>
          <w:rFonts w:ascii="Arial" w:hAnsi="Arial"/>
          <w:b/>
          <w:color w:val="000000"/>
          <w:sz w:val="20"/>
        </w:rPr>
        <w:t>schedule</w:t>
      </w:r>
      <w:r>
        <w:rPr>
          <w:rFonts w:ascii="Arial" w:hAnsi="Arial"/>
          <w:color w:val="000000"/>
          <w:sz w:val="20"/>
        </w:rPr>
        <w:t> </w:t>
      </w:r>
      <w:r>
        <w:rPr>
          <w:rFonts w:ascii="Arial" w:hAnsi="Arial"/>
          <w:b/>
          <w:color w:val="000000"/>
          <w:sz w:val="20"/>
        </w:rPr>
        <w:t>2</w:t>
      </w:r>
      <w:r>
        <w:rPr>
          <w:rFonts w:ascii="Arial" w:hAnsi="Arial"/>
          <w:color w:val="000000"/>
          <w:sz w:val="20"/>
        </w:rPr>
        <w:t>, and the Borrower must promptly repay to the Bank all Advances and Drawings not used for these purposes.</w:t>
      </w:r>
      <w:r>
        <w:rPr>
          <w:rFonts w:ascii="Arial" w:hAnsi="Arial"/>
          <w:sz w:val="20"/>
        </w:rPr>
        <w:t xml:space="preserve"> </w:t>
      </w:r>
    </w:p>
    <w:tbl>
      <w:tblPr>
        <w:tblW w:w="3206" w:type="dxa"/>
        <w:jc w:val="left"/>
        <w:tblInd w:w="360" w:type="dxa"/>
        <w:tblLayout w:type="fixed"/>
        <w:tblCellMar>
          <w:top w:w="0" w:type="dxa"/>
          <w:left w:w="0" w:type="dxa"/>
          <w:bottom w:w="0" w:type="dxa"/>
          <w:right w:w="0" w:type="dxa"/>
        </w:tblCellMar>
      </w:tblPr>
      <w:tblGrid>
        <w:gridCol w:w="38"/>
        <w:gridCol w:w="560"/>
        <w:gridCol w:w="23"/>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10.3. </w:t>
            </w:r>
          </w:p>
        </w:tc>
        <w:tc>
          <w:tcPr>
            <w:tcW w:w="23" w:type="dxa"/>
            <w:tcBorders/>
            <w:vAlign w:val="center"/>
          </w:tcPr>
          <w:p>
            <w:pPr>
              <w:pStyle w:val="TableContents"/>
              <w:bidi w:val="0"/>
              <w:spacing w:before="0" w:after="283"/>
              <w:jc w:val="left"/>
              <w:rPr>
                <w:sz w:val="4"/>
                <w:szCs w:val="4"/>
              </w:rPr>
            </w:pPr>
            <w:r>
              <w:rPr>
                <w:sz w:val="4"/>
                <w:szCs w:val="4"/>
              </w:rPr>
            </w:r>
          </w:p>
        </w:tc>
        <w:tc>
          <w:tcPr>
            <w:tcW w:w="2585" w:type="dxa"/>
            <w:tcBorders/>
          </w:tcPr>
          <w:p>
            <w:pPr>
              <w:pStyle w:val="TableContents"/>
              <w:bidi w:val="0"/>
              <w:spacing w:before="174" w:after="0"/>
              <w:ind w:left="0" w:right="0" w:hanging="0"/>
              <w:jc w:val="left"/>
              <w:rPr>
                <w:rFonts w:ascii="Arial" w:hAnsi="Arial"/>
                <w:b/>
                <w:color w:val="000000"/>
                <w:sz w:val="22"/>
              </w:rPr>
            </w:pPr>
            <w:bookmarkStart w:id="165" w:name="AdvancesandDrawings43"/>
            <w:bookmarkStart w:id="166" w:name="_TOC_250073"/>
            <w:bookmarkEnd w:id="165"/>
            <w:bookmarkEnd w:id="166"/>
            <w:r>
              <w:rPr>
                <w:rFonts w:ascii="Arial" w:hAnsi="Arial"/>
                <w:b/>
                <w:color w:val="000000"/>
                <w:sz w:val="22"/>
              </w:rPr>
              <w:t>Advances and Drawings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Borrower may request an Advance or a Drawing by giving a Funding Notice to the Bank by 11.00 am at least one clear Business Day before the date the proposed Advance or Drawing is required.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(b)An Advance under the Corporate Markets Loan Facility or the Bridge Facility (as applicable) must not be for an amount which, when added to the Outstanding Accommodation (if any) under that Facility, causes the Facility Limit for that Facility to be exceeded. In determining with an Advance will cause the Facility Limit to be exceeded:</w:t>
      </w:r>
      <w:r>
        <w:rPr>
          <w:rFonts w:ascii="Arial" w:hAnsi="Arial"/>
          <w:sz w:val="20"/>
        </w:rPr>
        <w:t xml:space="preserve"> </w:t>
      </w:r>
    </w:p>
    <w:p>
      <w:pPr>
        <w:pStyle w:val="TextBody"/>
        <w:bidi w:val="0"/>
        <w:spacing w:lineRule="auto" w:line="264" w:before="109" w:after="0"/>
        <w:ind w:left="4540" w:right="1938" w:hanging="0"/>
        <w:jc w:val="left"/>
        <w:rPr>
          <w:rFonts w:ascii="Arial" w:hAnsi="Arial"/>
          <w:sz w:val="20"/>
        </w:rPr>
      </w:pPr>
      <w:r>
        <w:rPr>
          <w:rFonts w:ascii="Arial" w:hAnsi="Arial"/>
          <w:color w:val="000000"/>
          <w:sz w:val="20"/>
        </w:rPr>
        <w:t>(i)the amount of all Advances repaid on the Funding Date are excluded from the calculation of the Outstanding Accommodation; and</w:t>
      </w:r>
      <w:r>
        <w:rPr>
          <w:rFonts w:ascii="Arial" w:hAnsi="Arial"/>
          <w:sz w:val="20"/>
        </w:rPr>
        <w:t xml:space="preserve"> </w:t>
      </w:r>
    </w:p>
    <w:p>
      <w:pPr>
        <w:pStyle w:val="TextBody"/>
        <w:bidi w:val="0"/>
        <w:spacing w:lineRule="auto" w:line="264" w:before="114" w:after="0"/>
        <w:ind w:left="4540" w:right="1887" w:hanging="0"/>
        <w:jc w:val="left"/>
        <w:rPr>
          <w:rFonts w:ascii="Arial" w:hAnsi="Arial"/>
          <w:sz w:val="20"/>
        </w:rPr>
      </w:pPr>
      <w:r>
        <w:rPr>
          <w:rFonts w:ascii="Arial" w:hAnsi="Arial"/>
          <w:color w:val="000000"/>
          <w:sz w:val="20"/>
        </w:rPr>
        <w:t>(ii)the aggregate amount of all other Advances which the Borrower has requested to be made on the same Funding Date are included in that calculation.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Aggregate Amount of a Drawing under the Bank Guarantee Facility must not, when added to the Outstanding Accommodation (if any) under that Facility, cause the Facility Limit for that Facility to be exceeded at any time during the Funding Period. In determining whether the Aggregate Amount of a Drawing will cause the Facility Limit to be exceeded:</w:t>
      </w:r>
      <w:r>
        <w:rPr>
          <w:rFonts w:ascii="Arial" w:hAnsi="Arial"/>
          <w:sz w:val="20"/>
        </w:rPr>
        <w:t xml:space="preserve"> </w:t>
      </w:r>
    </w:p>
    <w:p>
      <w:pPr>
        <w:pStyle w:val="TextBody"/>
        <w:bidi w:val="0"/>
        <w:spacing w:lineRule="auto" w:line="264" w:before="105" w:after="0"/>
        <w:ind w:left="4540" w:right="1899" w:hanging="0"/>
        <w:jc w:val="left"/>
        <w:rPr>
          <w:rFonts w:ascii="Arial" w:hAnsi="Arial"/>
          <w:sz w:val="20"/>
        </w:rPr>
      </w:pPr>
      <w:r>
        <w:rPr>
          <w:rFonts w:ascii="Arial" w:hAnsi="Arial"/>
          <w:color w:val="000000"/>
          <w:sz w:val="20"/>
        </w:rPr>
        <w:t>(i)the Face Value of all Bank Guarantees under a Facility which will mature on the Funding Date for the relevant Drawing are excluded from the calculation of the Outstanding Accommodation; and</w:t>
      </w:r>
      <w:r>
        <w:rPr>
          <w:rFonts w:ascii="Arial" w:hAnsi="Arial"/>
          <w:sz w:val="20"/>
        </w:rPr>
        <w:t xml:space="preserve"> </w:t>
      </w:r>
    </w:p>
    <w:p>
      <w:pPr>
        <w:pStyle w:val="TextBody"/>
        <w:bidi w:val="0"/>
        <w:spacing w:lineRule="auto" w:line="264" w:before="107" w:after="0"/>
        <w:ind w:left="4540" w:right="2118" w:hanging="0"/>
        <w:jc w:val="left"/>
        <w:rPr>
          <w:rFonts w:ascii="Arial" w:hAnsi="Arial"/>
          <w:sz w:val="20"/>
        </w:rPr>
      </w:pPr>
      <w:r>
        <w:rPr>
          <w:rFonts w:ascii="Arial" w:hAnsi="Arial"/>
          <w:color w:val="000000"/>
          <w:sz w:val="20"/>
        </w:rPr>
        <w:t>(ii)the Aggregate Amount of all other Drawings which the Borrower has requested to be made under the same Facility and on the same Funding Date are included in that calculation.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(d)The Bank is only obliged to make Advances or accept any Drawings during the Availability Period.</w:t>
      </w:r>
      <w:r>
        <w:rPr>
          <w:rFonts w:ascii="Arial" w:hAnsi="Arial"/>
          <w:sz w:val="20"/>
        </w:rPr>
        <w:t xml:space="preserve"> </w:t>
      </w:r>
    </w:p>
    <w:tbl>
      <w:tblPr>
        <w:tblW w:w="2381" w:type="dxa"/>
        <w:jc w:val="left"/>
        <w:tblInd w:w="360" w:type="dxa"/>
        <w:tblLayout w:type="fixed"/>
        <w:tblCellMar>
          <w:top w:w="0" w:type="dxa"/>
          <w:left w:w="0" w:type="dxa"/>
          <w:bottom w:w="0" w:type="dxa"/>
          <w:right w:w="0" w:type="dxa"/>
        </w:tblCellMar>
      </w:tblPr>
      <w:tblGrid>
        <w:gridCol w:w="38"/>
        <w:gridCol w:w="560"/>
        <w:gridCol w:w="23"/>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10.4. </w:t>
            </w:r>
          </w:p>
        </w:tc>
        <w:tc>
          <w:tcPr>
            <w:tcW w:w="23" w:type="dxa"/>
            <w:tcBorders/>
            <w:vAlign w:val="center"/>
          </w:tcPr>
          <w:p>
            <w:pPr>
              <w:pStyle w:val="TableContents"/>
              <w:bidi w:val="0"/>
              <w:spacing w:before="0" w:after="283"/>
              <w:jc w:val="left"/>
              <w:rPr>
                <w:sz w:val="4"/>
                <w:szCs w:val="4"/>
              </w:rPr>
            </w:pPr>
            <w:r>
              <w:rPr>
                <w:sz w:val="4"/>
                <w:szCs w:val="4"/>
              </w:rPr>
            </w:r>
          </w:p>
        </w:tc>
        <w:tc>
          <w:tcPr>
            <w:tcW w:w="1760" w:type="dxa"/>
            <w:tcBorders/>
          </w:tcPr>
          <w:p>
            <w:pPr>
              <w:pStyle w:val="TableContents"/>
              <w:bidi w:val="0"/>
              <w:spacing w:before="174" w:after="0"/>
              <w:ind w:left="0" w:right="0" w:hanging="0"/>
              <w:jc w:val="left"/>
              <w:rPr>
                <w:rFonts w:ascii="Arial" w:hAnsi="Arial"/>
                <w:b/>
                <w:color w:val="000000"/>
                <w:sz w:val="22"/>
              </w:rPr>
            </w:pPr>
            <w:bookmarkStart w:id="167" w:name="FundingNotices44"/>
            <w:bookmarkStart w:id="168" w:name="_TOC_250072"/>
            <w:bookmarkEnd w:id="167"/>
            <w:bookmarkEnd w:id="168"/>
            <w:r>
              <w:rPr>
                <w:rFonts w:ascii="Arial" w:hAnsi="Arial"/>
                <w:b/>
                <w:color w:val="000000"/>
                <w:sz w:val="22"/>
              </w:rPr>
              <w:t>Funding Notices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(a)A Funding Notice must:</w:t>
      </w:r>
      <w:r>
        <w:rPr>
          <w:rFonts w:ascii="Arial" w:hAnsi="Arial"/>
          <w:sz w:val="20"/>
        </w:rPr>
        <w:t xml:space="preserve"> </w:t>
      </w:r>
    </w:p>
    <w:p>
      <w:pPr>
        <w:pStyle w:val="TextBody"/>
        <w:bidi w:val="0"/>
        <w:spacing w:before="0" w:after="0"/>
        <w:ind w:left="4539" w:right="360" w:hanging="0"/>
        <w:jc w:val="left"/>
        <w:rPr>
          <w:rFonts w:ascii="Arial" w:hAnsi="Arial"/>
          <w:sz w:val="20"/>
        </w:rPr>
      </w:pPr>
      <w:r>
        <w:rPr>
          <w:rFonts w:ascii="Arial" w:hAnsi="Arial"/>
          <w:color w:val="000000"/>
          <w:sz w:val="20"/>
        </w:rPr>
        <w:t>(i)be substantially in the form of </w:t>
      </w:r>
      <w:r>
        <w:rPr>
          <w:rFonts w:ascii="Arial" w:hAnsi="Arial"/>
          <w:b/>
          <w:color w:val="000000"/>
          <w:sz w:val="20"/>
        </w:rPr>
        <w:t>schedule</w:t>
      </w:r>
      <w:r>
        <w:rPr>
          <w:rFonts w:ascii="Arial" w:hAnsi="Arial"/>
          <w:color w:val="000000"/>
          <w:sz w:val="20"/>
        </w:rPr>
        <w:t> </w:t>
      </w:r>
      <w:r>
        <w:rPr>
          <w:rFonts w:ascii="Arial" w:hAnsi="Arial"/>
          <w:b/>
          <w:color w:val="000000"/>
          <w:sz w:val="20"/>
        </w:rPr>
        <w:t>7</w:t>
      </w:r>
      <w:r>
        <w:rPr>
          <w:rFonts w:ascii="Arial" w:hAnsi="Arial"/>
          <w:color w:val="000000"/>
          <w:sz w:val="20"/>
        </w:rPr>
        <w:t>;</w:t>
      </w:r>
      <w:r>
        <w:rPr>
          <w:rFonts w:ascii="Arial" w:hAnsi="Arial"/>
          <w:sz w:val="20"/>
        </w:rPr>
        <w:t xml:space="preserve"> </w:t>
      </w:r>
    </w:p>
    <w:p>
      <w:pPr>
        <w:pStyle w:val="TextBody"/>
        <w:bidi w:val="0"/>
        <w:spacing w:before="0" w:after="0"/>
        <w:ind w:left="4539" w:right="360" w:hanging="0"/>
        <w:jc w:val="left"/>
        <w:rPr>
          <w:rFonts w:ascii="Arial" w:hAnsi="Arial"/>
          <w:sz w:val="20"/>
        </w:rPr>
      </w:pPr>
      <w:r>
        <w:rPr>
          <w:rFonts w:ascii="Arial" w:hAnsi="Arial"/>
          <w:color w:val="000000"/>
          <w:sz w:val="20"/>
        </w:rPr>
        <w:t>(ii)be signed by an Authorised Representative of the Borrower;</w:t>
      </w:r>
      <w:r>
        <w:rPr>
          <w:rFonts w:ascii="Arial" w:hAnsi="Arial"/>
          <w:sz w:val="20"/>
        </w:rPr>
        <w:t xml:space="preserve"> </w:t>
      </w:r>
    </w:p>
    <w:p>
      <w:pPr>
        <w:pStyle w:val="TextBody"/>
        <w:bidi w:val="0"/>
        <w:spacing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23</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9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9" descr=""/>
                    <pic:cNvPicPr>
                      <a:picLocks noChangeAspect="1" noChangeArrowheads="1"/>
                    </pic:cNvPicPr>
                  </pic:nvPicPr>
                  <pic:blipFill>
                    <a:blip r:embed="rId9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9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0" descr=""/>
                    <pic:cNvPicPr>
                      <a:picLocks noChangeAspect="1" noChangeArrowheads="1"/>
                    </pic:cNvPicPr>
                  </pic:nvPicPr>
                  <pic:blipFill>
                    <a:blip r:embed="rId9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6" w:before="0" w:after="0"/>
        <w:ind w:left="4540" w:right="1883" w:hanging="0"/>
        <w:jc w:val="left"/>
        <w:rPr>
          <w:rFonts w:ascii="Arial" w:hAnsi="Arial"/>
          <w:sz w:val="20"/>
        </w:rPr>
      </w:pPr>
      <w:r>
        <w:rPr>
          <w:rFonts w:ascii="Arial" w:hAnsi="Arial"/>
          <w:sz w:val="20"/>
        </w:rPr>
        <w:t xml:space="preserve">(iii)specify the proposed Funding Date which must be a Business Day during the Availability Period; </w:t>
      </w:r>
    </w:p>
    <w:p>
      <w:pPr>
        <w:pStyle w:val="TextBody"/>
        <w:bidi w:val="0"/>
        <w:spacing w:lineRule="auto" w:line="264" w:before="107" w:after="0"/>
        <w:ind w:left="4540" w:right="2236" w:hanging="0"/>
        <w:jc w:val="left"/>
        <w:rPr>
          <w:rFonts w:ascii="Arial" w:hAnsi="Arial"/>
          <w:sz w:val="20"/>
        </w:rPr>
      </w:pPr>
      <w:r>
        <w:rPr>
          <w:rFonts w:ascii="Arial" w:hAnsi="Arial"/>
          <w:sz w:val="20"/>
        </w:rPr>
        <w:t xml:space="preserve">(iv)specify the Facility under which the proposed Advance is to be made; </w:t>
      </w:r>
    </w:p>
    <w:p>
      <w:pPr>
        <w:pStyle w:val="TextBody"/>
        <w:bidi w:val="0"/>
        <w:spacing w:lineRule="auto" w:line="264" w:before="111" w:after="0"/>
        <w:ind w:left="4540" w:right="2256" w:hanging="0"/>
        <w:jc w:val="left"/>
        <w:rPr>
          <w:rFonts w:ascii="Arial" w:hAnsi="Arial"/>
          <w:sz w:val="20"/>
        </w:rPr>
      </w:pPr>
      <w:r>
        <w:rPr>
          <w:rFonts w:ascii="Arial" w:hAnsi="Arial"/>
          <w:sz w:val="20"/>
        </w:rPr>
        <w:t xml:space="preserve">(v)specify the amount of the proposed Advance or the Aggregate Amount of the proposed Drawing; </w:t>
      </w:r>
    </w:p>
    <w:p>
      <w:pPr>
        <w:pStyle w:val="TextBody"/>
        <w:bidi w:val="0"/>
        <w:spacing w:before="113" w:after="0"/>
        <w:ind w:left="4539" w:right="360" w:hanging="0"/>
        <w:jc w:val="left"/>
        <w:rPr>
          <w:rFonts w:ascii="Arial" w:hAnsi="Arial"/>
          <w:sz w:val="20"/>
        </w:rPr>
      </w:pPr>
      <w:r>
        <w:rPr>
          <w:rFonts w:ascii="Arial" w:hAnsi="Arial"/>
          <w:sz w:val="20"/>
        </w:rPr>
        <w:t xml:space="preserve">(vi)specify the duration of the Pricing Period for each Advance; and </w:t>
      </w:r>
    </w:p>
    <w:p>
      <w:pPr>
        <w:pStyle w:val="TextBody"/>
        <w:bidi w:val="0"/>
        <w:spacing w:before="135" w:after="0"/>
        <w:ind w:left="4539" w:right="360" w:hanging="0"/>
        <w:jc w:val="left"/>
        <w:rPr>
          <w:rFonts w:ascii="Arial" w:hAnsi="Arial"/>
          <w:sz w:val="20"/>
        </w:rPr>
      </w:pPr>
      <w:r>
        <w:rPr>
          <w:rFonts w:ascii="Arial" w:hAnsi="Arial"/>
          <w:sz w:val="20"/>
        </w:rPr>
        <w:t xml:space="preserve">(vii)in the case of any Drawing, specify whether the Drawing is: </w:t>
      </w:r>
    </w:p>
    <w:p>
      <w:pPr>
        <w:pStyle w:val="TextBody"/>
        <w:bidi w:val="0"/>
        <w:spacing w:lineRule="auto" w:line="264" w:before="135" w:after="0"/>
        <w:ind w:left="5054" w:right="2033" w:hanging="0"/>
        <w:jc w:val="left"/>
        <w:rPr>
          <w:rFonts w:ascii="Arial" w:hAnsi="Arial"/>
          <w:sz w:val="20"/>
        </w:rPr>
      </w:pPr>
      <w:r>
        <w:rPr>
          <w:rFonts w:ascii="Arial" w:hAnsi="Arial"/>
          <w:sz w:val="20"/>
        </w:rPr>
        <w:t xml:space="preserve">(A)to comprise the issue of a new Bank Guarantee, and if so, also specify the date to be shown as the Expiry Date, the person to be named as the Beneficiary and the Face Value of each requested Bank Guarantees; or </w:t>
      </w:r>
    </w:p>
    <w:p>
      <w:pPr>
        <w:pStyle w:val="TextBody"/>
        <w:bidi w:val="0"/>
        <w:spacing w:lineRule="auto" w:line="264" w:before="109" w:after="0"/>
        <w:ind w:left="5054" w:right="1910" w:hanging="0"/>
        <w:jc w:val="left"/>
        <w:rPr>
          <w:rFonts w:ascii="Arial" w:hAnsi="Arial"/>
          <w:sz w:val="20"/>
        </w:rPr>
      </w:pPr>
      <w:r>
        <w:rPr>
          <w:rFonts w:ascii="Arial" w:hAnsi="Arial"/>
          <w:sz w:val="20"/>
        </w:rPr>
        <w:t xml:space="preserve">(B)deemed to comprise an existing bank guarantee that prior to the date of this document has been issued by the Bank at the request of the Borrower and, if so, specify the date shown as the Expiry Date, the person named as the Beneficiary and the Face Value of that bank guarantee.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(b)The requirement of a Funding Notice is for the benefit of the Bank. The Bank may waive the requirement at any time and in any manner.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(c)A Funding Notice is irrevocable from the time of its actual receipt in legible form by the Bank. </w:t>
      </w:r>
    </w:p>
    <w:tbl>
      <w:tblPr>
        <w:tblW w:w="1601" w:type="dxa"/>
        <w:jc w:val="left"/>
        <w:tblInd w:w="360" w:type="dxa"/>
        <w:tblLayout w:type="fixed"/>
        <w:tblCellMar>
          <w:top w:w="0" w:type="dxa"/>
          <w:left w:w="0" w:type="dxa"/>
          <w:bottom w:w="0" w:type="dxa"/>
          <w:right w:w="0" w:type="dxa"/>
        </w:tblCellMar>
      </w:tblPr>
      <w:tblGrid>
        <w:gridCol w:w="38"/>
        <w:gridCol w:w="560"/>
        <w:gridCol w:w="23"/>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10.5.</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80" w:type="dxa"/>
            <w:tcBorders/>
          </w:tcPr>
          <w:p>
            <w:pPr>
              <w:pStyle w:val="TableContents"/>
              <w:pBdr/>
              <w:bidi w:val="0"/>
              <w:spacing w:before="174" w:after="0"/>
              <w:ind w:left="0" w:right="0" w:hanging="0"/>
              <w:jc w:val="left"/>
              <w:rPr>
                <w:rFonts w:ascii="Arial" w:hAnsi="Arial"/>
                <w:b/>
                <w:color w:val="000000"/>
                <w:sz w:val="22"/>
              </w:rPr>
            </w:pPr>
            <w:bookmarkStart w:id="169" w:name="NotUsed45"/>
            <w:bookmarkStart w:id="170" w:name="_TOC_250071"/>
            <w:bookmarkEnd w:id="169"/>
            <w:bookmarkEnd w:id="170"/>
            <w:r>
              <w:rPr>
                <w:rFonts w:ascii="Arial" w:hAnsi="Arial"/>
                <w:b/>
                <w:color w:val="000000"/>
                <w:sz w:val="22"/>
              </w:rPr>
              <w:t>Not used</w:t>
            </w:r>
          </w:p>
        </w:tc>
      </w:tr>
    </w:tbl>
    <w:tbl>
      <w:tblPr>
        <w:tblW w:w="1601" w:type="dxa"/>
        <w:jc w:val="left"/>
        <w:tblInd w:w="360" w:type="dxa"/>
        <w:tblLayout w:type="fixed"/>
        <w:tblCellMar>
          <w:top w:w="0" w:type="dxa"/>
          <w:left w:w="0" w:type="dxa"/>
          <w:bottom w:w="0" w:type="dxa"/>
          <w:right w:w="0" w:type="dxa"/>
        </w:tblCellMar>
      </w:tblPr>
      <w:tblGrid>
        <w:gridCol w:w="38"/>
        <w:gridCol w:w="560"/>
        <w:gridCol w:w="23"/>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10.6.</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80" w:type="dxa"/>
            <w:tcBorders/>
          </w:tcPr>
          <w:p>
            <w:pPr>
              <w:pStyle w:val="TableContents"/>
              <w:pBdr/>
              <w:bidi w:val="0"/>
              <w:spacing w:before="174" w:after="0"/>
              <w:ind w:left="0" w:right="0" w:hanging="0"/>
              <w:jc w:val="left"/>
              <w:rPr>
                <w:rFonts w:ascii="Arial" w:hAnsi="Arial"/>
                <w:b/>
                <w:color w:val="000000"/>
                <w:sz w:val="22"/>
              </w:rPr>
            </w:pPr>
            <w:bookmarkStart w:id="171" w:name="NotUsed46"/>
            <w:bookmarkStart w:id="172" w:name="_TOC_250070"/>
            <w:bookmarkEnd w:id="171"/>
            <w:bookmarkEnd w:id="172"/>
            <w:r>
              <w:rPr>
                <w:rFonts w:ascii="Arial" w:hAnsi="Arial"/>
                <w:b/>
                <w:color w:val="000000"/>
                <w:sz w:val="22"/>
              </w:rPr>
              <w:t>Not used</w:t>
            </w:r>
          </w:p>
        </w:tc>
      </w:tr>
    </w:tbl>
    <w:tbl>
      <w:tblPr>
        <w:tblW w:w="1601" w:type="dxa"/>
        <w:jc w:val="left"/>
        <w:tblInd w:w="360" w:type="dxa"/>
        <w:tblLayout w:type="fixed"/>
        <w:tblCellMar>
          <w:top w:w="0" w:type="dxa"/>
          <w:left w:w="0" w:type="dxa"/>
          <w:bottom w:w="0" w:type="dxa"/>
          <w:right w:w="0" w:type="dxa"/>
        </w:tblCellMar>
      </w:tblPr>
      <w:tblGrid>
        <w:gridCol w:w="38"/>
        <w:gridCol w:w="560"/>
        <w:gridCol w:w="23"/>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10.7.</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80" w:type="dxa"/>
            <w:tcBorders/>
          </w:tcPr>
          <w:p>
            <w:pPr>
              <w:pStyle w:val="TableContents"/>
              <w:pBdr/>
              <w:bidi w:val="0"/>
              <w:spacing w:before="174" w:after="0"/>
              <w:ind w:left="0" w:right="0" w:hanging="0"/>
              <w:jc w:val="left"/>
              <w:rPr>
                <w:rFonts w:ascii="Arial" w:hAnsi="Arial"/>
                <w:b/>
                <w:color w:val="000000"/>
                <w:sz w:val="22"/>
              </w:rPr>
            </w:pPr>
            <w:bookmarkStart w:id="173" w:name="_TOC_250069"/>
            <w:bookmarkStart w:id="174" w:name="NotUsed47"/>
            <w:bookmarkEnd w:id="173"/>
            <w:bookmarkEnd w:id="174"/>
            <w:r>
              <w:rPr>
                <w:rFonts w:ascii="Arial" w:hAnsi="Arial"/>
                <w:b/>
                <w:color w:val="000000"/>
                <w:sz w:val="22"/>
              </w:rPr>
              <w:t>Not used</w:t>
            </w:r>
          </w:p>
        </w:tc>
      </w:tr>
    </w:tbl>
    <w:tbl>
      <w:tblPr>
        <w:tblW w:w="3341" w:type="dxa"/>
        <w:jc w:val="left"/>
        <w:tblInd w:w="360" w:type="dxa"/>
        <w:tblLayout w:type="fixed"/>
        <w:tblCellMar>
          <w:top w:w="0" w:type="dxa"/>
          <w:left w:w="0" w:type="dxa"/>
          <w:bottom w:w="0" w:type="dxa"/>
          <w:right w:w="0" w:type="dxa"/>
        </w:tblCellMar>
      </w:tblPr>
      <w:tblGrid>
        <w:gridCol w:w="38"/>
        <w:gridCol w:w="560"/>
        <w:gridCol w:w="23"/>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10.8.</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720" w:type="dxa"/>
            <w:tcBorders/>
          </w:tcPr>
          <w:p>
            <w:pPr>
              <w:pStyle w:val="TableContents"/>
              <w:pBdr/>
              <w:bidi w:val="0"/>
              <w:spacing w:before="174" w:after="0"/>
              <w:ind w:left="0" w:right="0" w:hanging="0"/>
              <w:jc w:val="left"/>
              <w:rPr>
                <w:rFonts w:ascii="Arial" w:hAnsi="Arial"/>
                <w:b/>
                <w:color w:val="000000"/>
                <w:sz w:val="22"/>
              </w:rPr>
            </w:pPr>
            <w:bookmarkStart w:id="175" w:name="BankGuarantee48"/>
            <w:bookmarkEnd w:id="175"/>
            <w:r>
              <w:rPr>
                <w:rFonts w:ascii="Arial" w:hAnsi="Arial"/>
                <w:b/>
                <w:color w:val="000000"/>
                <w:sz w:val="22"/>
              </w:rPr>
              <w:t>Bank Guarantee Facilities</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In the case of the Bank Guarantee Facility on the Funding Date specified in the Funding Notice:</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(a)the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must</w:t>
      </w:r>
      <w:r>
        <w:rPr>
          <w:rFonts w:ascii="Arial" w:hAnsi="Arial"/>
          <w:color w:val="000000"/>
          <w:sz w:val="22"/>
        </w:rPr>
        <w:t> </w:t>
      </w:r>
      <w:r>
        <w:rPr>
          <w:rFonts w:ascii="Arial" w:hAnsi="Arial"/>
          <w:color w:val="000000"/>
          <w:sz w:val="20"/>
        </w:rPr>
        <w:t>for</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purposes</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Drawing</w:t>
      </w:r>
      <w:r>
        <w:rPr>
          <w:rFonts w:ascii="Arial" w:hAnsi="Arial"/>
          <w:color w:val="000000"/>
          <w:sz w:val="22"/>
        </w:rPr>
        <w:t> </w:t>
      </w:r>
      <w:r>
        <w:rPr>
          <w:rFonts w:ascii="Arial" w:hAnsi="Arial"/>
          <w:color w:val="000000"/>
          <w:sz w:val="20"/>
        </w:rPr>
        <w:t>contemplated</w:t>
      </w:r>
      <w:r>
        <w:rPr>
          <w:rFonts w:ascii="Arial" w:hAnsi="Arial"/>
          <w:color w:val="000000"/>
          <w:sz w:val="22"/>
        </w:rPr>
        <w:t> </w:t>
      </w:r>
      <w:r>
        <w:rPr>
          <w:rFonts w:ascii="Arial" w:hAnsi="Arial"/>
          <w:color w:val="000000"/>
          <w:sz w:val="20"/>
        </w:rPr>
        <w:t>under</w:t>
      </w:r>
      <w:r>
        <w:rPr>
          <w:rFonts w:ascii="Arial" w:hAnsi="Arial"/>
          <w:color w:val="000000"/>
          <w:sz w:val="22"/>
        </w:rPr>
        <w:t> </w:t>
      </w:r>
      <w:r>
        <w:rPr>
          <w:rFonts w:ascii="Arial" w:hAnsi="Arial"/>
          <w:b/>
          <w:color w:val="000000"/>
          <w:sz w:val="20"/>
        </w:rPr>
        <w:t xml:space="preserve">clause </w:t>
      </w:r>
      <w:r>
        <w:rPr>
          <w:rFonts w:ascii="Arial" w:hAnsi="Arial"/>
          <w:b/>
          <w:color w:val="2D97D3"/>
          <w:sz w:val="20"/>
          <w:u w:val="single"/>
        </w:rPr>
        <w:t>4.4</w:t>
      </w:r>
      <w:r>
        <w:rPr>
          <w:rFonts w:ascii="Arial" w:hAnsi="Arial"/>
          <w:b/>
          <w:strike/>
          <w:color w:val="B5082D"/>
          <w:sz w:val="20"/>
        </w:rPr>
        <w:t>4.4</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(vii)</w:t>
      </w:r>
      <w:r>
        <w:rPr>
          <w:rFonts w:ascii="Arial" w:hAnsi="Arial"/>
          <w:b/>
          <w:strike/>
          <w:color w:val="B5082D"/>
          <w:sz w:val="20"/>
        </w:rPr>
        <w:t>(vii)</w:t>
      </w:r>
      <w:r>
        <w:rPr>
          <w:rFonts w:ascii="Arial" w:hAnsi="Arial"/>
          <w:b/>
          <w:color w:val="2D97D3"/>
          <w:sz w:val="20"/>
          <w:u w:val="single"/>
        </w:rPr>
        <w:t>(A)</w:t>
      </w:r>
      <w:r>
        <w:rPr>
          <w:rFonts w:ascii="Arial" w:hAnsi="Arial"/>
          <w:b/>
          <w:strike/>
          <w:color w:val="B5082D"/>
          <w:sz w:val="20"/>
        </w:rPr>
        <w:t>(A)</w:t>
      </w:r>
      <w:r>
        <w:rPr>
          <w:rFonts w:ascii="Arial" w:hAnsi="Arial"/>
          <w:color w:val="000000"/>
          <w:sz w:val="20"/>
        </w:rPr>
        <w:t>,</w:t>
      </w:r>
      <w:r>
        <w:rPr>
          <w:rFonts w:ascii="Arial" w:hAnsi="Arial"/>
          <w:color w:val="000000"/>
          <w:sz w:val="22"/>
        </w:rPr>
        <w:t> </w:t>
      </w:r>
      <w:r>
        <w:rPr>
          <w:rFonts w:ascii="Arial" w:hAnsi="Arial"/>
          <w:color w:val="000000"/>
          <w:sz w:val="20"/>
        </w:rPr>
        <w:t>issue</w:t>
      </w:r>
      <w:r>
        <w:rPr>
          <w:rFonts w:ascii="Arial" w:hAnsi="Arial"/>
          <w:color w:val="000000"/>
          <w:sz w:val="22"/>
        </w:rPr>
        <w:t> </w:t>
      </w:r>
      <w:r>
        <w:rPr>
          <w:rFonts w:ascii="Arial" w:hAnsi="Arial"/>
          <w:color w:val="000000"/>
          <w:sz w:val="20"/>
        </w:rPr>
        <w:t>each</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Guarantee</w:t>
      </w:r>
      <w:r>
        <w:rPr>
          <w:rFonts w:ascii="Arial" w:hAnsi="Arial"/>
          <w:color w:val="000000"/>
          <w:sz w:val="22"/>
        </w:rPr>
        <w:t> </w:t>
      </w:r>
      <w:r>
        <w:rPr>
          <w:rFonts w:ascii="Arial" w:hAnsi="Arial"/>
          <w:color w:val="000000"/>
          <w:sz w:val="20"/>
        </w:rPr>
        <w:t>requested</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the Funding Notice in accordance with that Funding Notice; or</w:t>
      </w:r>
      <w:r>
        <w:rPr>
          <w:rFonts w:ascii="Arial" w:hAnsi="Arial"/>
          <w:sz w:val="22"/>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(b)the</w:t>
      </w:r>
      <w:r>
        <w:rPr>
          <w:rFonts w:ascii="Arial" w:hAnsi="Arial"/>
          <w:color w:val="000000"/>
          <w:sz w:val="22"/>
        </w:rPr>
        <w:t> </w:t>
      </w:r>
      <w:r>
        <w:rPr>
          <w:rFonts w:ascii="Arial" w:hAnsi="Arial"/>
          <w:color w:val="000000"/>
          <w:sz w:val="20"/>
        </w:rPr>
        <w:t>parties</w:t>
      </w:r>
      <w:r>
        <w:rPr>
          <w:rFonts w:ascii="Arial" w:hAnsi="Arial"/>
          <w:color w:val="000000"/>
          <w:sz w:val="22"/>
        </w:rPr>
        <w:t> </w:t>
      </w:r>
      <w:r>
        <w:rPr>
          <w:rFonts w:ascii="Arial" w:hAnsi="Arial"/>
          <w:color w:val="000000"/>
          <w:sz w:val="20"/>
        </w:rPr>
        <w:t>agree</w:t>
      </w:r>
      <w:r>
        <w:rPr>
          <w:rFonts w:ascii="Arial" w:hAnsi="Arial"/>
          <w:color w:val="000000"/>
          <w:sz w:val="22"/>
        </w:rPr>
        <w:t> </w:t>
      </w:r>
      <w:r>
        <w:rPr>
          <w:rFonts w:ascii="Arial" w:hAnsi="Arial"/>
          <w:color w:val="000000"/>
          <w:sz w:val="20"/>
        </w:rPr>
        <w:t>that</w:t>
      </w:r>
      <w:r>
        <w:rPr>
          <w:rFonts w:ascii="Arial" w:hAnsi="Arial"/>
          <w:color w:val="000000"/>
          <w:sz w:val="22"/>
        </w:rPr>
        <w:t> </w:t>
      </w:r>
      <w:r>
        <w:rPr>
          <w:rFonts w:ascii="Arial" w:hAnsi="Arial"/>
          <w:color w:val="000000"/>
          <w:sz w:val="20"/>
        </w:rPr>
        <w:t>for</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purposes</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Drawing</w:t>
      </w:r>
      <w:r>
        <w:rPr>
          <w:rFonts w:ascii="Arial" w:hAnsi="Arial"/>
          <w:color w:val="000000"/>
          <w:sz w:val="22"/>
        </w:rPr>
        <w:t> </w:t>
      </w:r>
      <w:r>
        <w:rPr>
          <w:rFonts w:ascii="Arial" w:hAnsi="Arial"/>
          <w:color w:val="000000"/>
          <w:sz w:val="20"/>
        </w:rPr>
        <w:t>contemplated</w:t>
      </w:r>
      <w:r>
        <w:rPr>
          <w:rFonts w:ascii="Arial" w:hAnsi="Arial"/>
          <w:color w:val="000000"/>
          <w:sz w:val="22"/>
        </w:rPr>
        <w:t> </w:t>
      </w:r>
      <w:r>
        <w:rPr>
          <w:rFonts w:ascii="Arial" w:hAnsi="Arial"/>
          <w:color w:val="000000"/>
          <w:sz w:val="20"/>
        </w:rPr>
        <w:t xml:space="preserve">under </w:t>
      </w:r>
      <w:r>
        <w:rPr>
          <w:rFonts w:ascii="Arial" w:hAnsi="Arial"/>
          <w:b/>
          <w:color w:val="000000"/>
          <w:sz w:val="20"/>
        </w:rPr>
        <w:t>clause</w:t>
      </w:r>
      <w:r>
        <w:rPr>
          <w:rFonts w:ascii="Arial" w:hAnsi="Arial"/>
          <w:color w:val="000000"/>
          <w:sz w:val="22"/>
        </w:rPr>
        <w:t> </w:t>
      </w:r>
      <w:r>
        <w:rPr>
          <w:rFonts w:ascii="Arial" w:hAnsi="Arial"/>
          <w:b/>
          <w:color w:val="2D97D3"/>
          <w:sz w:val="20"/>
          <w:u w:val="single"/>
        </w:rPr>
        <w:t>4.4</w:t>
      </w:r>
      <w:r>
        <w:rPr>
          <w:rFonts w:ascii="Arial" w:hAnsi="Arial"/>
          <w:b/>
          <w:strike/>
          <w:color w:val="B5082D"/>
          <w:sz w:val="20"/>
        </w:rPr>
        <w:t>4.4</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(vii)</w:t>
      </w:r>
      <w:r>
        <w:rPr>
          <w:rFonts w:ascii="Arial" w:hAnsi="Arial"/>
          <w:b/>
          <w:strike/>
          <w:color w:val="B5082D"/>
          <w:sz w:val="20"/>
        </w:rPr>
        <w:t>(vii)</w:t>
      </w:r>
      <w:r>
        <w:rPr>
          <w:rFonts w:ascii="Arial" w:hAnsi="Arial"/>
          <w:b/>
          <w:color w:val="2D97D3"/>
          <w:sz w:val="20"/>
          <w:u w:val="single"/>
        </w:rPr>
        <w:t>(B)</w:t>
      </w:r>
      <w:r>
        <w:rPr>
          <w:rFonts w:ascii="Arial" w:hAnsi="Arial"/>
          <w:b/>
          <w:strike/>
          <w:color w:val="B5082D"/>
          <w:sz w:val="20"/>
        </w:rPr>
        <w:t>(B)</w:t>
      </w:r>
      <w:r>
        <w:rPr>
          <w:rFonts w:ascii="Arial" w:hAnsi="Arial"/>
          <w:color w:val="000000"/>
          <w:sz w:val="20"/>
        </w:rPr>
        <w:t>,</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existing</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guarantee</w:t>
      </w:r>
      <w:r>
        <w:rPr>
          <w:rFonts w:ascii="Arial" w:hAnsi="Arial"/>
          <w:color w:val="000000"/>
          <w:sz w:val="22"/>
        </w:rPr>
        <w:t> </w:t>
      </w:r>
      <w:r>
        <w:rPr>
          <w:rFonts w:ascii="Arial" w:hAnsi="Arial"/>
          <w:color w:val="000000"/>
          <w:sz w:val="20"/>
        </w:rPr>
        <w:t>referred to in the Funding Notice is</w:t>
      </w:r>
      <w:r>
        <w:rPr>
          <w:rFonts w:ascii="Arial" w:hAnsi="Arial"/>
          <w:color w:val="000000"/>
          <w:sz w:val="22"/>
        </w:rPr>
        <w:t> </w:t>
      </w:r>
      <w:r>
        <w:rPr>
          <w:rFonts w:ascii="Arial" w:hAnsi="Arial"/>
          <w:color w:val="000000"/>
          <w:sz w:val="20"/>
        </w:rPr>
        <w:t>deemed to be a Bank Guarantee issued in accordance with the Bank Guarantee Facility and that Funding Notice.</w:t>
      </w:r>
      <w:r>
        <w:rPr>
          <w:rFonts w:ascii="Arial" w:hAnsi="Arial"/>
          <w:sz w:val="22"/>
        </w:rPr>
        <w:t xml:space="preserve"> </w:t>
      </w:r>
    </w:p>
    <w:tbl>
      <w:tblPr>
        <w:tblW w:w="1961" w:type="dxa"/>
        <w:jc w:val="left"/>
        <w:tblInd w:w="360" w:type="dxa"/>
        <w:tblLayout w:type="fixed"/>
        <w:tblCellMar>
          <w:top w:w="0" w:type="dxa"/>
          <w:left w:w="0" w:type="dxa"/>
          <w:bottom w:w="0" w:type="dxa"/>
          <w:right w:w="0" w:type="dxa"/>
        </w:tblCellMar>
      </w:tblPr>
      <w:tblGrid>
        <w:gridCol w:w="38"/>
        <w:gridCol w:w="560"/>
        <w:gridCol w:w="23"/>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10.9. </w:t>
            </w:r>
          </w:p>
        </w:tc>
        <w:tc>
          <w:tcPr>
            <w:tcW w:w="23" w:type="dxa"/>
            <w:tcBorders/>
            <w:vAlign w:val="center"/>
          </w:tcPr>
          <w:p>
            <w:pPr>
              <w:pStyle w:val="TableContents"/>
              <w:bidi w:val="0"/>
              <w:spacing w:before="0" w:after="283"/>
              <w:jc w:val="left"/>
              <w:rPr>
                <w:sz w:val="4"/>
                <w:szCs w:val="4"/>
              </w:rPr>
            </w:pPr>
            <w:r>
              <w:rPr>
                <w:sz w:val="4"/>
                <w:szCs w:val="4"/>
              </w:rPr>
            </w:r>
          </w:p>
        </w:tc>
        <w:tc>
          <w:tcPr>
            <w:tcW w:w="1340" w:type="dxa"/>
            <w:tcBorders/>
          </w:tcPr>
          <w:p>
            <w:pPr>
              <w:pStyle w:val="TableContents"/>
              <w:bidi w:val="0"/>
              <w:spacing w:before="174" w:after="0"/>
              <w:ind w:left="0" w:right="0" w:hanging="0"/>
              <w:jc w:val="left"/>
              <w:rPr>
                <w:rFonts w:ascii="Arial" w:hAnsi="Arial"/>
                <w:b/>
                <w:color w:val="000000"/>
                <w:sz w:val="22"/>
              </w:rPr>
            </w:pPr>
            <w:bookmarkStart w:id="176" w:name="Cancellation49"/>
            <w:bookmarkStart w:id="177" w:name="_TOC_250068"/>
            <w:bookmarkEnd w:id="176"/>
            <w:bookmarkEnd w:id="177"/>
            <w:r>
              <w:rPr>
                <w:rFonts w:ascii="Arial" w:hAnsi="Arial"/>
                <w:b/>
                <w:color w:val="000000"/>
                <w:sz w:val="22"/>
              </w:rPr>
              <w:t>Cancellation</w:t>
            </w:r>
          </w:p>
        </w:tc>
      </w:tr>
    </w:tbl>
    <w:p>
      <w:pPr>
        <w:pStyle w:val="TextBody"/>
        <w:pBdr/>
        <w:bidi w:val="0"/>
        <w:spacing w:before="87" w:after="0"/>
        <w:ind w:left="3456" w:right="360" w:hanging="0"/>
        <w:jc w:val="left"/>
        <w:rPr>
          <w:rFonts w:ascii="Arial" w:hAnsi="Arial"/>
          <w:sz w:val="20"/>
        </w:rPr>
      </w:pPr>
      <w:r>
        <w:rPr>
          <w:rFonts w:ascii="Arial" w:hAnsi="Arial"/>
          <w:color w:val="000000"/>
          <w:sz w:val="20"/>
        </w:rPr>
        <w:t>The Borrower may cancel the Available Commitment or any part of it (being</w:t>
      </w:r>
      <w:r>
        <w:rPr>
          <w:rFonts w:ascii="Arial" w:hAnsi="Arial"/>
          <w:sz w:val="20"/>
        </w:rPr>
        <w:t xml:space="preserve"> </w:t>
      </w:r>
    </w:p>
    <w:p>
      <w:pPr>
        <w:pStyle w:val="TextBody"/>
        <w:pBdr/>
        <w:bidi w:val="0"/>
        <w:spacing w:lineRule="auto" w:line="264" w:before="23" w:after="0"/>
        <w:ind w:left="3456" w:right="1854" w:hanging="0"/>
        <w:jc w:val="left"/>
        <w:rPr>
          <w:rFonts w:ascii="Arial" w:hAnsi="Arial"/>
          <w:sz w:val="20"/>
        </w:rPr>
      </w:pPr>
      <w:r>
        <w:rPr>
          <w:rFonts w:ascii="Arial" w:hAnsi="Arial"/>
          <w:color w:val="000000"/>
          <w:sz w:val="20"/>
        </w:rPr>
        <w:t>$100,000 or an integral multiple of that amount) by giving 30 Business Days’. notice to the Bank specifying the amount to be cancelled and the date on which the cancellation takes effect. The cancellation takes effect on the date</w:t>
      </w:r>
      <w:r>
        <w:rPr>
          <w:rFonts w:ascii="Arial" w:hAnsi="Arial"/>
          <w:sz w:val="20"/>
        </w:rPr>
        <w:t xml:space="preserve"> </w:t>
      </w:r>
    </w:p>
    <w:p>
      <w:pPr>
        <w:pStyle w:val="TextBody"/>
        <w:pBdr/>
        <w:bidi w:val="0"/>
        <w:spacing w:lineRule="auto" w:line="264" w:before="0" w:after="0"/>
        <w:ind w:left="360" w:right="360" w:hanging="0"/>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24</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1" descr=""/>
                    <pic:cNvPicPr>
                      <a:picLocks noChangeAspect="1" noChangeArrowheads="1"/>
                    </pic:cNvPicPr>
                  </pic:nvPicPr>
                  <pic:blipFill>
                    <a:blip r:embed="rId9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2" descr=""/>
                    <pic:cNvPicPr>
                      <a:picLocks noChangeAspect="1" noChangeArrowheads="1"/>
                    </pic:cNvPicPr>
                  </pic:nvPicPr>
                  <pic:blipFill>
                    <a:blip r:embed="rId9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3456" w:right="1940" w:hanging="0"/>
        <w:jc w:val="left"/>
        <w:rPr>
          <w:rFonts w:ascii="Arial" w:hAnsi="Arial"/>
          <w:sz w:val="20"/>
        </w:rPr>
      </w:pPr>
      <w:r>
        <w:rPr>
          <w:rFonts w:ascii="Arial" w:hAnsi="Arial"/>
          <w:sz w:val="20"/>
        </w:rPr>
        <w:t xml:space="preserve">specified in the notice (which must be a date not earlier than five Business Days after the date the Bank receives the notice). </w:t>
      </w:r>
    </w:p>
    <w:tbl>
      <w:tblPr>
        <w:tblW w:w="2621" w:type="dxa"/>
        <w:jc w:val="left"/>
        <w:tblInd w:w="360" w:type="dxa"/>
        <w:tblLayout w:type="fixed"/>
        <w:tblCellMar>
          <w:top w:w="0" w:type="dxa"/>
          <w:left w:w="0" w:type="dxa"/>
          <w:bottom w:w="0" w:type="dxa"/>
          <w:right w:w="0" w:type="dxa"/>
        </w:tblCellMar>
      </w:tblPr>
      <w:tblGrid>
        <w:gridCol w:w="38"/>
        <w:gridCol w:w="680"/>
        <w:gridCol w:w="23"/>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10.10. </w:t>
            </w:r>
          </w:p>
        </w:tc>
        <w:tc>
          <w:tcPr>
            <w:tcW w:w="23" w:type="dxa"/>
            <w:tcBorders/>
            <w:vAlign w:val="center"/>
          </w:tcPr>
          <w:p>
            <w:pPr>
              <w:pStyle w:val="TableContents"/>
              <w:bidi w:val="0"/>
              <w:spacing w:before="0" w:after="283"/>
              <w:jc w:val="left"/>
              <w:rPr>
                <w:sz w:val="4"/>
                <w:szCs w:val="4"/>
              </w:rPr>
            </w:pPr>
            <w:r>
              <w:rPr>
                <w:sz w:val="4"/>
                <w:szCs w:val="4"/>
              </w:rPr>
            </w:r>
          </w:p>
        </w:tc>
        <w:tc>
          <w:tcPr>
            <w:tcW w:w="1880" w:type="dxa"/>
            <w:tcBorders/>
          </w:tcPr>
          <w:p>
            <w:pPr>
              <w:pStyle w:val="TableContents"/>
              <w:bidi w:val="0"/>
              <w:spacing w:before="174" w:after="0"/>
              <w:ind w:left="0" w:right="0" w:hanging="0"/>
              <w:jc w:val="left"/>
              <w:rPr>
                <w:rFonts w:ascii="Arial" w:hAnsi="Arial"/>
                <w:b/>
                <w:color w:val="000000"/>
                <w:sz w:val="22"/>
              </w:rPr>
            </w:pPr>
            <w:bookmarkStart w:id="178" w:name="Market_disruption410"/>
            <w:bookmarkStart w:id="179" w:name="_TOC_250067"/>
            <w:bookmarkEnd w:id="178"/>
            <w:bookmarkEnd w:id="179"/>
            <w:r>
              <w:rPr>
                <w:rFonts w:ascii="Arial" w:hAnsi="Arial"/>
                <w:b/>
                <w:color w:val="000000"/>
                <w:sz w:val="22"/>
              </w:rPr>
              <w:t>Market disruption</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(a)If the Bank determines that a Market Disruption Event occurs or has occurred in relation to an Advance, then the Bank will promptly notify the Borrower, and the Interest Rate on that Advance for that Pricing Period will be the rate per annum which is the sum of:</w:t>
      </w:r>
      <w:r>
        <w:rPr>
          <w:rFonts w:ascii="Arial" w:hAnsi="Arial"/>
          <w:sz w:val="20"/>
        </w:rPr>
        <w:t xml:space="preserve"> </w:t>
      </w:r>
    </w:p>
    <w:p>
      <w:pPr>
        <w:pStyle w:val="TextBody"/>
        <w:bidi w:val="0"/>
        <w:spacing w:before="107" w:after="0"/>
        <w:ind w:left="4539" w:right="360" w:hanging="0"/>
        <w:jc w:val="left"/>
        <w:rPr>
          <w:rFonts w:ascii="Arial" w:hAnsi="Arial"/>
          <w:sz w:val="20"/>
        </w:rPr>
      </w:pPr>
      <w:r>
        <w:rPr>
          <w:rFonts w:ascii="Arial" w:hAnsi="Arial"/>
          <w:color w:val="000000"/>
          <w:sz w:val="20"/>
        </w:rPr>
        <w:t>(i)the Margin for the Advance; and</w:t>
      </w:r>
      <w:r>
        <w:rPr>
          <w:rFonts w:ascii="Arial" w:hAnsi="Arial"/>
          <w:sz w:val="20"/>
        </w:rPr>
        <w:t xml:space="preserve"> </w:t>
      </w:r>
    </w:p>
    <w:p>
      <w:pPr>
        <w:pStyle w:val="TextBody"/>
        <w:bidi w:val="0"/>
        <w:spacing w:lineRule="auto" w:line="264" w:before="0" w:after="0"/>
        <w:ind w:left="4540" w:right="1941" w:hanging="0"/>
        <w:jc w:val="left"/>
        <w:rPr>
          <w:rFonts w:ascii="Arial" w:hAnsi="Arial"/>
          <w:sz w:val="20"/>
        </w:rPr>
      </w:pPr>
      <w:r>
        <w:rPr>
          <w:rFonts w:ascii="Arial" w:hAnsi="Arial"/>
          <w:color w:val="000000"/>
          <w:sz w:val="20"/>
        </w:rPr>
        <w:t>(ii)the rate notified to the Borrower as soon as practicable and in any event no later than the Business Day before interest is due to be paid in respect of that Pricing Period, to be that which expresses as a percentage rate per annum the cost to the Bank of funding that Advance from whatever source or sources the Bank may reasonably select.</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(b)For</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purposes</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4.10</w:t>
      </w:r>
      <w:r>
        <w:rPr>
          <w:rFonts w:ascii="Arial" w:hAnsi="Arial"/>
          <w:b/>
          <w:strike/>
          <w:color w:val="B5082D"/>
          <w:sz w:val="20"/>
        </w:rPr>
        <w:t>4.10</w:t>
      </w:r>
      <w:r>
        <w:rPr>
          <w:rFonts w:ascii="Arial" w:hAnsi="Arial"/>
          <w:b/>
          <w:color w:val="2D97D3"/>
          <w:sz w:val="20"/>
          <w:u w:val="single"/>
        </w:rPr>
        <w:t>(a)</w:t>
      </w:r>
      <w:r>
        <w:rPr>
          <w:rFonts w:ascii="Arial" w:hAnsi="Arial"/>
          <w:b/>
          <w:strike/>
          <w:color w:val="B5082D"/>
          <w:sz w:val="20"/>
        </w:rPr>
        <w:t>(a)</w:t>
      </w:r>
      <w:r>
        <w:rPr>
          <w:rFonts w:ascii="Arial" w:hAnsi="Arial"/>
          <w:color w:val="000000"/>
          <w:sz w:val="20"/>
        </w:rPr>
        <w:t>:</w:t>
      </w:r>
      <w:r>
        <w:rPr>
          <w:rFonts w:ascii="Arial" w:hAnsi="Arial"/>
          <w:sz w:val="22"/>
        </w:rPr>
        <w:t xml:space="preserve"> </w:t>
      </w:r>
    </w:p>
    <w:p>
      <w:pPr>
        <w:pStyle w:val="TextBody"/>
        <w:bidi w:val="0"/>
        <w:spacing w:before="137" w:after="0"/>
        <w:ind w:left="4540" w:right="360" w:hanging="0"/>
        <w:jc w:val="left"/>
        <w:rPr>
          <w:rFonts w:ascii="Arial" w:hAnsi="Arial"/>
          <w:b/>
          <w:sz w:val="20"/>
        </w:rPr>
      </w:pPr>
      <w:r>
        <w:rPr>
          <w:rFonts w:ascii="Arial" w:hAnsi="Arial"/>
          <w:b w:val="false"/>
          <w:color w:val="000000"/>
          <w:sz w:val="20"/>
        </w:rPr>
        <w:t>(i)</w:t>
      </w:r>
      <w:r>
        <w:rPr>
          <w:rFonts w:ascii="Arial" w:hAnsi="Arial"/>
          <w:b/>
          <w:color w:val="000000"/>
          <w:sz w:val="20"/>
        </w:rPr>
        <w:t>Market Disruption Event </w:t>
      </w:r>
      <w:r>
        <w:rPr>
          <w:rFonts w:ascii="Arial" w:hAnsi="Arial"/>
          <w:b w:val="false"/>
          <w:color w:val="000000"/>
          <w:sz w:val="20"/>
        </w:rPr>
        <w:t>means:</w:t>
      </w:r>
      <w:r>
        <w:rPr>
          <w:rFonts w:ascii="Arial" w:hAnsi="Arial"/>
          <w:b/>
          <w:sz w:val="20"/>
        </w:rPr>
        <w:t xml:space="preserve"> </w:t>
      </w:r>
    </w:p>
    <w:p>
      <w:pPr>
        <w:pStyle w:val="TextBody"/>
        <w:bidi w:val="0"/>
        <w:spacing w:lineRule="auto" w:line="264" w:before="135" w:after="0"/>
        <w:ind w:left="5054" w:right="1933" w:hanging="0"/>
        <w:jc w:val="left"/>
        <w:rPr>
          <w:rFonts w:ascii="Arial" w:hAnsi="Arial"/>
          <w:sz w:val="20"/>
        </w:rPr>
      </w:pPr>
      <w:r>
        <w:rPr>
          <w:rFonts w:ascii="Arial" w:hAnsi="Arial"/>
          <w:color w:val="000000"/>
          <w:sz w:val="20"/>
        </w:rPr>
        <w:t>(A)at or about the time on the day (Quotation Day) for the Bank to determine the Screen Rate for the relevant currency and Pricing Period, the Screen Rate is not available and the Bank is unable to specify another page or service displaying an appropriate rate; or</w:t>
      </w:r>
      <w:r>
        <w:rPr>
          <w:rFonts w:ascii="Arial" w:hAnsi="Arial"/>
          <w:sz w:val="20"/>
        </w:rPr>
        <w:t xml:space="preserve"> </w:t>
      </w:r>
    </w:p>
    <w:p>
      <w:pPr>
        <w:pStyle w:val="TextBody"/>
        <w:bidi w:val="0"/>
        <w:spacing w:lineRule="auto" w:line="264" w:before="108" w:after="0"/>
        <w:ind w:left="5054" w:right="1944" w:hanging="0"/>
        <w:jc w:val="left"/>
        <w:rPr>
          <w:rFonts w:ascii="Arial" w:hAnsi="Arial"/>
          <w:sz w:val="20"/>
        </w:rPr>
      </w:pPr>
      <w:r>
        <w:rPr>
          <w:rFonts w:ascii="Arial" w:hAnsi="Arial"/>
          <w:color w:val="000000"/>
          <w:sz w:val="20"/>
        </w:rPr>
        <w:t>(B)in relation to an Advance, before 5.00 pm (local time) on the Business Day after the Quotation Day for the relevant period, the Bank notifies the Borrower, that as a result of market circumstances not limited to the Bank the cost to the Bank of funding the Advance exceeds the Screen Rate.</w:t>
      </w:r>
      <w:r>
        <w:rPr>
          <w:rFonts w:ascii="Arial" w:hAnsi="Arial"/>
          <w:sz w:val="20"/>
        </w:rPr>
        <w:t xml:space="preserve"> </w:t>
      </w:r>
    </w:p>
    <w:p>
      <w:pPr>
        <w:pStyle w:val="TextBody"/>
        <w:bidi w:val="0"/>
        <w:spacing w:before="118" w:after="0"/>
        <w:ind w:left="4540" w:right="360" w:hanging="0"/>
        <w:jc w:val="left"/>
        <w:rPr>
          <w:rFonts w:ascii="Arial" w:hAnsi="Arial"/>
          <w:sz w:val="20"/>
        </w:rPr>
      </w:pPr>
      <w:r>
        <w:rPr>
          <w:rFonts w:ascii="Arial" w:hAnsi="Arial"/>
          <w:color w:val="000000"/>
          <w:sz w:val="20"/>
        </w:rPr>
        <w:t>(ii)</w:t>
      </w:r>
      <w:r>
        <w:rPr>
          <w:rFonts w:ascii="Arial" w:hAnsi="Arial"/>
          <w:b/>
          <w:color w:val="000000"/>
          <w:sz w:val="20"/>
        </w:rPr>
        <w:t>Screen</w:t>
      </w:r>
      <w:r>
        <w:rPr>
          <w:rFonts w:ascii="Arial" w:hAnsi="Arial"/>
          <w:color w:val="000000"/>
          <w:sz w:val="20"/>
        </w:rPr>
        <w:t> </w:t>
      </w:r>
      <w:r>
        <w:rPr>
          <w:rFonts w:ascii="Arial" w:hAnsi="Arial"/>
          <w:b/>
          <w:color w:val="000000"/>
          <w:sz w:val="20"/>
        </w:rPr>
        <w:t>Rate</w:t>
      </w:r>
      <w:r>
        <w:rPr>
          <w:rFonts w:ascii="Arial" w:hAnsi="Arial"/>
          <w:color w:val="000000"/>
          <w:sz w:val="20"/>
        </w:rPr>
        <w:t> means the rate specified in paragraph (a) of the definition of “Base Rate”</w:t>
      </w:r>
      <w:r>
        <w:rPr>
          <w:rFonts w:ascii="Arial" w:hAnsi="Arial"/>
          <w:sz w:val="20"/>
        </w:rPr>
        <w:t xml:space="preserve"> </w:t>
      </w:r>
    </w:p>
    <w:p>
      <w:pPr>
        <w:pStyle w:val="TextBody"/>
        <w:bidi w:val="0"/>
        <w:spacing w:before="7" w:after="0"/>
        <w:ind w:left="360" w:right="360" w:hanging="0"/>
        <w:jc w:val="left"/>
        <w:rPr>
          <w:rFonts w:cs="Arial"/>
          <w:szCs w:val="2"/>
        </w:rPr>
      </w:pPr>
      <w:r>
        <w:rPr>
          <w:rFonts w:cs="Arial"/>
          <w:color w:val="000000"/>
          <w:szCs w:val="3"/>
        </w:rPr>
        <w:t>﻿</w:t>
      </w:r>
      <w:r>
        <w:rPr>
          <w:rFonts w:cs="Arial"/>
          <w:szCs w:val="2"/>
        </w:rPr>
        <w:t xml:space="preserve"> </w:t>
      </w:r>
    </w:p>
    <w:tbl>
      <w:tblPr>
        <w:tblW w:w="4811" w:type="dxa"/>
        <w:jc w:val="left"/>
        <w:tblInd w:w="360" w:type="dxa"/>
        <w:tblLayout w:type="fixed"/>
        <w:tblCellMar>
          <w:top w:w="0" w:type="dxa"/>
          <w:left w:w="0" w:type="dxa"/>
          <w:bottom w:w="0" w:type="dxa"/>
          <w:right w:w="0" w:type="dxa"/>
        </w:tblCellMar>
      </w:tblPr>
      <w:tblGrid>
        <w:gridCol w:w="38"/>
        <w:gridCol w:w="680"/>
        <w:gridCol w:w="23"/>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10.11. </w:t>
            </w:r>
          </w:p>
        </w:tc>
        <w:tc>
          <w:tcPr>
            <w:tcW w:w="23" w:type="dxa"/>
            <w:tcBorders/>
            <w:vAlign w:val="center"/>
          </w:tcPr>
          <w:p>
            <w:pPr>
              <w:pStyle w:val="TableContents"/>
              <w:bidi w:val="0"/>
              <w:spacing w:before="0" w:after="283"/>
              <w:jc w:val="left"/>
              <w:rPr>
                <w:sz w:val="4"/>
                <w:szCs w:val="4"/>
              </w:rPr>
            </w:pPr>
            <w:r>
              <w:rPr>
                <w:sz w:val="4"/>
                <w:szCs w:val="4"/>
              </w:rPr>
            </w:r>
          </w:p>
        </w:tc>
        <w:tc>
          <w:tcPr>
            <w:tcW w:w="4070" w:type="dxa"/>
            <w:tcBorders/>
          </w:tcPr>
          <w:p>
            <w:pPr>
              <w:pStyle w:val="TableContents"/>
              <w:bidi w:val="0"/>
              <w:spacing w:before="174" w:after="0"/>
              <w:ind w:left="0" w:right="0" w:hanging="0"/>
              <w:jc w:val="left"/>
              <w:rPr>
                <w:rFonts w:ascii="Arial" w:hAnsi="Arial"/>
                <w:b/>
                <w:color w:val="000000"/>
                <w:sz w:val="22"/>
              </w:rPr>
            </w:pPr>
            <w:bookmarkStart w:id="180" w:name="AlternativeBasis411"/>
            <w:bookmarkStart w:id="181" w:name="_TOC_250066"/>
            <w:bookmarkEnd w:id="180"/>
            <w:bookmarkEnd w:id="181"/>
            <w:r>
              <w:rPr>
                <w:rFonts w:ascii="Arial" w:hAnsi="Arial"/>
                <w:b/>
                <w:color w:val="000000"/>
                <w:sz w:val="22"/>
              </w:rPr>
              <w:t>Alternative basis of interest or funding</w:t>
            </w:r>
          </w:p>
        </w:tc>
      </w:tr>
    </w:tbl>
    <w:p>
      <w:pPr>
        <w:pStyle w:val="TextBody"/>
        <w:bidi w:val="0"/>
        <w:spacing w:lineRule="auto" w:line="264" w:before="88" w:after="0"/>
        <w:ind w:left="3456" w:right="1854" w:hanging="0"/>
        <w:jc w:val="left"/>
        <w:rPr>
          <w:rFonts w:ascii="Arial" w:hAnsi="Arial"/>
          <w:sz w:val="20"/>
        </w:rPr>
      </w:pPr>
      <w:r>
        <w:rPr>
          <w:rFonts w:ascii="Arial" w:hAnsi="Arial"/>
          <w:color w:val="000000"/>
          <w:sz w:val="20"/>
        </w:rPr>
        <w:t>If a Market Disruption Event occurs and the Bank or the Borrower so requires, the Bank and the Borrower will enter into negotiations (for a period of not more than 30 days) with a view to agreeing a substitute basis for determining the rate of interest or discount.</w:t>
      </w:r>
      <w:r>
        <w:rPr>
          <w:rFonts w:ascii="Arial" w:hAnsi="Arial"/>
          <w:sz w:val="20"/>
        </w:rPr>
        <w:t xml:space="preserve"> </w:t>
      </w:r>
    </w:p>
    <w:tbl>
      <w:tblPr>
        <w:tblW w:w="3131" w:type="dxa"/>
        <w:jc w:val="left"/>
        <w:tblInd w:w="360" w:type="dxa"/>
        <w:tblLayout w:type="fixed"/>
        <w:tblCellMar>
          <w:top w:w="0" w:type="dxa"/>
          <w:left w:w="0" w:type="dxa"/>
          <w:bottom w:w="0" w:type="dxa"/>
          <w:right w:w="0" w:type="dxa"/>
        </w:tblCellMar>
      </w:tblPr>
      <w:tblGrid>
        <w:gridCol w:w="38"/>
        <w:gridCol w:w="680"/>
        <w:gridCol w:w="23"/>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10.12. </w:t>
            </w:r>
          </w:p>
        </w:tc>
        <w:tc>
          <w:tcPr>
            <w:tcW w:w="23" w:type="dxa"/>
            <w:tcBorders/>
            <w:vAlign w:val="center"/>
          </w:tcPr>
          <w:p>
            <w:pPr>
              <w:pStyle w:val="TableContents"/>
              <w:bidi w:val="0"/>
              <w:spacing w:before="0" w:after="283"/>
              <w:jc w:val="left"/>
              <w:rPr>
                <w:sz w:val="4"/>
                <w:szCs w:val="4"/>
              </w:rPr>
            </w:pPr>
            <w:r>
              <w:rPr>
                <w:sz w:val="4"/>
                <w:szCs w:val="4"/>
              </w:rPr>
            </w:r>
          </w:p>
        </w:tc>
        <w:tc>
          <w:tcPr>
            <w:tcW w:w="2390" w:type="dxa"/>
            <w:tcBorders/>
          </w:tcPr>
          <w:p>
            <w:pPr>
              <w:pStyle w:val="TableContents"/>
              <w:bidi w:val="0"/>
              <w:spacing w:before="174" w:after="0"/>
              <w:ind w:left="0" w:right="0" w:hanging="0"/>
              <w:jc w:val="left"/>
              <w:rPr>
                <w:rFonts w:ascii="Arial" w:hAnsi="Arial"/>
                <w:b/>
                <w:color w:val="000000"/>
                <w:sz w:val="22"/>
              </w:rPr>
            </w:pPr>
            <w:bookmarkStart w:id="182" w:name="PricingReview412"/>
            <w:bookmarkStart w:id="183" w:name="_TOC_250065"/>
            <w:bookmarkEnd w:id="182"/>
            <w:bookmarkEnd w:id="183"/>
            <w:r>
              <w:rPr>
                <w:rFonts w:ascii="Arial" w:hAnsi="Arial"/>
                <w:b/>
                <w:color w:val="000000"/>
                <w:sz w:val="22"/>
              </w:rPr>
              <w:t>Pricing Review Events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Bank has the right to review the pricing applicable to a Facility (</w:t>
      </w:r>
      <w:r>
        <w:rPr>
          <w:rFonts w:ascii="Arial" w:hAnsi="Arial"/>
          <w:b/>
          <w:color w:val="000000"/>
          <w:sz w:val="20"/>
        </w:rPr>
        <w:t>Review</w:t>
      </w:r>
      <w:r>
        <w:rPr>
          <w:rFonts w:ascii="Arial" w:hAnsi="Arial"/>
          <w:color w:val="000000"/>
          <w:sz w:val="20"/>
        </w:rPr>
        <w:t>):</w:t>
      </w:r>
      <w:r>
        <w:rPr>
          <w:rFonts w:ascii="Arial" w:hAnsi="Arial"/>
          <w:sz w:val="20"/>
        </w:rPr>
        <w:t xml:space="preserve"> </w:t>
      </w:r>
    </w:p>
    <w:p>
      <w:pPr>
        <w:pStyle w:val="TextBody"/>
        <w:bidi w:val="0"/>
        <w:spacing w:lineRule="auto" w:line="264" w:before="111" w:after="0"/>
        <w:ind w:left="4540" w:right="2499" w:hanging="0"/>
        <w:jc w:val="left"/>
        <w:rPr>
          <w:rFonts w:ascii="Arial" w:hAnsi="Arial"/>
          <w:sz w:val="20"/>
        </w:rPr>
      </w:pPr>
      <w:r>
        <w:rPr>
          <w:rFonts w:ascii="Arial" w:hAnsi="Arial"/>
          <w:color w:val="000000"/>
          <w:sz w:val="20"/>
        </w:rPr>
        <w:t>(i)at any time if the Bank reasonably believes that an Event of Default subsists;</w:t>
      </w:r>
      <w:r>
        <w:rPr>
          <w:rFonts w:ascii="Arial" w:hAnsi="Arial"/>
          <w:sz w:val="20"/>
        </w:rPr>
        <w:t xml:space="preserve"> </w:t>
      </w:r>
    </w:p>
    <w:p>
      <w:pPr>
        <w:pStyle w:val="TextBody"/>
        <w:bidi w:val="0"/>
        <w:spacing w:before="111" w:after="0"/>
        <w:ind w:left="4539" w:right="360" w:hanging="0"/>
        <w:jc w:val="left"/>
        <w:rPr>
          <w:rFonts w:ascii="Arial" w:hAnsi="Arial"/>
          <w:sz w:val="20"/>
        </w:rPr>
      </w:pPr>
      <w:r>
        <w:rPr>
          <w:rFonts w:ascii="Arial" w:hAnsi="Arial"/>
          <w:color w:val="000000"/>
          <w:sz w:val="20"/>
        </w:rPr>
        <w:t>(ii)at any time:</w:t>
      </w:r>
      <w:r>
        <w:rPr>
          <w:rFonts w:ascii="Arial" w:hAnsi="Arial"/>
          <w:sz w:val="20"/>
        </w:rPr>
        <w:t xml:space="preserve"> </w:t>
      </w:r>
    </w:p>
    <w:p>
      <w:pPr>
        <w:pStyle w:val="TextBody"/>
        <w:bidi w:val="0"/>
        <w:spacing w:lineRule="auto" w:line="264" w:before="0" w:after="0"/>
        <w:ind w:left="5054" w:right="2463" w:hanging="0"/>
        <w:jc w:val="left"/>
        <w:rPr>
          <w:rFonts w:ascii="Arial" w:hAnsi="Arial"/>
          <w:sz w:val="20"/>
        </w:rPr>
      </w:pPr>
      <w:r>
        <w:rPr>
          <w:rFonts w:ascii="Arial" w:hAnsi="Arial"/>
          <w:color w:val="000000"/>
          <w:sz w:val="20"/>
        </w:rPr>
        <w:t>(A)a change occurs in the financial markets which affects financial institutions generally; and/or</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tbl>
      <w:tblPr>
        <w:tblW w:w="1930" w:type="dxa"/>
        <w:jc w:val="left"/>
        <w:tblInd w:w="36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25</w:t>
            </w:r>
          </w:p>
        </w:tc>
      </w:tr>
    </w:tbl>
    <w:p>
      <w:pPr>
        <w:pStyle w:val="TextBody"/>
        <w:bidi w:val="0"/>
        <w:spacing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3" descr=""/>
                    <pic:cNvPicPr>
                      <a:picLocks noChangeAspect="1" noChangeArrowheads="1"/>
                    </pic:cNvPicPr>
                  </pic:nvPicPr>
                  <pic:blipFill>
                    <a:blip r:embed="rId9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4" descr=""/>
                    <pic:cNvPicPr>
                      <a:picLocks noChangeAspect="1" noChangeArrowheads="1"/>
                    </pic:cNvPicPr>
                  </pic:nvPicPr>
                  <pic:blipFill>
                    <a:blip r:embed="rId9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0" w:after="0"/>
        <w:ind w:left="5054" w:right="1955" w:hanging="0"/>
        <w:jc w:val="left"/>
        <w:rPr>
          <w:rFonts w:ascii="Arial" w:hAnsi="Arial"/>
          <w:sz w:val="20"/>
        </w:rPr>
      </w:pPr>
      <w:r>
        <w:rPr>
          <w:rFonts w:ascii="Arial" w:hAnsi="Arial"/>
          <w:sz w:val="20"/>
        </w:rPr>
        <w:t xml:space="preserve">(B)a general change occurs in the cost of funds in the financial markets in which the Bank raises funds (not being a change resulting from a change in the Bank s credit rating or any other matter relating specifically to the Bank).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(b)The Bank may request the Borrower to provide information in connection with a Review and the Borrower must provide such information as soon as possible following receipt of the request. </w:t>
      </w:r>
    </w:p>
    <w:tbl>
      <w:tblPr>
        <w:tblW w:w="4421" w:type="dxa"/>
        <w:jc w:val="left"/>
        <w:tblInd w:w="360" w:type="dxa"/>
        <w:tblLayout w:type="fixed"/>
        <w:tblCellMar>
          <w:top w:w="0" w:type="dxa"/>
          <w:left w:w="0" w:type="dxa"/>
          <w:bottom w:w="0" w:type="dxa"/>
          <w:right w:w="0" w:type="dxa"/>
        </w:tblCellMar>
      </w:tblPr>
      <w:tblGrid>
        <w:gridCol w:w="38"/>
        <w:gridCol w:w="680"/>
        <w:gridCol w:w="23"/>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10.13. </w:t>
            </w:r>
          </w:p>
        </w:tc>
        <w:tc>
          <w:tcPr>
            <w:tcW w:w="23" w:type="dxa"/>
            <w:tcBorders/>
            <w:vAlign w:val="center"/>
          </w:tcPr>
          <w:p>
            <w:pPr>
              <w:pStyle w:val="TableContents"/>
              <w:bidi w:val="0"/>
              <w:spacing w:before="0" w:after="283"/>
              <w:jc w:val="left"/>
              <w:rPr>
                <w:sz w:val="4"/>
                <w:szCs w:val="4"/>
              </w:rPr>
            </w:pPr>
            <w:r>
              <w:rPr>
                <w:sz w:val="4"/>
                <w:szCs w:val="4"/>
              </w:rPr>
            </w:r>
          </w:p>
        </w:tc>
        <w:tc>
          <w:tcPr>
            <w:tcW w:w="3680" w:type="dxa"/>
            <w:tcBorders/>
          </w:tcPr>
          <w:p>
            <w:pPr>
              <w:pStyle w:val="TableContents"/>
              <w:bidi w:val="0"/>
              <w:spacing w:before="174" w:after="0"/>
              <w:ind w:left="0" w:right="0" w:hanging="0"/>
              <w:jc w:val="left"/>
              <w:rPr>
                <w:rFonts w:ascii="Arial" w:hAnsi="Arial"/>
                <w:b/>
                <w:color w:val="000000"/>
                <w:sz w:val="22"/>
              </w:rPr>
            </w:pPr>
            <w:bookmarkStart w:id="184" w:name="Consequences413"/>
            <w:bookmarkStart w:id="185" w:name="_TOC_250064"/>
            <w:bookmarkEnd w:id="184"/>
            <w:bookmarkEnd w:id="185"/>
            <w:r>
              <w:rPr>
                <w:rFonts w:ascii="Arial" w:hAnsi="Arial"/>
                <w:b/>
                <w:color w:val="000000"/>
                <w:sz w:val="22"/>
              </w:rPr>
              <w:t>Consequences of a Pricing Review</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(a)Following a Review, the Bank may, by giving written notice to the Borrower and/or by way of advertisement in the local or national press:</w:t>
      </w:r>
      <w:r>
        <w:rPr>
          <w:rFonts w:ascii="Arial" w:hAnsi="Arial"/>
          <w:sz w:val="20"/>
        </w:rPr>
        <w:t xml:space="preserve"> </w:t>
      </w:r>
    </w:p>
    <w:p>
      <w:pPr>
        <w:pStyle w:val="TextBody"/>
        <w:bidi w:val="0"/>
        <w:spacing w:lineRule="auto" w:line="264" w:before="108" w:after="0"/>
        <w:ind w:left="4540" w:right="1885" w:hanging="0"/>
        <w:jc w:val="left"/>
        <w:rPr>
          <w:rFonts w:ascii="Arial" w:hAnsi="Arial"/>
          <w:sz w:val="20"/>
        </w:rPr>
      </w:pPr>
      <w:r>
        <w:rPr>
          <w:rFonts w:ascii="Arial" w:hAnsi="Arial"/>
          <w:color w:val="000000"/>
          <w:sz w:val="20"/>
        </w:rPr>
        <w:t>(i)introduce a new fee, charge or premium or change an existing fee, charge or premium (including its amount, the way in which it is calculated and when it is charged); and</w:t>
      </w:r>
      <w:r>
        <w:rPr>
          <w:rFonts w:ascii="Arial" w:hAnsi="Arial"/>
          <w:sz w:val="20"/>
        </w:rPr>
        <w:t xml:space="preserve"> </w:t>
      </w:r>
    </w:p>
    <w:p>
      <w:pPr>
        <w:pStyle w:val="TextBody"/>
        <w:bidi w:val="0"/>
        <w:spacing w:lineRule="auto" w:line="264" w:before="110" w:after="0"/>
        <w:ind w:left="4540" w:right="1996" w:hanging="0"/>
        <w:jc w:val="left"/>
        <w:rPr>
          <w:rFonts w:ascii="Arial" w:hAnsi="Arial"/>
          <w:sz w:val="20"/>
        </w:rPr>
      </w:pPr>
      <w:r>
        <w:rPr>
          <w:rFonts w:ascii="Arial" w:hAnsi="Arial"/>
          <w:color w:val="000000"/>
          <w:sz w:val="20"/>
        </w:rPr>
        <w:t>(ii)change the acceptance margin, line fee, interest rate or yield rate applicable to a Facility including by changing or introducing a margin (including by making the margin positive or negative), or substituting a different indicator rate for the relevant indicator rate (except where the rate is a fixed rate).</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(b)Where</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gives</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Borrower</w:t>
      </w:r>
      <w:r>
        <w:rPr>
          <w:rFonts w:ascii="Arial" w:hAnsi="Arial"/>
          <w:color w:val="000000"/>
          <w:sz w:val="22"/>
        </w:rPr>
        <w:t> </w:t>
      </w:r>
      <w:r>
        <w:rPr>
          <w:rFonts w:ascii="Arial" w:hAnsi="Arial"/>
          <w:color w:val="000000"/>
          <w:sz w:val="20"/>
        </w:rPr>
        <w:t>notice</w:t>
      </w:r>
      <w:r>
        <w:rPr>
          <w:rFonts w:ascii="Arial" w:hAnsi="Arial"/>
          <w:color w:val="000000"/>
          <w:sz w:val="22"/>
        </w:rPr>
        <w:t> </w:t>
      </w:r>
      <w:r>
        <w:rPr>
          <w:rFonts w:ascii="Arial" w:hAnsi="Arial"/>
          <w:color w:val="000000"/>
          <w:sz w:val="20"/>
        </w:rPr>
        <w:t>under</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4.10</w:t>
      </w:r>
      <w:r>
        <w:rPr>
          <w:rFonts w:ascii="Arial" w:hAnsi="Arial"/>
          <w:b/>
          <w:strike/>
          <w:color w:val="B5082D"/>
          <w:sz w:val="20"/>
        </w:rPr>
        <w:t>4.10</w:t>
      </w:r>
      <w:r>
        <w:rPr>
          <w:rFonts w:ascii="Arial" w:hAnsi="Arial"/>
          <w:b/>
          <w:color w:val="2D97D3"/>
          <w:sz w:val="20"/>
          <w:u w:val="single"/>
        </w:rPr>
        <w:t>(a)</w:t>
      </w:r>
      <w:r>
        <w:rPr>
          <w:rFonts w:ascii="Arial" w:hAnsi="Arial"/>
          <w:b/>
          <w:strike/>
          <w:color w:val="B5082D"/>
          <w:sz w:val="20"/>
        </w:rPr>
        <w:t>(a)</w:t>
      </w:r>
      <w:r>
        <w:rPr>
          <w:rFonts w:ascii="Arial" w:hAnsi="Arial"/>
          <w:color w:val="B5082D"/>
          <w:sz w:val="22"/>
        </w:rPr>
        <w:t> </w:t>
      </w:r>
      <w:r>
        <w:rPr>
          <w:rFonts w:ascii="Arial" w:hAnsi="Arial"/>
          <w:color w:val="000000"/>
          <w:sz w:val="20"/>
        </w:rPr>
        <w:t>by</w:t>
      </w:r>
      <w:r>
        <w:rPr>
          <w:rFonts w:ascii="Arial" w:hAnsi="Arial"/>
          <w:color w:val="000000"/>
          <w:sz w:val="22"/>
        </w:rPr>
        <w:t> </w:t>
      </w:r>
      <w:r>
        <w:rPr>
          <w:rFonts w:ascii="Arial" w:hAnsi="Arial"/>
          <w:color w:val="000000"/>
          <w:sz w:val="20"/>
        </w:rPr>
        <w:t>way</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advertisement</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local</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national</w:t>
      </w:r>
      <w:r>
        <w:rPr>
          <w:rFonts w:ascii="Arial" w:hAnsi="Arial"/>
          <w:color w:val="000000"/>
          <w:sz w:val="22"/>
        </w:rPr>
        <w:t> </w:t>
      </w:r>
      <w:r>
        <w:rPr>
          <w:rFonts w:ascii="Arial" w:hAnsi="Arial"/>
          <w:color w:val="000000"/>
          <w:sz w:val="20"/>
        </w:rPr>
        <w:t>press,</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will</w:t>
      </w:r>
      <w:r>
        <w:rPr>
          <w:rFonts w:ascii="Arial" w:hAnsi="Arial"/>
          <w:color w:val="000000"/>
          <w:sz w:val="22"/>
        </w:rPr>
        <w:t> </w:t>
      </w:r>
      <w:r>
        <w:rPr>
          <w:rFonts w:ascii="Arial" w:hAnsi="Arial"/>
          <w:color w:val="000000"/>
          <w:sz w:val="20"/>
        </w:rPr>
        <w:t>also endeavour to directly notify the Borrower of the change although the Bank will not be precluded from charging the new or adjusted pricing if it does not directly notify the Borrower.</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(c)An introduction or change of a matter specified in </w:t>
      </w:r>
      <w:r>
        <w:rPr>
          <w:rFonts w:ascii="Arial" w:hAnsi="Arial"/>
          <w:b/>
          <w:color w:val="000000"/>
          <w:sz w:val="20"/>
        </w:rPr>
        <w:t>clause</w:t>
      </w:r>
      <w:r>
        <w:rPr>
          <w:rFonts w:ascii="Arial" w:hAnsi="Arial"/>
          <w:color w:val="000000"/>
          <w:sz w:val="20"/>
        </w:rPr>
        <w:t> </w:t>
      </w:r>
      <w:r>
        <w:rPr>
          <w:rFonts w:ascii="Arial" w:hAnsi="Arial"/>
          <w:b/>
          <w:color w:val="2D97D3"/>
          <w:sz w:val="20"/>
          <w:u w:val="single"/>
        </w:rPr>
        <w:t>4.10</w:t>
      </w:r>
      <w:r>
        <w:rPr>
          <w:rFonts w:ascii="Arial" w:hAnsi="Arial"/>
          <w:b/>
          <w:strike/>
          <w:color w:val="B5082D"/>
          <w:sz w:val="20"/>
        </w:rPr>
        <w:t>4.10</w:t>
      </w:r>
      <w:r>
        <w:rPr>
          <w:rFonts w:ascii="Arial" w:hAnsi="Arial"/>
          <w:b/>
          <w:color w:val="2D97D3"/>
          <w:sz w:val="20"/>
          <w:u w:val="single"/>
        </w:rPr>
        <w:t>(a)</w:t>
      </w:r>
      <w:r>
        <w:rPr>
          <w:rFonts w:ascii="Arial" w:hAnsi="Arial"/>
          <w:b/>
          <w:strike/>
          <w:color w:val="B5082D"/>
          <w:sz w:val="20"/>
        </w:rPr>
        <w:t>(a)</w:t>
      </w:r>
      <w:r>
        <w:rPr>
          <w:rFonts w:ascii="Arial" w:hAnsi="Arial"/>
          <w:color w:val="B5082D"/>
          <w:sz w:val="20"/>
        </w:rPr>
        <w:t> </w:t>
      </w:r>
      <w:r>
        <w:rPr>
          <w:rFonts w:ascii="Arial" w:hAnsi="Arial"/>
          <w:color w:val="000000"/>
          <w:sz w:val="20"/>
        </w:rPr>
        <w:t>takes effect on the date specified in the relevant notice to the Borrower (which must be at least 30 days after the date on which the notice is given to the Borrower).</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7" w:after="0"/>
        <w:ind w:left="360" w:right="360" w:hanging="0"/>
        <w:jc w:val="left"/>
        <w:rPr>
          <w:rFonts w:cs="Arial"/>
          <w:szCs w:val="20"/>
        </w:rPr>
      </w:pPr>
      <w:r>
        <w:rPr>
          <w:rFonts w:cs="Arial"/>
          <w:color w:val="000000"/>
          <w:szCs w:val="20"/>
        </w:rPr>
        <w:t>﻿</w:t>
      </w:r>
      <w:r>
        <w:rPr>
          <w:rFonts w:cs="Arial"/>
          <w:szCs w:val="20"/>
        </w:rPr>
        <w:t xml:space="preserve"> </w:t>
      </w:r>
    </w:p>
    <w:tbl>
      <w:tblPr>
        <w:tblW w:w="1961" w:type="dxa"/>
        <w:jc w:val="left"/>
        <w:tblInd w:w="360" w:type="dxa"/>
        <w:tblLayout w:type="fixed"/>
        <w:tblCellMar>
          <w:top w:w="0" w:type="dxa"/>
          <w:left w:w="0" w:type="dxa"/>
          <w:bottom w:w="0" w:type="dxa"/>
          <w:right w:w="0" w:type="dxa"/>
        </w:tblCellMar>
      </w:tblPr>
      <w:tblGrid>
        <w:gridCol w:w="38"/>
        <w:gridCol w:w="530"/>
        <w:gridCol w:w="23"/>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11. </w:t>
            </w:r>
          </w:p>
        </w:tc>
        <w:tc>
          <w:tcPr>
            <w:tcW w:w="23" w:type="dxa"/>
            <w:tcBorders/>
            <w:vAlign w:val="center"/>
          </w:tcPr>
          <w:p>
            <w:pPr>
              <w:pStyle w:val="TableContents"/>
              <w:bidi w:val="0"/>
              <w:spacing w:before="0" w:after="283"/>
              <w:jc w:val="left"/>
              <w:rPr>
                <w:sz w:val="4"/>
                <w:szCs w:val="4"/>
              </w:rPr>
            </w:pPr>
            <w:r>
              <w:rPr>
                <w:sz w:val="4"/>
                <w:szCs w:val="4"/>
              </w:rPr>
            </w:r>
          </w:p>
        </w:tc>
        <w:tc>
          <w:tcPr>
            <w:tcW w:w="1370" w:type="dxa"/>
            <w:tcBorders/>
          </w:tcPr>
          <w:p>
            <w:pPr>
              <w:pStyle w:val="TableContents"/>
              <w:bidi w:val="0"/>
              <w:spacing w:before="0" w:after="0"/>
              <w:ind w:left="0" w:right="0" w:hanging="0"/>
              <w:jc w:val="left"/>
              <w:rPr>
                <w:rFonts w:ascii="Arial" w:hAnsi="Arial"/>
                <w:color w:val="000000"/>
                <w:sz w:val="30"/>
              </w:rPr>
            </w:pPr>
            <w:bookmarkStart w:id="186" w:name="Payments5"/>
            <w:bookmarkStart w:id="187" w:name="_TOC_250063"/>
            <w:bookmarkEnd w:id="186"/>
            <w:bookmarkEnd w:id="187"/>
            <w:r>
              <w:rPr>
                <w:rFonts w:ascii="Arial" w:hAnsi="Arial"/>
                <w:color w:val="000000"/>
                <w:sz w:val="30"/>
              </w:rPr>
              <w:t>Payments</w:t>
            </w:r>
          </w:p>
        </w:tc>
      </w:tr>
    </w:tbl>
    <w:tbl>
      <w:tblPr>
        <w:tblW w:w="1601" w:type="dxa"/>
        <w:jc w:val="left"/>
        <w:tblInd w:w="360" w:type="dxa"/>
        <w:tblLayout w:type="fixed"/>
        <w:tblCellMar>
          <w:top w:w="0" w:type="dxa"/>
          <w:left w:w="0" w:type="dxa"/>
          <w:bottom w:w="0" w:type="dxa"/>
          <w:right w:w="0" w:type="dxa"/>
        </w:tblCellMar>
      </w:tblPr>
      <w:tblGrid>
        <w:gridCol w:w="38"/>
        <w:gridCol w:w="560"/>
        <w:gridCol w:w="23"/>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11.1.</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80" w:type="dxa"/>
            <w:tcBorders/>
          </w:tcPr>
          <w:p>
            <w:pPr>
              <w:pStyle w:val="TableContents"/>
              <w:pBdr/>
              <w:bidi w:val="0"/>
              <w:spacing w:before="174" w:after="0"/>
              <w:ind w:left="0" w:right="0" w:hanging="0"/>
              <w:jc w:val="left"/>
              <w:rPr>
                <w:rFonts w:ascii="Arial" w:hAnsi="Arial"/>
                <w:b/>
                <w:color w:val="000000"/>
                <w:sz w:val="22"/>
              </w:rPr>
            </w:pPr>
            <w:bookmarkStart w:id="188" w:name="Notused51"/>
            <w:bookmarkStart w:id="189" w:name="_TOC_250062"/>
            <w:bookmarkEnd w:id="188"/>
            <w:bookmarkEnd w:id="189"/>
            <w:r>
              <w:rPr>
                <w:rFonts w:ascii="Arial" w:hAnsi="Arial"/>
                <w:b/>
                <w:color w:val="000000"/>
                <w:sz w:val="22"/>
              </w:rPr>
              <w:t>Not used</w:t>
            </w:r>
          </w:p>
        </w:tc>
      </w:tr>
    </w:tbl>
    <w:tbl>
      <w:tblPr>
        <w:tblW w:w="3101" w:type="dxa"/>
        <w:jc w:val="left"/>
        <w:tblInd w:w="360" w:type="dxa"/>
        <w:tblLayout w:type="fixed"/>
        <w:tblCellMar>
          <w:top w:w="0" w:type="dxa"/>
          <w:left w:w="0" w:type="dxa"/>
          <w:bottom w:w="0" w:type="dxa"/>
          <w:right w:w="0" w:type="dxa"/>
        </w:tblCellMar>
      </w:tblPr>
      <w:tblGrid>
        <w:gridCol w:w="38"/>
        <w:gridCol w:w="560"/>
        <w:gridCol w:w="23"/>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11.2.</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480" w:type="dxa"/>
            <w:tcBorders/>
          </w:tcPr>
          <w:p>
            <w:pPr>
              <w:pStyle w:val="TableContents"/>
              <w:pBdr/>
              <w:bidi w:val="0"/>
              <w:spacing w:before="174" w:after="0"/>
              <w:ind w:left="0" w:right="0" w:hanging="0"/>
              <w:jc w:val="left"/>
              <w:rPr>
                <w:rFonts w:ascii="Arial" w:hAnsi="Arial"/>
                <w:b/>
                <w:color w:val="000000"/>
                <w:sz w:val="22"/>
              </w:rPr>
            </w:pPr>
            <w:bookmarkStart w:id="190" w:name="Voluntary_prepayments52"/>
            <w:bookmarkStart w:id="191" w:name="_TOC_250061"/>
            <w:bookmarkEnd w:id="190"/>
            <w:bookmarkEnd w:id="191"/>
            <w:r>
              <w:rPr>
                <w:rFonts w:ascii="Arial" w:hAnsi="Arial"/>
                <w:b/>
                <w:color w:val="000000"/>
                <w:sz w:val="22"/>
              </w:rPr>
              <w:t>Voluntary prepayments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(a)In relation to any Advance, the Borrower:</w:t>
      </w:r>
      <w:r>
        <w:rPr>
          <w:rFonts w:ascii="Arial" w:hAnsi="Arial"/>
          <w:sz w:val="20"/>
        </w:rPr>
        <w:t xml:space="preserve"> </w:t>
      </w:r>
    </w:p>
    <w:p>
      <w:pPr>
        <w:pStyle w:val="TextBody"/>
        <w:bidi w:val="0"/>
        <w:spacing w:before="134" w:after="0"/>
        <w:ind w:left="4539" w:right="360" w:hanging="0"/>
        <w:jc w:val="left"/>
        <w:rPr>
          <w:rFonts w:ascii="Arial" w:hAnsi="Arial"/>
          <w:sz w:val="20"/>
        </w:rPr>
      </w:pPr>
      <w:r>
        <w:rPr>
          <w:rFonts w:ascii="Arial" w:hAnsi="Arial"/>
          <w:color w:val="000000"/>
          <w:sz w:val="20"/>
        </w:rPr>
        <w:t>(i)may prepay any Advance or a part of it (being a minimum of</w:t>
      </w:r>
      <w:r>
        <w:rPr>
          <w:rFonts w:ascii="Arial" w:hAnsi="Arial"/>
          <w:sz w:val="20"/>
        </w:rPr>
        <w:t xml:space="preserve"> </w:t>
      </w:r>
    </w:p>
    <w:p>
      <w:pPr>
        <w:pStyle w:val="TextBody"/>
        <w:pBdr/>
        <w:bidi w:val="0"/>
        <w:spacing w:before="22" w:after="0"/>
        <w:ind w:left="4540" w:right="360" w:hanging="0"/>
        <w:jc w:val="left"/>
        <w:rPr>
          <w:rFonts w:ascii="Arial" w:hAnsi="Arial"/>
          <w:sz w:val="20"/>
        </w:rPr>
      </w:pPr>
      <w:r>
        <w:rPr>
          <w:rFonts w:ascii="Arial" w:hAnsi="Arial"/>
          <w:color w:val="000000"/>
          <w:sz w:val="20"/>
        </w:rPr>
        <w:t>$100,000 or an integral multiple of that amount) by giving  5</w:t>
      </w:r>
      <w:r>
        <w:rPr>
          <w:rFonts w:ascii="Arial" w:hAnsi="Arial"/>
          <w:sz w:val="20"/>
        </w:rPr>
        <w:t xml:space="preserve"> </w:t>
      </w:r>
    </w:p>
    <w:p>
      <w:pPr>
        <w:pStyle w:val="TextBody"/>
        <w:pBdr/>
        <w:bidi w:val="0"/>
        <w:spacing w:lineRule="auto" w:line="264" w:before="27" w:after="0"/>
        <w:ind w:left="4540" w:right="1854" w:firstLine="16"/>
        <w:jc w:val="left"/>
        <w:rPr>
          <w:rFonts w:ascii="Arial" w:hAnsi="Arial"/>
          <w:sz w:val="20"/>
        </w:rPr>
      </w:pPr>
      <w:r>
        <w:rPr>
          <w:rFonts w:ascii="Arial" w:hAnsi="Arial"/>
          <w:color w:val="000000"/>
          <w:sz w:val="20"/>
        </w:rPr>
        <w:t>Business Days’ notice to the Bank specifying the amount to be prepaid and the date on which the prepayment will be made;</w:t>
      </w:r>
      <w:r>
        <w:rPr>
          <w:rFonts w:ascii="Arial" w:hAnsi="Arial"/>
          <w:sz w:val="20"/>
        </w:rPr>
        <w:t xml:space="preserve"> </w:t>
      </w:r>
    </w:p>
    <w:p>
      <w:pPr>
        <w:pStyle w:val="TextBody"/>
        <w:bidi w:val="0"/>
        <w:spacing w:lineRule="auto" w:line="264" w:before="112" w:after="0"/>
        <w:ind w:left="4540" w:right="1985" w:hanging="0"/>
        <w:jc w:val="left"/>
        <w:rPr>
          <w:rFonts w:ascii="Arial" w:hAnsi="Arial"/>
          <w:sz w:val="22"/>
        </w:rPr>
      </w:pPr>
      <w:r>
        <w:rPr>
          <w:rFonts w:ascii="Arial" w:hAnsi="Arial"/>
          <w:color w:val="000000"/>
          <w:sz w:val="20"/>
        </w:rPr>
        <w:t xml:space="preserve">(ii)may, subject to </w:t>
      </w:r>
      <w:r>
        <w:rPr>
          <w:rFonts w:ascii="Arial" w:hAnsi="Arial"/>
          <w:b/>
          <w:color w:val="000000"/>
          <w:sz w:val="20"/>
        </w:rPr>
        <w:t xml:space="preserve">clauses </w:t>
      </w:r>
      <w:r>
        <w:rPr>
          <w:rFonts w:ascii="Arial" w:hAnsi="Arial"/>
          <w:b/>
          <w:color w:val="2D97D3"/>
          <w:sz w:val="20"/>
          <w:u w:val="single"/>
        </w:rPr>
        <w:t>4.3</w:t>
      </w:r>
      <w:r>
        <w:rPr>
          <w:rFonts w:ascii="Arial" w:hAnsi="Arial"/>
          <w:b/>
          <w:strike/>
          <w:color w:val="B5082D"/>
          <w:sz w:val="20"/>
        </w:rPr>
        <w:t>4.3</w:t>
      </w:r>
      <w:r>
        <w:rPr>
          <w:rFonts w:ascii="Arial" w:hAnsi="Arial"/>
          <w:color w:val="B5082D"/>
          <w:sz w:val="22"/>
        </w:rPr>
        <w:t> </w:t>
      </w:r>
      <w:r>
        <w:rPr>
          <w:rFonts w:ascii="Arial" w:hAnsi="Arial"/>
          <w:color w:val="000000"/>
          <w:sz w:val="20"/>
        </w:rPr>
        <w:t xml:space="preserve">and </w:t>
      </w:r>
      <w:r>
        <w:rPr>
          <w:rFonts w:ascii="Arial" w:hAnsi="Arial"/>
          <w:b/>
          <w:color w:val="000000"/>
          <w:sz w:val="20"/>
        </w:rPr>
        <w:t>5.6</w:t>
      </w:r>
      <w:r>
        <w:rPr>
          <w:rFonts w:ascii="Arial" w:hAnsi="Arial"/>
          <w:color w:val="000000"/>
          <w:sz w:val="20"/>
        </w:rPr>
        <w:t>, redraw any amount prepaid</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accordance</w:t>
      </w:r>
      <w:r>
        <w:rPr>
          <w:rFonts w:ascii="Arial" w:hAnsi="Arial"/>
          <w:color w:val="000000"/>
          <w:sz w:val="22"/>
        </w:rPr>
        <w:t> </w:t>
      </w:r>
      <w:r>
        <w:rPr>
          <w:rFonts w:ascii="Arial" w:hAnsi="Arial"/>
          <w:color w:val="000000"/>
          <w:sz w:val="20"/>
        </w:rPr>
        <w:t>with</w:t>
      </w:r>
      <w:r>
        <w:rPr>
          <w:rFonts w:ascii="Arial" w:hAnsi="Arial"/>
          <w:color w:val="000000"/>
          <w:sz w:val="22"/>
        </w:rPr>
        <w:t> </w:t>
      </w:r>
      <w:r>
        <w:rPr>
          <w:rFonts w:ascii="Arial" w:hAnsi="Arial"/>
          <w:color w:val="000000"/>
          <w:sz w:val="20"/>
        </w:rPr>
        <w:t>this</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5.2</w:t>
      </w:r>
      <w:r>
        <w:rPr>
          <w:rFonts w:ascii="Arial" w:hAnsi="Arial"/>
          <w:b/>
          <w:strike/>
          <w:color w:val="B5082D"/>
          <w:sz w:val="20"/>
        </w:rPr>
        <w:t>5.2</w:t>
      </w:r>
      <w:r>
        <w:rPr>
          <w:rFonts w:ascii="Arial" w:hAnsi="Arial"/>
          <w:color w:val="B5082D"/>
          <w:sz w:val="22"/>
        </w:rPr>
        <w:t> </w:t>
      </w:r>
      <w:r>
        <w:rPr>
          <w:rFonts w:ascii="Arial" w:hAnsi="Arial"/>
          <w:color w:val="000000"/>
          <w:sz w:val="20"/>
        </w:rPr>
        <w:t>which</w:t>
      </w:r>
      <w:r>
        <w:rPr>
          <w:rFonts w:ascii="Arial" w:hAnsi="Arial"/>
          <w:color w:val="000000"/>
          <w:sz w:val="22"/>
        </w:rPr>
        <w:t> </w:t>
      </w:r>
      <w:r>
        <w:rPr>
          <w:rFonts w:ascii="Arial" w:hAnsi="Arial"/>
          <w:color w:val="000000"/>
          <w:sz w:val="20"/>
        </w:rPr>
        <w:t>forms</w:t>
      </w:r>
      <w:r>
        <w:rPr>
          <w:rFonts w:ascii="Arial" w:hAnsi="Arial"/>
          <w:color w:val="000000"/>
          <w:sz w:val="22"/>
        </w:rPr>
        <w:t> </w:t>
      </w:r>
      <w:r>
        <w:rPr>
          <w:rFonts w:ascii="Arial" w:hAnsi="Arial"/>
          <w:color w:val="000000"/>
          <w:sz w:val="20"/>
        </w:rPr>
        <w:t>part</w:t>
      </w:r>
      <w:r>
        <w:rPr>
          <w:rFonts w:ascii="Arial" w:hAnsi="Arial"/>
          <w:color w:val="000000"/>
          <w:sz w:val="22"/>
        </w:rPr>
        <w:t> </w:t>
      </w:r>
      <w:r>
        <w:rPr>
          <w:rFonts w:ascii="Arial" w:hAnsi="Arial"/>
          <w:color w:val="000000"/>
          <w:sz w:val="20"/>
        </w:rPr>
        <w:t>of the</w:t>
      </w:r>
      <w:r>
        <w:rPr>
          <w:rFonts w:ascii="Arial" w:hAnsi="Arial"/>
          <w:color w:val="000000"/>
          <w:sz w:val="22"/>
        </w:rPr>
        <w:t> </w:t>
      </w:r>
      <w:r>
        <w:rPr>
          <w:rFonts w:ascii="Arial" w:hAnsi="Arial"/>
          <w:color w:val="000000"/>
          <w:sz w:val="20"/>
        </w:rPr>
        <w:t>Revolving</w:t>
      </w:r>
      <w:r>
        <w:rPr>
          <w:rFonts w:ascii="Arial" w:hAnsi="Arial"/>
          <w:color w:val="000000"/>
          <w:sz w:val="22"/>
        </w:rPr>
        <w:t> </w:t>
      </w:r>
      <w:r>
        <w:rPr>
          <w:rFonts w:ascii="Arial" w:hAnsi="Arial"/>
          <w:color w:val="000000"/>
          <w:sz w:val="20"/>
        </w:rPr>
        <w:t>Tranche or</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Bridge</w:t>
      </w:r>
      <w:r>
        <w:rPr>
          <w:rFonts w:ascii="Arial" w:hAnsi="Arial"/>
          <w:color w:val="000000"/>
          <w:sz w:val="22"/>
        </w:rPr>
        <w:t> </w:t>
      </w:r>
      <w:r>
        <w:rPr>
          <w:rFonts w:ascii="Arial" w:hAnsi="Arial"/>
          <w:color w:val="000000"/>
          <w:sz w:val="20"/>
        </w:rPr>
        <w:t>Facility</w:t>
      </w:r>
      <w:r>
        <w:rPr>
          <w:rFonts w:ascii="Arial" w:hAnsi="Arial"/>
          <w:color w:val="000000"/>
          <w:sz w:val="22"/>
        </w:rPr>
        <w:t> </w:t>
      </w:r>
      <w:r>
        <w:rPr>
          <w:rFonts w:ascii="Arial" w:hAnsi="Arial"/>
          <w:color w:val="000000"/>
          <w:sz w:val="20"/>
        </w:rPr>
        <w:t>(as</w:t>
      </w:r>
      <w:r>
        <w:rPr>
          <w:rFonts w:ascii="Arial" w:hAnsi="Arial"/>
          <w:color w:val="000000"/>
          <w:sz w:val="22"/>
        </w:rPr>
        <w:t> </w:t>
      </w:r>
      <w:r>
        <w:rPr>
          <w:rFonts w:ascii="Arial" w:hAnsi="Arial"/>
          <w:color w:val="000000"/>
          <w:sz w:val="20"/>
        </w:rPr>
        <w:t>applicable);</w:t>
      </w:r>
      <w:r>
        <w:rPr>
          <w:rFonts w:ascii="Arial" w:hAnsi="Arial"/>
          <w:color w:val="000000"/>
          <w:sz w:val="22"/>
        </w:rPr>
        <w:t> </w:t>
      </w:r>
      <w:r>
        <w:rPr>
          <w:rFonts w:ascii="Arial" w:hAnsi="Arial"/>
          <w:color w:val="000000"/>
          <w:sz w:val="20"/>
        </w:rPr>
        <w:t>and</w:t>
      </w:r>
      <w:r>
        <w:rPr>
          <w:rFonts w:ascii="Arial" w:hAnsi="Arial"/>
          <w:sz w:val="22"/>
        </w:rPr>
        <w:t xml:space="preserve"> </w:t>
      </w:r>
    </w:p>
    <w:p>
      <w:pPr>
        <w:pStyle w:val="TextBody"/>
        <w:bidi w:val="0"/>
        <w:spacing w:lineRule="auto" w:line="266" w:before="108" w:after="0"/>
        <w:ind w:left="4540" w:right="2095" w:hanging="0"/>
        <w:jc w:val="left"/>
        <w:rPr>
          <w:rFonts w:ascii="Arial" w:hAnsi="Arial"/>
          <w:sz w:val="20"/>
        </w:rPr>
      </w:pPr>
      <w:r>
        <w:rPr>
          <w:rFonts w:ascii="Arial" w:hAnsi="Arial"/>
          <w:color w:val="000000"/>
          <w:sz w:val="20"/>
        </w:rPr>
        <w:t>(iii)must make any prepayment under this document together with accrued interest on the amount prepaid, any fees payable under</w:t>
      </w:r>
      <w:r>
        <w:rPr>
          <w:rFonts w:ascii="Arial" w:hAnsi="Arial"/>
          <w:sz w:val="20"/>
        </w:rPr>
        <w:t xml:space="preserve"> </w:t>
      </w:r>
    </w:p>
    <w:p>
      <w:pPr>
        <w:pStyle w:val="TextBody"/>
        <w:bidi w:val="0"/>
        <w:spacing w:lineRule="auto" w:line="266"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26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26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9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5" descr=""/>
                    <pic:cNvPicPr>
                      <a:picLocks noChangeAspect="1" noChangeArrowheads="1"/>
                    </pic:cNvPicPr>
                  </pic:nvPicPr>
                  <pic:blipFill>
                    <a:blip r:embed="rId9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9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6" descr=""/>
                    <pic:cNvPicPr>
                      <a:picLocks noChangeAspect="1" noChangeArrowheads="1"/>
                    </pic:cNvPicPr>
                  </pic:nvPicPr>
                  <pic:blipFill>
                    <a:blip r:embed="rId9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4540" w:right="2620" w:hanging="0"/>
        <w:jc w:val="both"/>
        <w:rPr>
          <w:rFonts w:ascii="Arial" w:hAnsi="Arial"/>
          <w:sz w:val="20"/>
        </w:rPr>
      </w:pPr>
      <w:r>
        <w:rPr>
          <w:rFonts w:ascii="Arial" w:hAnsi="Arial"/>
          <w:b/>
          <w:sz w:val="20"/>
        </w:rPr>
        <w:t>clause</w:t>
      </w:r>
      <w:r>
        <w:rPr>
          <w:rFonts w:ascii="Arial" w:hAnsi="Arial"/>
          <w:sz w:val="20"/>
        </w:rPr>
        <w:t> </w:t>
      </w:r>
      <w:r>
        <w:rPr>
          <w:rFonts w:ascii="Arial" w:hAnsi="Arial"/>
          <w:b/>
          <w:color w:val="2D97D3"/>
          <w:sz w:val="20"/>
          <w:u w:val="single"/>
        </w:rPr>
        <w:t>9.1</w:t>
      </w:r>
      <w:r>
        <w:rPr>
          <w:rFonts w:ascii="Arial" w:hAnsi="Arial"/>
          <w:b/>
          <w:strike/>
          <w:color w:val="B5082D"/>
          <w:sz w:val="20"/>
        </w:rPr>
        <w:t>9.1</w:t>
      </w:r>
      <w:r>
        <w:rPr>
          <w:rFonts w:ascii="Arial" w:hAnsi="Arial"/>
          <w:color w:val="B5082D"/>
          <w:sz w:val="20"/>
        </w:rPr>
        <w:t> </w:t>
      </w:r>
      <w:r>
        <w:rPr>
          <w:rFonts w:ascii="Arial" w:hAnsi="Arial"/>
          <w:sz w:val="20"/>
        </w:rPr>
        <w:t xml:space="preserve">and any Break Costs, but otherwise without premium or penalty.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(b)The Borrower may reimburse or repay the Face Value in respect of any Current Bank Guarantee by: </w:t>
      </w:r>
    </w:p>
    <w:p>
      <w:pPr>
        <w:pStyle w:val="TextBody"/>
        <w:bidi w:val="0"/>
        <w:spacing w:lineRule="auto" w:line="264" w:before="111" w:after="0"/>
        <w:ind w:left="4540" w:right="1971" w:hanging="0"/>
        <w:jc w:val="both"/>
        <w:rPr>
          <w:rFonts w:ascii="Arial" w:hAnsi="Arial"/>
          <w:sz w:val="22"/>
        </w:rPr>
      </w:pPr>
      <w:r>
        <w:rPr>
          <w:rFonts w:ascii="Arial" w:hAnsi="Arial"/>
          <w:sz w:val="20"/>
        </w:rPr>
        <w:t>(i)providing</w:t>
      </w:r>
      <w:r>
        <w:rPr>
          <w:rFonts w:ascii="Arial" w:hAnsi="Arial"/>
          <w:sz w:val="22"/>
        </w:rPr>
        <w:t> </w:t>
      </w:r>
      <w:r>
        <w:rPr>
          <w:rFonts w:ascii="Arial" w:hAnsi="Arial"/>
          <w:sz w:val="20"/>
        </w:rPr>
        <w:t>to</w:t>
      </w:r>
      <w:r>
        <w:rPr>
          <w:rFonts w:ascii="Arial" w:hAnsi="Arial"/>
          <w:sz w:val="22"/>
        </w:rPr>
        <w:t> </w:t>
      </w:r>
      <w:r>
        <w:rPr>
          <w:rFonts w:ascii="Arial" w:hAnsi="Arial"/>
          <w:sz w:val="20"/>
        </w:rPr>
        <w:t>the</w:t>
      </w:r>
      <w:r>
        <w:rPr>
          <w:rFonts w:ascii="Arial" w:hAnsi="Arial"/>
          <w:sz w:val="22"/>
        </w:rPr>
        <w:t> </w:t>
      </w:r>
      <w:r>
        <w:rPr>
          <w:rFonts w:ascii="Arial" w:hAnsi="Arial"/>
          <w:sz w:val="20"/>
        </w:rPr>
        <w:t>Bank,</w:t>
      </w:r>
      <w:r>
        <w:rPr>
          <w:rFonts w:ascii="Arial" w:hAnsi="Arial"/>
          <w:sz w:val="22"/>
        </w:rPr>
        <w:t> </w:t>
      </w:r>
      <w:r>
        <w:rPr>
          <w:rFonts w:ascii="Arial" w:hAnsi="Arial"/>
          <w:sz w:val="20"/>
        </w:rPr>
        <w:t>cash</w:t>
      </w:r>
      <w:r>
        <w:rPr>
          <w:rFonts w:ascii="Arial" w:hAnsi="Arial"/>
          <w:sz w:val="22"/>
        </w:rPr>
        <w:t> </w:t>
      </w:r>
      <w:r>
        <w:rPr>
          <w:rFonts w:ascii="Arial" w:hAnsi="Arial"/>
          <w:sz w:val="20"/>
        </w:rPr>
        <w:t>collateral</w:t>
      </w:r>
      <w:r>
        <w:rPr>
          <w:rFonts w:ascii="Arial" w:hAnsi="Arial"/>
          <w:sz w:val="22"/>
        </w:rPr>
        <w:t> </w:t>
      </w:r>
      <w:r>
        <w:rPr>
          <w:rFonts w:ascii="Arial" w:hAnsi="Arial"/>
          <w:sz w:val="20"/>
        </w:rPr>
        <w:t>(on</w:t>
      </w:r>
      <w:r>
        <w:rPr>
          <w:rFonts w:ascii="Arial" w:hAnsi="Arial"/>
          <w:sz w:val="22"/>
        </w:rPr>
        <w:t> </w:t>
      </w:r>
      <w:r>
        <w:rPr>
          <w:rFonts w:ascii="Arial" w:hAnsi="Arial"/>
          <w:sz w:val="20"/>
        </w:rPr>
        <w:t>terms</w:t>
      </w:r>
      <w:r>
        <w:rPr>
          <w:rFonts w:ascii="Arial" w:hAnsi="Arial"/>
          <w:sz w:val="22"/>
        </w:rPr>
        <w:t> </w:t>
      </w:r>
      <w:r>
        <w:rPr>
          <w:rFonts w:ascii="Arial" w:hAnsi="Arial"/>
          <w:sz w:val="20"/>
        </w:rPr>
        <w:t>satisfactory</w:t>
      </w:r>
      <w:r>
        <w:rPr>
          <w:rFonts w:ascii="Arial" w:hAnsi="Arial"/>
          <w:sz w:val="22"/>
        </w:rPr>
        <w:t> </w:t>
      </w:r>
      <w:r>
        <w:rPr>
          <w:rFonts w:ascii="Arial" w:hAnsi="Arial"/>
          <w:sz w:val="20"/>
        </w:rPr>
        <w:t>to</w:t>
      </w:r>
      <w:r>
        <w:rPr>
          <w:rFonts w:ascii="Arial" w:hAnsi="Arial"/>
          <w:sz w:val="22"/>
        </w:rPr>
        <w:t> </w:t>
      </w:r>
      <w:r>
        <w:rPr>
          <w:rFonts w:ascii="Arial" w:hAnsi="Arial"/>
          <w:sz w:val="20"/>
        </w:rPr>
        <w:t>the Bank</w:t>
      </w:r>
      <w:r>
        <w:rPr>
          <w:rFonts w:ascii="Arial" w:hAnsi="Arial"/>
          <w:sz w:val="22"/>
        </w:rPr>
        <w:t> </w:t>
      </w:r>
      <w:r>
        <w:rPr>
          <w:rFonts w:ascii="Arial" w:hAnsi="Arial"/>
          <w:sz w:val="20"/>
        </w:rPr>
        <w:t>and</w:t>
      </w:r>
      <w:r>
        <w:rPr>
          <w:rFonts w:ascii="Arial" w:hAnsi="Arial"/>
          <w:sz w:val="22"/>
        </w:rPr>
        <w:t> </w:t>
      </w:r>
      <w:r>
        <w:rPr>
          <w:rFonts w:ascii="Arial" w:hAnsi="Arial"/>
          <w:sz w:val="20"/>
        </w:rPr>
        <w:t>subject</w:t>
      </w:r>
      <w:r>
        <w:rPr>
          <w:rFonts w:ascii="Arial" w:hAnsi="Arial"/>
          <w:sz w:val="22"/>
        </w:rPr>
        <w:t> </w:t>
      </w:r>
      <w:r>
        <w:rPr>
          <w:rFonts w:ascii="Arial" w:hAnsi="Arial"/>
          <w:sz w:val="20"/>
        </w:rPr>
        <w:t>to</w:t>
      </w:r>
      <w:r>
        <w:rPr>
          <w:rFonts w:ascii="Arial" w:hAnsi="Arial"/>
          <w:sz w:val="22"/>
        </w:rPr>
        <w:t> </w:t>
      </w:r>
      <w:r>
        <w:rPr>
          <w:rFonts w:ascii="Arial" w:hAnsi="Arial"/>
          <w:b/>
          <w:sz w:val="20"/>
        </w:rPr>
        <w:t>clause</w:t>
      </w:r>
      <w:r>
        <w:rPr>
          <w:rFonts w:ascii="Arial" w:hAnsi="Arial"/>
          <w:sz w:val="22"/>
        </w:rPr>
        <w:t> </w:t>
      </w:r>
      <w:r>
        <w:rPr>
          <w:rFonts w:ascii="Arial" w:hAnsi="Arial"/>
          <w:b/>
          <w:color w:val="2D97D3"/>
          <w:sz w:val="20"/>
          <w:u w:val="single"/>
        </w:rPr>
        <w:t>10.3</w:t>
      </w:r>
      <w:r>
        <w:rPr>
          <w:rFonts w:ascii="Arial" w:hAnsi="Arial"/>
          <w:b/>
          <w:strike/>
          <w:color w:val="B5082D"/>
          <w:sz w:val="20"/>
        </w:rPr>
        <w:t>10.3</w:t>
      </w:r>
      <w:r>
        <w:rPr>
          <w:rFonts w:ascii="Arial" w:hAnsi="Arial"/>
          <w:sz w:val="20"/>
        </w:rPr>
        <w:t>)</w:t>
      </w:r>
      <w:r>
        <w:rPr>
          <w:rFonts w:ascii="Arial" w:hAnsi="Arial"/>
          <w:sz w:val="22"/>
        </w:rPr>
        <w:t> </w:t>
      </w:r>
      <w:r>
        <w:rPr>
          <w:rFonts w:ascii="Arial" w:hAnsi="Arial"/>
          <w:sz w:val="20"/>
        </w:rPr>
        <w:t>in</w:t>
      </w:r>
      <w:r>
        <w:rPr>
          <w:rFonts w:ascii="Arial" w:hAnsi="Arial"/>
          <w:sz w:val="22"/>
        </w:rPr>
        <w:t> </w:t>
      </w:r>
      <w:r>
        <w:rPr>
          <w:rFonts w:ascii="Arial" w:hAnsi="Arial"/>
          <w:sz w:val="20"/>
        </w:rPr>
        <w:t>an</w:t>
      </w:r>
      <w:r>
        <w:rPr>
          <w:rFonts w:ascii="Arial" w:hAnsi="Arial"/>
          <w:sz w:val="22"/>
        </w:rPr>
        <w:t> </w:t>
      </w:r>
      <w:r>
        <w:rPr>
          <w:rFonts w:ascii="Arial" w:hAnsi="Arial"/>
          <w:sz w:val="20"/>
        </w:rPr>
        <w:t>amount</w:t>
      </w:r>
      <w:r>
        <w:rPr>
          <w:rFonts w:ascii="Arial" w:hAnsi="Arial"/>
          <w:sz w:val="22"/>
        </w:rPr>
        <w:t> </w:t>
      </w:r>
      <w:r>
        <w:rPr>
          <w:rFonts w:ascii="Arial" w:hAnsi="Arial"/>
          <w:sz w:val="20"/>
        </w:rPr>
        <w:t>not</w:t>
      </w:r>
      <w:r>
        <w:rPr>
          <w:rFonts w:ascii="Arial" w:hAnsi="Arial"/>
          <w:sz w:val="22"/>
        </w:rPr>
        <w:t> </w:t>
      </w:r>
      <w:r>
        <w:rPr>
          <w:rFonts w:ascii="Arial" w:hAnsi="Arial"/>
          <w:sz w:val="20"/>
        </w:rPr>
        <w:t>less</w:t>
      </w:r>
      <w:r>
        <w:rPr>
          <w:rFonts w:ascii="Arial" w:hAnsi="Arial"/>
          <w:sz w:val="22"/>
        </w:rPr>
        <w:t> </w:t>
      </w:r>
      <w:r>
        <w:rPr>
          <w:rFonts w:ascii="Arial" w:hAnsi="Arial"/>
          <w:sz w:val="20"/>
        </w:rPr>
        <w:t>than the Face Value of the Bank Guarantee; or</w:t>
      </w:r>
      <w:r>
        <w:rPr>
          <w:rFonts w:ascii="Arial" w:hAnsi="Arial"/>
          <w:sz w:val="22"/>
        </w:rPr>
        <w:t xml:space="preserve"> </w:t>
      </w:r>
    </w:p>
    <w:p>
      <w:pPr>
        <w:pStyle w:val="TextBody"/>
        <w:bidi w:val="0"/>
        <w:spacing w:lineRule="auto" w:line="264" w:before="110" w:after="0"/>
        <w:ind w:left="4540" w:right="2096" w:hanging="0"/>
        <w:jc w:val="left"/>
        <w:rPr>
          <w:rFonts w:ascii="Arial" w:hAnsi="Arial"/>
          <w:sz w:val="20"/>
        </w:rPr>
      </w:pPr>
      <w:r>
        <w:rPr>
          <w:rFonts w:ascii="Arial" w:hAnsi="Arial"/>
          <w:sz w:val="20"/>
        </w:rPr>
        <w:t xml:space="preserve">(ii)cancelling that Bank Guarantee by returning the original to the Bank together with written confirmation from the Beneficiary that the Bank has no further liability under that Bank Guarantee. </w:t>
      </w:r>
    </w:p>
    <w:tbl>
      <w:tblPr>
        <w:tblW w:w="4931" w:type="dxa"/>
        <w:jc w:val="left"/>
        <w:tblInd w:w="360" w:type="dxa"/>
        <w:tblLayout w:type="fixed"/>
        <w:tblCellMar>
          <w:top w:w="0" w:type="dxa"/>
          <w:left w:w="0" w:type="dxa"/>
          <w:bottom w:w="0" w:type="dxa"/>
          <w:right w:w="0" w:type="dxa"/>
        </w:tblCellMar>
      </w:tblPr>
      <w:tblGrid>
        <w:gridCol w:w="38"/>
        <w:gridCol w:w="560"/>
        <w:gridCol w:w="23"/>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11.3. </w:t>
            </w:r>
          </w:p>
        </w:tc>
        <w:tc>
          <w:tcPr>
            <w:tcW w:w="23" w:type="dxa"/>
            <w:tcBorders/>
            <w:vAlign w:val="center"/>
          </w:tcPr>
          <w:p>
            <w:pPr>
              <w:pStyle w:val="TableContents"/>
              <w:bidi w:val="0"/>
              <w:spacing w:before="0" w:after="283"/>
              <w:jc w:val="left"/>
              <w:rPr>
                <w:sz w:val="4"/>
                <w:szCs w:val="4"/>
              </w:rPr>
            </w:pPr>
            <w:r>
              <w:rPr>
                <w:sz w:val="4"/>
                <w:szCs w:val="4"/>
              </w:rPr>
            </w:r>
          </w:p>
        </w:tc>
        <w:tc>
          <w:tcPr>
            <w:tcW w:w="4310" w:type="dxa"/>
            <w:tcBorders/>
          </w:tcPr>
          <w:p>
            <w:pPr>
              <w:pStyle w:val="TableContents"/>
              <w:bidi w:val="0"/>
              <w:spacing w:before="174" w:after="0"/>
              <w:ind w:left="0" w:right="0" w:hanging="0"/>
              <w:jc w:val="left"/>
              <w:rPr>
                <w:rFonts w:ascii="Arial" w:hAnsi="Arial"/>
                <w:b/>
                <w:color w:val="000000"/>
                <w:sz w:val="22"/>
              </w:rPr>
            </w:pPr>
            <w:bookmarkStart w:id="192" w:name="Indemnity53"/>
            <w:bookmarkStart w:id="193" w:name="_TOC_250060"/>
            <w:bookmarkEnd w:id="192"/>
            <w:bookmarkEnd w:id="193"/>
            <w:r>
              <w:rPr>
                <w:rFonts w:ascii="Arial" w:hAnsi="Arial"/>
                <w:b/>
                <w:color w:val="000000"/>
                <w:sz w:val="22"/>
              </w:rPr>
              <w:t>Indemnity in respect of Bank Guarantees</w:t>
            </w:r>
          </w:p>
        </w:tc>
      </w:tr>
    </w:tbl>
    <w:p>
      <w:pPr>
        <w:pStyle w:val="TextBody"/>
        <w:bidi w:val="0"/>
        <w:spacing w:lineRule="auto" w:line="264" w:before="107" w:after="0"/>
        <w:ind w:left="3983" w:right="1956" w:hanging="0"/>
        <w:jc w:val="left"/>
        <w:rPr>
          <w:rFonts w:ascii="Arial" w:hAnsi="Arial"/>
          <w:sz w:val="22"/>
        </w:rPr>
      </w:pPr>
      <w:r>
        <w:rPr>
          <w:rFonts w:ascii="Arial" w:hAnsi="Arial"/>
          <w:color w:val="000000"/>
          <w:sz w:val="20"/>
        </w:rPr>
        <w:t xml:space="preserve">(a)Without limiting </w:t>
      </w:r>
      <w:r>
        <w:rPr>
          <w:rFonts w:ascii="Arial" w:hAnsi="Arial"/>
          <w:b/>
          <w:color w:val="000000"/>
          <w:sz w:val="20"/>
        </w:rPr>
        <w:t xml:space="preserve">clause </w:t>
      </w:r>
      <w:r>
        <w:rPr>
          <w:rFonts w:ascii="Arial" w:hAnsi="Arial"/>
          <w:b/>
          <w:color w:val="2D97D3"/>
          <w:sz w:val="20"/>
          <w:u w:val="single"/>
        </w:rPr>
        <w:t>12.1</w:t>
      </w:r>
      <w:r>
        <w:rPr>
          <w:rFonts w:ascii="Arial" w:hAnsi="Arial"/>
          <w:b/>
          <w:strike/>
          <w:color w:val="B5082D"/>
          <w:sz w:val="20"/>
        </w:rPr>
        <w:t>12.1</w:t>
      </w:r>
      <w:r>
        <w:rPr>
          <w:rFonts w:ascii="Arial" w:hAnsi="Arial"/>
          <w:color w:val="000000"/>
          <w:sz w:val="20"/>
        </w:rPr>
        <w:t>, the Borrower indemnifies the Bank against</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liability,</w:t>
      </w:r>
      <w:r>
        <w:rPr>
          <w:rFonts w:ascii="Arial" w:hAnsi="Arial"/>
          <w:color w:val="000000"/>
          <w:sz w:val="22"/>
        </w:rPr>
        <w:t> </w:t>
      </w:r>
      <w:r>
        <w:rPr>
          <w:rFonts w:ascii="Arial" w:hAnsi="Arial"/>
          <w:color w:val="000000"/>
          <w:sz w:val="20"/>
        </w:rPr>
        <w:t>loss,</w:t>
      </w:r>
      <w:r>
        <w:rPr>
          <w:rFonts w:ascii="Arial" w:hAnsi="Arial"/>
          <w:color w:val="000000"/>
          <w:sz w:val="22"/>
        </w:rPr>
        <w:t> </w:t>
      </w:r>
      <w:r>
        <w:rPr>
          <w:rFonts w:ascii="Arial" w:hAnsi="Arial"/>
          <w:color w:val="000000"/>
          <w:sz w:val="20"/>
        </w:rPr>
        <w:t>cost</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expense</w:t>
      </w:r>
      <w:r>
        <w:rPr>
          <w:rFonts w:ascii="Arial" w:hAnsi="Arial"/>
          <w:color w:val="000000"/>
          <w:sz w:val="22"/>
        </w:rPr>
        <w:t> </w:t>
      </w:r>
      <w:r>
        <w:rPr>
          <w:rFonts w:ascii="Arial" w:hAnsi="Arial"/>
          <w:color w:val="000000"/>
          <w:sz w:val="20"/>
        </w:rPr>
        <w:t>sustained</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incurred</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relation to any Bank Guarantee or as a direct or indirect consequence of any claim made or purported to be made under any Bank Guarantee, or anything</w:t>
      </w:r>
      <w:r>
        <w:rPr>
          <w:rFonts w:ascii="Arial" w:hAnsi="Arial"/>
          <w:color w:val="000000"/>
          <w:sz w:val="22"/>
        </w:rPr>
        <w:t> </w:t>
      </w:r>
      <w:r>
        <w:rPr>
          <w:rFonts w:ascii="Arial" w:hAnsi="Arial"/>
          <w:color w:val="000000"/>
          <w:sz w:val="20"/>
        </w:rPr>
        <w:t>done</w:t>
      </w:r>
      <w:r>
        <w:rPr>
          <w:rFonts w:ascii="Arial" w:hAnsi="Arial"/>
          <w:color w:val="000000"/>
          <w:sz w:val="22"/>
        </w:rPr>
        <w:t> </w:t>
      </w:r>
      <w:r>
        <w:rPr>
          <w:rFonts w:ascii="Arial" w:hAnsi="Arial"/>
          <w:color w:val="000000"/>
          <w:sz w:val="20"/>
        </w:rPr>
        <w:t>by</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person</w:t>
      </w:r>
      <w:r>
        <w:rPr>
          <w:rFonts w:ascii="Arial" w:hAnsi="Arial"/>
          <w:color w:val="000000"/>
          <w:sz w:val="22"/>
        </w:rPr>
        <w:t> </w:t>
      </w:r>
      <w:r>
        <w:rPr>
          <w:rFonts w:ascii="Arial" w:hAnsi="Arial"/>
          <w:color w:val="000000"/>
          <w:sz w:val="20"/>
        </w:rPr>
        <w:t>who</w:t>
      </w:r>
      <w:r>
        <w:rPr>
          <w:rFonts w:ascii="Arial" w:hAnsi="Arial"/>
          <w:color w:val="000000"/>
          <w:sz w:val="22"/>
        </w:rPr>
        <w:t> </w:t>
      </w:r>
      <w:r>
        <w:rPr>
          <w:rFonts w:ascii="Arial" w:hAnsi="Arial"/>
          <w:color w:val="000000"/>
          <w:sz w:val="20"/>
        </w:rPr>
        <w:t>is</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claims</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be</w:t>
      </w:r>
      <w:r>
        <w:rPr>
          <w:rFonts w:ascii="Arial" w:hAnsi="Arial"/>
          <w:color w:val="000000"/>
          <w:sz w:val="22"/>
        </w:rPr>
        <w:t> </w:t>
      </w:r>
      <w:r>
        <w:rPr>
          <w:rFonts w:ascii="Arial" w:hAnsi="Arial"/>
          <w:color w:val="000000"/>
          <w:sz w:val="20"/>
        </w:rPr>
        <w:t>entitled</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benefit of a Bank Guarantee.</w:t>
      </w:r>
      <w:r>
        <w:rPr>
          <w:rFonts w:ascii="Arial" w:hAnsi="Arial"/>
          <w:sz w:val="22"/>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 xml:space="preserve">(b)Without limiting </w:t>
      </w:r>
      <w:r>
        <w:rPr>
          <w:rFonts w:ascii="Arial" w:hAnsi="Arial"/>
          <w:b/>
          <w:color w:val="000000"/>
          <w:sz w:val="20"/>
        </w:rPr>
        <w:t xml:space="preserve">clause </w:t>
      </w:r>
      <w:r>
        <w:rPr>
          <w:rFonts w:ascii="Arial" w:hAnsi="Arial"/>
          <w:b/>
          <w:color w:val="2D97D3"/>
          <w:sz w:val="20"/>
          <w:u w:val="single"/>
        </w:rPr>
        <w:t>5.3</w:t>
      </w:r>
      <w:r>
        <w:rPr>
          <w:rFonts w:ascii="Arial" w:hAnsi="Arial"/>
          <w:b/>
          <w:strike/>
          <w:color w:val="B5082D"/>
          <w:sz w:val="20"/>
        </w:rPr>
        <w:t>5.3</w:t>
      </w:r>
      <w:r>
        <w:rPr>
          <w:rFonts w:ascii="Arial" w:hAnsi="Arial"/>
          <w:b/>
          <w:color w:val="2D97D3"/>
          <w:sz w:val="20"/>
          <w:u w:val="single"/>
        </w:rPr>
        <w:t>(a)</w:t>
      </w:r>
      <w:r>
        <w:rPr>
          <w:rFonts w:ascii="Arial" w:hAnsi="Arial"/>
          <w:b/>
          <w:strike/>
          <w:color w:val="B5082D"/>
          <w:sz w:val="20"/>
        </w:rPr>
        <w:t>(a)</w:t>
      </w:r>
      <w:r>
        <w:rPr>
          <w:rFonts w:ascii="Arial" w:hAnsi="Arial"/>
          <w:color w:val="000000"/>
          <w:sz w:val="20"/>
        </w:rPr>
        <w:t>, the Borrower must pay to the Bank all amounts claimed by or</w:t>
      </w:r>
      <w:r>
        <w:rPr>
          <w:rFonts w:ascii="Arial" w:hAnsi="Arial"/>
          <w:color w:val="000000"/>
          <w:sz w:val="22"/>
        </w:rPr>
        <w:t> </w:t>
      </w:r>
      <w:r>
        <w:rPr>
          <w:rFonts w:ascii="Arial" w:hAnsi="Arial"/>
          <w:color w:val="000000"/>
          <w:sz w:val="20"/>
        </w:rPr>
        <w:t>paid to any Beneficiary</w:t>
      </w:r>
      <w:r>
        <w:rPr>
          <w:rFonts w:ascii="Arial" w:hAnsi="Arial"/>
          <w:color w:val="000000"/>
          <w:sz w:val="22"/>
        </w:rPr>
        <w:t> </w:t>
      </w:r>
      <w:r>
        <w:rPr>
          <w:rFonts w:ascii="Arial" w:hAnsi="Arial"/>
          <w:color w:val="000000"/>
          <w:sz w:val="20"/>
        </w:rPr>
        <w:t>in relation to any Bank Guarantee</w:t>
      </w:r>
      <w:r>
        <w:rPr>
          <w:rFonts w:ascii="Arial" w:hAnsi="Arial"/>
          <w:color w:val="000000"/>
          <w:sz w:val="22"/>
        </w:rPr>
        <w:t> </w:t>
      </w:r>
      <w:r>
        <w:rPr>
          <w:rFonts w:ascii="Arial" w:hAnsi="Arial"/>
          <w:color w:val="000000"/>
          <w:sz w:val="20"/>
        </w:rPr>
        <w:t>(whether</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not</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Beneficiary</w:t>
      </w:r>
      <w:r>
        <w:rPr>
          <w:rFonts w:ascii="Arial" w:hAnsi="Arial"/>
          <w:color w:val="000000"/>
          <w:sz w:val="22"/>
        </w:rPr>
        <w:t> </w:t>
      </w:r>
      <w:r>
        <w:rPr>
          <w:rFonts w:ascii="Arial" w:hAnsi="Arial"/>
          <w:color w:val="000000"/>
          <w:sz w:val="20"/>
        </w:rPr>
        <w:t>was</w:t>
      </w:r>
      <w:r>
        <w:rPr>
          <w:rFonts w:ascii="Arial" w:hAnsi="Arial"/>
          <w:color w:val="000000"/>
          <w:sz w:val="22"/>
        </w:rPr>
        <w:t> </w:t>
      </w:r>
      <w:r>
        <w:rPr>
          <w:rFonts w:ascii="Arial" w:hAnsi="Arial"/>
          <w:color w:val="000000"/>
          <w:sz w:val="20"/>
        </w:rPr>
        <w:t>entitled</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make</w:t>
      </w:r>
      <w:r>
        <w:rPr>
          <w:rFonts w:ascii="Arial" w:hAnsi="Arial"/>
          <w:color w:val="000000"/>
          <w:sz w:val="22"/>
        </w:rPr>
        <w:t> </w:t>
      </w:r>
      <w:r>
        <w:rPr>
          <w:rFonts w:ascii="Arial" w:hAnsi="Arial"/>
          <w:color w:val="000000"/>
          <w:sz w:val="20"/>
        </w:rPr>
        <w:t>that</w:t>
      </w:r>
      <w:r>
        <w:rPr>
          <w:rFonts w:ascii="Arial" w:hAnsi="Arial"/>
          <w:color w:val="000000"/>
          <w:sz w:val="22"/>
        </w:rPr>
        <w:t> </w:t>
      </w:r>
      <w:r>
        <w:rPr>
          <w:rFonts w:ascii="Arial" w:hAnsi="Arial"/>
          <w:color w:val="000000"/>
          <w:sz w:val="20"/>
        </w:rPr>
        <w:t xml:space="preserve">claim or the Bank was required to make that payment), including any payment made by the Bank under </w:t>
      </w:r>
      <w:r>
        <w:rPr>
          <w:rFonts w:ascii="Arial" w:hAnsi="Arial"/>
          <w:b/>
          <w:color w:val="000000"/>
          <w:sz w:val="20"/>
        </w:rPr>
        <w:t xml:space="preserve">clause </w:t>
      </w:r>
      <w:r>
        <w:rPr>
          <w:rFonts w:ascii="Arial" w:hAnsi="Arial"/>
          <w:b/>
          <w:color w:val="2D97D3"/>
          <w:sz w:val="20"/>
          <w:u w:val="single"/>
        </w:rPr>
        <w:t>10.2</w:t>
      </w:r>
      <w:r>
        <w:rPr>
          <w:rFonts w:ascii="Arial" w:hAnsi="Arial"/>
          <w:b/>
          <w:strike/>
          <w:color w:val="B5082D"/>
          <w:sz w:val="20"/>
        </w:rPr>
        <w:t>10.2</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(iv)</w:t>
      </w:r>
      <w:r>
        <w:rPr>
          <w:rFonts w:ascii="Arial" w:hAnsi="Arial"/>
          <w:b/>
          <w:strike/>
          <w:color w:val="B5082D"/>
          <w:sz w:val="20"/>
        </w:rPr>
        <w:t>(iv)</w:t>
      </w:r>
      <w:r>
        <w:rPr>
          <w:rFonts w:ascii="Arial" w:hAnsi="Arial"/>
          <w:b/>
          <w:color w:val="2D97D3"/>
          <w:sz w:val="20"/>
          <w:u w:val="single"/>
        </w:rPr>
        <w:t>(B)</w:t>
      </w:r>
      <w:r>
        <w:rPr>
          <w:rFonts w:ascii="Arial" w:hAnsi="Arial"/>
          <w:b/>
          <w:strike/>
          <w:color w:val="B5082D"/>
          <w:sz w:val="20"/>
        </w:rPr>
        <w:t>(B)</w:t>
      </w:r>
      <w:r>
        <w:rPr>
          <w:rFonts w:ascii="Arial" w:hAnsi="Arial"/>
          <w:color w:val="000000"/>
          <w:sz w:val="20"/>
        </w:rPr>
        <w:t>.</w:t>
      </w:r>
      <w:r>
        <w:rPr>
          <w:rFonts w:ascii="Arial" w:hAnsi="Arial"/>
          <w:sz w:val="22"/>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(c)The Borrower</w:t>
      </w:r>
      <w:r>
        <w:rPr>
          <w:rFonts w:ascii="Arial" w:hAnsi="Arial"/>
          <w:color w:val="000000"/>
          <w:sz w:val="22"/>
        </w:rPr>
        <w:t> </w:t>
      </w:r>
      <w:r>
        <w:rPr>
          <w:rFonts w:ascii="Arial" w:hAnsi="Arial"/>
          <w:color w:val="000000"/>
          <w:sz w:val="20"/>
        </w:rPr>
        <w:t>obligations under</w:t>
      </w:r>
      <w:r>
        <w:rPr>
          <w:rFonts w:ascii="Arial" w:hAnsi="Arial"/>
          <w:color w:val="000000"/>
          <w:sz w:val="22"/>
        </w:rPr>
        <w:t> </w:t>
      </w:r>
      <w:r>
        <w:rPr>
          <w:rFonts w:ascii="Arial" w:hAnsi="Arial"/>
          <w:b/>
          <w:color w:val="000000"/>
          <w:sz w:val="20"/>
        </w:rPr>
        <w:t xml:space="preserve">clause </w:t>
      </w:r>
      <w:r>
        <w:rPr>
          <w:rFonts w:ascii="Arial" w:hAnsi="Arial"/>
          <w:b/>
          <w:color w:val="2D97D3"/>
          <w:sz w:val="20"/>
          <w:u w:val="single"/>
        </w:rPr>
        <w:t>5.4</w:t>
      </w:r>
      <w:r>
        <w:rPr>
          <w:rFonts w:ascii="Arial" w:hAnsi="Arial"/>
          <w:b/>
          <w:strike/>
          <w:color w:val="B5082D"/>
          <w:sz w:val="20"/>
        </w:rPr>
        <w:t>5.4</w:t>
      </w:r>
      <w:r>
        <w:rPr>
          <w:rFonts w:ascii="Arial" w:hAnsi="Arial"/>
          <w:color w:val="B5082D"/>
          <w:sz w:val="22"/>
        </w:rPr>
        <w:t> </w:t>
      </w:r>
      <w:r>
        <w:rPr>
          <w:rFonts w:ascii="Arial" w:hAnsi="Arial"/>
          <w:color w:val="000000"/>
          <w:sz w:val="20"/>
        </w:rPr>
        <w:t>are absolute and unconditional.</w:t>
      </w:r>
      <w:r>
        <w:rPr>
          <w:rFonts w:ascii="Arial" w:hAnsi="Arial"/>
          <w:color w:val="000000"/>
          <w:sz w:val="22"/>
        </w:rPr>
        <w:t> </w:t>
      </w:r>
      <w:r>
        <w:rPr>
          <w:rFonts w:ascii="Arial" w:hAnsi="Arial"/>
          <w:color w:val="000000"/>
          <w:sz w:val="20"/>
        </w:rPr>
        <w:t>They</w:t>
      </w:r>
      <w:r>
        <w:rPr>
          <w:rFonts w:ascii="Arial" w:hAnsi="Arial"/>
          <w:color w:val="000000"/>
          <w:sz w:val="22"/>
        </w:rPr>
        <w:t> </w:t>
      </w:r>
      <w:r>
        <w:rPr>
          <w:rFonts w:ascii="Arial" w:hAnsi="Arial"/>
          <w:color w:val="000000"/>
          <w:sz w:val="20"/>
        </w:rPr>
        <w:t>are</w:t>
      </w:r>
      <w:r>
        <w:rPr>
          <w:rFonts w:ascii="Arial" w:hAnsi="Arial"/>
          <w:color w:val="000000"/>
          <w:sz w:val="22"/>
        </w:rPr>
        <w:t> </w:t>
      </w:r>
      <w:r>
        <w:rPr>
          <w:rFonts w:ascii="Arial" w:hAnsi="Arial"/>
          <w:color w:val="000000"/>
          <w:sz w:val="20"/>
        </w:rPr>
        <w:t>not</w:t>
      </w:r>
      <w:r>
        <w:rPr>
          <w:rFonts w:ascii="Arial" w:hAnsi="Arial"/>
          <w:color w:val="000000"/>
          <w:sz w:val="22"/>
        </w:rPr>
        <w:t> </w:t>
      </w:r>
      <w:r>
        <w:rPr>
          <w:rFonts w:ascii="Arial" w:hAnsi="Arial"/>
          <w:color w:val="000000"/>
          <w:sz w:val="20"/>
        </w:rPr>
        <w:t>affected</w:t>
      </w:r>
      <w:r>
        <w:rPr>
          <w:rFonts w:ascii="Arial" w:hAnsi="Arial"/>
          <w:color w:val="000000"/>
          <w:sz w:val="22"/>
        </w:rPr>
        <w:t> </w:t>
      </w:r>
      <w:r>
        <w:rPr>
          <w:rFonts w:ascii="Arial" w:hAnsi="Arial"/>
          <w:color w:val="000000"/>
          <w:sz w:val="20"/>
        </w:rPr>
        <w:t>by</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reduction,</w:t>
      </w:r>
      <w:r>
        <w:rPr>
          <w:rFonts w:ascii="Arial" w:hAnsi="Arial"/>
          <w:color w:val="000000"/>
          <w:sz w:val="22"/>
        </w:rPr>
        <w:t> </w:t>
      </w:r>
      <w:r>
        <w:rPr>
          <w:rFonts w:ascii="Arial" w:hAnsi="Arial"/>
          <w:color w:val="000000"/>
          <w:sz w:val="20"/>
        </w:rPr>
        <w:t>termination</w:t>
      </w:r>
      <w:r>
        <w:rPr>
          <w:rFonts w:ascii="Arial" w:hAnsi="Arial"/>
          <w:color w:val="000000"/>
          <w:sz w:val="22"/>
        </w:rPr>
        <w:t> </w:t>
      </w:r>
      <w:r>
        <w:rPr>
          <w:rFonts w:ascii="Arial" w:hAnsi="Arial"/>
          <w:color w:val="000000"/>
          <w:sz w:val="20"/>
        </w:rPr>
        <w:t>or other</w:t>
      </w:r>
      <w:r>
        <w:rPr>
          <w:rFonts w:ascii="Arial" w:hAnsi="Arial"/>
          <w:color w:val="000000"/>
          <w:sz w:val="22"/>
        </w:rPr>
        <w:t xml:space="preserve"> </w:t>
      </w:r>
      <w:r>
        <w:rPr>
          <w:rFonts w:ascii="Arial" w:hAnsi="Arial"/>
          <w:color w:val="000000"/>
          <w:sz w:val="20"/>
        </w:rPr>
        <w:t>impairment by set-off, deduction, abatement, counterclaim, agreement, defence, suspension, deferment or otherwise.</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(d)The Borrower is not released, relieved or discharged from any obligation under this document, nor will such obligation be prejudiced or affected for any reason, including:</w:t>
      </w:r>
      <w:r>
        <w:rPr>
          <w:rFonts w:ascii="Arial" w:hAnsi="Arial"/>
          <w:sz w:val="20"/>
        </w:rPr>
        <w:t xml:space="preserve"> </w:t>
      </w:r>
    </w:p>
    <w:p>
      <w:pPr>
        <w:pStyle w:val="TextBody"/>
        <w:bidi w:val="0"/>
        <w:spacing w:lineRule="auto" w:line="264" w:before="113" w:after="0"/>
        <w:ind w:left="4540" w:right="1926" w:hanging="0"/>
        <w:jc w:val="left"/>
        <w:rPr>
          <w:rFonts w:ascii="Arial" w:hAnsi="Arial"/>
          <w:sz w:val="20"/>
        </w:rPr>
      </w:pPr>
      <w:r>
        <w:rPr>
          <w:rFonts w:ascii="Arial" w:hAnsi="Arial"/>
          <w:color w:val="000000"/>
          <w:sz w:val="20"/>
        </w:rPr>
        <w:t>(i)any falsity, inaccuracy, insufficiency or forgery of or in any demand, certificate or declaration or other document which on its face purports to be signed or authorised under a Bank Guarantee;</w:t>
      </w:r>
      <w:r>
        <w:rPr>
          <w:rFonts w:ascii="Arial" w:hAnsi="Arial"/>
          <w:sz w:val="20"/>
        </w:rPr>
        <w:t xml:space="preserve"> </w:t>
      </w:r>
    </w:p>
    <w:p>
      <w:pPr>
        <w:pStyle w:val="TextBody"/>
        <w:bidi w:val="0"/>
        <w:spacing w:lineRule="auto" w:line="264" w:before="114" w:after="0"/>
        <w:ind w:left="4540" w:right="1982" w:hanging="0"/>
        <w:jc w:val="both"/>
        <w:rPr>
          <w:rFonts w:ascii="Arial" w:hAnsi="Arial"/>
          <w:sz w:val="20"/>
        </w:rPr>
      </w:pPr>
      <w:r>
        <w:rPr>
          <w:rFonts w:ascii="Arial" w:hAnsi="Arial"/>
          <w:color w:val="000000"/>
          <w:sz w:val="20"/>
        </w:rPr>
        <w:t>(ii)any failure by the Bank to enquire whether a cable, telex or other notification was inaccurately transmitted, received or given by an unauthorised person (other than where such failure occurs due to the wilful default or fraud of the Bank);</w:t>
      </w:r>
      <w:r>
        <w:rPr>
          <w:rFonts w:ascii="Arial" w:hAnsi="Arial"/>
          <w:sz w:val="20"/>
        </w:rPr>
        <w:t xml:space="preserve"> </w:t>
      </w:r>
    </w:p>
    <w:p>
      <w:pPr>
        <w:pStyle w:val="TextBody"/>
        <w:bidi w:val="0"/>
        <w:spacing w:lineRule="auto" w:line="264" w:before="107" w:after="0"/>
        <w:ind w:left="4540" w:right="1918" w:hanging="0"/>
        <w:jc w:val="left"/>
        <w:rPr>
          <w:rFonts w:ascii="Arial" w:hAnsi="Arial"/>
          <w:sz w:val="20"/>
        </w:rPr>
      </w:pPr>
      <w:r>
        <w:rPr>
          <w:rFonts w:ascii="Arial" w:hAnsi="Arial"/>
          <w:color w:val="000000"/>
          <w:sz w:val="20"/>
        </w:rPr>
        <w:t>(iii)the impossibility or illegality of performance of, or any invalidity of or affecting, any Transaction Document or Bank Guarantee or any other document;</w:t>
      </w:r>
      <w:r>
        <w:rPr>
          <w:rFonts w:ascii="Arial" w:hAnsi="Arial"/>
          <w:sz w:val="20"/>
        </w:rPr>
        <w:t xml:space="preserve"> </w:t>
      </w:r>
    </w:p>
    <w:p>
      <w:pPr>
        <w:pStyle w:val="TextBody"/>
        <w:bidi w:val="0"/>
        <w:spacing w:lineRule="auto" w:line="264" w:before="110" w:after="0"/>
        <w:ind w:left="4540" w:right="2086" w:hanging="0"/>
        <w:jc w:val="left"/>
        <w:rPr>
          <w:rFonts w:ascii="Arial" w:hAnsi="Arial"/>
          <w:sz w:val="20"/>
        </w:rPr>
      </w:pPr>
      <w:r>
        <w:rPr>
          <w:rFonts w:ascii="Arial" w:hAnsi="Arial"/>
          <w:color w:val="000000"/>
          <w:sz w:val="20"/>
        </w:rPr>
        <w:t>(iv)any act of any Government Body or arbitrator including any law, judgment, decree or order at any time in effect in any jurisdiction affecting any Transaction Document or Bank Guarantee or any document delivered under a Transaction Document;</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27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27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9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7" descr=""/>
                    <pic:cNvPicPr>
                      <a:picLocks noChangeAspect="1" noChangeArrowheads="1"/>
                    </pic:cNvPicPr>
                  </pic:nvPicPr>
                  <pic:blipFill>
                    <a:blip r:embed="rId9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0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8" descr=""/>
                    <pic:cNvPicPr>
                      <a:picLocks noChangeAspect="1" noChangeArrowheads="1"/>
                    </pic:cNvPicPr>
                  </pic:nvPicPr>
                  <pic:blipFill>
                    <a:blip r:embed="rId10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0" w:after="0"/>
        <w:ind w:left="4540" w:right="2205" w:hanging="0"/>
        <w:jc w:val="left"/>
        <w:rPr>
          <w:rFonts w:ascii="Arial" w:hAnsi="Arial"/>
          <w:sz w:val="20"/>
        </w:rPr>
      </w:pPr>
      <w:r>
        <w:rPr>
          <w:rFonts w:ascii="Arial" w:hAnsi="Arial"/>
          <w:sz w:val="20"/>
        </w:rPr>
        <w:t xml:space="preserve">(v)any failure to obtain any consent, license or other authorisation necessary or desirable in connection with any Transaction Document or any Bank Guarantee; or </w:t>
      </w:r>
    </w:p>
    <w:p>
      <w:pPr>
        <w:pStyle w:val="TextBody"/>
        <w:bidi w:val="0"/>
        <w:spacing w:lineRule="auto" w:line="264" w:before="110" w:after="0"/>
        <w:ind w:left="4540" w:right="1874" w:hanging="0"/>
        <w:jc w:val="left"/>
        <w:rPr>
          <w:rFonts w:ascii="Arial" w:hAnsi="Arial"/>
          <w:sz w:val="20"/>
        </w:rPr>
      </w:pPr>
      <w:r>
        <w:rPr>
          <w:rFonts w:ascii="Arial" w:hAnsi="Arial"/>
          <w:sz w:val="20"/>
        </w:rPr>
        <w:t xml:space="preserve">(vi)any other cause or circumstance, foreseen or unforeseen, whether or not similar to any of the above, affecting any Transaction Document or Bank Guarantee or any transaction under a Transaction Document or Bank Guarantee, </w:t>
      </w:r>
    </w:p>
    <w:p>
      <w:pPr>
        <w:pStyle w:val="TextBody"/>
        <w:bidi w:val="0"/>
        <w:spacing w:before="110" w:after="0"/>
        <w:ind w:left="4539" w:right="360" w:hanging="0"/>
        <w:jc w:val="left"/>
        <w:rPr>
          <w:rFonts w:ascii="Arial" w:hAnsi="Arial"/>
          <w:sz w:val="20"/>
        </w:rPr>
      </w:pPr>
      <w:r>
        <w:rPr>
          <w:rFonts w:ascii="Arial" w:hAnsi="Arial"/>
          <w:sz w:val="20"/>
        </w:rPr>
        <w:t xml:space="preserve">(vii)and the Bank need not inquire into any of these matters.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(e)The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 the part of the Borrower, and notwithstanding any instructions from the Borrower to the contrary.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(f)The obligations of the Borrower will not be affected or in any way 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 or received from any cause whatsoever or has been given or sent by an unauthorised person. </w:t>
      </w:r>
    </w:p>
    <w:tbl>
      <w:tblPr>
        <w:tblW w:w="3191" w:type="dxa"/>
        <w:jc w:val="left"/>
        <w:tblInd w:w="360" w:type="dxa"/>
        <w:tblLayout w:type="fixed"/>
        <w:tblCellMar>
          <w:top w:w="0" w:type="dxa"/>
          <w:left w:w="0" w:type="dxa"/>
          <w:bottom w:w="0" w:type="dxa"/>
          <w:right w:w="0" w:type="dxa"/>
        </w:tblCellMar>
      </w:tblPr>
      <w:tblGrid>
        <w:gridCol w:w="38"/>
        <w:gridCol w:w="560"/>
        <w:gridCol w:w="23"/>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11.4. </w:t>
            </w:r>
          </w:p>
        </w:tc>
        <w:tc>
          <w:tcPr>
            <w:tcW w:w="23" w:type="dxa"/>
            <w:tcBorders/>
            <w:vAlign w:val="center"/>
          </w:tcPr>
          <w:p>
            <w:pPr>
              <w:pStyle w:val="TableContents"/>
              <w:bidi w:val="0"/>
              <w:spacing w:before="0" w:after="283"/>
              <w:jc w:val="left"/>
              <w:rPr>
                <w:sz w:val="4"/>
                <w:szCs w:val="4"/>
              </w:rPr>
            </w:pPr>
            <w:r>
              <w:rPr>
                <w:sz w:val="4"/>
                <w:szCs w:val="4"/>
              </w:rPr>
            </w:r>
          </w:p>
        </w:tc>
        <w:tc>
          <w:tcPr>
            <w:tcW w:w="2570" w:type="dxa"/>
            <w:tcBorders/>
          </w:tcPr>
          <w:p>
            <w:pPr>
              <w:pStyle w:val="TableContents"/>
              <w:bidi w:val="0"/>
              <w:spacing w:before="174" w:after="0"/>
              <w:ind w:left="0" w:right="0" w:hanging="0"/>
              <w:jc w:val="left"/>
              <w:rPr>
                <w:rFonts w:ascii="Arial" w:hAnsi="Arial"/>
                <w:b/>
                <w:color w:val="000000"/>
                <w:sz w:val="22"/>
              </w:rPr>
            </w:pPr>
            <w:bookmarkStart w:id="194" w:name="Mandatory_prepayments54"/>
            <w:bookmarkStart w:id="195" w:name="_TOC_250059"/>
            <w:bookmarkEnd w:id="194"/>
            <w:bookmarkEnd w:id="195"/>
            <w:r>
              <w:rPr>
                <w:rFonts w:ascii="Arial" w:hAnsi="Arial"/>
                <w:b/>
                <w:color w:val="000000"/>
                <w:sz w:val="22"/>
              </w:rPr>
              <w:t>Mandatory prepayments</w:t>
            </w:r>
          </w:p>
        </w:tc>
      </w:tr>
    </w:tbl>
    <w:p>
      <w:pPr>
        <w:pStyle w:val="TextBody"/>
        <w:bidi w:val="0"/>
        <w:spacing w:lineRule="auto" w:line="264" w:before="9" w:after="0"/>
        <w:ind w:left="3950" w:right="1854" w:hanging="0"/>
        <w:jc w:val="left"/>
        <w:rPr>
          <w:rFonts w:ascii="Arial" w:hAnsi="Arial"/>
          <w:sz w:val="20"/>
        </w:rPr>
      </w:pPr>
      <w:r>
        <w:rPr>
          <w:rFonts w:ascii="Arial" w:hAnsi="Arial"/>
          <w:color w:val="000000"/>
          <w:sz w:val="20"/>
        </w:rPr>
        <w:t>(a)Unless the Bank otherwise agrees, if any of the assets, business or undertaking of any Transaction Party is the subject of any Disposal (other than a Permitted Disposal) the Borrower must apply or ensure is applied an amount equal to the cash or equivalent proceeds received by the Transaction Party from the Disposal net of reasonable transaction costs and Taxes in prepayment of Outstanding Accommodation or at the Borrower’s election in permanent reduction of the unused portion of one or more of the Facility Limits.</w:t>
      </w:r>
      <w:r>
        <w:rPr>
          <w:rFonts w:ascii="Arial" w:hAnsi="Arial"/>
          <w:sz w:val="20"/>
        </w:rPr>
        <w:t xml:space="preserve"> </w:t>
      </w:r>
    </w:p>
    <w:p>
      <w:pPr>
        <w:pStyle w:val="TextBody"/>
        <w:bidi w:val="0"/>
        <w:spacing w:before="27" w:after="0"/>
        <w:ind w:left="4179" w:right="360" w:hanging="0"/>
        <w:jc w:val="left"/>
        <w:rPr>
          <w:rFonts w:ascii="Arial" w:hAnsi="Arial"/>
          <w:sz w:val="20"/>
        </w:rPr>
      </w:pPr>
      <w:r>
        <w:rPr>
          <w:rFonts w:ascii="Arial" w:hAnsi="Arial"/>
          <w:color w:val="000000"/>
          <w:sz w:val="20"/>
        </w:rPr>
        <w:t>(b)The Borrower must, in relation to the Permitted Disposal under paragraph (i)of that definition:</w:t>
      </w:r>
      <w:r>
        <w:rPr>
          <w:rFonts w:ascii="Arial" w:hAnsi="Arial"/>
          <w:sz w:val="20"/>
        </w:rPr>
        <w:t xml:space="preserve"> </w:t>
      </w:r>
    </w:p>
    <w:p>
      <w:pPr>
        <w:pStyle w:val="TextBody"/>
        <w:bidi w:val="0"/>
        <w:spacing w:lineRule="auto" w:line="264" w:before="135" w:after="0"/>
        <w:ind w:left="4540" w:right="2556" w:hanging="0"/>
        <w:jc w:val="left"/>
        <w:rPr>
          <w:rFonts w:ascii="Arial" w:hAnsi="Arial"/>
          <w:sz w:val="22"/>
        </w:rPr>
      </w:pPr>
      <w:r>
        <w:rPr>
          <w:rFonts w:ascii="Arial" w:hAnsi="Arial"/>
          <w:color w:val="2D97D3"/>
          <w:sz w:val="20"/>
          <w:u w:val="single"/>
        </w:rPr>
        <w:t>(i)</w:t>
      </w:r>
      <w:r>
        <w:rPr>
          <w:rFonts w:ascii="Arial" w:hAnsi="Arial"/>
          <w:color w:val="000000"/>
          <w:sz w:val="20"/>
        </w:rPr>
        <w:t>in</w:t>
      </w:r>
      <w:r>
        <w:rPr>
          <w:rFonts w:ascii="Arial" w:hAnsi="Arial"/>
          <w:color w:val="000000"/>
          <w:sz w:val="22"/>
        </w:rPr>
        <w:t> </w:t>
      </w:r>
      <w:r>
        <w:rPr>
          <w:rFonts w:ascii="Arial" w:hAnsi="Arial"/>
          <w:color w:val="000000"/>
          <w:sz w:val="20"/>
        </w:rPr>
        <w:t>respect</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Cannon</w:t>
      </w:r>
      <w:r>
        <w:rPr>
          <w:rFonts w:ascii="Arial" w:hAnsi="Arial"/>
          <w:color w:val="000000"/>
          <w:sz w:val="22"/>
        </w:rPr>
        <w:t> </w:t>
      </w:r>
      <w:r>
        <w:rPr>
          <w:rFonts w:ascii="Arial" w:hAnsi="Arial"/>
          <w:color w:val="000000"/>
          <w:sz w:val="20"/>
        </w:rPr>
        <w:t>Park</w:t>
      </w:r>
      <w:r>
        <w:rPr>
          <w:rFonts w:ascii="Arial" w:hAnsi="Arial"/>
          <w:color w:val="000000"/>
          <w:sz w:val="22"/>
        </w:rPr>
        <w:t> </w:t>
      </w:r>
      <w:r>
        <w:rPr>
          <w:rFonts w:ascii="Arial" w:hAnsi="Arial"/>
          <w:color w:val="000000"/>
          <w:sz w:val="20"/>
        </w:rPr>
        <w:t>Property,</w:t>
      </w:r>
      <w:r>
        <w:rPr>
          <w:rFonts w:ascii="Arial" w:hAnsi="Arial"/>
          <w:color w:val="000000"/>
          <w:sz w:val="22"/>
        </w:rPr>
        <w:t> </w:t>
      </w:r>
      <w:r>
        <w:rPr>
          <w:rFonts w:ascii="Arial" w:hAnsi="Arial"/>
          <w:color w:val="000000"/>
          <w:sz w:val="20"/>
        </w:rPr>
        <w:t>apply</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Net</w:t>
      </w:r>
      <w:r>
        <w:rPr>
          <w:rFonts w:ascii="Arial" w:hAnsi="Arial"/>
          <w:color w:val="000000"/>
          <w:sz w:val="22"/>
        </w:rPr>
        <w:t> </w:t>
      </w:r>
      <w:r>
        <w:rPr>
          <w:rFonts w:ascii="Arial" w:hAnsi="Arial"/>
          <w:color w:val="000000"/>
          <w:sz w:val="20"/>
        </w:rPr>
        <w:t>Sale Proceeds as follows</w:t>
      </w:r>
      <w:r>
        <w:rPr>
          <w:rFonts w:ascii="Arial" w:hAnsi="Arial"/>
          <w:color w:val="2D97D3"/>
          <w:sz w:val="20"/>
        </w:rPr>
        <w:t>:</w:t>
      </w:r>
      <w:r>
        <w:rPr>
          <w:rFonts w:ascii="Arial" w:hAnsi="Arial"/>
          <w:sz w:val="22"/>
        </w:rPr>
        <w:t xml:space="preserve"> </w:t>
      </w:r>
    </w:p>
    <w:p>
      <w:pPr>
        <w:pStyle w:val="TextBody"/>
        <w:bidi w:val="0"/>
        <w:spacing w:lineRule="auto" w:line="264" w:before="111" w:after="0"/>
        <w:ind w:left="5054" w:right="2000" w:hanging="0"/>
        <w:jc w:val="left"/>
        <w:rPr>
          <w:rFonts w:ascii="Arial" w:hAnsi="Arial"/>
          <w:sz w:val="20"/>
        </w:rPr>
      </w:pPr>
      <w:r>
        <w:rPr>
          <w:rFonts w:ascii="Arial" w:hAnsi="Arial"/>
          <w:color w:val="2D97D3"/>
          <w:sz w:val="20"/>
          <w:u w:val="single"/>
        </w:rPr>
        <w:t>(A)repay in permanent reduction the Outstanding</w:t>
      </w:r>
      <w:r>
        <w:rPr>
          <w:rFonts w:ascii="Arial" w:hAnsi="Arial"/>
          <w:color w:val="2D97D3"/>
          <w:sz w:val="20"/>
        </w:rPr>
        <w:t> </w:t>
      </w:r>
      <w:r>
        <w:rPr>
          <w:rFonts w:ascii="Arial" w:hAnsi="Arial"/>
          <w:color w:val="2D97D3"/>
          <w:sz w:val="20"/>
          <w:u w:val="single"/>
        </w:rPr>
        <w:t>Accommodation and the Facility Limit for the Bridge Facility</w:t>
      </w:r>
      <w:r>
        <w:rPr>
          <w:rFonts w:ascii="Arial" w:hAnsi="Arial"/>
          <w:color w:val="2D97D3"/>
          <w:sz w:val="20"/>
        </w:rPr>
        <w:t> </w:t>
      </w:r>
      <w:r>
        <w:rPr>
          <w:rFonts w:ascii="Arial" w:hAnsi="Arial"/>
          <w:color w:val="2D97D3"/>
          <w:sz w:val="20"/>
          <w:u w:val="single"/>
        </w:rPr>
        <w:t>to nil; and</w:t>
      </w:r>
      <w:r>
        <w:rPr>
          <w:rFonts w:ascii="Arial" w:hAnsi="Arial"/>
          <w:sz w:val="20"/>
        </w:rPr>
        <w:t xml:space="preserve"> </w:t>
      </w:r>
    </w:p>
    <w:p>
      <w:pPr>
        <w:pStyle w:val="TextBody"/>
        <w:bidi w:val="0"/>
        <w:spacing w:lineRule="auto" w:line="264" w:before="114" w:after="0"/>
        <w:ind w:left="5054" w:right="1898" w:hanging="0"/>
        <w:jc w:val="left"/>
        <w:rPr>
          <w:rFonts w:ascii="Arial" w:hAnsi="Arial"/>
          <w:sz w:val="20"/>
        </w:rPr>
      </w:pPr>
      <w:r>
        <w:rPr>
          <w:rFonts w:ascii="Arial" w:hAnsi="Arial"/>
          <w:color w:val="2D97D3"/>
          <w:sz w:val="20"/>
          <w:u w:val="single"/>
        </w:rPr>
        <w:t>(B)repay $1,500,000 in permanent reduction of the Outstanding</w:t>
      </w:r>
      <w:r>
        <w:rPr>
          <w:rFonts w:ascii="Arial" w:hAnsi="Arial"/>
          <w:color w:val="2D97D3"/>
          <w:sz w:val="20"/>
        </w:rPr>
        <w:t> </w:t>
      </w:r>
      <w:r>
        <w:rPr>
          <w:rFonts w:ascii="Arial" w:hAnsi="Arial"/>
          <w:color w:val="2D97D3"/>
          <w:sz w:val="20"/>
          <w:u w:val="single"/>
        </w:rPr>
        <w:t>Accommodation and the Facility Limit for the Corporate</w:t>
      </w:r>
      <w:r>
        <w:rPr>
          <w:rFonts w:ascii="Arial" w:hAnsi="Arial"/>
          <w:color w:val="2D97D3"/>
          <w:sz w:val="20"/>
        </w:rPr>
        <w:t> </w:t>
      </w:r>
      <w:r>
        <w:rPr>
          <w:rFonts w:ascii="Arial" w:hAnsi="Arial"/>
          <w:color w:val="2D97D3"/>
          <w:sz w:val="20"/>
          <w:u w:val="single"/>
        </w:rPr>
        <w:t>Markets Loan Facility,</w:t>
      </w:r>
      <w:r>
        <w:rPr>
          <w:rFonts w:ascii="Arial" w:hAnsi="Arial"/>
          <w:sz w:val="20"/>
        </w:rPr>
        <w:t xml:space="preserve"> </w:t>
      </w:r>
    </w:p>
    <w:p>
      <w:pPr>
        <w:pStyle w:val="TextBody"/>
        <w:pBdr/>
        <w:bidi w:val="0"/>
        <w:spacing w:before="111" w:after="0"/>
        <w:ind w:left="4521" w:right="360" w:hanging="0"/>
        <w:jc w:val="left"/>
        <w:rPr>
          <w:rFonts w:ascii="Arial" w:hAnsi="Arial"/>
          <w:sz w:val="20"/>
        </w:rPr>
      </w:pPr>
      <w:r>
        <w:rPr>
          <w:rFonts w:ascii="Arial" w:hAnsi="Arial"/>
          <w:color w:val="2D97D3"/>
          <w:sz w:val="20"/>
          <w:u w:val="single"/>
        </w:rPr>
        <w:t>on the earlier of</w:t>
      </w:r>
      <w:r>
        <w:rPr>
          <w:rFonts w:ascii="Arial" w:hAnsi="Arial"/>
          <w:color w:val="000000"/>
          <w:sz w:val="20"/>
        </w:rPr>
        <w:t>:</w:t>
      </w:r>
      <w:r>
        <w:rPr>
          <w:rFonts w:ascii="Arial" w:hAnsi="Arial"/>
          <w:sz w:val="20"/>
        </w:rPr>
        <w:t xml:space="preserve"> </w:t>
      </w:r>
    </w:p>
    <w:p>
      <w:pPr>
        <w:pStyle w:val="TextBody"/>
        <w:pBdr/>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28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28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0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9" descr=""/>
                    <pic:cNvPicPr>
                      <a:picLocks noChangeAspect="1" noChangeArrowheads="1"/>
                    </pic:cNvPicPr>
                  </pic:nvPicPr>
                  <pic:blipFill>
                    <a:blip r:embed="rId10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0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0" descr=""/>
                    <pic:cNvPicPr>
                      <a:picLocks noChangeAspect="1" noChangeArrowheads="1"/>
                    </pic:cNvPicPr>
                  </pic:nvPicPr>
                  <pic:blipFill>
                    <a:blip r:embed="rId10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0" w:after="0"/>
        <w:ind w:left="5054" w:right="1853" w:hanging="0"/>
        <w:jc w:val="left"/>
        <w:rPr>
          <w:rFonts w:ascii="Arial" w:hAnsi="Arial"/>
          <w:sz w:val="22"/>
        </w:rPr>
      </w:pPr>
      <w:r>
        <w:rPr>
          <w:rFonts w:ascii="Arial" w:hAnsi="Arial"/>
          <w:color w:val="2D97D3"/>
          <w:sz w:val="20"/>
          <w:u w:val="single"/>
        </w:rPr>
        <w:t>(C)the date on which the Borrower receives the Net Sale</w:t>
      </w:r>
      <w:r>
        <w:rPr>
          <w:rFonts w:ascii="Arial" w:hAnsi="Arial"/>
          <w:color w:val="2D97D3"/>
          <w:sz w:val="22"/>
        </w:rPr>
        <w:t> </w:t>
      </w:r>
      <w:r>
        <w:rPr>
          <w:rFonts w:ascii="Arial" w:hAnsi="Arial"/>
          <w:color w:val="2D97D3"/>
          <w:sz w:val="20"/>
          <w:u w:val="single"/>
        </w:rPr>
        <w:t>Proceeds</w:t>
      </w:r>
      <w:r>
        <w:rPr>
          <w:rFonts w:ascii="Arial" w:hAnsi="Arial"/>
          <w:color w:val="2D97D3"/>
          <w:sz w:val="22"/>
          <w:u w:val="single"/>
        </w:rPr>
        <w:t> </w:t>
      </w:r>
      <w:r>
        <w:rPr>
          <w:rFonts w:ascii="Arial" w:hAnsi="Arial"/>
          <w:color w:val="2D97D3"/>
          <w:sz w:val="20"/>
          <w:u w:val="single"/>
        </w:rPr>
        <w:t>in</w:t>
      </w:r>
      <w:r>
        <w:rPr>
          <w:rFonts w:ascii="Arial" w:hAnsi="Arial"/>
          <w:color w:val="2D97D3"/>
          <w:sz w:val="22"/>
          <w:u w:val="single"/>
        </w:rPr>
        <w:t> </w:t>
      </w:r>
      <w:r>
        <w:rPr>
          <w:rFonts w:ascii="Arial" w:hAnsi="Arial"/>
          <w:color w:val="2D97D3"/>
          <w:sz w:val="20"/>
          <w:u w:val="single"/>
        </w:rPr>
        <w:t>respect</w:t>
      </w:r>
      <w:r>
        <w:rPr>
          <w:rFonts w:ascii="Arial" w:hAnsi="Arial"/>
          <w:color w:val="2D97D3"/>
          <w:sz w:val="22"/>
          <w:u w:val="single"/>
        </w:rPr>
        <w:t> </w:t>
      </w:r>
      <w:r>
        <w:rPr>
          <w:rFonts w:ascii="Arial" w:hAnsi="Arial"/>
          <w:color w:val="2D97D3"/>
          <w:sz w:val="20"/>
          <w:u w:val="single"/>
        </w:rPr>
        <w:t>of</w:t>
      </w:r>
      <w:r>
        <w:rPr>
          <w:rFonts w:ascii="Arial" w:hAnsi="Arial"/>
          <w:color w:val="2D97D3"/>
          <w:sz w:val="22"/>
          <w:u w:val="single"/>
        </w:rPr>
        <w:t> </w:t>
      </w:r>
      <w:r>
        <w:rPr>
          <w:rFonts w:ascii="Arial" w:hAnsi="Arial"/>
          <w:color w:val="2D97D3"/>
          <w:sz w:val="20"/>
          <w:u w:val="single"/>
        </w:rPr>
        <w:t>the</w:t>
      </w:r>
      <w:r>
        <w:rPr>
          <w:rFonts w:ascii="Arial" w:hAnsi="Arial"/>
          <w:color w:val="2D97D3"/>
          <w:sz w:val="22"/>
          <w:u w:val="single"/>
        </w:rPr>
        <w:t> </w:t>
      </w:r>
      <w:r>
        <w:rPr>
          <w:rFonts w:ascii="Arial" w:hAnsi="Arial"/>
          <w:color w:val="2D97D3"/>
          <w:sz w:val="20"/>
          <w:u w:val="single"/>
        </w:rPr>
        <w:t>sale</w:t>
      </w:r>
      <w:r>
        <w:rPr>
          <w:rFonts w:ascii="Arial" w:hAnsi="Arial"/>
          <w:color w:val="2D97D3"/>
          <w:sz w:val="22"/>
          <w:u w:val="single"/>
        </w:rPr>
        <w:t> </w:t>
      </w:r>
      <w:r>
        <w:rPr>
          <w:rFonts w:ascii="Arial" w:hAnsi="Arial"/>
          <w:color w:val="2D97D3"/>
          <w:sz w:val="20"/>
          <w:u w:val="single"/>
        </w:rPr>
        <w:t>of</w:t>
      </w:r>
      <w:r>
        <w:rPr>
          <w:rFonts w:ascii="Arial" w:hAnsi="Arial"/>
          <w:color w:val="2D97D3"/>
          <w:sz w:val="22"/>
          <w:u w:val="single"/>
        </w:rPr>
        <w:t> </w:t>
      </w:r>
      <w:r>
        <w:rPr>
          <w:rFonts w:ascii="Arial" w:hAnsi="Arial"/>
          <w:color w:val="2D97D3"/>
          <w:sz w:val="20"/>
          <w:u w:val="single"/>
        </w:rPr>
        <w:t>the</w:t>
      </w:r>
      <w:r>
        <w:rPr>
          <w:rFonts w:ascii="Arial" w:hAnsi="Arial"/>
          <w:color w:val="2D97D3"/>
          <w:sz w:val="22"/>
          <w:u w:val="single"/>
        </w:rPr>
        <w:t> </w:t>
      </w:r>
      <w:r>
        <w:rPr>
          <w:rFonts w:ascii="Arial" w:hAnsi="Arial"/>
          <w:color w:val="2D97D3"/>
          <w:sz w:val="20"/>
          <w:u w:val="single"/>
        </w:rPr>
        <w:t>Cannon</w:t>
      </w:r>
      <w:r>
        <w:rPr>
          <w:rFonts w:ascii="Arial" w:hAnsi="Arial"/>
          <w:color w:val="2D97D3"/>
          <w:sz w:val="22"/>
          <w:u w:val="single"/>
        </w:rPr>
        <w:t> </w:t>
      </w:r>
      <w:r>
        <w:rPr>
          <w:rFonts w:ascii="Arial" w:hAnsi="Arial"/>
          <w:color w:val="2D97D3"/>
          <w:sz w:val="20"/>
          <w:u w:val="single"/>
        </w:rPr>
        <w:t>Park</w:t>
      </w:r>
      <w:r>
        <w:rPr>
          <w:rFonts w:ascii="Arial" w:hAnsi="Arial"/>
          <w:color w:val="2D97D3"/>
          <w:sz w:val="22"/>
          <w:u w:val="single"/>
        </w:rPr>
        <w:t> </w:t>
      </w:r>
      <w:r>
        <w:rPr>
          <w:rFonts w:ascii="Arial" w:hAnsi="Arial"/>
          <w:color w:val="2D97D3"/>
          <w:sz w:val="20"/>
          <w:u w:val="single"/>
        </w:rPr>
        <w:t>Property;</w:t>
      </w:r>
      <w:r>
        <w:rPr>
          <w:rFonts w:ascii="Arial" w:hAnsi="Arial"/>
          <w:color w:val="2D97D3"/>
          <w:sz w:val="22"/>
        </w:rPr>
        <w:t> </w:t>
      </w:r>
      <w:r>
        <w:rPr>
          <w:rFonts w:ascii="Arial" w:hAnsi="Arial"/>
          <w:color w:val="2D97D3"/>
          <w:sz w:val="20"/>
          <w:u w:val="single"/>
        </w:rPr>
        <w:t>and</w:t>
      </w:r>
      <w:r>
        <w:rPr>
          <w:rFonts w:ascii="Arial" w:hAnsi="Arial"/>
          <w:sz w:val="22"/>
        </w:rPr>
        <w:t xml:space="preserve"> </w:t>
      </w:r>
    </w:p>
    <w:p>
      <w:pPr>
        <w:pStyle w:val="TextBody"/>
        <w:bidi w:val="0"/>
        <w:spacing w:before="110" w:after="0"/>
        <w:ind w:left="5053" w:right="360" w:hanging="0"/>
        <w:jc w:val="left"/>
        <w:rPr>
          <w:rFonts w:ascii="Arial" w:hAnsi="Arial"/>
          <w:sz w:val="20"/>
        </w:rPr>
      </w:pPr>
      <w:r>
        <w:rPr>
          <w:rFonts w:ascii="Arial" w:hAnsi="Arial"/>
          <w:color w:val="2D97D3"/>
          <w:sz w:val="20"/>
          <w:u w:val="single"/>
        </w:rPr>
        <w:t>(D)30 April 2025; and</w:t>
      </w:r>
      <w:r>
        <w:rPr>
          <w:rFonts w:ascii="Arial" w:hAnsi="Arial"/>
          <w:sz w:val="20"/>
        </w:rPr>
        <w:t xml:space="preserve"> </w:t>
      </w:r>
    </w:p>
    <w:p>
      <w:pPr>
        <w:pStyle w:val="TextBody"/>
        <w:bidi w:val="0"/>
        <w:spacing w:lineRule="auto" w:line="264" w:before="138" w:after="0"/>
        <w:ind w:left="5054" w:right="2008" w:hanging="0"/>
        <w:jc w:val="left"/>
        <w:rPr>
          <w:rFonts w:ascii="Arial" w:hAnsi="Arial"/>
          <w:sz w:val="20"/>
        </w:rPr>
      </w:pPr>
      <w:r>
        <w:rPr>
          <w:rFonts w:ascii="Arial" w:hAnsi="Arial"/>
          <w:strike/>
          <w:color w:val="B5082D"/>
          <w:sz w:val="20"/>
        </w:rPr>
        <w:t>(A)immediately following the sale of first portion of the Cannon</w:t>
      </w:r>
      <w:r>
        <w:rPr>
          <w:rFonts w:ascii="Arial" w:hAnsi="Arial"/>
          <w:color w:val="B5082D"/>
          <w:sz w:val="20"/>
        </w:rPr>
        <w:t> </w:t>
      </w:r>
      <w:r>
        <w:rPr>
          <w:rFonts w:ascii="Arial" w:hAnsi="Arial"/>
          <w:strike/>
          <w:color w:val="B5082D"/>
          <w:sz w:val="20"/>
        </w:rPr>
        <w:t>Park Property scheduled to occur on or about March 2025</w:t>
      </w:r>
      <w:r>
        <w:rPr>
          <w:rFonts w:ascii="Arial" w:hAnsi="Arial"/>
          <w:color w:val="B5082D"/>
          <w:sz w:val="20"/>
        </w:rPr>
        <w:t> </w:t>
      </w:r>
      <w:r>
        <w:rPr>
          <w:rFonts w:ascii="Arial" w:hAnsi="Arial"/>
          <w:strike/>
          <w:color w:val="B5082D"/>
          <w:sz w:val="20"/>
        </w:rPr>
        <w:t>(</w:t>
      </w:r>
      <w:r>
        <w:rPr>
          <w:rFonts w:ascii="Arial" w:hAnsi="Arial"/>
          <w:b/>
          <w:strike/>
          <w:color w:val="B5082D"/>
          <w:sz w:val="20"/>
        </w:rPr>
        <w:t>Stage 1 Sale</w:t>
      </w:r>
      <w:r>
        <w:rPr>
          <w:rFonts w:ascii="Arial" w:hAnsi="Arial"/>
          <w:strike/>
          <w:color w:val="B5082D"/>
          <w:sz w:val="20"/>
        </w:rPr>
        <w:t>), repay such amount of the Net Sale</w:t>
      </w:r>
      <w:r>
        <w:rPr>
          <w:rFonts w:ascii="Arial" w:hAnsi="Arial"/>
          <w:color w:val="B5082D"/>
          <w:sz w:val="20"/>
        </w:rPr>
        <w:t> </w:t>
      </w:r>
      <w:r>
        <w:rPr>
          <w:rFonts w:ascii="Arial" w:hAnsi="Arial"/>
          <w:strike/>
          <w:color w:val="B5082D"/>
          <w:sz w:val="20"/>
        </w:rPr>
        <w:t>Proceeds from the Stage 1 Sale (</w:t>
      </w:r>
      <w:r>
        <w:rPr>
          <w:rFonts w:ascii="Arial" w:hAnsi="Arial"/>
          <w:b/>
          <w:strike/>
          <w:color w:val="B5082D"/>
          <w:sz w:val="20"/>
        </w:rPr>
        <w:t>Stage 1 Amount</w:t>
      </w:r>
      <w:r>
        <w:rPr>
          <w:rFonts w:ascii="Arial" w:hAnsi="Arial"/>
          <w:strike/>
          <w:color w:val="B5082D"/>
          <w:sz w:val="20"/>
        </w:rPr>
        <w:t>) in</w:t>
      </w:r>
      <w:r>
        <w:rPr>
          <w:rFonts w:ascii="Arial" w:hAnsi="Arial"/>
          <w:color w:val="B5082D"/>
          <w:sz w:val="20"/>
        </w:rPr>
        <w:t> </w:t>
      </w:r>
      <w:r>
        <w:rPr>
          <w:rFonts w:ascii="Arial" w:hAnsi="Arial"/>
          <w:strike/>
          <w:color w:val="B5082D"/>
          <w:sz w:val="20"/>
        </w:rPr>
        <w:t>permanent reduction of the Outstanding Accommodation</w:t>
      </w:r>
      <w:r>
        <w:rPr>
          <w:rFonts w:ascii="Arial" w:hAnsi="Arial"/>
          <w:color w:val="B5082D"/>
          <w:sz w:val="20"/>
        </w:rPr>
        <w:t> </w:t>
      </w:r>
      <w:r>
        <w:rPr>
          <w:rFonts w:ascii="Arial" w:hAnsi="Arial"/>
          <w:strike/>
          <w:color w:val="B5082D"/>
          <w:sz w:val="20"/>
        </w:rPr>
        <w:t>and the Facility Limit under the Bridge Facility to</w:t>
      </w:r>
      <w:r>
        <w:rPr>
          <w:rFonts w:ascii="Arial" w:hAnsi="Arial"/>
          <w:sz w:val="20"/>
        </w:rPr>
        <w:t xml:space="preserve"> </w:t>
      </w:r>
    </w:p>
    <w:p>
      <w:pPr>
        <w:pStyle w:val="TextBody"/>
        <w:bidi w:val="0"/>
        <w:spacing w:lineRule="atLeast" w:line="225" w:before="0" w:after="0"/>
        <w:ind w:left="5054" w:right="360" w:hanging="0"/>
        <w:jc w:val="left"/>
        <w:rPr>
          <w:rFonts w:ascii="Arial" w:hAnsi="Arial"/>
          <w:sz w:val="20"/>
        </w:rPr>
      </w:pPr>
      <w:r>
        <w:rPr>
          <w:rFonts w:ascii="Arial" w:hAnsi="Arial"/>
          <w:strike/>
          <w:color w:val="B5082D"/>
          <w:sz w:val="20"/>
        </w:rPr>
        <w:t>$10,000,000; and</w:t>
      </w:r>
      <w:r>
        <w:rPr>
          <w:rFonts w:ascii="Arial" w:hAnsi="Arial"/>
          <w:sz w:val="20"/>
        </w:rPr>
        <w:t xml:space="preserve"> </w:t>
      </w:r>
    </w:p>
    <w:p>
      <w:pPr>
        <w:pStyle w:val="TextBody"/>
        <w:bidi w:val="0"/>
        <w:spacing w:lineRule="auto" w:line="264" w:before="134" w:after="0"/>
        <w:ind w:left="5054" w:right="2010" w:hanging="0"/>
        <w:jc w:val="left"/>
        <w:rPr>
          <w:rFonts w:ascii="Arial" w:hAnsi="Arial"/>
          <w:sz w:val="20"/>
        </w:rPr>
      </w:pPr>
      <w:r>
        <w:rPr>
          <w:rFonts w:ascii="Arial" w:hAnsi="Arial"/>
          <w:strike/>
          <w:color w:val="B5082D"/>
          <w:sz w:val="20"/>
        </w:rPr>
        <w:t>(B)immediately following the sale of second portion of the</w:t>
      </w:r>
      <w:r>
        <w:rPr>
          <w:rFonts w:ascii="Arial" w:hAnsi="Arial"/>
          <w:color w:val="B5082D"/>
          <w:sz w:val="20"/>
        </w:rPr>
        <w:t> </w:t>
      </w:r>
      <w:r>
        <w:rPr>
          <w:rFonts w:ascii="Arial" w:hAnsi="Arial"/>
          <w:strike/>
          <w:color w:val="B5082D"/>
          <w:sz w:val="20"/>
        </w:rPr>
        <w:t>Cannon Park Property scheduled to occur on or about April</w:t>
      </w:r>
      <w:r>
        <w:rPr>
          <w:rFonts w:ascii="Arial" w:hAnsi="Arial"/>
          <w:color w:val="B5082D"/>
          <w:sz w:val="20"/>
        </w:rPr>
        <w:t> </w:t>
      </w:r>
      <w:r>
        <w:rPr>
          <w:rFonts w:ascii="Arial" w:hAnsi="Arial"/>
          <w:strike/>
          <w:color w:val="B5082D"/>
          <w:sz w:val="20"/>
        </w:rPr>
        <w:t>2025 (</w:t>
      </w:r>
      <w:r>
        <w:rPr>
          <w:rFonts w:ascii="Arial" w:hAnsi="Arial"/>
          <w:b/>
          <w:strike/>
          <w:color w:val="B5082D"/>
          <w:sz w:val="20"/>
        </w:rPr>
        <w:t>Stage 2 Sale</w:t>
      </w:r>
      <w:r>
        <w:rPr>
          <w:rFonts w:ascii="Arial" w:hAnsi="Arial"/>
          <w:strike/>
          <w:color w:val="B5082D"/>
          <w:sz w:val="20"/>
        </w:rPr>
        <w:t>), repay such amount of the Net Sale</w:t>
      </w:r>
      <w:r>
        <w:rPr>
          <w:rFonts w:ascii="Arial" w:hAnsi="Arial"/>
          <w:color w:val="B5082D"/>
          <w:sz w:val="20"/>
        </w:rPr>
        <w:t> </w:t>
      </w:r>
      <w:r>
        <w:rPr>
          <w:rFonts w:ascii="Arial" w:hAnsi="Arial"/>
          <w:strike/>
          <w:color w:val="B5082D"/>
          <w:sz w:val="20"/>
        </w:rPr>
        <w:t>Proceeds from the Stage 2 Sale (</w:t>
      </w:r>
      <w:r>
        <w:rPr>
          <w:rFonts w:ascii="Arial" w:hAnsi="Arial"/>
          <w:b/>
          <w:strike/>
          <w:color w:val="B5082D"/>
          <w:sz w:val="20"/>
        </w:rPr>
        <w:t>Stage 2 Amount</w:t>
      </w:r>
      <w:r>
        <w:rPr>
          <w:rFonts w:ascii="Arial" w:hAnsi="Arial"/>
          <w:strike/>
          <w:color w:val="B5082D"/>
          <w:sz w:val="20"/>
        </w:rPr>
        <w:t>) in</w:t>
      </w:r>
      <w:r>
        <w:rPr>
          <w:rFonts w:ascii="Arial" w:hAnsi="Arial"/>
          <w:color w:val="B5082D"/>
          <w:sz w:val="20"/>
        </w:rPr>
        <w:t> </w:t>
      </w:r>
      <w:r>
        <w:rPr>
          <w:rFonts w:ascii="Arial" w:hAnsi="Arial"/>
          <w:strike/>
          <w:color w:val="B5082D"/>
          <w:sz w:val="20"/>
        </w:rPr>
        <w:t>permanent reduction of the Outstanding Accommodation</w:t>
      </w:r>
      <w:r>
        <w:rPr>
          <w:rFonts w:ascii="Arial" w:hAnsi="Arial"/>
          <w:color w:val="B5082D"/>
          <w:sz w:val="20"/>
        </w:rPr>
        <w:t> </w:t>
      </w:r>
      <w:r>
        <w:rPr>
          <w:rFonts w:ascii="Arial" w:hAnsi="Arial"/>
          <w:strike/>
          <w:color w:val="B5082D"/>
          <w:sz w:val="20"/>
        </w:rPr>
        <w:t>and the Facility Limit under the Bridge Facility to nil; and</w:t>
      </w:r>
      <w:r>
        <w:rPr>
          <w:rFonts w:ascii="Arial" w:hAnsi="Arial"/>
          <w:sz w:val="20"/>
        </w:rPr>
        <w:t xml:space="preserve"> </w:t>
      </w:r>
    </w:p>
    <w:p>
      <w:pPr>
        <w:pStyle w:val="TextBody"/>
        <w:bidi w:val="0"/>
        <w:spacing w:lineRule="auto" w:line="264" w:before="105" w:after="0"/>
        <w:ind w:left="4540" w:right="2181" w:hanging="0"/>
        <w:jc w:val="left"/>
        <w:rPr>
          <w:rFonts w:ascii="Arial" w:hAnsi="Arial"/>
          <w:sz w:val="20"/>
        </w:rPr>
      </w:pPr>
      <w:r>
        <w:rPr>
          <w:rFonts w:ascii="Arial" w:hAnsi="Arial"/>
          <w:sz w:val="20"/>
          <w:u w:val="single"/>
        </w:rPr>
        <w:t>(ii)</w:t>
      </w:r>
      <w:r>
        <w:rPr>
          <w:rFonts w:ascii="Arial" w:hAnsi="Arial"/>
          <w:sz w:val="20"/>
        </w:rPr>
        <w:t xml:space="preserve">in respect of the Waurn Ponds Property, apply the Net Sale Proceeds in permanent reduction of the Outstanding Accommodation and the Facility Limit under the Bridge Facility. </w:t>
      </w:r>
    </w:p>
    <w:tbl>
      <w:tblPr>
        <w:tblW w:w="1841" w:type="dxa"/>
        <w:jc w:val="left"/>
        <w:tblInd w:w="360" w:type="dxa"/>
        <w:tblLayout w:type="fixed"/>
        <w:tblCellMar>
          <w:top w:w="0" w:type="dxa"/>
          <w:left w:w="0" w:type="dxa"/>
          <w:bottom w:w="0" w:type="dxa"/>
          <w:right w:w="0" w:type="dxa"/>
        </w:tblCellMar>
      </w:tblPr>
      <w:tblGrid>
        <w:gridCol w:w="38"/>
        <w:gridCol w:w="560"/>
        <w:gridCol w:w="23"/>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11.5. </w:t>
            </w:r>
          </w:p>
        </w:tc>
        <w:tc>
          <w:tcPr>
            <w:tcW w:w="23" w:type="dxa"/>
            <w:tcBorders/>
            <w:vAlign w:val="center"/>
          </w:tcPr>
          <w:p>
            <w:pPr>
              <w:pStyle w:val="TableContents"/>
              <w:bidi w:val="0"/>
              <w:spacing w:before="0" w:after="283"/>
              <w:jc w:val="left"/>
              <w:rPr>
                <w:sz w:val="4"/>
                <w:szCs w:val="4"/>
              </w:rPr>
            </w:pPr>
            <w:r>
              <w:rPr>
                <w:sz w:val="4"/>
                <w:szCs w:val="4"/>
              </w:rPr>
            </w:r>
          </w:p>
        </w:tc>
        <w:tc>
          <w:tcPr>
            <w:tcW w:w="1220" w:type="dxa"/>
            <w:tcBorders/>
          </w:tcPr>
          <w:p>
            <w:pPr>
              <w:pStyle w:val="TableContents"/>
              <w:bidi w:val="0"/>
              <w:spacing w:before="174" w:after="0"/>
              <w:ind w:left="0" w:right="0" w:hanging="0"/>
              <w:jc w:val="left"/>
              <w:rPr>
                <w:rFonts w:ascii="Arial" w:hAnsi="Arial"/>
                <w:b/>
                <w:color w:val="000000"/>
                <w:sz w:val="22"/>
              </w:rPr>
            </w:pPr>
            <w:bookmarkStart w:id="196" w:name="Repayment55"/>
            <w:bookmarkStart w:id="197" w:name="_TOC_250058"/>
            <w:bookmarkEnd w:id="196"/>
            <w:bookmarkEnd w:id="197"/>
            <w:r>
              <w:rPr>
                <w:rFonts w:ascii="Arial" w:hAnsi="Arial"/>
                <w:b/>
                <w:color w:val="000000"/>
                <w:sz w:val="22"/>
              </w:rPr>
              <w:t>Repayment</w:t>
            </w:r>
          </w:p>
        </w:tc>
      </w:tr>
    </w:tbl>
    <w:p>
      <w:pPr>
        <w:pStyle w:val="TextBody"/>
        <w:bidi w:val="0"/>
        <w:spacing w:before="85" w:after="0"/>
        <w:ind w:left="3453" w:right="360" w:hanging="0"/>
        <w:jc w:val="left"/>
        <w:rPr>
          <w:rFonts w:ascii="Arial" w:hAnsi="Arial"/>
          <w:sz w:val="20"/>
        </w:rPr>
      </w:pPr>
      <w:r>
        <w:rPr>
          <w:rFonts w:ascii="Arial" w:hAnsi="Arial"/>
          <w:color w:val="000000"/>
          <w:sz w:val="20"/>
        </w:rPr>
        <w:t xml:space="preserve">Subject to </w:t>
      </w:r>
      <w:r>
        <w:rPr>
          <w:rFonts w:ascii="Arial" w:hAnsi="Arial"/>
          <w:b/>
          <w:color w:val="000000"/>
          <w:sz w:val="20"/>
        </w:rPr>
        <w:t>clause</w:t>
      </w:r>
      <w:r>
        <w:rPr>
          <w:rFonts w:ascii="Arial" w:hAnsi="Arial"/>
          <w:color w:val="000000"/>
          <w:sz w:val="20"/>
        </w:rPr>
        <w:t> </w:t>
      </w:r>
      <w:r>
        <w:rPr>
          <w:rFonts w:ascii="Arial" w:hAnsi="Arial"/>
          <w:b/>
          <w:color w:val="2D97D3"/>
          <w:sz w:val="20"/>
          <w:u w:val="single"/>
        </w:rPr>
        <w:t>10.2</w:t>
      </w:r>
      <w:r>
        <w:rPr>
          <w:rFonts w:ascii="Arial" w:hAnsi="Arial"/>
          <w:b/>
          <w:strike/>
          <w:color w:val="B5082D"/>
          <w:sz w:val="20"/>
        </w:rPr>
        <w:t>10.2</w:t>
      </w:r>
      <w:r>
        <w:rPr>
          <w:rFonts w:ascii="Arial" w:hAnsi="Arial"/>
          <w:color w:val="B5082D"/>
          <w:sz w:val="20"/>
        </w:rPr>
        <w:t> </w:t>
      </w:r>
      <w:r>
        <w:rPr>
          <w:rFonts w:ascii="Arial" w:hAnsi="Arial"/>
          <w:color w:val="000000"/>
          <w:sz w:val="20"/>
        </w:rPr>
        <w:t>and </w:t>
      </w:r>
      <w:r>
        <w:rPr>
          <w:rFonts w:ascii="Arial" w:hAnsi="Arial"/>
          <w:b/>
          <w:color w:val="000000"/>
          <w:sz w:val="20"/>
        </w:rPr>
        <w:t>clause</w:t>
      </w:r>
      <w:r>
        <w:rPr>
          <w:rFonts w:ascii="Arial" w:hAnsi="Arial"/>
          <w:color w:val="000000"/>
          <w:sz w:val="20"/>
        </w:rPr>
        <w:t> </w:t>
      </w:r>
      <w:r>
        <w:rPr>
          <w:rFonts w:ascii="Arial" w:hAnsi="Arial"/>
          <w:b/>
          <w:color w:val="2D97D3"/>
          <w:sz w:val="20"/>
          <w:u w:val="single"/>
        </w:rPr>
        <w:t>10.3</w:t>
      </w:r>
      <w:r>
        <w:rPr>
          <w:rFonts w:ascii="Arial" w:hAnsi="Arial"/>
          <w:b/>
          <w:strike/>
          <w:color w:val="B5082D"/>
          <w:sz w:val="20"/>
        </w:rPr>
        <w:t>10.3</w:t>
      </w:r>
      <w:r>
        <w:rPr>
          <w:rFonts w:ascii="Arial" w:hAnsi="Arial"/>
          <w:color w:val="000000"/>
          <w:sz w:val="20"/>
        </w:rPr>
        <w:t>, each Borrower must:</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(a)pay instalments, in permanent reduction of the Outstanding Accommodation and the Facility Limit for the Corporate Markets Loan Facility,</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$1,500,000</w:t>
      </w:r>
      <w:r>
        <w:rPr>
          <w:rFonts w:ascii="Arial" w:hAnsi="Arial"/>
          <w:color w:val="000000"/>
          <w:sz w:val="22"/>
        </w:rPr>
        <w:t> </w:t>
      </w:r>
      <w:r>
        <w:rPr>
          <w:rFonts w:ascii="Arial" w:hAnsi="Arial"/>
          <w:color w:val="000000"/>
          <w:sz w:val="20"/>
        </w:rPr>
        <w:t>on</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last</w:t>
      </w:r>
      <w:r>
        <w:rPr>
          <w:rFonts w:ascii="Arial" w:hAnsi="Arial"/>
          <w:color w:val="000000"/>
          <w:sz w:val="22"/>
        </w:rPr>
        <w:t> </w:t>
      </w:r>
      <w:r>
        <w:rPr>
          <w:rFonts w:ascii="Arial" w:hAnsi="Arial"/>
          <w:color w:val="000000"/>
          <w:sz w:val="20"/>
        </w:rPr>
        <w:t>Business</w:t>
      </w:r>
      <w:r>
        <w:rPr>
          <w:rFonts w:ascii="Arial" w:hAnsi="Arial"/>
          <w:color w:val="000000"/>
          <w:sz w:val="22"/>
        </w:rPr>
        <w:t> </w:t>
      </w:r>
      <w:r>
        <w:rPr>
          <w:rFonts w:ascii="Arial" w:hAnsi="Arial"/>
          <w:color w:val="000000"/>
          <w:sz w:val="20"/>
        </w:rPr>
        <w:t>Day</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Quarter</w:t>
      </w:r>
      <w:r>
        <w:rPr>
          <w:rFonts w:ascii="Arial" w:hAnsi="Arial"/>
          <w:color w:val="000000"/>
          <w:sz w:val="22"/>
        </w:rPr>
        <w:t> </w:t>
      </w:r>
      <w:r>
        <w:rPr>
          <w:rFonts w:ascii="Arial" w:hAnsi="Arial"/>
          <w:color w:val="000000"/>
          <w:sz w:val="20"/>
        </w:rPr>
        <w:t>ending</w:t>
      </w:r>
      <w:r>
        <w:rPr>
          <w:rFonts w:ascii="Arial" w:hAnsi="Arial"/>
          <w:color w:val="000000"/>
          <w:sz w:val="22"/>
        </w:rPr>
        <w:t> </w:t>
      </w:r>
      <w:r>
        <w:rPr>
          <w:rFonts w:ascii="Arial" w:hAnsi="Arial"/>
          <w:strike/>
          <w:color w:val="B5082D"/>
          <w:sz w:val="20"/>
        </w:rPr>
        <w:t>31</w:t>
      </w:r>
      <w:r>
        <w:rPr>
          <w:rFonts w:ascii="Arial" w:hAnsi="Arial"/>
          <w:color w:val="B5082D"/>
          <w:sz w:val="22"/>
        </w:rPr>
        <w:t> </w:t>
      </w:r>
      <w:r>
        <w:rPr>
          <w:rFonts w:ascii="Arial" w:hAnsi="Arial"/>
          <w:strike/>
          <w:color w:val="B5082D"/>
          <w:sz w:val="20"/>
        </w:rPr>
        <w:t>March</w:t>
      </w:r>
      <w:r>
        <w:rPr>
          <w:rFonts w:ascii="Arial" w:hAnsi="Arial"/>
          <w:strike/>
          <w:color w:val="B5082D"/>
          <w:sz w:val="22"/>
        </w:rPr>
        <w:t> </w:t>
      </w:r>
      <w:r>
        <w:rPr>
          <w:rFonts w:ascii="Arial" w:hAnsi="Arial"/>
          <w:strike/>
          <w:color w:val="B5082D"/>
          <w:sz w:val="20"/>
        </w:rPr>
        <w:t>2025</w:t>
      </w:r>
      <w:r>
        <w:rPr>
          <w:rFonts w:ascii="Arial" w:hAnsi="Arial"/>
          <w:color w:val="2D97D3"/>
          <w:sz w:val="20"/>
          <w:u w:val="single"/>
        </w:rPr>
        <w:t>30</w:t>
      </w:r>
      <w:r>
        <w:rPr>
          <w:rFonts w:ascii="Arial" w:hAnsi="Arial"/>
          <w:color w:val="2D97D3"/>
          <w:sz w:val="22"/>
          <w:u w:val="single"/>
        </w:rPr>
        <w:t> </w:t>
      </w:r>
      <w:r>
        <w:rPr>
          <w:rFonts w:ascii="Arial" w:hAnsi="Arial"/>
          <w:color w:val="2D97D3"/>
          <w:sz w:val="20"/>
          <w:u w:val="single"/>
        </w:rPr>
        <w:t>June</w:t>
      </w:r>
      <w:r>
        <w:rPr>
          <w:rFonts w:ascii="Arial" w:hAnsi="Arial"/>
          <w:color w:val="2D97D3"/>
          <w:sz w:val="22"/>
          <w:u w:val="single"/>
        </w:rPr>
        <w:t> </w:t>
      </w:r>
      <w:r>
        <w:rPr>
          <w:rFonts w:ascii="Arial" w:hAnsi="Arial"/>
          <w:color w:val="2D97D3"/>
          <w:sz w:val="20"/>
          <w:u w:val="single"/>
        </w:rPr>
        <w:t>2025</w:t>
      </w:r>
      <w:r>
        <w:rPr>
          <w:rFonts w:ascii="Arial" w:hAnsi="Arial"/>
          <w:color w:val="2D97D3"/>
          <w:sz w:val="22"/>
        </w:rPr>
        <w:t> </w:t>
      </w:r>
      <w:r>
        <w:rPr>
          <w:rFonts w:ascii="Arial" w:hAnsi="Arial"/>
          <w:color w:val="000000"/>
          <w:sz w:val="20"/>
        </w:rPr>
        <w:t>and</w:t>
      </w:r>
      <w:r>
        <w:rPr>
          <w:rFonts w:ascii="Arial" w:hAnsi="Arial"/>
          <w:color w:val="000000"/>
          <w:sz w:val="22"/>
        </w:rPr>
        <w:t> </w:t>
      </w:r>
      <w:r>
        <w:rPr>
          <w:rFonts w:ascii="Arial" w:hAnsi="Arial"/>
          <w:color w:val="000000"/>
          <w:sz w:val="20"/>
        </w:rPr>
        <w:t>on</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last</w:t>
      </w:r>
      <w:r>
        <w:rPr>
          <w:rFonts w:ascii="Arial" w:hAnsi="Arial"/>
          <w:color w:val="000000"/>
          <w:sz w:val="22"/>
        </w:rPr>
        <w:t> </w:t>
      </w:r>
      <w:r>
        <w:rPr>
          <w:rFonts w:ascii="Arial" w:hAnsi="Arial"/>
          <w:color w:val="000000"/>
          <w:sz w:val="20"/>
        </w:rPr>
        <w:t>Business</w:t>
      </w:r>
      <w:r>
        <w:rPr>
          <w:rFonts w:ascii="Arial" w:hAnsi="Arial"/>
          <w:color w:val="000000"/>
          <w:sz w:val="22"/>
        </w:rPr>
        <w:t> </w:t>
      </w:r>
      <w:r>
        <w:rPr>
          <w:rFonts w:ascii="Arial" w:hAnsi="Arial"/>
          <w:color w:val="000000"/>
          <w:sz w:val="20"/>
        </w:rPr>
        <w:t>Day</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each</w:t>
      </w:r>
      <w:r>
        <w:rPr>
          <w:rFonts w:ascii="Arial" w:hAnsi="Arial"/>
          <w:color w:val="000000"/>
          <w:sz w:val="22"/>
        </w:rPr>
        <w:t> </w:t>
      </w:r>
      <w:r>
        <w:rPr>
          <w:rFonts w:ascii="Arial" w:hAnsi="Arial"/>
          <w:color w:val="000000"/>
          <w:sz w:val="20"/>
        </w:rPr>
        <w:t>Quarter thereafter until the Corporate Markets Loan Facility is repaid in full.</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(b)repay the Outstanding Accommodation in respect of each Facility on the Termination Date in respect of that Facility;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 xml:space="preserve">(c)subject to </w:t>
      </w:r>
      <w:r>
        <w:rPr>
          <w:rFonts w:ascii="Arial" w:hAnsi="Arial"/>
          <w:b/>
          <w:color w:val="000000"/>
          <w:sz w:val="20"/>
        </w:rPr>
        <w:t xml:space="preserve">clause </w:t>
      </w:r>
      <w:r>
        <w:rPr>
          <w:rFonts w:ascii="Arial" w:hAnsi="Arial"/>
          <w:b/>
          <w:color w:val="2D97D3"/>
          <w:sz w:val="20"/>
          <w:u w:val="single"/>
        </w:rPr>
        <w:t>5.8</w:t>
      </w:r>
      <w:r>
        <w:rPr>
          <w:rFonts w:ascii="Arial" w:hAnsi="Arial"/>
          <w:b/>
          <w:strike/>
          <w:color w:val="B5082D"/>
          <w:sz w:val="20"/>
        </w:rPr>
        <w:t>5.8</w:t>
      </w:r>
      <w:r>
        <w:rPr>
          <w:rFonts w:ascii="Arial" w:hAnsi="Arial"/>
          <w:color w:val="000000"/>
          <w:sz w:val="20"/>
        </w:rPr>
        <w:t>, and any other provision in a Transaction Document</w:t>
      </w:r>
      <w:r>
        <w:rPr>
          <w:rFonts w:ascii="Arial" w:hAnsi="Arial"/>
          <w:color w:val="000000"/>
          <w:sz w:val="22"/>
        </w:rPr>
        <w:t> </w:t>
      </w:r>
      <w:r>
        <w:rPr>
          <w:rFonts w:ascii="Arial" w:hAnsi="Arial"/>
          <w:color w:val="000000"/>
          <w:sz w:val="20"/>
        </w:rPr>
        <w:t>that</w:t>
      </w:r>
      <w:r>
        <w:rPr>
          <w:rFonts w:ascii="Arial" w:hAnsi="Arial"/>
          <w:color w:val="000000"/>
          <w:sz w:val="22"/>
        </w:rPr>
        <w:t> </w:t>
      </w:r>
      <w:r>
        <w:rPr>
          <w:rFonts w:ascii="Arial" w:hAnsi="Arial"/>
          <w:color w:val="000000"/>
          <w:sz w:val="20"/>
        </w:rPr>
        <w:t>provides</w:t>
      </w:r>
      <w:r>
        <w:rPr>
          <w:rFonts w:ascii="Arial" w:hAnsi="Arial"/>
          <w:color w:val="000000"/>
          <w:sz w:val="22"/>
        </w:rPr>
        <w:t> </w:t>
      </w:r>
      <w:r>
        <w:rPr>
          <w:rFonts w:ascii="Arial" w:hAnsi="Arial"/>
          <w:color w:val="000000"/>
          <w:sz w:val="20"/>
        </w:rPr>
        <w:t>otherwise,</w:t>
      </w:r>
      <w:r>
        <w:rPr>
          <w:rFonts w:ascii="Arial" w:hAnsi="Arial"/>
          <w:color w:val="000000"/>
          <w:sz w:val="22"/>
        </w:rPr>
        <w:t> </w:t>
      </w:r>
      <w:r>
        <w:rPr>
          <w:rFonts w:ascii="Arial" w:hAnsi="Arial"/>
          <w:color w:val="000000"/>
          <w:sz w:val="20"/>
        </w:rPr>
        <w:t>pay</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other</w:t>
      </w:r>
      <w:r>
        <w:rPr>
          <w:rFonts w:ascii="Arial" w:hAnsi="Arial"/>
          <w:color w:val="000000"/>
          <w:sz w:val="22"/>
        </w:rPr>
        <w:t> </w:t>
      </w:r>
      <w:r>
        <w:rPr>
          <w:rFonts w:ascii="Arial" w:hAnsi="Arial"/>
          <w:color w:val="000000"/>
          <w:sz w:val="20"/>
        </w:rPr>
        <w:t>amounts</w:t>
      </w:r>
      <w:r>
        <w:rPr>
          <w:rFonts w:ascii="Arial" w:hAnsi="Arial"/>
          <w:color w:val="000000"/>
          <w:sz w:val="22"/>
        </w:rPr>
        <w:t> </w:t>
      </w:r>
      <w:r>
        <w:rPr>
          <w:rFonts w:ascii="Arial" w:hAnsi="Arial"/>
          <w:color w:val="000000"/>
          <w:sz w:val="20"/>
        </w:rPr>
        <w:t>payable</w:t>
      </w:r>
      <w:r>
        <w:rPr>
          <w:rFonts w:ascii="Arial" w:hAnsi="Arial"/>
          <w:color w:val="000000"/>
          <w:sz w:val="22"/>
        </w:rPr>
        <w:t> </w:t>
      </w:r>
      <w:r>
        <w:rPr>
          <w:rFonts w:ascii="Arial" w:hAnsi="Arial"/>
          <w:color w:val="000000"/>
          <w:sz w:val="20"/>
        </w:rPr>
        <w:t>in connection</w:t>
      </w:r>
      <w:r>
        <w:rPr>
          <w:rFonts w:ascii="Arial" w:hAnsi="Arial"/>
          <w:color w:val="000000"/>
          <w:sz w:val="22"/>
        </w:rPr>
        <w:t> </w:t>
      </w:r>
      <w:r>
        <w:rPr>
          <w:rFonts w:ascii="Arial" w:hAnsi="Arial"/>
          <w:color w:val="000000"/>
          <w:sz w:val="20"/>
        </w:rPr>
        <w:t>with</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Transaction</w:t>
      </w:r>
      <w:r>
        <w:rPr>
          <w:rFonts w:ascii="Arial" w:hAnsi="Arial"/>
          <w:color w:val="000000"/>
          <w:sz w:val="22"/>
        </w:rPr>
        <w:t> </w:t>
      </w:r>
      <w:r>
        <w:rPr>
          <w:rFonts w:ascii="Arial" w:hAnsi="Arial"/>
          <w:color w:val="000000"/>
          <w:sz w:val="20"/>
        </w:rPr>
        <w:t>Documents,</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on</w:t>
      </w:r>
      <w:r>
        <w:rPr>
          <w:rFonts w:ascii="Arial" w:hAnsi="Arial"/>
          <w:color w:val="000000"/>
          <w:sz w:val="22"/>
        </w:rPr>
        <w:t> </w:t>
      </w:r>
      <w:r>
        <w:rPr>
          <w:rFonts w:ascii="Arial" w:hAnsi="Arial"/>
          <w:color w:val="000000"/>
          <w:sz w:val="20"/>
        </w:rPr>
        <w:t>demand.</w:t>
      </w:r>
      <w:r>
        <w:rPr>
          <w:rFonts w:ascii="Arial" w:hAnsi="Arial"/>
          <w:sz w:val="22"/>
        </w:rPr>
        <w:t xml:space="preserve"> </w:t>
      </w:r>
    </w:p>
    <w:tbl>
      <w:tblPr>
        <w:tblW w:w="3761" w:type="dxa"/>
        <w:jc w:val="left"/>
        <w:tblInd w:w="360" w:type="dxa"/>
        <w:tblLayout w:type="fixed"/>
        <w:tblCellMar>
          <w:top w:w="0" w:type="dxa"/>
          <w:left w:w="0" w:type="dxa"/>
          <w:bottom w:w="0" w:type="dxa"/>
          <w:right w:w="0" w:type="dxa"/>
        </w:tblCellMar>
      </w:tblPr>
      <w:tblGrid>
        <w:gridCol w:w="38"/>
        <w:gridCol w:w="560"/>
        <w:gridCol w:w="23"/>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11.6. </w:t>
            </w:r>
          </w:p>
        </w:tc>
        <w:tc>
          <w:tcPr>
            <w:tcW w:w="23" w:type="dxa"/>
            <w:tcBorders/>
            <w:vAlign w:val="center"/>
          </w:tcPr>
          <w:p>
            <w:pPr>
              <w:pStyle w:val="TableContents"/>
              <w:bidi w:val="0"/>
              <w:spacing w:before="0" w:after="283"/>
              <w:jc w:val="left"/>
              <w:rPr>
                <w:sz w:val="4"/>
                <w:szCs w:val="4"/>
              </w:rPr>
            </w:pPr>
            <w:r>
              <w:rPr>
                <w:sz w:val="4"/>
                <w:szCs w:val="4"/>
              </w:rPr>
            </w:r>
          </w:p>
        </w:tc>
        <w:tc>
          <w:tcPr>
            <w:tcW w:w="3140" w:type="dxa"/>
            <w:tcBorders/>
          </w:tcPr>
          <w:p>
            <w:pPr>
              <w:pStyle w:val="TableContents"/>
              <w:bidi w:val="0"/>
              <w:spacing w:before="174" w:after="0"/>
              <w:ind w:left="0" w:right="0" w:hanging="0"/>
              <w:jc w:val="left"/>
              <w:rPr>
                <w:rFonts w:ascii="Arial" w:hAnsi="Arial"/>
                <w:b/>
                <w:color w:val="000000"/>
                <w:sz w:val="22"/>
              </w:rPr>
            </w:pPr>
            <w:bookmarkStart w:id="198" w:name="Amounts_may_not_be_redrawn56"/>
            <w:bookmarkStart w:id="199" w:name="_TOC_250057"/>
            <w:bookmarkEnd w:id="198"/>
            <w:bookmarkEnd w:id="199"/>
            <w:r>
              <w:rPr>
                <w:rFonts w:ascii="Arial" w:hAnsi="Arial"/>
                <w:b/>
                <w:color w:val="000000"/>
                <w:sz w:val="22"/>
              </w:rPr>
              <w:t>Amounts may not be redrawn</w:t>
            </w:r>
          </w:p>
        </w:tc>
      </w:tr>
    </w:tbl>
    <w:p>
      <w:pPr>
        <w:pStyle w:val="TextBody"/>
        <w:bidi w:val="0"/>
        <w:spacing w:before="85" w:after="0"/>
        <w:ind w:left="360" w:right="3300" w:hanging="0"/>
        <w:jc w:val="center"/>
        <w:rPr>
          <w:rFonts w:ascii="Arial" w:hAnsi="Arial"/>
          <w:sz w:val="20"/>
        </w:rPr>
      </w:pPr>
      <w:r>
        <w:rPr>
          <w:rFonts w:ascii="Arial" w:hAnsi="Arial"/>
          <w:color w:val="000000"/>
          <w:sz w:val="20"/>
        </w:rPr>
        <w:t>Amounts repaid or prepaid: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(a)which form part of the Term Tranche;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 xml:space="preserve">(b)from the proceeds of the sale of the Cannon Park Property or the Waurn Ponds Property under </w:t>
      </w:r>
      <w:r>
        <w:rPr>
          <w:rFonts w:ascii="Arial" w:hAnsi="Arial"/>
          <w:b/>
          <w:color w:val="000000"/>
          <w:sz w:val="20"/>
        </w:rPr>
        <w:t>clause 5.4(b)(ii)</w:t>
      </w:r>
      <w:r>
        <w:rPr>
          <w:rFonts w:ascii="Arial" w:hAnsi="Arial"/>
          <w:color w:val="000000"/>
          <w:sz w:val="20"/>
        </w:rPr>
        <w:t>,</w:t>
      </w:r>
      <w:r>
        <w:rPr>
          <w:rFonts w:ascii="Arial" w:hAnsi="Arial"/>
          <w:sz w:val="20"/>
        </w:rPr>
        <w:t xml:space="preserve"> </w:t>
      </w:r>
    </w:p>
    <w:p>
      <w:pPr>
        <w:pStyle w:val="TextBody"/>
        <w:pBdr/>
        <w:bidi w:val="0"/>
        <w:spacing w:lineRule="auto" w:line="264" w:before="111" w:after="0"/>
        <w:ind w:left="3456" w:right="1854" w:hanging="0"/>
        <w:jc w:val="left"/>
        <w:rPr>
          <w:rFonts w:ascii="Arial" w:hAnsi="Arial"/>
          <w:sz w:val="20"/>
        </w:rPr>
      </w:pPr>
      <w:r>
        <w:rPr>
          <w:rFonts w:ascii="Arial" w:hAnsi="Arial"/>
          <w:color w:val="000000"/>
          <w:sz w:val="20"/>
        </w:rPr>
        <w:t>may not be redrawn, and the Facility Limit in respect of the Corporate Markets Loan Facility or the Bridge Facility (as applicable) will be reduced by the aggregate amount of such repayments or prepayments.</w:t>
      </w:r>
      <w:r>
        <w:rPr>
          <w:rFonts w:ascii="Arial" w:hAnsi="Arial"/>
          <w:sz w:val="20"/>
        </w:rPr>
        <w:t xml:space="preserve"> </w:t>
      </w:r>
    </w:p>
    <w:p>
      <w:pPr>
        <w:pStyle w:val="TextBody"/>
        <w:pBdr/>
        <w:bidi w:val="0"/>
        <w:spacing w:lineRule="auto" w:line="264"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29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29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0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1" descr=""/>
                    <pic:cNvPicPr>
                      <a:picLocks noChangeAspect="1" noChangeArrowheads="1"/>
                    </pic:cNvPicPr>
                  </pic:nvPicPr>
                  <pic:blipFill>
                    <a:blip r:embed="rId10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0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2" descr=""/>
                    <pic:cNvPicPr>
                      <a:picLocks noChangeAspect="1" noChangeArrowheads="1"/>
                    </pic:cNvPicPr>
                  </pic:nvPicPr>
                  <pic:blipFill>
                    <a:blip r:embed="rId10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72" w:after="0"/>
        <w:ind w:left="360" w:right="360" w:hanging="0"/>
        <w:jc w:val="left"/>
        <w:rPr>
          <w:rFonts w:cs="Arial"/>
          <w:szCs w:val="22"/>
        </w:rPr>
      </w:pPr>
      <w:r>
        <w:rPr>
          <w:rFonts w:cs="Arial"/>
          <w:szCs w:val="22"/>
        </w:rPr>
        <w:t xml:space="preserve">﻿ </w:t>
      </w:r>
    </w:p>
    <w:tbl>
      <w:tblPr>
        <w:tblW w:w="8306" w:type="dxa"/>
        <w:jc w:val="left"/>
        <w:tblInd w:w="360" w:type="dxa"/>
        <w:tblLayout w:type="fixed"/>
        <w:tblCellMar>
          <w:top w:w="0" w:type="dxa"/>
          <w:left w:w="0" w:type="dxa"/>
          <w:bottom w:w="0" w:type="dxa"/>
          <w:right w:w="0" w:type="dxa"/>
        </w:tblCellMar>
      </w:tblPr>
      <w:tblGrid>
        <w:gridCol w:w="38"/>
        <w:gridCol w:w="560"/>
        <w:gridCol w:w="23"/>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11.7. </w:t>
            </w:r>
          </w:p>
        </w:tc>
        <w:tc>
          <w:tcPr>
            <w:tcW w:w="23" w:type="dxa"/>
            <w:tcBorders/>
            <w:vAlign w:val="center"/>
          </w:tcPr>
          <w:p>
            <w:pPr>
              <w:pStyle w:val="TableContents"/>
              <w:bidi w:val="0"/>
              <w:spacing w:before="0" w:after="283"/>
              <w:jc w:val="left"/>
              <w:rPr>
                <w:sz w:val="4"/>
                <w:szCs w:val="4"/>
              </w:rPr>
            </w:pPr>
            <w:r>
              <w:rPr>
                <w:sz w:val="4"/>
                <w:szCs w:val="4"/>
              </w:rPr>
            </w:r>
          </w:p>
        </w:tc>
        <w:tc>
          <w:tcPr>
            <w:tcW w:w="7685" w:type="dxa"/>
            <w:tcBorders/>
          </w:tcPr>
          <w:p>
            <w:pPr>
              <w:pStyle w:val="TableContents"/>
              <w:bidi w:val="0"/>
              <w:spacing w:before="174" w:after="0"/>
              <w:ind w:left="0" w:right="0" w:hanging="0"/>
              <w:jc w:val="left"/>
              <w:rPr>
                <w:rFonts w:ascii="Arial" w:hAnsi="Arial"/>
                <w:b/>
                <w:color w:val="000000"/>
                <w:sz w:val="22"/>
              </w:rPr>
            </w:pPr>
            <w:r>
              <w:rPr>
                <w:rFonts w:ascii="Arial" w:hAnsi="Arial"/>
                <w:b/>
                <w:color w:val="000000"/>
                <w:sz w:val="22"/>
              </w:rPr>
              <w:t>Release of Cannon Park Property on Cannon Park Property Release Date</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(a)On the Cannon Park Property Release Date, the Bank releases and discharges the registered freehold mortgage over Cannon Park Property 719329379 dated 27 March 2019 granted by Reading Cannon Park Pty Ltd in favour of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 xml:space="preserve">(b)Subject to this </w:t>
      </w:r>
      <w:r>
        <w:rPr>
          <w:rFonts w:ascii="Arial" w:hAnsi="Arial"/>
          <w:b/>
          <w:color w:val="000000"/>
          <w:sz w:val="20"/>
        </w:rPr>
        <w:t>clause 5.7</w:t>
      </w:r>
      <w:r>
        <w:rPr>
          <w:rFonts w:ascii="Arial" w:hAnsi="Arial"/>
          <w:color w:val="000000"/>
          <w:sz w:val="20"/>
        </w:rPr>
        <w:t>, each Transaction Party acknowledges and agrees that nothing in this document or any other Transaction Document terminates, releases or otherwise affects any other Collateral Security granted by a Transaction Party under a Transaction Document.</w:t>
      </w:r>
      <w:r>
        <w:rPr>
          <w:rFonts w:ascii="Arial" w:hAnsi="Arial"/>
          <w:sz w:val="20"/>
        </w:rPr>
        <w:t xml:space="preserve"> </w:t>
      </w:r>
    </w:p>
    <w:tbl>
      <w:tblPr>
        <w:tblW w:w="8426" w:type="dxa"/>
        <w:jc w:val="left"/>
        <w:tblInd w:w="360" w:type="dxa"/>
        <w:tblLayout w:type="fixed"/>
        <w:tblCellMar>
          <w:top w:w="0" w:type="dxa"/>
          <w:left w:w="0" w:type="dxa"/>
          <w:bottom w:w="0" w:type="dxa"/>
          <w:right w:w="0" w:type="dxa"/>
        </w:tblCellMar>
      </w:tblPr>
      <w:tblGrid>
        <w:gridCol w:w="38"/>
        <w:gridCol w:w="560"/>
        <w:gridCol w:w="23"/>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11.8. </w:t>
            </w:r>
          </w:p>
        </w:tc>
        <w:tc>
          <w:tcPr>
            <w:tcW w:w="23" w:type="dxa"/>
            <w:tcBorders/>
            <w:vAlign w:val="center"/>
          </w:tcPr>
          <w:p>
            <w:pPr>
              <w:pStyle w:val="TableContents"/>
              <w:bidi w:val="0"/>
              <w:spacing w:before="0" w:after="283"/>
              <w:jc w:val="left"/>
              <w:rPr>
                <w:sz w:val="4"/>
                <w:szCs w:val="4"/>
              </w:rPr>
            </w:pPr>
            <w:r>
              <w:rPr>
                <w:sz w:val="4"/>
                <w:szCs w:val="4"/>
              </w:rPr>
            </w:r>
          </w:p>
        </w:tc>
        <w:tc>
          <w:tcPr>
            <w:tcW w:w="7805" w:type="dxa"/>
            <w:tcBorders/>
          </w:tcPr>
          <w:p>
            <w:pPr>
              <w:pStyle w:val="TableContents"/>
              <w:bidi w:val="0"/>
              <w:spacing w:before="174" w:after="0"/>
              <w:ind w:left="0" w:right="0" w:hanging="0"/>
              <w:jc w:val="left"/>
              <w:rPr>
                <w:rFonts w:ascii="Arial" w:hAnsi="Arial"/>
                <w:b/>
                <w:color w:val="000000"/>
                <w:sz w:val="22"/>
              </w:rPr>
            </w:pPr>
            <w:r>
              <w:rPr>
                <w:rFonts w:ascii="Arial" w:hAnsi="Arial"/>
                <w:b/>
                <w:color w:val="000000"/>
                <w:sz w:val="22"/>
              </w:rPr>
              <w:t>Release of Waurn Ponds Property on Waurn Ponds Property Release Date</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(a)On the Waurn Ponds Property Release Date, the Bank releases and discharges the registered caveat AJ188641H with respect to the leasehold mortgage over the Waurn Ponds Property dated 12 September 2011 granted by Reading Cinemas Pty Ltd, in favour of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 xml:space="preserve">(b)Subject to this </w:t>
      </w:r>
      <w:r>
        <w:rPr>
          <w:rFonts w:ascii="Arial" w:hAnsi="Arial"/>
          <w:b/>
          <w:color w:val="000000"/>
          <w:sz w:val="20"/>
        </w:rPr>
        <w:t>clause 5.8</w:t>
      </w:r>
      <w:r>
        <w:rPr>
          <w:rFonts w:ascii="Arial" w:hAnsi="Arial"/>
          <w:color w:val="000000"/>
          <w:sz w:val="20"/>
        </w:rPr>
        <w:t>, each Transaction Party acknowledges and agrees that nothing else in this document or any other Transaction Document terminates, releases or otherwise affects any other Collateral Security granted by a Transaction Party under a Transaction Document.</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7" w:after="0"/>
        <w:ind w:left="360" w:right="360" w:hanging="0"/>
        <w:jc w:val="left"/>
        <w:rPr>
          <w:rFonts w:cs="Arial"/>
          <w:szCs w:val="20"/>
        </w:rPr>
      </w:pPr>
      <w:r>
        <w:rPr>
          <w:rFonts w:cs="Arial"/>
          <w:color w:val="000000"/>
          <w:szCs w:val="20"/>
        </w:rPr>
        <w:t>﻿</w:t>
      </w:r>
      <w:r>
        <w:rPr>
          <w:rFonts w:cs="Arial"/>
          <w:szCs w:val="20"/>
        </w:rPr>
        <w:t xml:space="preserve"> </w:t>
      </w:r>
    </w:p>
    <w:tbl>
      <w:tblPr>
        <w:tblW w:w="2891" w:type="dxa"/>
        <w:jc w:val="left"/>
        <w:tblInd w:w="360" w:type="dxa"/>
        <w:tblLayout w:type="fixed"/>
        <w:tblCellMar>
          <w:top w:w="0" w:type="dxa"/>
          <w:left w:w="0" w:type="dxa"/>
          <w:bottom w:w="0" w:type="dxa"/>
          <w:right w:w="0" w:type="dxa"/>
        </w:tblCellMar>
      </w:tblPr>
      <w:tblGrid>
        <w:gridCol w:w="38"/>
        <w:gridCol w:w="530"/>
        <w:gridCol w:w="23"/>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12. </w:t>
            </w:r>
          </w:p>
        </w:tc>
        <w:tc>
          <w:tcPr>
            <w:tcW w:w="23" w:type="dxa"/>
            <w:tcBorders/>
            <w:vAlign w:val="center"/>
          </w:tcPr>
          <w:p>
            <w:pPr>
              <w:pStyle w:val="TableContents"/>
              <w:bidi w:val="0"/>
              <w:spacing w:before="0" w:after="283"/>
              <w:jc w:val="left"/>
              <w:rPr>
                <w:sz w:val="4"/>
                <w:szCs w:val="4"/>
              </w:rPr>
            </w:pPr>
            <w:r>
              <w:rPr>
                <w:sz w:val="4"/>
                <w:szCs w:val="4"/>
              </w:rPr>
            </w:r>
          </w:p>
        </w:tc>
        <w:tc>
          <w:tcPr>
            <w:tcW w:w="2300" w:type="dxa"/>
            <w:tcBorders/>
          </w:tcPr>
          <w:p>
            <w:pPr>
              <w:pStyle w:val="TableContents"/>
              <w:bidi w:val="0"/>
              <w:spacing w:before="0" w:after="0"/>
              <w:ind w:left="0" w:right="0" w:hanging="0"/>
              <w:jc w:val="left"/>
              <w:rPr>
                <w:rFonts w:ascii="Arial" w:hAnsi="Arial"/>
                <w:color w:val="000000"/>
                <w:sz w:val="30"/>
              </w:rPr>
            </w:pPr>
            <w:bookmarkStart w:id="200" w:name="Interest_and_fees6"/>
            <w:bookmarkStart w:id="201" w:name="_TOC_250056"/>
            <w:bookmarkEnd w:id="200"/>
            <w:bookmarkEnd w:id="201"/>
            <w:r>
              <w:rPr>
                <w:rFonts w:ascii="Arial" w:hAnsi="Arial"/>
                <w:color w:val="000000"/>
                <w:sz w:val="30"/>
              </w:rPr>
              <w:t>Interest and fees</w:t>
            </w:r>
          </w:p>
        </w:tc>
      </w:tr>
    </w:tbl>
    <w:tbl>
      <w:tblPr>
        <w:tblW w:w="2276" w:type="dxa"/>
        <w:jc w:val="left"/>
        <w:tblInd w:w="360" w:type="dxa"/>
        <w:tblLayout w:type="fixed"/>
        <w:tblCellMar>
          <w:top w:w="0" w:type="dxa"/>
          <w:left w:w="0" w:type="dxa"/>
          <w:bottom w:w="0" w:type="dxa"/>
          <w:right w:w="0" w:type="dxa"/>
        </w:tblCellMar>
      </w:tblPr>
      <w:tblGrid>
        <w:gridCol w:w="38"/>
        <w:gridCol w:w="560"/>
        <w:gridCol w:w="23"/>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12.1. </w:t>
            </w:r>
          </w:p>
        </w:tc>
        <w:tc>
          <w:tcPr>
            <w:tcW w:w="23" w:type="dxa"/>
            <w:tcBorders/>
            <w:vAlign w:val="center"/>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174" w:after="0"/>
              <w:ind w:left="0" w:right="0" w:hanging="0"/>
              <w:jc w:val="left"/>
              <w:rPr>
                <w:rFonts w:ascii="Arial" w:hAnsi="Arial"/>
                <w:b/>
                <w:color w:val="000000"/>
                <w:sz w:val="22"/>
              </w:rPr>
            </w:pPr>
            <w:bookmarkStart w:id="202" w:name="Pricing_Periods61"/>
            <w:bookmarkStart w:id="203" w:name="_TOC_250055"/>
            <w:bookmarkEnd w:id="202"/>
            <w:bookmarkEnd w:id="203"/>
            <w:r>
              <w:rPr>
                <w:rFonts w:ascii="Arial" w:hAnsi="Arial"/>
                <w:b/>
                <w:color w:val="000000"/>
                <w:sz w:val="22"/>
              </w:rPr>
              <w:t>Pricing Periods</w:t>
            </w:r>
          </w:p>
        </w:tc>
      </w:tr>
    </w:tbl>
    <w:p>
      <w:pPr>
        <w:pStyle w:val="TextBody"/>
        <w:bidi w:val="0"/>
        <w:spacing w:lineRule="auto" w:line="264" w:before="107" w:after="0"/>
        <w:ind w:left="3983" w:right="1956" w:hanging="0"/>
        <w:jc w:val="left"/>
        <w:rPr>
          <w:rFonts w:ascii="Arial" w:hAnsi="Arial"/>
          <w:sz w:val="22"/>
        </w:rPr>
      </w:pPr>
      <w:r>
        <w:rPr>
          <w:rFonts w:ascii="Arial" w:hAnsi="Arial"/>
          <w:color w:val="000000"/>
          <w:sz w:val="20"/>
        </w:rPr>
        <w:t>(a)Subject</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6.1</w:t>
      </w:r>
      <w:r>
        <w:rPr>
          <w:rFonts w:ascii="Arial" w:hAnsi="Arial"/>
          <w:b/>
          <w:strike/>
          <w:color w:val="B5082D"/>
          <w:sz w:val="20"/>
        </w:rPr>
        <w:t>6.1</w:t>
      </w:r>
      <w:r>
        <w:rPr>
          <w:rFonts w:ascii="Arial" w:hAnsi="Arial"/>
          <w:b/>
          <w:color w:val="2D97D3"/>
          <w:sz w:val="20"/>
          <w:u w:val="single"/>
        </w:rPr>
        <w:t>(c)</w:t>
      </w:r>
      <w:r>
        <w:rPr>
          <w:rFonts w:ascii="Arial" w:hAnsi="Arial"/>
          <w:b/>
          <w:strike/>
          <w:color w:val="B5082D"/>
          <w:sz w:val="20"/>
        </w:rPr>
        <w:t>(c)</w:t>
      </w:r>
      <w:r>
        <w:rPr>
          <w:rFonts w:ascii="Arial" w:hAnsi="Arial"/>
          <w:color w:val="000000"/>
          <w:sz w:val="20"/>
        </w:rPr>
        <w:t>,</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Pricing</w:t>
      </w:r>
      <w:r>
        <w:rPr>
          <w:rFonts w:ascii="Arial" w:hAnsi="Arial"/>
          <w:color w:val="000000"/>
          <w:sz w:val="22"/>
        </w:rPr>
        <w:t> </w:t>
      </w:r>
      <w:r>
        <w:rPr>
          <w:rFonts w:ascii="Arial" w:hAnsi="Arial"/>
          <w:color w:val="000000"/>
          <w:sz w:val="20"/>
        </w:rPr>
        <w:t>Period</w:t>
      </w:r>
      <w:r>
        <w:rPr>
          <w:rFonts w:ascii="Arial" w:hAnsi="Arial"/>
          <w:color w:val="000000"/>
          <w:sz w:val="22"/>
        </w:rPr>
        <w:t> </w:t>
      </w:r>
      <w:r>
        <w:rPr>
          <w:rFonts w:ascii="Arial" w:hAnsi="Arial"/>
          <w:color w:val="000000"/>
          <w:sz w:val="20"/>
        </w:rPr>
        <w:t>for</w:t>
      </w:r>
      <w:r>
        <w:rPr>
          <w:rFonts w:ascii="Arial" w:hAnsi="Arial"/>
          <w:color w:val="000000"/>
          <w:sz w:val="22"/>
        </w:rPr>
        <w:t> </w:t>
      </w:r>
      <w:r>
        <w:rPr>
          <w:rFonts w:ascii="Arial" w:hAnsi="Arial"/>
          <w:color w:val="000000"/>
          <w:sz w:val="20"/>
        </w:rPr>
        <w:t>each</w:t>
      </w:r>
      <w:r>
        <w:rPr>
          <w:rFonts w:ascii="Arial" w:hAnsi="Arial"/>
          <w:color w:val="000000"/>
          <w:sz w:val="22"/>
        </w:rPr>
        <w:t> </w:t>
      </w:r>
      <w:r>
        <w:rPr>
          <w:rFonts w:ascii="Arial" w:hAnsi="Arial"/>
          <w:color w:val="000000"/>
          <w:sz w:val="20"/>
        </w:rPr>
        <w:t>Advance</w:t>
      </w:r>
      <w:r>
        <w:rPr>
          <w:rFonts w:ascii="Arial" w:hAnsi="Arial"/>
          <w:color w:val="000000"/>
          <w:sz w:val="22"/>
        </w:rPr>
        <w:t> </w:t>
      </w:r>
      <w:r>
        <w:rPr>
          <w:rFonts w:ascii="Arial" w:hAnsi="Arial"/>
          <w:color w:val="000000"/>
          <w:sz w:val="20"/>
        </w:rPr>
        <w:t>must be a period of</w:t>
      </w:r>
      <w:r>
        <w:rPr>
          <w:rFonts w:ascii="Arial" w:hAnsi="Arial"/>
          <w:color w:val="000000"/>
          <w:sz w:val="22"/>
        </w:rPr>
        <w:t> </w:t>
      </w:r>
      <w:r>
        <w:rPr>
          <w:rFonts w:ascii="Arial" w:hAnsi="Arial"/>
          <w:color w:val="000000"/>
          <w:sz w:val="20"/>
        </w:rPr>
        <w:t>30,</w:t>
      </w:r>
      <w:r>
        <w:rPr>
          <w:rFonts w:ascii="Arial" w:hAnsi="Arial"/>
          <w:color w:val="000000"/>
          <w:sz w:val="22"/>
        </w:rPr>
        <w:t> </w:t>
      </w:r>
      <w:r>
        <w:rPr>
          <w:rFonts w:ascii="Arial" w:hAnsi="Arial"/>
          <w:color w:val="000000"/>
          <w:sz w:val="20"/>
        </w:rPr>
        <w:t>60 or 90 days or six Months or another period agreed by the Bank.</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 xml:space="preserve">(b)Subject to </w:t>
      </w:r>
      <w:r>
        <w:rPr>
          <w:rFonts w:ascii="Arial" w:hAnsi="Arial"/>
          <w:b/>
          <w:color w:val="000000"/>
          <w:sz w:val="20"/>
        </w:rPr>
        <w:t>clause</w:t>
      </w:r>
      <w:r>
        <w:rPr>
          <w:rFonts w:ascii="Arial" w:hAnsi="Arial"/>
          <w:color w:val="000000"/>
          <w:sz w:val="20"/>
        </w:rPr>
        <w:t> </w:t>
      </w:r>
      <w:r>
        <w:rPr>
          <w:rFonts w:ascii="Arial" w:hAnsi="Arial"/>
          <w:b/>
          <w:color w:val="2D97D3"/>
          <w:sz w:val="20"/>
          <w:u w:val="single"/>
        </w:rPr>
        <w:t>6.1</w:t>
      </w:r>
      <w:r>
        <w:rPr>
          <w:rFonts w:ascii="Arial" w:hAnsi="Arial"/>
          <w:b/>
          <w:strike/>
          <w:color w:val="B5082D"/>
          <w:sz w:val="20"/>
        </w:rPr>
        <w:t>6.1</w:t>
      </w:r>
      <w:r>
        <w:rPr>
          <w:rFonts w:ascii="Arial" w:hAnsi="Arial"/>
          <w:b/>
          <w:color w:val="2D97D3"/>
          <w:sz w:val="20"/>
          <w:u w:val="single"/>
        </w:rPr>
        <w:t>(c)</w:t>
      </w:r>
      <w:r>
        <w:rPr>
          <w:rFonts w:ascii="Arial" w:hAnsi="Arial"/>
          <w:b/>
          <w:strike/>
          <w:color w:val="B5082D"/>
          <w:sz w:val="20"/>
        </w:rPr>
        <w:t>(c)</w:t>
      </w:r>
      <w:r>
        <w:rPr>
          <w:rFonts w:ascii="Arial" w:hAnsi="Arial"/>
          <w:color w:val="000000"/>
          <w:sz w:val="20"/>
        </w:rPr>
        <w:t>, the first Pricing Period for an Advance commences on its Funding Date and will have the duration specified in the relevant Funding Notice. Each subsequent Pricing Period for the Advance:</w:t>
      </w:r>
      <w:r>
        <w:rPr>
          <w:rFonts w:ascii="Arial" w:hAnsi="Arial"/>
          <w:sz w:val="20"/>
        </w:rPr>
        <w:t xml:space="preserve"> </w:t>
      </w:r>
    </w:p>
    <w:p>
      <w:pPr>
        <w:pStyle w:val="TextBody"/>
        <w:bidi w:val="0"/>
        <w:spacing w:lineRule="auto" w:line="264" w:before="110" w:after="0"/>
        <w:ind w:left="4540" w:right="2051" w:hanging="0"/>
        <w:jc w:val="left"/>
        <w:rPr>
          <w:rFonts w:ascii="Arial" w:hAnsi="Arial"/>
          <w:sz w:val="20"/>
        </w:rPr>
      </w:pPr>
      <w:r>
        <w:rPr>
          <w:rFonts w:ascii="Arial" w:hAnsi="Arial"/>
          <w:color w:val="000000"/>
          <w:sz w:val="20"/>
        </w:rPr>
        <w:t>(i)commences on the day after the preceding Pricing Period for the Advance expires; and</w:t>
      </w:r>
      <w:r>
        <w:rPr>
          <w:rFonts w:ascii="Arial" w:hAnsi="Arial"/>
          <w:sz w:val="20"/>
        </w:rPr>
        <w:t xml:space="preserve"> </w:t>
      </w:r>
    </w:p>
    <w:p>
      <w:pPr>
        <w:pStyle w:val="TextBody"/>
        <w:bidi w:val="0"/>
        <w:spacing w:lineRule="auto" w:line="264" w:before="111" w:after="0"/>
        <w:ind w:left="4540" w:right="1898" w:hanging="0"/>
        <w:jc w:val="left"/>
        <w:rPr>
          <w:rFonts w:ascii="Arial" w:hAnsi="Arial"/>
          <w:sz w:val="20"/>
        </w:rPr>
      </w:pPr>
      <w:r>
        <w:rPr>
          <w:rFonts w:ascii="Arial" w:hAnsi="Arial"/>
          <w:color w:val="000000"/>
          <w:sz w:val="20"/>
        </w:rPr>
        <w:t>(ii)is a period notified by the Borrower to the Bank at least two Business Days before the last day of the current Pricing Period, but if the Borrower does not give notice, is of the same duration as the Pricing Period which immediately precedes it.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(c)A Pricing Period:</w:t>
      </w:r>
      <w:r>
        <w:rPr>
          <w:rFonts w:ascii="Arial" w:hAnsi="Arial"/>
          <w:sz w:val="20"/>
        </w:rPr>
        <w:t xml:space="preserve"> </w:t>
      </w:r>
    </w:p>
    <w:p>
      <w:pPr>
        <w:pStyle w:val="TextBody"/>
        <w:bidi w:val="0"/>
        <w:spacing w:lineRule="auto" w:line="264" w:before="135" w:after="0"/>
        <w:ind w:left="4540" w:right="1927" w:hanging="0"/>
        <w:jc w:val="left"/>
        <w:rPr>
          <w:rFonts w:ascii="Arial" w:hAnsi="Arial"/>
          <w:sz w:val="20"/>
        </w:rPr>
      </w:pPr>
      <w:r>
        <w:rPr>
          <w:rFonts w:ascii="Arial" w:hAnsi="Arial"/>
          <w:color w:val="000000"/>
          <w:sz w:val="20"/>
        </w:rPr>
        <w:t>(i)which would otherwise end on a day which is not a Business Day ends on the next Business Day and a Pricing Period which would otherwise end after the Termination Date ends on the Termination Date. For the avoidance of doubt, if a Pricing Period ends on a</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0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3" descr=""/>
                    <pic:cNvPicPr>
                      <a:picLocks noChangeAspect="1" noChangeArrowheads="1"/>
                    </pic:cNvPicPr>
                  </pic:nvPicPr>
                  <pic:blipFill>
                    <a:blip r:embed="rId10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0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4" descr=""/>
                    <pic:cNvPicPr>
                      <a:picLocks noChangeAspect="1" noChangeArrowheads="1"/>
                    </pic:cNvPicPr>
                  </pic:nvPicPr>
                  <pic:blipFill>
                    <a:blip r:embed="rId10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4" w:before="0" w:after="0"/>
        <w:ind w:left="4540" w:right="1854" w:hanging="0"/>
        <w:jc w:val="left"/>
        <w:rPr>
          <w:rFonts w:ascii="Arial" w:hAnsi="Arial"/>
          <w:sz w:val="20"/>
        </w:rPr>
      </w:pPr>
      <w:r>
        <w:rPr>
          <w:rFonts w:ascii="Arial" w:hAnsi="Arial"/>
          <w:sz w:val="20"/>
        </w:rPr>
        <w:t>day that is not followed by a Business Day, the Bank may extend that Pricing Period accordingly (except where this would be contrary to </w:t>
      </w:r>
      <w:r>
        <w:rPr>
          <w:rFonts w:ascii="Arial" w:hAnsi="Arial"/>
          <w:b/>
          <w:sz w:val="20"/>
        </w:rPr>
        <w:t>clause</w:t>
      </w:r>
      <w:r>
        <w:rPr>
          <w:rFonts w:ascii="Arial" w:hAnsi="Arial"/>
          <w:sz w:val="20"/>
        </w:rPr>
        <w:t> </w:t>
      </w:r>
      <w:r>
        <w:rPr>
          <w:rFonts w:ascii="Arial" w:hAnsi="Arial"/>
          <w:b/>
          <w:color w:val="2D97D3"/>
          <w:sz w:val="20"/>
          <w:u w:val="single"/>
        </w:rPr>
        <w:t>6.1</w:t>
      </w:r>
      <w:r>
        <w:rPr>
          <w:rFonts w:ascii="Arial" w:hAnsi="Arial"/>
          <w:b/>
          <w:strike/>
          <w:color w:val="B5082D"/>
          <w:sz w:val="20"/>
        </w:rPr>
        <w:t>6.1</w:t>
      </w:r>
      <w:r>
        <w:rPr>
          <w:rFonts w:ascii="Arial" w:hAnsi="Arial"/>
          <w:b/>
          <w:color w:val="2D97D3"/>
          <w:sz w:val="20"/>
          <w:u w:val="single"/>
        </w:rPr>
        <w:t>(c)</w:t>
      </w:r>
      <w:r>
        <w:rPr>
          <w:rFonts w:ascii="Arial" w:hAnsi="Arial"/>
          <w:b/>
          <w:strike/>
          <w:color w:val="B5082D"/>
          <w:sz w:val="20"/>
        </w:rPr>
        <w:t>(c)</w:t>
      </w:r>
      <w:r>
        <w:rPr>
          <w:rFonts w:ascii="Arial" w:hAnsi="Arial"/>
          <w:b/>
          <w:color w:val="2D97D3"/>
          <w:sz w:val="20"/>
          <w:u w:val="single"/>
        </w:rPr>
        <w:t>(ii)</w:t>
      </w:r>
      <w:r>
        <w:rPr>
          <w:rFonts w:ascii="Arial" w:hAnsi="Arial"/>
          <w:b/>
          <w:strike/>
          <w:color w:val="B5082D"/>
          <w:sz w:val="20"/>
        </w:rPr>
        <w:t>(ii)</w:t>
      </w:r>
      <w:r>
        <w:rPr>
          <w:rFonts w:ascii="Arial" w:hAnsi="Arial"/>
          <w:sz w:val="20"/>
        </w:rPr>
        <w:t xml:space="preserve">, in which case the Bank may shorten the Pricing Period); and </w:t>
      </w:r>
    </w:p>
    <w:p>
      <w:pPr>
        <w:pStyle w:val="TextBody"/>
        <w:bidi w:val="0"/>
        <w:spacing w:before="112" w:after="0"/>
        <w:ind w:left="4539" w:right="360" w:hanging="0"/>
        <w:jc w:val="left"/>
        <w:rPr>
          <w:rFonts w:ascii="Arial" w:hAnsi="Arial"/>
          <w:sz w:val="20"/>
        </w:rPr>
      </w:pPr>
      <w:r>
        <w:rPr>
          <w:rFonts w:ascii="Arial" w:hAnsi="Arial"/>
          <w:sz w:val="20"/>
        </w:rPr>
        <w:t xml:space="preserve">(ii)May be adjusted by the Bank where necessary so that: </w:t>
      </w:r>
    </w:p>
    <w:p>
      <w:pPr>
        <w:pStyle w:val="TextBody"/>
        <w:bidi w:val="0"/>
        <w:spacing w:before="135" w:after="0"/>
        <w:ind w:left="5053" w:right="360" w:hanging="0"/>
        <w:jc w:val="left"/>
        <w:rPr>
          <w:rFonts w:ascii="Arial" w:hAnsi="Arial"/>
          <w:sz w:val="20"/>
        </w:rPr>
      </w:pPr>
      <w:r>
        <w:rPr>
          <w:rFonts w:ascii="Arial" w:hAnsi="Arial"/>
          <w:sz w:val="20"/>
        </w:rPr>
        <w:t xml:space="preserve">(A)a Pricing Period starts on a Business Day; </w:t>
      </w:r>
    </w:p>
    <w:p>
      <w:pPr>
        <w:pStyle w:val="TextBody"/>
        <w:bidi w:val="0"/>
        <w:spacing w:before="139" w:after="0"/>
        <w:ind w:left="5053" w:right="360" w:hanging="0"/>
        <w:jc w:val="left"/>
        <w:rPr>
          <w:rFonts w:ascii="Arial" w:hAnsi="Arial"/>
          <w:sz w:val="20"/>
        </w:rPr>
      </w:pPr>
      <w:r>
        <w:rPr>
          <w:rFonts w:ascii="Arial" w:hAnsi="Arial"/>
          <w:sz w:val="20"/>
        </w:rPr>
        <w:t xml:space="preserve">(B)all Advances will have the same Pricing Period; </w:t>
      </w:r>
    </w:p>
    <w:p>
      <w:pPr>
        <w:pStyle w:val="TextBody"/>
        <w:bidi w:val="0"/>
        <w:spacing w:lineRule="auto" w:line="264" w:before="135" w:after="0"/>
        <w:ind w:left="5054" w:right="2187" w:hanging="0"/>
        <w:jc w:val="left"/>
        <w:rPr>
          <w:rFonts w:ascii="Arial" w:hAnsi="Arial"/>
          <w:sz w:val="20"/>
        </w:rPr>
      </w:pPr>
      <w:r>
        <w:rPr>
          <w:rFonts w:ascii="Arial" w:hAnsi="Arial"/>
          <w:sz w:val="20"/>
        </w:rPr>
        <w:t xml:space="preserve">(C)a Pricing Period does not end after the Termination Date; and </w:t>
      </w:r>
    </w:p>
    <w:p>
      <w:pPr>
        <w:pStyle w:val="TextBody"/>
        <w:bidi w:val="0"/>
        <w:spacing w:lineRule="auto" w:line="264" w:before="111" w:after="0"/>
        <w:ind w:left="5054" w:right="1925" w:hanging="0"/>
        <w:jc w:val="left"/>
        <w:rPr>
          <w:rFonts w:ascii="Arial" w:hAnsi="Arial"/>
          <w:sz w:val="20"/>
        </w:rPr>
      </w:pPr>
      <w:r>
        <w:rPr>
          <w:rFonts w:ascii="Arial" w:hAnsi="Arial"/>
          <w:sz w:val="20"/>
        </w:rPr>
        <w:t xml:space="preserve">(D)if a new Advance is made during a Pricing Period for an existing Advance, the first Pricing Period for that new Advance ends on the same day as the Pricing Period for the existing Advance. </w:t>
      </w:r>
    </w:p>
    <w:tbl>
      <w:tblPr>
        <w:tblW w:w="2486" w:type="dxa"/>
        <w:jc w:val="left"/>
        <w:tblInd w:w="360" w:type="dxa"/>
        <w:tblLayout w:type="fixed"/>
        <w:tblCellMar>
          <w:top w:w="0" w:type="dxa"/>
          <w:left w:w="0" w:type="dxa"/>
          <w:bottom w:w="0" w:type="dxa"/>
          <w:right w:w="0" w:type="dxa"/>
        </w:tblCellMar>
      </w:tblPr>
      <w:tblGrid>
        <w:gridCol w:w="38"/>
        <w:gridCol w:w="560"/>
        <w:gridCol w:w="23"/>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12.2. </w:t>
            </w:r>
          </w:p>
        </w:tc>
        <w:tc>
          <w:tcPr>
            <w:tcW w:w="23" w:type="dxa"/>
            <w:tcBorders/>
            <w:vAlign w:val="center"/>
          </w:tcPr>
          <w:p>
            <w:pPr>
              <w:pStyle w:val="TableContents"/>
              <w:bidi w:val="0"/>
              <w:spacing w:before="0" w:after="283"/>
              <w:jc w:val="left"/>
              <w:rPr>
                <w:sz w:val="4"/>
                <w:szCs w:val="4"/>
              </w:rPr>
            </w:pPr>
            <w:r>
              <w:rPr>
                <w:sz w:val="4"/>
                <w:szCs w:val="4"/>
              </w:rPr>
            </w:r>
          </w:p>
        </w:tc>
        <w:tc>
          <w:tcPr>
            <w:tcW w:w="1865" w:type="dxa"/>
            <w:tcBorders/>
          </w:tcPr>
          <w:p>
            <w:pPr>
              <w:pStyle w:val="TableContents"/>
              <w:bidi w:val="0"/>
              <w:spacing w:before="174" w:after="0"/>
              <w:ind w:left="0" w:right="0" w:hanging="0"/>
              <w:jc w:val="left"/>
              <w:rPr>
                <w:rFonts w:ascii="Arial" w:hAnsi="Arial"/>
                <w:b/>
                <w:color w:val="000000"/>
                <w:sz w:val="22"/>
              </w:rPr>
            </w:pPr>
            <w:bookmarkStart w:id="204" w:name="Payment_and_rate62"/>
            <w:bookmarkStart w:id="205" w:name="_TOC_250054"/>
            <w:bookmarkEnd w:id="204"/>
            <w:bookmarkEnd w:id="205"/>
            <w:r>
              <w:rPr>
                <w:rFonts w:ascii="Arial" w:hAnsi="Arial"/>
                <w:b/>
                <w:color w:val="000000"/>
                <w:sz w:val="22"/>
              </w:rPr>
              <w:t>Payment and rate</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(a)In respect of the Corporate Markets Loan Facility and the Bridge Facility (as applicable):</w:t>
      </w:r>
      <w:r>
        <w:rPr>
          <w:rFonts w:ascii="Arial" w:hAnsi="Arial"/>
          <w:sz w:val="20"/>
        </w:rPr>
        <w:t xml:space="preserve"> </w:t>
      </w:r>
    </w:p>
    <w:p>
      <w:pPr>
        <w:pStyle w:val="TextBody"/>
        <w:bidi w:val="0"/>
        <w:spacing w:lineRule="auto" w:line="264" w:before="109" w:after="0"/>
        <w:ind w:left="4540" w:right="1948" w:hanging="0"/>
        <w:jc w:val="left"/>
        <w:rPr>
          <w:rFonts w:ascii="Arial" w:hAnsi="Arial"/>
          <w:sz w:val="20"/>
        </w:rPr>
      </w:pPr>
      <w:r>
        <w:rPr>
          <w:rFonts w:ascii="Arial" w:hAnsi="Arial"/>
          <w:color w:val="000000"/>
          <w:sz w:val="20"/>
        </w:rPr>
        <w:t>(i)interest for each day is calculated by applying the Daily Interest Rate to the Advance at the end of that day (excluding any amount to which the Overdue Rate applies); and</w:t>
      </w:r>
      <w:r>
        <w:rPr>
          <w:rFonts w:ascii="Arial" w:hAnsi="Arial"/>
          <w:sz w:val="20"/>
        </w:rPr>
        <w:t xml:space="preserve"> </w:t>
      </w:r>
    </w:p>
    <w:p>
      <w:pPr>
        <w:pStyle w:val="TextBody"/>
        <w:bidi w:val="0"/>
        <w:spacing w:before="110" w:after="0"/>
        <w:ind w:left="4539" w:right="360" w:hanging="0"/>
        <w:jc w:val="left"/>
        <w:rPr>
          <w:rFonts w:ascii="Arial" w:hAnsi="Arial"/>
          <w:sz w:val="20"/>
        </w:rPr>
      </w:pPr>
      <w:r>
        <w:rPr>
          <w:rFonts w:ascii="Arial" w:hAnsi="Arial"/>
          <w:color w:val="000000"/>
          <w:sz w:val="20"/>
        </w:rPr>
        <w:t>(ii)the Borrower must pay accrued interest in respect of:</w:t>
      </w:r>
      <w:r>
        <w:rPr>
          <w:rFonts w:ascii="Arial" w:hAnsi="Arial"/>
          <w:sz w:val="20"/>
        </w:rPr>
        <w:t xml:space="preserve"> </w:t>
      </w:r>
    </w:p>
    <w:p>
      <w:pPr>
        <w:pStyle w:val="TextBody"/>
        <w:bidi w:val="0"/>
        <w:spacing w:lineRule="auto" w:line="264" w:before="0" w:after="0"/>
        <w:ind w:left="5054" w:right="2328" w:hanging="0"/>
        <w:jc w:val="left"/>
        <w:rPr>
          <w:rFonts w:ascii="Arial" w:hAnsi="Arial"/>
          <w:sz w:val="20"/>
        </w:rPr>
      </w:pPr>
      <w:r>
        <w:rPr>
          <w:rFonts w:ascii="Arial" w:hAnsi="Arial"/>
          <w:color w:val="000000"/>
          <w:sz w:val="20"/>
        </w:rPr>
        <w:t>(A)each Pricing Period, on the First Business Day after the expiry of that Pricing Period; and</w:t>
      </w:r>
      <w:r>
        <w:rPr>
          <w:rFonts w:ascii="Arial" w:hAnsi="Arial"/>
          <w:sz w:val="20"/>
        </w:rPr>
        <w:t xml:space="preserve"> </w:t>
      </w:r>
    </w:p>
    <w:p>
      <w:pPr>
        <w:pStyle w:val="TextBody"/>
        <w:bidi w:val="0"/>
        <w:spacing w:lineRule="auto" w:line="266" w:before="109" w:after="0"/>
        <w:ind w:left="5054" w:right="1944" w:hanging="0"/>
        <w:jc w:val="left"/>
        <w:rPr>
          <w:rFonts w:ascii="Arial" w:hAnsi="Arial"/>
          <w:sz w:val="20"/>
        </w:rPr>
      </w:pPr>
      <w:r>
        <w:rPr>
          <w:rFonts w:ascii="Arial" w:hAnsi="Arial"/>
          <w:color w:val="000000"/>
          <w:sz w:val="20"/>
        </w:rPr>
        <w:t>(B)the last Pricing Period, for the period up to and including the Termination Date, on the Termination Date.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Borrower must pay interest on Overdue Money, and such interest must be paid on demand by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interest rate on Overdue Money will be the Overdue Rate.</w:t>
      </w:r>
      <w:r>
        <w:rPr>
          <w:rFonts w:ascii="Arial" w:hAnsi="Arial"/>
          <w:sz w:val="20"/>
        </w:rPr>
        <w:t xml:space="preserve"> </w:t>
      </w:r>
    </w:p>
    <w:tbl>
      <w:tblPr>
        <w:tblW w:w="3146" w:type="dxa"/>
        <w:jc w:val="left"/>
        <w:tblInd w:w="360" w:type="dxa"/>
        <w:tblLayout w:type="fixed"/>
        <w:tblCellMar>
          <w:top w:w="0" w:type="dxa"/>
          <w:left w:w="0" w:type="dxa"/>
          <w:bottom w:w="0" w:type="dxa"/>
          <w:right w:w="0" w:type="dxa"/>
        </w:tblCellMar>
      </w:tblPr>
      <w:tblGrid>
        <w:gridCol w:w="38"/>
        <w:gridCol w:w="560"/>
        <w:gridCol w:w="23"/>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12.3. </w:t>
            </w:r>
          </w:p>
        </w:tc>
        <w:tc>
          <w:tcPr>
            <w:tcW w:w="23" w:type="dxa"/>
            <w:tcBorders/>
            <w:vAlign w:val="center"/>
          </w:tcPr>
          <w:p>
            <w:pPr>
              <w:pStyle w:val="TableContents"/>
              <w:bidi w:val="0"/>
              <w:spacing w:before="0" w:after="283"/>
              <w:jc w:val="left"/>
              <w:rPr>
                <w:sz w:val="4"/>
                <w:szCs w:val="4"/>
              </w:rPr>
            </w:pPr>
            <w:r>
              <w:rPr>
                <w:sz w:val="4"/>
                <w:szCs w:val="4"/>
              </w:rPr>
            </w:r>
          </w:p>
        </w:tc>
        <w:tc>
          <w:tcPr>
            <w:tcW w:w="2525" w:type="dxa"/>
            <w:tcBorders/>
          </w:tcPr>
          <w:p>
            <w:pPr>
              <w:pStyle w:val="TableContents"/>
              <w:bidi w:val="0"/>
              <w:spacing w:before="174" w:after="0"/>
              <w:ind w:left="0" w:right="0" w:hanging="0"/>
              <w:jc w:val="left"/>
              <w:rPr>
                <w:rFonts w:ascii="Arial" w:hAnsi="Arial"/>
                <w:b/>
                <w:color w:val="000000"/>
                <w:sz w:val="22"/>
              </w:rPr>
            </w:pPr>
            <w:bookmarkStart w:id="206" w:name="Computation_of_interest63"/>
            <w:bookmarkStart w:id="207" w:name="_TOC_250053"/>
            <w:bookmarkEnd w:id="206"/>
            <w:bookmarkEnd w:id="207"/>
            <w:r>
              <w:rPr>
                <w:rFonts w:ascii="Arial" w:hAnsi="Arial"/>
                <w:b/>
                <w:color w:val="000000"/>
                <w:sz w:val="22"/>
              </w:rPr>
              <w:t>Computation of interest</w:t>
            </w:r>
          </w:p>
        </w:tc>
      </w:tr>
    </w:tbl>
    <w:p>
      <w:pPr>
        <w:pStyle w:val="TextBody"/>
        <w:bidi w:val="0"/>
        <w:spacing w:before="90" w:after="0"/>
        <w:ind w:left="3453" w:right="360" w:hanging="0"/>
        <w:jc w:val="left"/>
        <w:rPr>
          <w:rFonts w:ascii="Arial" w:hAnsi="Arial"/>
          <w:sz w:val="20"/>
        </w:rPr>
      </w:pPr>
      <w:r>
        <w:rPr>
          <w:rFonts w:ascii="Arial" w:hAnsi="Arial"/>
          <w:color w:val="000000"/>
          <w:sz w:val="20"/>
        </w:rPr>
        <w:t>Interest will:</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(a)accrue from day to day;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(b)be computed from and including the day when the money on which interest is payable becomes owing to the Bank by the Borrower until but excluding the day of payment of that money;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(c)be calculated on the actual number of days elapsed on the basis of a 365 day year.</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0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5" descr=""/>
                    <pic:cNvPicPr>
                      <a:picLocks noChangeAspect="1" noChangeArrowheads="1"/>
                    </pic:cNvPicPr>
                  </pic:nvPicPr>
                  <pic:blipFill>
                    <a:blip r:embed="rId10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0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6" descr=""/>
                    <pic:cNvPicPr>
                      <a:picLocks noChangeAspect="1" noChangeArrowheads="1"/>
                    </pic:cNvPicPr>
                  </pic:nvPicPr>
                  <pic:blipFill>
                    <a:blip r:embed="rId10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72" w:after="0"/>
        <w:ind w:left="360" w:right="360" w:hanging="0"/>
        <w:jc w:val="left"/>
        <w:rPr>
          <w:rFonts w:cs="Arial"/>
          <w:szCs w:val="22"/>
        </w:rPr>
      </w:pPr>
      <w:r>
        <w:rPr>
          <w:rFonts w:cs="Arial"/>
          <w:szCs w:val="22"/>
        </w:rPr>
        <w:t xml:space="preserve">﻿ </w:t>
      </w:r>
    </w:p>
    <w:tbl>
      <w:tblPr>
        <w:tblW w:w="3221" w:type="dxa"/>
        <w:jc w:val="left"/>
        <w:tblInd w:w="360" w:type="dxa"/>
        <w:tblLayout w:type="fixed"/>
        <w:tblCellMar>
          <w:top w:w="0" w:type="dxa"/>
          <w:left w:w="0" w:type="dxa"/>
          <w:bottom w:w="0" w:type="dxa"/>
          <w:right w:w="0" w:type="dxa"/>
        </w:tblCellMar>
      </w:tblPr>
      <w:tblGrid>
        <w:gridCol w:w="38"/>
        <w:gridCol w:w="560"/>
        <w:gridCol w:w="23"/>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12.4. </w:t>
            </w:r>
          </w:p>
        </w:tc>
        <w:tc>
          <w:tcPr>
            <w:tcW w:w="23" w:type="dxa"/>
            <w:tcBorders/>
            <w:vAlign w:val="center"/>
          </w:tcPr>
          <w:p>
            <w:pPr>
              <w:pStyle w:val="TableContents"/>
              <w:bidi w:val="0"/>
              <w:spacing w:before="0" w:after="283"/>
              <w:jc w:val="left"/>
              <w:rPr>
                <w:sz w:val="4"/>
                <w:szCs w:val="4"/>
              </w:rPr>
            </w:pPr>
            <w:r>
              <w:rPr>
                <w:sz w:val="4"/>
                <w:szCs w:val="4"/>
              </w:rPr>
            </w:r>
          </w:p>
        </w:tc>
        <w:tc>
          <w:tcPr>
            <w:tcW w:w="2600" w:type="dxa"/>
            <w:tcBorders/>
          </w:tcPr>
          <w:p>
            <w:pPr>
              <w:pStyle w:val="TableContents"/>
              <w:bidi w:val="0"/>
              <w:spacing w:before="174" w:after="0"/>
              <w:ind w:left="0" w:right="0" w:hanging="0"/>
              <w:jc w:val="left"/>
              <w:rPr>
                <w:rFonts w:ascii="Arial" w:hAnsi="Arial"/>
                <w:b/>
                <w:color w:val="000000"/>
                <w:sz w:val="22"/>
              </w:rPr>
            </w:pPr>
            <w:bookmarkStart w:id="208" w:name="Capitalisation_of_interest64"/>
            <w:bookmarkStart w:id="209" w:name="_TOC_250052"/>
            <w:bookmarkEnd w:id="208"/>
            <w:bookmarkEnd w:id="209"/>
            <w:r>
              <w:rPr>
                <w:rFonts w:ascii="Arial" w:hAnsi="Arial"/>
                <w:b/>
                <w:color w:val="000000"/>
                <w:sz w:val="22"/>
              </w:rPr>
              <w:t>Capitalisation of interest</w:t>
            </w:r>
          </w:p>
        </w:tc>
      </w:tr>
    </w:tbl>
    <w:p>
      <w:pPr>
        <w:pStyle w:val="TextBody"/>
        <w:bidi w:val="0"/>
        <w:spacing w:before="87" w:after="0"/>
        <w:ind w:left="3453" w:right="360" w:hanging="0"/>
        <w:jc w:val="left"/>
        <w:rPr>
          <w:rFonts w:ascii="Arial" w:hAnsi="Arial"/>
          <w:sz w:val="20"/>
        </w:rPr>
      </w:pPr>
      <w:r>
        <w:rPr>
          <w:rFonts w:ascii="Arial" w:hAnsi="Arial"/>
          <w:color w:val="000000"/>
          <w:sz w:val="20"/>
        </w:rPr>
        <w:t>The Bank may: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(a)capitalise, on a monthly or other periodical basis as the Bank determines, any part of any interest which becomes due and payable and interest is payable in accordance with this document on capitalised interest;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(b)continue to capitalise interest despite:</w:t>
      </w:r>
      <w:r>
        <w:rPr>
          <w:rFonts w:ascii="Arial" w:hAnsi="Arial"/>
          <w:sz w:val="20"/>
        </w:rPr>
        <w:t xml:space="preserve"> </w:t>
      </w:r>
    </w:p>
    <w:p>
      <w:pPr>
        <w:pStyle w:val="TextBody"/>
        <w:bidi w:val="0"/>
        <w:spacing w:lineRule="auto" w:line="264" w:before="0" w:after="0"/>
        <w:ind w:left="4540" w:right="2280" w:hanging="0"/>
        <w:jc w:val="left"/>
        <w:rPr>
          <w:rFonts w:ascii="Arial" w:hAnsi="Arial"/>
          <w:sz w:val="20"/>
        </w:rPr>
      </w:pPr>
      <w:r>
        <w:rPr>
          <w:rFonts w:ascii="Arial" w:hAnsi="Arial"/>
          <w:color w:val="000000"/>
          <w:sz w:val="20"/>
        </w:rPr>
        <w:t>(i)that as between the Bank and the Borrower the relationship of Bank and customer has ceased;</w:t>
      </w:r>
      <w:r>
        <w:rPr>
          <w:rFonts w:ascii="Arial" w:hAnsi="Arial"/>
          <w:sz w:val="20"/>
        </w:rPr>
        <w:t xml:space="preserve"> </w:t>
      </w:r>
    </w:p>
    <w:p>
      <w:pPr>
        <w:pStyle w:val="TextBody"/>
        <w:bidi w:val="0"/>
        <w:spacing w:before="111" w:after="0"/>
        <w:ind w:left="4539" w:right="360" w:hanging="0"/>
        <w:jc w:val="left"/>
        <w:rPr>
          <w:rFonts w:ascii="Arial" w:hAnsi="Arial"/>
          <w:sz w:val="20"/>
        </w:rPr>
      </w:pPr>
      <w:r>
        <w:rPr>
          <w:rFonts w:ascii="Arial" w:hAnsi="Arial"/>
          <w:color w:val="000000"/>
          <w:sz w:val="20"/>
        </w:rPr>
        <w:t>(ii)any composition agreed to by the Bank;</w:t>
      </w:r>
      <w:r>
        <w:rPr>
          <w:rFonts w:ascii="Arial" w:hAnsi="Arial"/>
          <w:sz w:val="20"/>
        </w:rPr>
        <w:t xml:space="preserve"> </w:t>
      </w:r>
    </w:p>
    <w:p>
      <w:pPr>
        <w:pStyle w:val="TextBody"/>
        <w:bidi w:val="0"/>
        <w:spacing w:before="138" w:after="0"/>
        <w:ind w:left="4539" w:right="360" w:hanging="0"/>
        <w:jc w:val="left"/>
        <w:rPr>
          <w:rFonts w:ascii="Arial" w:hAnsi="Arial"/>
          <w:sz w:val="20"/>
        </w:rPr>
      </w:pPr>
      <w:r>
        <w:rPr>
          <w:rFonts w:ascii="Arial" w:hAnsi="Arial"/>
          <w:color w:val="000000"/>
          <w:sz w:val="20"/>
        </w:rPr>
        <w:t>(iii)any judgment or order against the Borrower; or</w:t>
      </w:r>
      <w:r>
        <w:rPr>
          <w:rFonts w:ascii="Arial" w:hAnsi="Arial"/>
          <w:sz w:val="20"/>
        </w:rPr>
        <w:t xml:space="preserve"> </w:t>
      </w:r>
    </w:p>
    <w:p>
      <w:pPr>
        <w:pStyle w:val="TextBody"/>
        <w:bidi w:val="0"/>
        <w:spacing w:before="0" w:after="0"/>
        <w:ind w:left="4539" w:right="360" w:hanging="0"/>
        <w:jc w:val="left"/>
        <w:rPr>
          <w:rFonts w:ascii="Arial" w:hAnsi="Arial"/>
          <w:sz w:val="20"/>
        </w:rPr>
      </w:pPr>
      <w:r>
        <w:rPr>
          <w:rFonts w:ascii="Arial" w:hAnsi="Arial"/>
          <w:color w:val="000000"/>
          <w:sz w:val="20"/>
        </w:rPr>
        <w:t>(iv)any other thing.</w:t>
      </w:r>
      <w:r>
        <w:rPr>
          <w:rFonts w:ascii="Arial" w:hAnsi="Arial"/>
          <w:sz w:val="20"/>
        </w:rPr>
        <w:t xml:space="preserve"> </w:t>
      </w:r>
    </w:p>
    <w:tbl>
      <w:tblPr>
        <w:tblW w:w="1391" w:type="dxa"/>
        <w:jc w:val="left"/>
        <w:tblInd w:w="360" w:type="dxa"/>
        <w:tblLayout w:type="fixed"/>
        <w:tblCellMar>
          <w:top w:w="0" w:type="dxa"/>
          <w:left w:w="0" w:type="dxa"/>
          <w:bottom w:w="0" w:type="dxa"/>
          <w:right w:w="0" w:type="dxa"/>
        </w:tblCellMar>
      </w:tblPr>
      <w:tblGrid>
        <w:gridCol w:w="38"/>
        <w:gridCol w:w="560"/>
        <w:gridCol w:w="23"/>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12.5. </w:t>
            </w:r>
          </w:p>
        </w:tc>
        <w:tc>
          <w:tcPr>
            <w:tcW w:w="23" w:type="dxa"/>
            <w:tcBorders/>
            <w:vAlign w:val="center"/>
          </w:tcPr>
          <w:p>
            <w:pPr>
              <w:pStyle w:val="TableContents"/>
              <w:bidi w:val="0"/>
              <w:spacing w:before="0" w:after="283"/>
              <w:jc w:val="left"/>
              <w:rPr>
                <w:sz w:val="4"/>
                <w:szCs w:val="4"/>
              </w:rPr>
            </w:pPr>
            <w:r>
              <w:rPr>
                <w:sz w:val="4"/>
                <w:szCs w:val="4"/>
              </w:rPr>
            </w:r>
          </w:p>
        </w:tc>
        <w:tc>
          <w:tcPr>
            <w:tcW w:w="770" w:type="dxa"/>
            <w:tcBorders/>
          </w:tcPr>
          <w:p>
            <w:pPr>
              <w:pStyle w:val="TableContents"/>
              <w:bidi w:val="0"/>
              <w:spacing w:before="174" w:after="0"/>
              <w:ind w:left="0" w:right="0" w:hanging="0"/>
              <w:jc w:val="left"/>
              <w:rPr>
                <w:rFonts w:ascii="Arial" w:hAnsi="Arial"/>
                <w:b/>
                <w:color w:val="000000"/>
                <w:sz w:val="22"/>
              </w:rPr>
            </w:pPr>
            <w:bookmarkStart w:id="210" w:name="Merger65"/>
            <w:bookmarkStart w:id="211" w:name="_TOC_250051"/>
            <w:bookmarkEnd w:id="210"/>
            <w:bookmarkEnd w:id="211"/>
            <w:r>
              <w:rPr>
                <w:rFonts w:ascii="Arial" w:hAnsi="Arial"/>
                <w:b/>
                <w:color w:val="000000"/>
                <w:sz w:val="22"/>
              </w:rPr>
              <w:t>Merger</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 payable under the Transaction Documents and that fixed by or payable under that deed, judgment, order or other thing.</w:t>
      </w:r>
      <w:r>
        <w:rPr>
          <w:rFonts w:ascii="Arial" w:hAnsi="Arial"/>
          <w:sz w:val="20"/>
        </w:rPr>
        <w:t xml:space="preserve"> </w:t>
      </w:r>
    </w:p>
    <w:tbl>
      <w:tblPr>
        <w:tblW w:w="2036" w:type="dxa"/>
        <w:jc w:val="left"/>
        <w:tblInd w:w="360" w:type="dxa"/>
        <w:tblLayout w:type="fixed"/>
        <w:tblCellMar>
          <w:top w:w="0" w:type="dxa"/>
          <w:left w:w="0" w:type="dxa"/>
          <w:bottom w:w="0" w:type="dxa"/>
          <w:right w:w="0" w:type="dxa"/>
        </w:tblCellMar>
      </w:tblPr>
      <w:tblGrid>
        <w:gridCol w:w="38"/>
        <w:gridCol w:w="560"/>
        <w:gridCol w:w="23"/>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12.6. </w:t>
            </w:r>
          </w:p>
        </w:tc>
        <w:tc>
          <w:tcPr>
            <w:tcW w:w="23" w:type="dxa"/>
            <w:tcBorders/>
            <w:vAlign w:val="center"/>
          </w:tcPr>
          <w:p>
            <w:pPr>
              <w:pStyle w:val="TableContents"/>
              <w:bidi w:val="0"/>
              <w:spacing w:before="0" w:after="283"/>
              <w:jc w:val="left"/>
              <w:rPr>
                <w:sz w:val="4"/>
                <w:szCs w:val="4"/>
              </w:rPr>
            </w:pPr>
            <w:r>
              <w:rPr>
                <w:sz w:val="4"/>
                <w:szCs w:val="4"/>
              </w:rPr>
            </w:r>
          </w:p>
        </w:tc>
        <w:tc>
          <w:tcPr>
            <w:tcW w:w="1415" w:type="dxa"/>
            <w:tcBorders/>
          </w:tcPr>
          <w:p>
            <w:pPr>
              <w:pStyle w:val="TableContents"/>
              <w:bidi w:val="0"/>
              <w:spacing w:before="174" w:after="0"/>
              <w:ind w:left="0" w:right="0" w:hanging="0"/>
              <w:jc w:val="left"/>
              <w:rPr>
                <w:rFonts w:ascii="Arial" w:hAnsi="Arial"/>
                <w:b/>
                <w:color w:val="000000"/>
                <w:sz w:val="22"/>
              </w:rPr>
            </w:pPr>
            <w:bookmarkStart w:id="212" w:name="Reset_Margin66"/>
            <w:bookmarkStart w:id="213" w:name="_TOC_250050"/>
            <w:bookmarkEnd w:id="212"/>
            <w:bookmarkEnd w:id="213"/>
            <w:r>
              <w:rPr>
                <w:rFonts w:ascii="Arial" w:hAnsi="Arial"/>
                <w:b/>
                <w:color w:val="000000"/>
                <w:sz w:val="22"/>
              </w:rPr>
              <w:t>Reset Margin</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Borrower must pay a Reset Margin where a Pricing Period is, or becomes, shorter than 3 months.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Reset Margin (if any) for a Pricing Period:</w:t>
      </w:r>
      <w:r>
        <w:rPr>
          <w:rFonts w:ascii="Arial" w:hAnsi="Arial"/>
          <w:sz w:val="20"/>
        </w:rPr>
        <w:t xml:space="preserve"> </w:t>
      </w:r>
    </w:p>
    <w:p>
      <w:pPr>
        <w:pStyle w:val="TextBody"/>
        <w:bidi w:val="0"/>
        <w:spacing w:lineRule="auto" w:line="264" w:before="0" w:after="0"/>
        <w:ind w:left="4523" w:right="2357" w:hanging="0"/>
        <w:jc w:val="left"/>
        <w:rPr>
          <w:rFonts w:ascii="Arial" w:hAnsi="Arial"/>
          <w:sz w:val="20"/>
        </w:rPr>
      </w:pPr>
      <w:r>
        <w:rPr>
          <w:rFonts w:ascii="Arial" w:hAnsi="Arial"/>
          <w:color w:val="000000"/>
          <w:sz w:val="20"/>
        </w:rPr>
        <w:t>(i)will be determined by the Bank on the commencement of that period;</w:t>
      </w:r>
      <w:r>
        <w:rPr>
          <w:rFonts w:ascii="Arial" w:hAnsi="Arial"/>
          <w:sz w:val="20"/>
        </w:rPr>
        <w:t xml:space="preserve"> </w:t>
      </w:r>
    </w:p>
    <w:p>
      <w:pPr>
        <w:pStyle w:val="TextBody"/>
        <w:bidi w:val="0"/>
        <w:spacing w:lineRule="auto" w:line="264" w:before="112" w:after="0"/>
        <w:ind w:left="4523" w:right="2774" w:hanging="0"/>
        <w:jc w:val="left"/>
        <w:rPr>
          <w:rFonts w:ascii="Arial" w:hAnsi="Arial"/>
          <w:sz w:val="20"/>
        </w:rPr>
      </w:pPr>
      <w:r>
        <w:rPr>
          <w:rFonts w:ascii="Arial" w:hAnsi="Arial"/>
          <w:color w:val="000000"/>
          <w:sz w:val="20"/>
        </w:rPr>
        <w:t>(ii)will be advised to the Borrower in writing shortly after the commencement of that period; and</w:t>
      </w:r>
      <w:r>
        <w:rPr>
          <w:rFonts w:ascii="Arial" w:hAnsi="Arial"/>
          <w:sz w:val="20"/>
        </w:rPr>
        <w:t xml:space="preserve"> </w:t>
      </w:r>
    </w:p>
    <w:p>
      <w:pPr>
        <w:pStyle w:val="TextBody"/>
        <w:bidi w:val="0"/>
        <w:spacing w:before="108" w:after="0"/>
        <w:ind w:left="4524" w:right="360" w:hanging="0"/>
        <w:jc w:val="left"/>
        <w:rPr>
          <w:rFonts w:ascii="Arial" w:hAnsi="Arial"/>
          <w:sz w:val="20"/>
        </w:rPr>
      </w:pPr>
      <w:r>
        <w:rPr>
          <w:rFonts w:ascii="Arial" w:hAnsi="Arial"/>
          <w:color w:val="000000"/>
          <w:sz w:val="20"/>
        </w:rPr>
        <w:t>(iii)will be fixed for that period.</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 xml:space="preserve">(c)Subject to </w:t>
      </w:r>
      <w:r>
        <w:rPr>
          <w:rFonts w:ascii="Arial" w:hAnsi="Arial"/>
          <w:b/>
          <w:color w:val="000000"/>
          <w:sz w:val="20"/>
        </w:rPr>
        <w:t xml:space="preserve">clause </w:t>
      </w:r>
      <w:r>
        <w:rPr>
          <w:rFonts w:ascii="Arial" w:hAnsi="Arial"/>
          <w:b/>
          <w:color w:val="2D97D3"/>
          <w:sz w:val="20"/>
          <w:u w:val="single"/>
        </w:rPr>
        <w:t>6.6(b)</w:t>
      </w:r>
      <w:r>
        <w:rPr>
          <w:rFonts w:ascii="Arial" w:hAnsi="Arial"/>
          <w:b/>
          <w:strike/>
          <w:color w:val="B5082D"/>
          <w:sz w:val="20"/>
        </w:rPr>
        <w:t>6.6(b)</w:t>
      </w:r>
      <w:r>
        <w:rPr>
          <w:rFonts w:ascii="Arial" w:hAnsi="Arial"/>
          <w:color w:val="000000"/>
          <w:sz w:val="20"/>
        </w:rPr>
        <w:t>, if a Reset Margin is applicable to a Facility,</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may</w:t>
      </w:r>
      <w:r>
        <w:rPr>
          <w:rFonts w:ascii="Arial" w:hAnsi="Arial"/>
          <w:color w:val="000000"/>
          <w:sz w:val="22"/>
        </w:rPr>
        <w:t> </w:t>
      </w:r>
      <w:r>
        <w:rPr>
          <w:rFonts w:ascii="Arial" w:hAnsi="Arial"/>
          <w:color w:val="000000"/>
          <w:sz w:val="20"/>
        </w:rPr>
        <w:t>vary</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rate</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Reset</w:t>
      </w:r>
      <w:r>
        <w:rPr>
          <w:rFonts w:ascii="Arial" w:hAnsi="Arial"/>
          <w:color w:val="000000"/>
          <w:sz w:val="22"/>
        </w:rPr>
        <w:t> </w:t>
      </w:r>
      <w:r>
        <w:rPr>
          <w:rFonts w:ascii="Arial" w:hAnsi="Arial"/>
          <w:color w:val="000000"/>
          <w:sz w:val="20"/>
        </w:rPr>
        <w:t>Margin</w:t>
      </w:r>
      <w:r>
        <w:rPr>
          <w:rFonts w:ascii="Arial" w:hAnsi="Arial"/>
          <w:color w:val="000000"/>
          <w:sz w:val="22"/>
        </w:rPr>
        <w:t> </w:t>
      </w:r>
      <w:r>
        <w:rPr>
          <w:rFonts w:ascii="Arial" w:hAnsi="Arial"/>
          <w:color w:val="000000"/>
          <w:sz w:val="20"/>
        </w:rPr>
        <w:t>from</w:t>
      </w:r>
      <w:r>
        <w:rPr>
          <w:rFonts w:ascii="Arial" w:hAnsi="Arial"/>
          <w:color w:val="000000"/>
          <w:sz w:val="22"/>
        </w:rPr>
        <w:t> </w:t>
      </w:r>
      <w:r>
        <w:rPr>
          <w:rFonts w:ascii="Arial" w:hAnsi="Arial"/>
          <w:color w:val="000000"/>
          <w:sz w:val="20"/>
        </w:rPr>
        <w:t>time</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time (and any rate set out in this document is indicative only).</w:t>
      </w:r>
      <w:r>
        <w:rPr>
          <w:rFonts w:ascii="Arial" w:hAnsi="Arial"/>
          <w:color w:val="000000"/>
          <w:sz w:val="22"/>
        </w:rPr>
        <w:t> </w:t>
      </w:r>
      <w:r>
        <w:rPr>
          <w:rFonts w:ascii="Arial" w:hAnsi="Arial"/>
          <w:color w:val="000000"/>
          <w:sz w:val="20"/>
        </w:rPr>
        <w:t>The Bank publishes Reset Margin rates periodically on nab.com.au.</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(d)The Reset Margin will be payable in arrears:</w:t>
      </w:r>
      <w:r>
        <w:rPr>
          <w:rFonts w:ascii="Arial" w:hAnsi="Arial"/>
          <w:sz w:val="20"/>
        </w:rPr>
        <w:t xml:space="preserve"> </w:t>
      </w:r>
    </w:p>
    <w:p>
      <w:pPr>
        <w:pStyle w:val="TextBody"/>
        <w:bidi w:val="0"/>
        <w:spacing w:lineRule="auto" w:line="266" w:before="134" w:after="0"/>
        <w:ind w:left="4523" w:right="2007" w:hanging="0"/>
        <w:jc w:val="left"/>
        <w:rPr>
          <w:rFonts w:ascii="Arial" w:hAnsi="Arial"/>
          <w:sz w:val="20"/>
        </w:rPr>
      </w:pPr>
      <w:r>
        <w:rPr>
          <w:rFonts w:ascii="Arial" w:hAnsi="Arial"/>
          <w:color w:val="000000"/>
          <w:sz w:val="20"/>
        </w:rPr>
        <w:t>(i)on the first Business Day following the end of each Pricing Period that is shorter than 3 months;</w:t>
      </w:r>
      <w:r>
        <w:rPr>
          <w:rFonts w:ascii="Arial" w:hAnsi="Arial"/>
          <w:sz w:val="20"/>
        </w:rPr>
        <w:t xml:space="preserve"> </w:t>
      </w:r>
    </w:p>
    <w:p>
      <w:pPr>
        <w:pStyle w:val="TextBody"/>
        <w:bidi w:val="0"/>
        <w:spacing w:before="107" w:after="0"/>
        <w:ind w:left="4524" w:right="360" w:hanging="0"/>
        <w:jc w:val="left"/>
        <w:rPr>
          <w:rFonts w:ascii="Arial" w:hAnsi="Arial"/>
          <w:sz w:val="20"/>
        </w:rPr>
      </w:pPr>
      <w:r>
        <w:rPr>
          <w:rFonts w:ascii="Arial" w:hAnsi="Arial"/>
          <w:color w:val="000000"/>
          <w:sz w:val="20"/>
        </w:rPr>
        <w:t>(ii)on the Termination Date of the relevant Facility; and</w:t>
      </w:r>
      <w:r>
        <w:rPr>
          <w:rFonts w:ascii="Arial" w:hAnsi="Arial"/>
          <w:sz w:val="20"/>
        </w:rPr>
        <w:t xml:space="preserve"> </w:t>
      </w:r>
    </w:p>
    <w:p>
      <w:pPr>
        <w:pStyle w:val="TextBody"/>
        <w:bidi w:val="0"/>
        <w:spacing w:before="0" w:after="0"/>
        <w:ind w:left="4524" w:right="360" w:hanging="0"/>
        <w:jc w:val="left"/>
        <w:rPr>
          <w:rFonts w:ascii="Arial" w:hAnsi="Arial"/>
          <w:sz w:val="20"/>
        </w:rPr>
      </w:pPr>
      <w:r>
        <w:rPr>
          <w:rFonts w:ascii="Arial" w:hAnsi="Arial"/>
          <w:color w:val="000000"/>
          <w:sz w:val="20"/>
        </w:rPr>
        <w:t>(iii)upon the early repayment or all or part of the relevant Advance.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(e)The Reset Margin is calculated on a daily basis on the outstanding principal amount of the relevant Advance on the basis of a 365 day year and the actual number of days elapsed.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0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7" descr=""/>
                    <pic:cNvPicPr>
                      <a:picLocks noChangeAspect="1" noChangeArrowheads="1"/>
                    </pic:cNvPicPr>
                  </pic:nvPicPr>
                  <pic:blipFill>
                    <a:blip r:embed="rId10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1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8" descr=""/>
                    <pic:cNvPicPr>
                      <a:picLocks noChangeAspect="1" noChangeArrowheads="1"/>
                    </pic:cNvPicPr>
                  </pic:nvPicPr>
                  <pic:blipFill>
                    <a:blip r:embed="rId11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46" w:after="0"/>
        <w:ind w:left="360" w:right="360" w:hanging="0"/>
        <w:jc w:val="left"/>
        <w:rPr>
          <w:rFonts w:cs="Arial"/>
          <w:szCs w:val="30"/>
        </w:rPr>
      </w:pPr>
      <w:r>
        <w:rPr>
          <w:rFonts w:cs="Arial"/>
          <w:szCs w:val="30"/>
        </w:rPr>
        <w:t xml:space="preserve">﻿ </w:t>
      </w:r>
    </w:p>
    <w:tbl>
      <w:tblPr>
        <w:tblW w:w="1961" w:type="dxa"/>
        <w:jc w:val="left"/>
        <w:tblInd w:w="360" w:type="dxa"/>
        <w:tblLayout w:type="fixed"/>
        <w:tblCellMar>
          <w:top w:w="0" w:type="dxa"/>
          <w:left w:w="0" w:type="dxa"/>
          <w:bottom w:w="0" w:type="dxa"/>
          <w:right w:w="0" w:type="dxa"/>
        </w:tblCellMar>
      </w:tblPr>
      <w:tblGrid>
        <w:gridCol w:w="38"/>
        <w:gridCol w:w="530"/>
        <w:gridCol w:w="23"/>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13. </w:t>
            </w:r>
          </w:p>
        </w:tc>
        <w:tc>
          <w:tcPr>
            <w:tcW w:w="23" w:type="dxa"/>
            <w:tcBorders/>
            <w:vAlign w:val="center"/>
          </w:tcPr>
          <w:p>
            <w:pPr>
              <w:pStyle w:val="TableContents"/>
              <w:bidi w:val="0"/>
              <w:spacing w:before="0" w:after="283"/>
              <w:jc w:val="left"/>
              <w:rPr>
                <w:sz w:val="4"/>
                <w:szCs w:val="4"/>
              </w:rPr>
            </w:pPr>
            <w:r>
              <w:rPr>
                <w:sz w:val="4"/>
                <w:szCs w:val="4"/>
              </w:rPr>
            </w:r>
          </w:p>
        </w:tc>
        <w:tc>
          <w:tcPr>
            <w:tcW w:w="1370" w:type="dxa"/>
            <w:tcBorders/>
          </w:tcPr>
          <w:p>
            <w:pPr>
              <w:pStyle w:val="TableContents"/>
              <w:bidi w:val="0"/>
              <w:spacing w:before="0" w:after="0"/>
              <w:ind w:left="0" w:right="0" w:hanging="0"/>
              <w:jc w:val="left"/>
              <w:rPr>
                <w:rFonts w:ascii="Arial" w:hAnsi="Arial"/>
                <w:color w:val="000000"/>
                <w:sz w:val="30"/>
              </w:rPr>
            </w:pPr>
            <w:bookmarkStart w:id="214" w:name="Payments7"/>
            <w:bookmarkEnd w:id="214"/>
            <w:r>
              <w:rPr>
                <w:rFonts w:ascii="Arial" w:hAnsi="Arial"/>
                <w:color w:val="000000"/>
                <w:sz w:val="30"/>
              </w:rPr>
              <w:t>Payments</w:t>
            </w:r>
          </w:p>
        </w:tc>
      </w:tr>
    </w:tbl>
    <w:tbl>
      <w:tblPr>
        <w:tblW w:w="4331" w:type="dxa"/>
        <w:jc w:val="left"/>
        <w:tblInd w:w="360" w:type="dxa"/>
        <w:tblLayout w:type="fixed"/>
        <w:tblCellMar>
          <w:top w:w="0" w:type="dxa"/>
          <w:left w:w="0" w:type="dxa"/>
          <w:bottom w:w="0" w:type="dxa"/>
          <w:right w:w="0" w:type="dxa"/>
        </w:tblCellMar>
      </w:tblPr>
      <w:tblGrid>
        <w:gridCol w:w="38"/>
        <w:gridCol w:w="560"/>
        <w:gridCol w:w="23"/>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13.1. </w:t>
            </w:r>
          </w:p>
        </w:tc>
        <w:tc>
          <w:tcPr>
            <w:tcW w:w="23" w:type="dxa"/>
            <w:tcBorders/>
            <w:vAlign w:val="center"/>
          </w:tcPr>
          <w:p>
            <w:pPr>
              <w:pStyle w:val="TableContents"/>
              <w:bidi w:val="0"/>
              <w:spacing w:before="0" w:after="283"/>
              <w:jc w:val="left"/>
              <w:rPr>
                <w:sz w:val="4"/>
                <w:szCs w:val="4"/>
              </w:rPr>
            </w:pPr>
            <w:r>
              <w:rPr>
                <w:sz w:val="4"/>
                <w:szCs w:val="4"/>
              </w:rPr>
            </w:r>
          </w:p>
        </w:tc>
        <w:tc>
          <w:tcPr>
            <w:tcW w:w="3710" w:type="dxa"/>
            <w:tcBorders/>
          </w:tcPr>
          <w:p>
            <w:pPr>
              <w:pStyle w:val="TableContents"/>
              <w:bidi w:val="0"/>
              <w:spacing w:before="174" w:after="0"/>
              <w:ind w:left="0" w:right="0" w:hanging="0"/>
              <w:jc w:val="left"/>
              <w:rPr>
                <w:rFonts w:ascii="Arial" w:hAnsi="Arial"/>
                <w:b/>
                <w:color w:val="000000"/>
                <w:sz w:val="22"/>
              </w:rPr>
            </w:pPr>
            <w:bookmarkStart w:id="215" w:name="Place_manner71"/>
            <w:bookmarkEnd w:id="215"/>
            <w:r>
              <w:rPr>
                <w:rFonts w:ascii="Arial" w:hAnsi="Arial"/>
                <w:b/>
                <w:color w:val="000000"/>
                <w:sz w:val="22"/>
              </w:rPr>
              <w:t>Place, manner and time of payment</w:t>
            </w:r>
          </w:p>
        </w:tc>
      </w:tr>
    </w:tbl>
    <w:p>
      <w:pPr>
        <w:pStyle w:val="TextBody"/>
        <w:bidi w:val="0"/>
        <w:spacing w:lineRule="auto" w:line="266" w:before="85" w:after="0"/>
        <w:ind w:left="3456" w:right="1940" w:hanging="0"/>
        <w:jc w:val="left"/>
        <w:rPr>
          <w:rFonts w:ascii="Arial" w:hAnsi="Arial"/>
          <w:sz w:val="20"/>
        </w:rPr>
      </w:pPr>
      <w:r>
        <w:rPr>
          <w:rFonts w:ascii="Arial" w:hAnsi="Arial"/>
          <w:color w:val="000000"/>
          <w:sz w:val="20"/>
        </w:rPr>
        <w:t>Each Transaction Party must make payments to the Bank under the Transaction Documents:</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(a)at</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address</w:t>
      </w:r>
      <w:r>
        <w:rPr>
          <w:rFonts w:ascii="Arial" w:hAnsi="Arial"/>
          <w:color w:val="000000"/>
          <w:sz w:val="22"/>
        </w:rPr>
        <w:t> </w:t>
      </w:r>
      <w:r>
        <w:rPr>
          <w:rFonts w:ascii="Arial" w:hAnsi="Arial"/>
          <w:color w:val="000000"/>
          <w:sz w:val="20"/>
        </w:rPr>
        <w:t>specified</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19.3</w:t>
      </w:r>
      <w:r>
        <w:rPr>
          <w:rFonts w:ascii="Arial" w:hAnsi="Arial"/>
          <w:b/>
          <w:strike/>
          <w:color w:val="B5082D"/>
          <w:sz w:val="20"/>
        </w:rPr>
        <w:t>19.3</w:t>
      </w:r>
      <w:r>
        <w:rPr>
          <w:rFonts w:ascii="Arial" w:hAnsi="Arial"/>
          <w:color w:val="B5082D"/>
          <w:sz w:val="22"/>
        </w:rPr>
        <w:t> </w:t>
      </w:r>
      <w:r>
        <w:rPr>
          <w:rFonts w:ascii="Arial" w:hAnsi="Arial"/>
          <w:color w:val="000000"/>
          <w:sz w:val="20"/>
        </w:rPr>
        <w:t>or</w:t>
      </w:r>
      <w:r>
        <w:rPr>
          <w:rFonts w:ascii="Arial" w:hAnsi="Arial"/>
          <w:color w:val="000000"/>
          <w:sz w:val="22"/>
        </w:rPr>
        <w:t> </w:t>
      </w:r>
      <w:r>
        <w:rPr>
          <w:rFonts w:ascii="Arial" w:hAnsi="Arial"/>
          <w:color w:val="000000"/>
          <w:sz w:val="20"/>
        </w:rPr>
        <w:t>at</w:t>
      </w:r>
      <w:r>
        <w:rPr>
          <w:rFonts w:ascii="Arial" w:hAnsi="Arial"/>
          <w:color w:val="000000"/>
          <w:sz w:val="22"/>
        </w:rPr>
        <w:t> </w:t>
      </w:r>
      <w:r>
        <w:rPr>
          <w:rFonts w:ascii="Arial" w:hAnsi="Arial"/>
          <w:color w:val="000000"/>
          <w:sz w:val="20"/>
        </w:rPr>
        <w:t>such</w:t>
      </w:r>
      <w:r>
        <w:rPr>
          <w:rFonts w:ascii="Arial" w:hAnsi="Arial"/>
          <w:color w:val="000000"/>
          <w:sz w:val="22"/>
        </w:rPr>
        <w:t> </w:t>
      </w:r>
      <w:r>
        <w:rPr>
          <w:rFonts w:ascii="Arial" w:hAnsi="Arial"/>
          <w:color w:val="000000"/>
          <w:sz w:val="20"/>
        </w:rPr>
        <w:t>other</w:t>
      </w:r>
      <w:r>
        <w:rPr>
          <w:rFonts w:ascii="Arial" w:hAnsi="Arial"/>
          <w:color w:val="000000"/>
          <w:sz w:val="22"/>
        </w:rPr>
        <w:t> </w:t>
      </w:r>
      <w:r>
        <w:rPr>
          <w:rFonts w:ascii="Arial" w:hAnsi="Arial"/>
          <w:color w:val="000000"/>
          <w:sz w:val="20"/>
        </w:rPr>
        <w:t>place reasonably</w:t>
      </w:r>
      <w:r>
        <w:rPr>
          <w:rFonts w:ascii="Arial" w:hAnsi="Arial"/>
          <w:color w:val="000000"/>
          <w:sz w:val="22"/>
        </w:rPr>
        <w:t xml:space="preserve"> </w:t>
      </w:r>
      <w:r>
        <w:rPr>
          <w:rFonts w:ascii="Arial" w:hAnsi="Arial"/>
          <w:color w:val="000000"/>
          <w:sz w:val="20"/>
        </w:rPr>
        <w:t>required by the Bank;</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(b)in a manner reasonably required by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(c)by 11.00 am local time in the place where payment is required to be made;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(d)in immediately available funds and without set-off, counter claim, condition or, unless required by law, deduction or withholding.</w:t>
      </w:r>
      <w:r>
        <w:rPr>
          <w:rFonts w:ascii="Arial" w:hAnsi="Arial"/>
          <w:sz w:val="20"/>
        </w:rPr>
        <w:t xml:space="preserve"> </w:t>
      </w:r>
    </w:p>
    <w:tbl>
      <w:tblPr>
        <w:tblW w:w="1646" w:type="dxa"/>
        <w:jc w:val="left"/>
        <w:tblInd w:w="360" w:type="dxa"/>
        <w:tblLayout w:type="fixed"/>
        <w:tblCellMar>
          <w:top w:w="0" w:type="dxa"/>
          <w:left w:w="0" w:type="dxa"/>
          <w:bottom w:w="0" w:type="dxa"/>
          <w:right w:w="0" w:type="dxa"/>
        </w:tblCellMar>
      </w:tblPr>
      <w:tblGrid>
        <w:gridCol w:w="38"/>
        <w:gridCol w:w="560"/>
        <w:gridCol w:w="23"/>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13.2. </w:t>
            </w:r>
          </w:p>
        </w:tc>
        <w:tc>
          <w:tcPr>
            <w:tcW w:w="23" w:type="dxa"/>
            <w:tcBorders/>
            <w:vAlign w:val="center"/>
          </w:tcPr>
          <w:p>
            <w:pPr>
              <w:pStyle w:val="TableContents"/>
              <w:bidi w:val="0"/>
              <w:spacing w:before="0" w:after="283"/>
              <w:jc w:val="left"/>
              <w:rPr>
                <w:sz w:val="4"/>
                <w:szCs w:val="4"/>
              </w:rPr>
            </w:pPr>
            <w:r>
              <w:rPr>
                <w:sz w:val="4"/>
                <w:szCs w:val="4"/>
              </w:rPr>
            </w:r>
          </w:p>
        </w:tc>
        <w:tc>
          <w:tcPr>
            <w:tcW w:w="1025" w:type="dxa"/>
            <w:tcBorders/>
          </w:tcPr>
          <w:p>
            <w:pPr>
              <w:pStyle w:val="TableContents"/>
              <w:bidi w:val="0"/>
              <w:spacing w:before="174" w:after="0"/>
              <w:ind w:left="0" w:right="0" w:hanging="0"/>
              <w:jc w:val="left"/>
              <w:rPr>
                <w:rFonts w:ascii="Arial" w:hAnsi="Arial"/>
                <w:b/>
                <w:color w:val="000000"/>
                <w:sz w:val="22"/>
              </w:rPr>
            </w:pPr>
            <w:bookmarkStart w:id="216" w:name="Gross_up72"/>
            <w:bookmarkEnd w:id="216"/>
            <w:r>
              <w:rPr>
                <w:rFonts w:ascii="Arial" w:hAnsi="Arial"/>
                <w:b/>
                <w:color w:val="000000"/>
                <w:sz w:val="22"/>
              </w:rPr>
              <w:t>Gross-up</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If a Transaction Party is required by law to deduct or withhold Taxes from any payment it must: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(a)make the required deduction and withholding;</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(b)pay the full amount deducted or withheld in accordance with the relevant law;</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(c)deliver to the Bank an original receipt for each payment;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(d)pay an additional amount with such payment so that, after all applicable deductions or withholdings, the Bank actually receives for its own benefit the full amount which would have been payable to the Bank if no deduction or withholding had been required.</w:t>
      </w:r>
      <w:r>
        <w:rPr>
          <w:rFonts w:ascii="Arial" w:hAnsi="Arial"/>
          <w:sz w:val="20"/>
        </w:rPr>
        <w:t xml:space="preserve"> </w:t>
      </w:r>
    </w:p>
    <w:tbl>
      <w:tblPr>
        <w:tblW w:w="2126" w:type="dxa"/>
        <w:jc w:val="left"/>
        <w:tblInd w:w="360" w:type="dxa"/>
        <w:tblLayout w:type="fixed"/>
        <w:tblCellMar>
          <w:top w:w="0" w:type="dxa"/>
          <w:left w:w="0" w:type="dxa"/>
          <w:bottom w:w="0" w:type="dxa"/>
          <w:right w:w="0" w:type="dxa"/>
        </w:tblCellMar>
      </w:tblPr>
      <w:tblGrid>
        <w:gridCol w:w="38"/>
        <w:gridCol w:w="560"/>
        <w:gridCol w:w="23"/>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13.3. </w:t>
            </w:r>
          </w:p>
        </w:tc>
        <w:tc>
          <w:tcPr>
            <w:tcW w:w="23" w:type="dxa"/>
            <w:tcBorders/>
            <w:vAlign w:val="center"/>
          </w:tcPr>
          <w:p>
            <w:pPr>
              <w:pStyle w:val="TableContents"/>
              <w:bidi w:val="0"/>
              <w:spacing w:before="0" w:after="283"/>
              <w:jc w:val="left"/>
              <w:rPr>
                <w:sz w:val="4"/>
                <w:szCs w:val="4"/>
              </w:rPr>
            </w:pPr>
            <w:r>
              <w:rPr>
                <w:sz w:val="4"/>
                <w:szCs w:val="4"/>
              </w:rPr>
            </w:r>
          </w:p>
        </w:tc>
        <w:tc>
          <w:tcPr>
            <w:tcW w:w="1505" w:type="dxa"/>
            <w:tcBorders/>
          </w:tcPr>
          <w:p>
            <w:pPr>
              <w:pStyle w:val="TableContents"/>
              <w:bidi w:val="0"/>
              <w:spacing w:before="174" w:after="0"/>
              <w:ind w:left="0" w:right="0" w:hanging="0"/>
              <w:jc w:val="left"/>
              <w:rPr>
                <w:rFonts w:ascii="Arial" w:hAnsi="Arial"/>
                <w:b/>
                <w:color w:val="000000"/>
                <w:sz w:val="22"/>
              </w:rPr>
            </w:pPr>
            <w:bookmarkStart w:id="217" w:name="Appropriation73"/>
            <w:bookmarkEnd w:id="217"/>
            <w:r>
              <w:rPr>
                <w:rFonts w:ascii="Arial" w:hAnsi="Arial"/>
                <w:b/>
                <w:color w:val="000000"/>
                <w:sz w:val="22"/>
              </w:rPr>
              <w:t>Appropriation</w:t>
            </w:r>
          </w:p>
        </w:tc>
      </w:tr>
    </w:tbl>
    <w:p>
      <w:pPr>
        <w:pStyle w:val="TextBody"/>
        <w:pBdr/>
        <w:bidi w:val="0"/>
        <w:spacing w:lineRule="auto" w:line="264" w:before="85" w:after="0"/>
        <w:ind w:left="3456" w:right="1854" w:hanging="0"/>
        <w:jc w:val="left"/>
        <w:rPr>
          <w:rFonts w:ascii="Arial" w:hAnsi="Arial"/>
          <w:sz w:val="20"/>
        </w:rPr>
      </w:pPr>
      <w:r>
        <w:rPr>
          <w:rFonts w:ascii="Arial" w:hAnsi="Arial"/>
          <w:color w:val="000000"/>
          <w:sz w:val="20"/>
        </w:rPr>
        <w:t>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6" w:after="0"/>
        <w:ind w:left="360" w:right="360" w:hanging="0"/>
        <w:jc w:val="left"/>
        <w:rPr>
          <w:rFonts w:cs="Arial"/>
          <w:szCs w:val="20"/>
        </w:rPr>
      </w:pPr>
      <w:r>
        <w:rPr>
          <w:rFonts w:cs="Arial"/>
          <w:color w:val="000000"/>
          <w:szCs w:val="20"/>
        </w:rPr>
        <w:t>﻿</w:t>
      </w:r>
      <w:r>
        <w:rPr>
          <w:rFonts w:cs="Arial"/>
          <w:szCs w:val="20"/>
        </w:rPr>
        <w:t xml:space="preserve"> </w:t>
      </w:r>
    </w:p>
    <w:tbl>
      <w:tblPr>
        <w:tblW w:w="4856" w:type="dxa"/>
        <w:jc w:val="left"/>
        <w:tblInd w:w="360" w:type="dxa"/>
        <w:tblLayout w:type="fixed"/>
        <w:tblCellMar>
          <w:top w:w="0" w:type="dxa"/>
          <w:left w:w="0" w:type="dxa"/>
          <w:bottom w:w="0" w:type="dxa"/>
          <w:right w:w="0" w:type="dxa"/>
        </w:tblCellMar>
      </w:tblPr>
      <w:tblGrid>
        <w:gridCol w:w="38"/>
        <w:gridCol w:w="530"/>
        <w:gridCol w:w="23"/>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14. </w:t>
            </w:r>
          </w:p>
        </w:tc>
        <w:tc>
          <w:tcPr>
            <w:tcW w:w="23" w:type="dxa"/>
            <w:tcBorders/>
            <w:vAlign w:val="center"/>
          </w:tcPr>
          <w:p>
            <w:pPr>
              <w:pStyle w:val="TableContents"/>
              <w:bidi w:val="0"/>
              <w:spacing w:before="0" w:after="283"/>
              <w:jc w:val="left"/>
              <w:rPr>
                <w:sz w:val="4"/>
                <w:szCs w:val="4"/>
              </w:rPr>
            </w:pPr>
            <w:r>
              <w:rPr>
                <w:sz w:val="4"/>
                <w:szCs w:val="4"/>
              </w:rPr>
            </w:r>
          </w:p>
        </w:tc>
        <w:tc>
          <w:tcPr>
            <w:tcW w:w="4265" w:type="dxa"/>
            <w:tcBorders/>
          </w:tcPr>
          <w:p>
            <w:pPr>
              <w:pStyle w:val="TableContents"/>
              <w:bidi w:val="0"/>
              <w:spacing w:before="0" w:after="0"/>
              <w:ind w:left="0" w:right="0" w:hanging="0"/>
              <w:jc w:val="left"/>
              <w:rPr>
                <w:rFonts w:ascii="Arial" w:hAnsi="Arial"/>
                <w:color w:val="000000"/>
                <w:sz w:val="30"/>
              </w:rPr>
            </w:pPr>
            <w:bookmarkStart w:id="218" w:name="Representations_and_warranties8"/>
            <w:bookmarkEnd w:id="218"/>
            <w:r>
              <w:rPr>
                <w:rFonts w:ascii="Arial" w:hAnsi="Arial"/>
                <w:color w:val="000000"/>
                <w:sz w:val="30"/>
              </w:rPr>
              <w:t>Representations and warranties</w:t>
            </w:r>
          </w:p>
        </w:tc>
      </w:tr>
    </w:tbl>
    <w:tbl>
      <w:tblPr>
        <w:tblW w:w="1361" w:type="dxa"/>
        <w:jc w:val="left"/>
        <w:tblInd w:w="360" w:type="dxa"/>
        <w:tblLayout w:type="fixed"/>
        <w:tblCellMar>
          <w:top w:w="0" w:type="dxa"/>
          <w:left w:w="0" w:type="dxa"/>
          <w:bottom w:w="0" w:type="dxa"/>
          <w:right w:w="0" w:type="dxa"/>
        </w:tblCellMar>
      </w:tblPr>
      <w:tblGrid>
        <w:gridCol w:w="38"/>
        <w:gridCol w:w="560"/>
        <w:gridCol w:w="23"/>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14.1. </w:t>
            </w:r>
          </w:p>
        </w:tc>
        <w:tc>
          <w:tcPr>
            <w:tcW w:w="23" w:type="dxa"/>
            <w:tcBorders/>
            <w:vAlign w:val="center"/>
          </w:tcPr>
          <w:p>
            <w:pPr>
              <w:pStyle w:val="TableContents"/>
              <w:bidi w:val="0"/>
              <w:spacing w:before="0" w:after="283"/>
              <w:jc w:val="left"/>
              <w:rPr>
                <w:sz w:val="4"/>
                <w:szCs w:val="4"/>
              </w:rPr>
            </w:pPr>
            <w:r>
              <w:rPr>
                <w:sz w:val="4"/>
                <w:szCs w:val="4"/>
              </w:rPr>
            </w:r>
          </w:p>
        </w:tc>
        <w:tc>
          <w:tcPr>
            <w:tcW w:w="740" w:type="dxa"/>
            <w:tcBorders/>
          </w:tcPr>
          <w:p>
            <w:pPr>
              <w:pStyle w:val="TableContents"/>
              <w:bidi w:val="0"/>
              <w:spacing w:before="174" w:after="0"/>
              <w:ind w:left="0" w:right="0" w:hanging="0"/>
              <w:jc w:val="left"/>
              <w:rPr>
                <w:rFonts w:ascii="Arial" w:hAnsi="Arial"/>
                <w:b/>
                <w:color w:val="000000"/>
                <w:sz w:val="22"/>
              </w:rPr>
            </w:pPr>
            <w:bookmarkStart w:id="219" w:name="Nature81"/>
            <w:bookmarkEnd w:id="219"/>
            <w:r>
              <w:rPr>
                <w:rFonts w:ascii="Arial" w:hAnsi="Arial"/>
                <w:b/>
                <w:color w:val="000000"/>
                <w:sz w:val="22"/>
              </w:rPr>
              <w:t>Nature</w:t>
            </w:r>
          </w:p>
        </w:tc>
      </w:tr>
    </w:tbl>
    <w:p>
      <w:pPr>
        <w:pStyle w:val="TextBody"/>
        <w:bidi w:val="0"/>
        <w:spacing w:before="85" w:after="0"/>
        <w:ind w:left="3456" w:right="360" w:hanging="0"/>
        <w:jc w:val="left"/>
        <w:rPr>
          <w:rFonts w:ascii="Arial" w:hAnsi="Arial"/>
          <w:sz w:val="20"/>
        </w:rPr>
      </w:pPr>
      <w:r>
        <w:rPr>
          <w:rFonts w:ascii="Arial" w:hAnsi="Arial"/>
          <w:color w:val="000000"/>
          <w:sz w:val="20"/>
        </w:rPr>
        <w:t>Each Transaction Party represents and warrants that: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t>
      </w:r>
      <w:r>
        <w:rPr>
          <w:rFonts w:ascii="Arial" w:hAnsi="Arial"/>
          <w:b/>
          <w:color w:val="000000"/>
          <w:sz w:val="20"/>
        </w:rPr>
        <w:t>duly incorporated:</w:t>
      </w:r>
      <w:r>
        <w:rPr>
          <w:rFonts w:ascii="Arial" w:hAnsi="Arial"/>
          <w:color w:val="000000"/>
          <w:sz w:val="20"/>
        </w:rPr>
        <w:t> if it purports to be a corporation, it is duly incorporated in accordance with the laws of its place of incorporation, validly exists under those laws and has the capacity to sue or be sued in its own name and to own its property and conduct its business as it is being conducted;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1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9" descr=""/>
                    <pic:cNvPicPr>
                      <a:picLocks noChangeAspect="1" noChangeArrowheads="1"/>
                    </pic:cNvPicPr>
                  </pic:nvPicPr>
                  <pic:blipFill>
                    <a:blip r:embed="rId11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1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0" descr=""/>
                    <pic:cNvPicPr>
                      <a:picLocks noChangeAspect="1" noChangeArrowheads="1"/>
                    </pic:cNvPicPr>
                  </pic:nvPicPr>
                  <pic:blipFill>
                    <a:blip r:embed="rId11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(b)</w:t>
      </w:r>
      <w:r>
        <w:rPr>
          <w:rFonts w:ascii="Arial" w:hAnsi="Arial"/>
          <w:b/>
          <w:sz w:val="20"/>
        </w:rPr>
        <w:t>capacity:</w:t>
      </w:r>
      <w:r>
        <w:rPr>
          <w:rFonts w:ascii="Arial" w:hAnsi="Arial"/>
          <w:sz w:val="20"/>
        </w:rPr>
        <w:t xml:space="preserve"> it has capacity unconditionally to execute and deliver and comply with its obligations under the Transaction Documents; </w:t>
      </w:r>
    </w:p>
    <w:p>
      <w:pPr>
        <w:pStyle w:val="TextBody"/>
        <w:bidi w:val="0"/>
        <w:spacing w:lineRule="auto" w:line="264" w:before="107" w:after="0"/>
        <w:ind w:left="3983" w:right="1956" w:hanging="0"/>
        <w:jc w:val="left"/>
        <w:rPr>
          <w:rFonts w:ascii="Arial" w:hAnsi="Arial"/>
          <w:sz w:val="20"/>
        </w:rPr>
      </w:pPr>
      <w:r>
        <w:rPr>
          <w:rFonts w:ascii="Arial" w:hAnsi="Arial"/>
          <w:sz w:val="20"/>
        </w:rPr>
        <w:t>(c)</w:t>
      </w:r>
      <w:r>
        <w:rPr>
          <w:rFonts w:ascii="Arial" w:hAnsi="Arial"/>
          <w:b/>
          <w:sz w:val="20"/>
        </w:rPr>
        <w:t>action taken:</w:t>
      </w:r>
      <w:r>
        <w:rPr>
          <w:rFonts w:ascii="Arial" w:hAnsi="Arial"/>
          <w:sz w:val="20"/>
        </w:rPr>
        <w:t xml:space="preserve"> it has taken all necessary action to authorise the unconditional execution and delivery of, and the compliance with its obligations under, the Transaction Documents to which it is a party; </w:t>
      </w:r>
    </w:p>
    <w:p>
      <w:pPr>
        <w:pStyle w:val="TextBody"/>
        <w:bidi w:val="0"/>
        <w:spacing w:lineRule="auto" w:line="264" w:before="107" w:after="0"/>
        <w:ind w:left="3983" w:right="1956" w:hanging="0"/>
        <w:jc w:val="left"/>
        <w:rPr>
          <w:rFonts w:ascii="Arial" w:hAnsi="Arial"/>
          <w:sz w:val="20"/>
        </w:rPr>
      </w:pPr>
      <w:r>
        <w:rPr>
          <w:rFonts w:ascii="Arial" w:hAnsi="Arial"/>
          <w:sz w:val="20"/>
        </w:rPr>
        <w:t>(d)</w:t>
      </w:r>
      <w:r>
        <w:rPr>
          <w:rFonts w:ascii="Arial" w:hAnsi="Arial"/>
          <w:b/>
          <w:sz w:val="20"/>
        </w:rPr>
        <w:t>binding</w:t>
      </w:r>
      <w:r>
        <w:rPr>
          <w:rFonts w:ascii="Arial" w:hAnsi="Arial"/>
          <w:sz w:val="20"/>
        </w:rPr>
        <w:t> </w:t>
      </w:r>
      <w:r>
        <w:rPr>
          <w:rFonts w:ascii="Arial" w:hAnsi="Arial"/>
          <w:b/>
          <w:sz w:val="20"/>
        </w:rPr>
        <w:t>obligations:</w:t>
      </w:r>
      <w:r>
        <w:rPr>
          <w:rFonts w:ascii="Arial" w:hAnsi="Arial"/>
          <w:sz w:val="20"/>
        </w:rPr>
        <w:t xml:space="preserve"> each Transaction Document constitutes the valid and legally binding obligations of, and is enforceable against it by the Bank in accordance with its terms (subject to any necessary stamping or registration and to equitable principles and insolvency laws); </w:t>
      </w:r>
    </w:p>
    <w:p>
      <w:pPr>
        <w:pStyle w:val="TextBody"/>
        <w:bidi w:val="0"/>
        <w:spacing w:lineRule="auto" w:line="264" w:before="107" w:after="0"/>
        <w:ind w:left="3983" w:right="1956" w:hanging="0"/>
        <w:jc w:val="left"/>
        <w:rPr>
          <w:rFonts w:ascii="Arial" w:hAnsi="Arial"/>
          <w:sz w:val="20"/>
        </w:rPr>
      </w:pPr>
      <w:r>
        <w:rPr>
          <w:rFonts w:ascii="Arial" w:hAnsi="Arial"/>
          <w:sz w:val="20"/>
        </w:rPr>
        <w:t>(e)</w:t>
      </w:r>
      <w:r>
        <w:rPr>
          <w:rFonts w:ascii="Arial" w:hAnsi="Arial"/>
          <w:b/>
          <w:sz w:val="20"/>
        </w:rPr>
        <w:t>priority:</w:t>
      </w:r>
      <w:r>
        <w:rPr>
          <w:rFonts w:ascii="Arial" w:hAnsi="Arial"/>
          <w:sz w:val="20"/>
        </w:rPr>
        <w:t xml:space="preserve"> each Security Interest which each Transaction Document purports to create exists and has the priority which the Bank has agreed to (subject to any necessary stamping and registration); </w:t>
      </w:r>
    </w:p>
    <w:p>
      <w:pPr>
        <w:pStyle w:val="TextBody"/>
        <w:bidi w:val="0"/>
        <w:spacing w:lineRule="auto" w:line="264" w:before="107" w:after="0"/>
        <w:ind w:left="3983" w:right="1956" w:hanging="0"/>
        <w:jc w:val="left"/>
        <w:rPr>
          <w:rFonts w:ascii="Arial" w:hAnsi="Arial"/>
          <w:sz w:val="20"/>
        </w:rPr>
      </w:pPr>
      <w:r>
        <w:rPr>
          <w:rFonts w:ascii="Arial" w:hAnsi="Arial"/>
          <w:sz w:val="20"/>
        </w:rPr>
        <w:t>(f)</w:t>
      </w:r>
      <w:r>
        <w:rPr>
          <w:rFonts w:ascii="Arial" w:hAnsi="Arial"/>
          <w:b/>
          <w:sz w:val="20"/>
        </w:rPr>
        <w:t>authorisations:</w:t>
      </w:r>
      <w:r>
        <w:rPr>
          <w:rFonts w:ascii="Arial" w:hAnsi="Arial"/>
          <w:sz w:val="20"/>
        </w:rPr>
        <w:t xml:space="preserve"> each authorisation from, and filing and registration with, a Government Body necessary to enable it to unconditionally execute and deliver and comply with its obligations under the Transaction Documents to which it is a party has been obtained, effected and complied with; </w:t>
      </w:r>
    </w:p>
    <w:p>
      <w:pPr>
        <w:pStyle w:val="TextBody"/>
        <w:bidi w:val="0"/>
        <w:spacing w:lineRule="auto" w:line="264" w:before="107" w:after="0"/>
        <w:ind w:left="3983" w:right="1956" w:hanging="0"/>
        <w:jc w:val="left"/>
        <w:rPr>
          <w:rFonts w:ascii="Arial" w:hAnsi="Arial"/>
          <w:sz w:val="20"/>
        </w:rPr>
      </w:pPr>
      <w:r>
        <w:rPr>
          <w:rFonts w:ascii="Arial" w:hAnsi="Arial"/>
          <w:sz w:val="20"/>
        </w:rPr>
        <w:t>(g)</w:t>
      </w:r>
      <w:r>
        <w:rPr>
          <w:rFonts w:ascii="Arial" w:hAnsi="Arial"/>
          <w:b/>
          <w:sz w:val="20"/>
        </w:rPr>
        <w:t>no contravention:</w:t>
      </w:r>
      <w:r>
        <w:rPr>
          <w:rFonts w:ascii="Arial" w:hAnsi="Arial"/>
          <w:sz w:val="20"/>
        </w:rPr>
        <w:t xml:space="preserve"> the unconditional execution and delivery of, and compliance with its obligations by it under, the Transaction Documents to which it is a party do not: </w:t>
      </w:r>
    </w:p>
    <w:p>
      <w:pPr>
        <w:pStyle w:val="TextBody"/>
        <w:bidi w:val="0"/>
        <w:spacing w:lineRule="auto" w:line="264" w:before="107" w:after="0"/>
        <w:ind w:left="4540" w:right="1854" w:hanging="0"/>
        <w:jc w:val="left"/>
        <w:rPr>
          <w:rFonts w:ascii="Arial" w:hAnsi="Arial"/>
          <w:sz w:val="20"/>
        </w:rPr>
      </w:pPr>
      <w:r>
        <w:rPr>
          <w:rFonts w:ascii="Arial" w:hAnsi="Arial"/>
          <w:sz w:val="20"/>
        </w:rPr>
        <w:t xml:space="preserve">(i)contravene any law to which it or any of its property is subject or any order or directive from a Government Body binding on it or any of its property; </w:t>
      </w:r>
    </w:p>
    <w:p>
      <w:pPr>
        <w:pStyle w:val="TextBody"/>
        <w:bidi w:val="0"/>
        <w:spacing w:before="111" w:after="0"/>
        <w:ind w:left="4539" w:right="360" w:hanging="0"/>
        <w:jc w:val="left"/>
        <w:rPr>
          <w:rFonts w:ascii="Arial" w:hAnsi="Arial"/>
          <w:sz w:val="20"/>
        </w:rPr>
      </w:pPr>
      <w:r>
        <w:rPr>
          <w:rFonts w:ascii="Arial" w:hAnsi="Arial"/>
          <w:sz w:val="20"/>
        </w:rPr>
        <w:t xml:space="preserve">(ii)contravene its constituent documents; </w:t>
      </w:r>
    </w:p>
    <w:p>
      <w:pPr>
        <w:pStyle w:val="TextBody"/>
        <w:bidi w:val="0"/>
        <w:spacing w:before="139" w:after="0"/>
        <w:ind w:left="4539" w:right="360" w:hanging="0"/>
        <w:jc w:val="left"/>
        <w:rPr>
          <w:rFonts w:ascii="Arial" w:hAnsi="Arial"/>
          <w:sz w:val="20"/>
        </w:rPr>
      </w:pPr>
      <w:r>
        <w:rPr>
          <w:rFonts w:ascii="Arial" w:hAnsi="Arial"/>
          <w:sz w:val="20"/>
        </w:rPr>
        <w:t xml:space="preserve">(iii)contravene any agreement or instrument to which it is a party; </w:t>
      </w:r>
    </w:p>
    <w:p>
      <w:pPr>
        <w:pStyle w:val="TextBody"/>
        <w:bidi w:val="0"/>
        <w:spacing w:before="135" w:after="0"/>
        <w:ind w:left="4539" w:right="360" w:hanging="0"/>
        <w:jc w:val="left"/>
        <w:rPr>
          <w:rFonts w:ascii="Arial" w:hAnsi="Arial"/>
          <w:sz w:val="20"/>
        </w:rPr>
      </w:pPr>
      <w:r>
        <w:rPr>
          <w:rFonts w:ascii="Arial" w:hAnsi="Arial"/>
          <w:sz w:val="20"/>
        </w:rPr>
        <w:t xml:space="preserve">(iv)contravene any obligation it has to any other person; or </w:t>
      </w:r>
    </w:p>
    <w:p>
      <w:pPr>
        <w:pStyle w:val="TextBody"/>
        <w:bidi w:val="0"/>
        <w:spacing w:lineRule="auto" w:line="264" w:before="0" w:after="0"/>
        <w:ind w:left="4540" w:right="2391" w:hanging="0"/>
        <w:jc w:val="left"/>
        <w:rPr>
          <w:rFonts w:ascii="Arial" w:hAnsi="Arial"/>
          <w:sz w:val="20"/>
        </w:rPr>
      </w:pPr>
      <w:r>
        <w:rPr>
          <w:rFonts w:ascii="Arial" w:hAnsi="Arial"/>
          <w:sz w:val="20"/>
        </w:rPr>
        <w:t xml:space="preserve">(v)require it to make any payment or delivery in relation to any Financial Indebtedness (other than Excluded Financial Indebtedness) before the scheduled date for that payment or delivery; </w:t>
      </w:r>
    </w:p>
    <w:p>
      <w:pPr>
        <w:pStyle w:val="TextBody"/>
        <w:bidi w:val="0"/>
        <w:spacing w:lineRule="auto" w:line="264" w:before="107" w:after="0"/>
        <w:ind w:left="3983" w:right="1956" w:hanging="0"/>
        <w:jc w:val="left"/>
        <w:rPr>
          <w:rFonts w:ascii="Arial" w:hAnsi="Arial"/>
          <w:sz w:val="20"/>
        </w:rPr>
      </w:pPr>
      <w:r>
        <w:rPr>
          <w:rFonts w:ascii="Arial" w:hAnsi="Arial"/>
          <w:sz w:val="20"/>
        </w:rPr>
        <w:t>(h)</w:t>
      </w:r>
      <w:r>
        <w:rPr>
          <w:rFonts w:ascii="Arial" w:hAnsi="Arial"/>
          <w:b/>
          <w:sz w:val="20"/>
        </w:rPr>
        <w:t>correct</w:t>
      </w:r>
      <w:r>
        <w:rPr>
          <w:rFonts w:ascii="Arial" w:hAnsi="Arial"/>
          <w:sz w:val="20"/>
        </w:rPr>
        <w:t> </w:t>
      </w:r>
      <w:r>
        <w:rPr>
          <w:rFonts w:ascii="Arial" w:hAnsi="Arial"/>
          <w:b/>
          <w:sz w:val="20"/>
        </w:rPr>
        <w:t>information:</w:t>
      </w:r>
      <w:r>
        <w:rPr>
          <w:rFonts w:ascii="Arial" w:hAnsi="Arial"/>
          <w:sz w:val="20"/>
        </w:rPr>
        <w:t xml:space="preserve"> all information given and each statement made to any Bank by it or at its direction in relation to the Transaction Documents, is correct, complete and not misleading; </w:t>
      </w:r>
    </w:p>
    <w:p>
      <w:pPr>
        <w:pStyle w:val="TextBody"/>
        <w:bidi w:val="0"/>
        <w:spacing w:lineRule="auto" w:line="264" w:before="107" w:after="0"/>
        <w:ind w:left="3983" w:right="1956" w:hanging="0"/>
        <w:jc w:val="left"/>
        <w:rPr>
          <w:rFonts w:ascii="Arial" w:hAnsi="Arial"/>
          <w:sz w:val="20"/>
        </w:rPr>
      </w:pPr>
      <w:r>
        <w:rPr>
          <w:rFonts w:ascii="Arial" w:hAnsi="Arial"/>
          <w:sz w:val="20"/>
        </w:rPr>
        <w:t>(i)</w:t>
      </w:r>
      <w:r>
        <w:rPr>
          <w:rFonts w:ascii="Arial" w:hAnsi="Arial"/>
          <w:b/>
          <w:sz w:val="20"/>
        </w:rPr>
        <w:t>full</w:t>
      </w:r>
      <w:r>
        <w:rPr>
          <w:rFonts w:ascii="Arial" w:hAnsi="Arial"/>
          <w:sz w:val="20"/>
        </w:rPr>
        <w:t> </w:t>
      </w:r>
      <w:r>
        <w:rPr>
          <w:rFonts w:ascii="Arial" w:hAnsi="Arial"/>
          <w:b/>
          <w:sz w:val="20"/>
        </w:rPr>
        <w:t>disclosure:</w:t>
      </w:r>
      <w:r>
        <w:rPr>
          <w:rFonts w:ascii="Arial" w:hAnsi="Arial"/>
          <w:sz w:val="20"/>
        </w:rPr>
        <w:t xml:space="preserve"> it has disclosed to the Bank all information which the Borrower has or has access to and which is relevant to the assessment by the Bank of the nature and amount of the risks undertaken by the Bank becoming a creditor of or taking a Security from it; </w:t>
      </w:r>
    </w:p>
    <w:p>
      <w:pPr>
        <w:pStyle w:val="TextBody"/>
        <w:bidi w:val="0"/>
        <w:spacing w:lineRule="auto" w:line="264" w:before="107" w:after="0"/>
        <w:ind w:left="3983" w:right="1956" w:hanging="0"/>
        <w:jc w:val="left"/>
        <w:rPr>
          <w:rFonts w:ascii="Arial" w:hAnsi="Arial"/>
          <w:sz w:val="22"/>
        </w:rPr>
      </w:pPr>
      <w:r>
        <w:rPr>
          <w:rFonts w:ascii="Arial" w:hAnsi="Arial"/>
          <w:sz w:val="20"/>
        </w:rPr>
        <w:t>(j)</w:t>
      </w:r>
      <w:r>
        <w:rPr>
          <w:rFonts w:ascii="Arial" w:hAnsi="Arial"/>
          <w:b/>
          <w:sz w:val="20"/>
        </w:rPr>
        <w:t>Financial</w:t>
      </w:r>
      <w:r>
        <w:rPr>
          <w:rFonts w:ascii="Arial" w:hAnsi="Arial"/>
          <w:sz w:val="22"/>
        </w:rPr>
        <w:t> </w:t>
      </w:r>
      <w:r>
        <w:rPr>
          <w:rFonts w:ascii="Arial" w:hAnsi="Arial"/>
          <w:b/>
          <w:sz w:val="20"/>
        </w:rPr>
        <w:t>Statements:</w:t>
      </w:r>
      <w:r>
        <w:rPr>
          <w:rFonts w:ascii="Arial" w:hAnsi="Arial"/>
          <w:sz w:val="22"/>
        </w:rPr>
        <w:t> </w:t>
      </w:r>
      <w:r>
        <w:rPr>
          <w:rFonts w:ascii="Arial" w:hAnsi="Arial"/>
          <w:sz w:val="20"/>
        </w:rPr>
        <w:t>the</w:t>
      </w:r>
      <w:r>
        <w:rPr>
          <w:rFonts w:ascii="Arial" w:hAnsi="Arial"/>
          <w:sz w:val="22"/>
        </w:rPr>
        <w:t> </w:t>
      </w:r>
      <w:r>
        <w:rPr>
          <w:rFonts w:ascii="Arial" w:hAnsi="Arial"/>
          <w:sz w:val="20"/>
        </w:rPr>
        <w:t>Financial</w:t>
      </w:r>
      <w:r>
        <w:rPr>
          <w:rFonts w:ascii="Arial" w:hAnsi="Arial"/>
          <w:sz w:val="22"/>
        </w:rPr>
        <w:t> </w:t>
      </w:r>
      <w:r>
        <w:rPr>
          <w:rFonts w:ascii="Arial" w:hAnsi="Arial"/>
          <w:sz w:val="20"/>
        </w:rPr>
        <w:t>Statements</w:t>
      </w:r>
      <w:r>
        <w:rPr>
          <w:rFonts w:ascii="Arial" w:hAnsi="Arial"/>
          <w:sz w:val="22"/>
        </w:rPr>
        <w:t> </w:t>
      </w:r>
      <w:r>
        <w:rPr>
          <w:rFonts w:ascii="Arial" w:hAnsi="Arial"/>
          <w:sz w:val="20"/>
        </w:rPr>
        <w:t>of</w:t>
      </w:r>
      <w:r>
        <w:rPr>
          <w:rFonts w:ascii="Arial" w:hAnsi="Arial"/>
          <w:sz w:val="22"/>
        </w:rPr>
        <w:t> </w:t>
      </w:r>
      <w:r>
        <w:rPr>
          <w:rFonts w:ascii="Arial" w:hAnsi="Arial"/>
          <w:sz w:val="20"/>
        </w:rPr>
        <w:t>each</w:t>
      </w:r>
      <w:r>
        <w:rPr>
          <w:rFonts w:ascii="Arial" w:hAnsi="Arial"/>
          <w:sz w:val="22"/>
        </w:rPr>
        <w:t> </w:t>
      </w:r>
      <w:r>
        <w:rPr>
          <w:rFonts w:ascii="Arial" w:hAnsi="Arial"/>
          <w:sz w:val="20"/>
        </w:rPr>
        <w:t>of</w:t>
      </w:r>
      <w:r>
        <w:rPr>
          <w:rFonts w:ascii="Arial" w:hAnsi="Arial"/>
          <w:sz w:val="22"/>
        </w:rPr>
        <w:t> </w:t>
      </w:r>
      <w:r>
        <w:rPr>
          <w:rFonts w:ascii="Arial" w:hAnsi="Arial"/>
          <w:sz w:val="20"/>
        </w:rPr>
        <w:t>Transaction Party given to the Bank</w:t>
      </w:r>
      <w:r>
        <w:rPr>
          <w:rFonts w:ascii="Arial" w:hAnsi="Arial"/>
          <w:sz w:val="22"/>
        </w:rPr>
        <w:t xml:space="preserve"> </w:t>
      </w:r>
      <w:r>
        <w:rPr>
          <w:rFonts w:ascii="Arial" w:hAnsi="Arial"/>
          <w:sz w:val="20"/>
        </w:rPr>
        <w:t xml:space="preserve">under </w:t>
      </w:r>
      <w:r>
        <w:rPr>
          <w:rFonts w:ascii="Arial" w:hAnsi="Arial"/>
          <w:b/>
          <w:sz w:val="20"/>
        </w:rPr>
        <w:t xml:space="preserve">clause </w:t>
      </w:r>
      <w:r>
        <w:rPr>
          <w:rFonts w:ascii="Arial" w:hAnsi="Arial"/>
          <w:b/>
          <w:color w:val="2D97D3"/>
          <w:sz w:val="20"/>
          <w:u w:val="single"/>
        </w:rPr>
        <w:t>9.3</w:t>
      </w:r>
      <w:r>
        <w:rPr>
          <w:rFonts w:ascii="Arial" w:hAnsi="Arial"/>
          <w:b/>
          <w:strike/>
          <w:color w:val="B5082D"/>
          <w:sz w:val="20"/>
        </w:rPr>
        <w:t>9.3</w:t>
      </w:r>
      <w:r>
        <w:rPr>
          <w:rFonts w:ascii="Arial" w:hAnsi="Arial"/>
          <w:sz w:val="20"/>
        </w:rPr>
        <w:t>:</w:t>
      </w:r>
      <w:r>
        <w:rPr>
          <w:rFonts w:ascii="Arial" w:hAnsi="Arial"/>
          <w:sz w:val="22"/>
        </w:rPr>
        <w:t xml:space="preserve"> </w:t>
      </w:r>
    </w:p>
    <w:p>
      <w:pPr>
        <w:pStyle w:val="TextBody"/>
        <w:bidi w:val="0"/>
        <w:spacing w:lineRule="auto" w:line="264" w:before="111" w:after="0"/>
        <w:ind w:left="4540" w:right="1952" w:hanging="0"/>
        <w:jc w:val="left"/>
        <w:rPr>
          <w:rFonts w:ascii="Arial" w:hAnsi="Arial"/>
          <w:sz w:val="20"/>
        </w:rPr>
      </w:pPr>
      <w:r>
        <w:rPr>
          <w:rFonts w:ascii="Arial" w:hAnsi="Arial"/>
          <w:sz w:val="20"/>
        </w:rPr>
        <w:t xml:space="preserve">(i)are a true, fair and accurate statement of their respective financial performance and position and their respective consolidated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1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1" descr=""/>
                    <pic:cNvPicPr>
                      <a:picLocks noChangeAspect="1" noChangeArrowheads="1"/>
                    </pic:cNvPicPr>
                  </pic:nvPicPr>
                  <pic:blipFill>
                    <a:blip r:embed="rId11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1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2" descr=""/>
                    <pic:cNvPicPr>
                      <a:picLocks noChangeAspect="1" noChangeArrowheads="1"/>
                    </pic:cNvPicPr>
                  </pic:nvPicPr>
                  <pic:blipFill>
                    <a:blip r:embed="rId11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4540" w:right="1854" w:hanging="0"/>
        <w:jc w:val="left"/>
        <w:rPr>
          <w:rFonts w:ascii="Arial" w:hAnsi="Arial"/>
          <w:sz w:val="20"/>
        </w:rPr>
      </w:pPr>
      <w:r>
        <w:rPr>
          <w:rFonts w:ascii="Arial" w:hAnsi="Arial"/>
          <w:sz w:val="20"/>
        </w:rPr>
        <w:t xml:space="preserve">financial performance and position at the date to which they are prepared; and </w:t>
      </w:r>
    </w:p>
    <w:p>
      <w:pPr>
        <w:pStyle w:val="TextBody"/>
        <w:bidi w:val="0"/>
        <w:spacing w:lineRule="auto" w:line="266" w:before="104" w:after="0"/>
        <w:ind w:left="4540" w:right="1917" w:hanging="0"/>
        <w:jc w:val="left"/>
        <w:rPr>
          <w:rFonts w:ascii="Arial" w:hAnsi="Arial"/>
          <w:sz w:val="22"/>
        </w:rPr>
      </w:pPr>
      <w:r>
        <w:rPr>
          <w:rFonts w:ascii="Arial" w:hAnsi="Arial"/>
          <w:sz w:val="20"/>
        </w:rPr>
        <w:t>(ii)have</w:t>
      </w:r>
      <w:r>
        <w:rPr>
          <w:rFonts w:ascii="Arial" w:hAnsi="Arial"/>
          <w:sz w:val="22"/>
        </w:rPr>
        <w:t> </w:t>
      </w:r>
      <w:r>
        <w:rPr>
          <w:rFonts w:ascii="Arial" w:hAnsi="Arial"/>
          <w:sz w:val="20"/>
        </w:rPr>
        <w:t>been</w:t>
      </w:r>
      <w:r>
        <w:rPr>
          <w:rFonts w:ascii="Arial" w:hAnsi="Arial"/>
          <w:sz w:val="22"/>
        </w:rPr>
        <w:t> </w:t>
      </w:r>
      <w:r>
        <w:rPr>
          <w:rFonts w:ascii="Arial" w:hAnsi="Arial"/>
          <w:sz w:val="20"/>
        </w:rPr>
        <w:t>prepared</w:t>
      </w:r>
      <w:r>
        <w:rPr>
          <w:rFonts w:ascii="Arial" w:hAnsi="Arial"/>
          <w:sz w:val="22"/>
        </w:rPr>
        <w:t> </w:t>
      </w:r>
      <w:r>
        <w:rPr>
          <w:rFonts w:ascii="Arial" w:hAnsi="Arial"/>
          <w:sz w:val="20"/>
        </w:rPr>
        <w:t>in</w:t>
      </w:r>
      <w:r>
        <w:rPr>
          <w:rFonts w:ascii="Arial" w:hAnsi="Arial"/>
          <w:sz w:val="22"/>
        </w:rPr>
        <w:t> </w:t>
      </w:r>
      <w:r>
        <w:rPr>
          <w:rFonts w:ascii="Arial" w:hAnsi="Arial"/>
          <w:sz w:val="20"/>
        </w:rPr>
        <w:t>accordance</w:t>
      </w:r>
      <w:r>
        <w:rPr>
          <w:rFonts w:ascii="Arial" w:hAnsi="Arial"/>
          <w:sz w:val="22"/>
        </w:rPr>
        <w:t> </w:t>
      </w:r>
      <w:r>
        <w:rPr>
          <w:rFonts w:ascii="Arial" w:hAnsi="Arial"/>
          <w:sz w:val="20"/>
        </w:rPr>
        <w:t>with</w:t>
      </w:r>
      <w:r>
        <w:rPr>
          <w:rFonts w:ascii="Arial" w:hAnsi="Arial"/>
          <w:sz w:val="22"/>
        </w:rPr>
        <w:t> </w:t>
      </w:r>
      <w:r>
        <w:rPr>
          <w:rFonts w:ascii="Arial" w:hAnsi="Arial"/>
          <w:b/>
          <w:sz w:val="20"/>
        </w:rPr>
        <w:t>clause</w:t>
      </w:r>
      <w:r>
        <w:rPr>
          <w:rFonts w:ascii="Arial" w:hAnsi="Arial"/>
          <w:sz w:val="22"/>
        </w:rPr>
        <w:t> </w:t>
      </w:r>
      <w:r>
        <w:rPr>
          <w:rFonts w:ascii="Arial" w:hAnsi="Arial"/>
          <w:b/>
          <w:color w:val="2D97D3"/>
          <w:sz w:val="20"/>
          <w:u w:val="single"/>
        </w:rPr>
        <w:t>9.2</w:t>
      </w:r>
      <w:r>
        <w:rPr>
          <w:rFonts w:ascii="Arial" w:hAnsi="Arial"/>
          <w:b/>
          <w:strike/>
          <w:color w:val="B5082D"/>
          <w:sz w:val="20"/>
        </w:rPr>
        <w:t>9.2</w:t>
      </w:r>
      <w:r>
        <w:rPr>
          <w:rFonts w:ascii="Arial" w:hAnsi="Arial"/>
          <w:color w:val="B5082D"/>
          <w:sz w:val="22"/>
        </w:rPr>
        <w:t> </w:t>
      </w:r>
      <w:r>
        <w:rPr>
          <w:rFonts w:ascii="Arial" w:hAnsi="Arial"/>
          <w:sz w:val="20"/>
        </w:rPr>
        <w:t>and</w:t>
      </w:r>
      <w:r>
        <w:rPr>
          <w:rFonts w:ascii="Arial" w:hAnsi="Arial"/>
          <w:sz w:val="22"/>
        </w:rPr>
        <w:t> </w:t>
      </w:r>
      <w:r>
        <w:rPr>
          <w:rFonts w:ascii="Arial" w:hAnsi="Arial"/>
          <w:b/>
          <w:color w:val="2D97D3"/>
          <w:sz w:val="20"/>
          <w:u w:val="single"/>
        </w:rPr>
        <w:t>9.3</w:t>
      </w:r>
      <w:r>
        <w:rPr>
          <w:rFonts w:ascii="Arial" w:hAnsi="Arial"/>
          <w:b/>
          <w:strike/>
          <w:color w:val="B5082D"/>
          <w:sz w:val="20"/>
        </w:rPr>
        <w:t>9.3</w:t>
      </w:r>
      <w:r>
        <w:rPr>
          <w:rFonts w:ascii="Arial" w:hAnsi="Arial"/>
          <w:sz w:val="20"/>
        </w:rPr>
        <w:t>, except</w:t>
      </w:r>
      <w:r>
        <w:rPr>
          <w:rFonts w:ascii="Arial" w:hAnsi="Arial"/>
          <w:sz w:val="22"/>
        </w:rPr>
        <w:t> </w:t>
      </w:r>
      <w:r>
        <w:rPr>
          <w:rFonts w:ascii="Arial" w:hAnsi="Arial"/>
          <w:sz w:val="20"/>
        </w:rPr>
        <w:t>for</w:t>
      </w:r>
      <w:r>
        <w:rPr>
          <w:rFonts w:ascii="Arial" w:hAnsi="Arial"/>
          <w:sz w:val="22"/>
        </w:rPr>
        <w:t> </w:t>
      </w:r>
      <w:r>
        <w:rPr>
          <w:rFonts w:ascii="Arial" w:hAnsi="Arial"/>
          <w:sz w:val="20"/>
        </w:rPr>
        <w:t>such</w:t>
      </w:r>
      <w:r>
        <w:rPr>
          <w:rFonts w:ascii="Arial" w:hAnsi="Arial"/>
          <w:sz w:val="22"/>
        </w:rPr>
        <w:t> </w:t>
      </w:r>
      <w:r>
        <w:rPr>
          <w:rFonts w:ascii="Arial" w:hAnsi="Arial"/>
          <w:sz w:val="20"/>
        </w:rPr>
        <w:t>departures</w:t>
      </w:r>
      <w:r>
        <w:rPr>
          <w:rFonts w:ascii="Arial" w:hAnsi="Arial"/>
          <w:sz w:val="22"/>
        </w:rPr>
        <w:t> </w:t>
      </w:r>
      <w:r>
        <w:rPr>
          <w:rFonts w:ascii="Arial" w:hAnsi="Arial"/>
          <w:sz w:val="20"/>
        </w:rPr>
        <w:t>expressly</w:t>
      </w:r>
      <w:r>
        <w:rPr>
          <w:rFonts w:ascii="Arial" w:hAnsi="Arial"/>
          <w:sz w:val="22"/>
        </w:rPr>
        <w:t> </w:t>
      </w:r>
      <w:r>
        <w:rPr>
          <w:rFonts w:ascii="Arial" w:hAnsi="Arial"/>
          <w:sz w:val="20"/>
        </w:rPr>
        <w:t>disclosed</w:t>
      </w:r>
      <w:r>
        <w:rPr>
          <w:rFonts w:ascii="Arial" w:hAnsi="Arial"/>
          <w:sz w:val="22"/>
        </w:rPr>
        <w:t> </w:t>
      </w:r>
      <w:r>
        <w:rPr>
          <w:rFonts w:ascii="Arial" w:hAnsi="Arial"/>
          <w:sz w:val="20"/>
        </w:rPr>
        <w:t>in</w:t>
      </w:r>
      <w:r>
        <w:rPr>
          <w:rFonts w:ascii="Arial" w:hAnsi="Arial"/>
          <w:sz w:val="22"/>
        </w:rPr>
        <w:t> </w:t>
      </w:r>
      <w:r>
        <w:rPr>
          <w:rFonts w:ascii="Arial" w:hAnsi="Arial"/>
          <w:sz w:val="20"/>
        </w:rPr>
        <w:t>those</w:t>
      </w:r>
      <w:r>
        <w:rPr>
          <w:rFonts w:ascii="Arial" w:hAnsi="Arial"/>
          <w:sz w:val="22"/>
        </w:rPr>
        <w:t> </w:t>
      </w:r>
      <w:r>
        <w:rPr>
          <w:rFonts w:ascii="Arial" w:hAnsi="Arial"/>
          <w:sz w:val="20"/>
        </w:rPr>
        <w:t>Financial Statements;</w:t>
      </w:r>
      <w:r>
        <w:rPr>
          <w:rFonts w:ascii="Arial" w:hAnsi="Arial"/>
          <w:sz w:val="22"/>
        </w:rPr>
        <w:t xml:space="preserve"> </w:t>
      </w:r>
    </w:p>
    <w:p>
      <w:pPr>
        <w:pStyle w:val="TextBody"/>
        <w:bidi w:val="0"/>
        <w:spacing w:lineRule="auto" w:line="264" w:before="106" w:after="0"/>
        <w:ind w:left="3950" w:right="1939" w:hanging="0"/>
        <w:jc w:val="left"/>
        <w:rPr>
          <w:rFonts w:ascii="Arial" w:hAnsi="Arial"/>
          <w:sz w:val="22"/>
        </w:rPr>
      </w:pPr>
      <w:r>
        <w:rPr>
          <w:rFonts w:ascii="Arial" w:hAnsi="Arial"/>
          <w:sz w:val="20"/>
        </w:rPr>
        <w:t>(k)</w:t>
      </w:r>
      <w:r>
        <w:rPr>
          <w:rFonts w:ascii="Arial" w:hAnsi="Arial"/>
          <w:b/>
          <w:sz w:val="20"/>
        </w:rPr>
        <w:t>no change in financial position:</w:t>
      </w:r>
      <w:r>
        <w:rPr>
          <w:rFonts w:ascii="Arial" w:hAnsi="Arial"/>
          <w:sz w:val="22"/>
        </w:rPr>
        <w:t> </w:t>
      </w:r>
      <w:r>
        <w:rPr>
          <w:rFonts w:ascii="Arial" w:hAnsi="Arial"/>
          <w:sz w:val="20"/>
        </w:rPr>
        <w:t>there has been no change in the financial</w:t>
      </w:r>
      <w:r>
        <w:rPr>
          <w:rFonts w:ascii="Arial" w:hAnsi="Arial"/>
          <w:sz w:val="22"/>
        </w:rPr>
        <w:t> </w:t>
      </w:r>
      <w:r>
        <w:rPr>
          <w:rFonts w:ascii="Arial" w:hAnsi="Arial"/>
          <w:sz w:val="20"/>
        </w:rPr>
        <w:t>performance</w:t>
      </w:r>
      <w:r>
        <w:rPr>
          <w:rFonts w:ascii="Arial" w:hAnsi="Arial"/>
          <w:sz w:val="22"/>
        </w:rPr>
        <w:t> </w:t>
      </w:r>
      <w:r>
        <w:rPr>
          <w:rFonts w:ascii="Arial" w:hAnsi="Arial"/>
          <w:sz w:val="20"/>
        </w:rPr>
        <w:t>or</w:t>
      </w:r>
      <w:r>
        <w:rPr>
          <w:rFonts w:ascii="Arial" w:hAnsi="Arial"/>
          <w:sz w:val="22"/>
        </w:rPr>
        <w:t> </w:t>
      </w:r>
      <w:r>
        <w:rPr>
          <w:rFonts w:ascii="Arial" w:hAnsi="Arial"/>
          <w:sz w:val="20"/>
        </w:rPr>
        <w:t>position</w:t>
      </w:r>
      <w:r>
        <w:rPr>
          <w:rFonts w:ascii="Arial" w:hAnsi="Arial"/>
          <w:sz w:val="22"/>
        </w:rPr>
        <w:t> </w:t>
      </w:r>
      <w:r>
        <w:rPr>
          <w:rFonts w:ascii="Arial" w:hAnsi="Arial"/>
          <w:sz w:val="20"/>
        </w:rPr>
        <w:t>of</w:t>
      </w:r>
      <w:r>
        <w:rPr>
          <w:rFonts w:ascii="Arial" w:hAnsi="Arial"/>
          <w:sz w:val="22"/>
        </w:rPr>
        <w:t> </w:t>
      </w:r>
      <w:r>
        <w:rPr>
          <w:rFonts w:ascii="Arial" w:hAnsi="Arial"/>
          <w:sz w:val="20"/>
        </w:rPr>
        <w:t>a</w:t>
      </w:r>
      <w:r>
        <w:rPr>
          <w:rFonts w:ascii="Arial" w:hAnsi="Arial"/>
          <w:sz w:val="22"/>
        </w:rPr>
        <w:t> </w:t>
      </w:r>
      <w:r>
        <w:rPr>
          <w:rFonts w:ascii="Arial" w:hAnsi="Arial"/>
          <w:sz w:val="20"/>
        </w:rPr>
        <w:t>Transaction</w:t>
      </w:r>
      <w:r>
        <w:rPr>
          <w:rFonts w:ascii="Arial" w:hAnsi="Arial"/>
          <w:sz w:val="22"/>
        </w:rPr>
        <w:t> </w:t>
      </w:r>
      <w:r>
        <w:rPr>
          <w:rFonts w:ascii="Arial" w:hAnsi="Arial"/>
          <w:sz w:val="20"/>
        </w:rPr>
        <w:t>Party</w:t>
      </w:r>
      <w:r>
        <w:rPr>
          <w:rFonts w:ascii="Arial" w:hAnsi="Arial"/>
          <w:sz w:val="22"/>
        </w:rPr>
        <w:t> </w:t>
      </w:r>
      <w:r>
        <w:rPr>
          <w:rFonts w:ascii="Arial" w:hAnsi="Arial"/>
          <w:sz w:val="20"/>
        </w:rPr>
        <w:t>since</w:t>
      </w:r>
      <w:r>
        <w:rPr>
          <w:rFonts w:ascii="Arial" w:hAnsi="Arial"/>
          <w:sz w:val="22"/>
        </w:rPr>
        <w:t> </w:t>
      </w:r>
      <w:r>
        <w:rPr>
          <w:rFonts w:ascii="Arial" w:hAnsi="Arial"/>
          <w:sz w:val="20"/>
        </w:rPr>
        <w:t>the</w:t>
      </w:r>
      <w:r>
        <w:rPr>
          <w:rFonts w:ascii="Arial" w:hAnsi="Arial"/>
          <w:sz w:val="22"/>
        </w:rPr>
        <w:t> </w:t>
      </w:r>
      <w:r>
        <w:rPr>
          <w:rFonts w:ascii="Arial" w:hAnsi="Arial"/>
          <w:sz w:val="20"/>
        </w:rPr>
        <w:t>date</w:t>
      </w:r>
      <w:r>
        <w:rPr>
          <w:rFonts w:ascii="Arial" w:hAnsi="Arial"/>
          <w:sz w:val="22"/>
        </w:rPr>
        <w:t> </w:t>
      </w:r>
      <w:r>
        <w:rPr>
          <w:rFonts w:ascii="Arial" w:hAnsi="Arial"/>
          <w:sz w:val="20"/>
        </w:rPr>
        <w:t>to which the last Financial Statements given to the Bank under</w:t>
      </w:r>
      <w:r>
        <w:rPr>
          <w:rFonts w:ascii="Arial" w:hAnsi="Arial"/>
          <w:sz w:val="22"/>
        </w:rPr>
        <w:t xml:space="preserve"> </w:t>
      </w:r>
    </w:p>
    <w:p>
      <w:pPr>
        <w:pStyle w:val="TextBody"/>
        <w:bidi w:val="0"/>
        <w:spacing w:lineRule="auto" w:line="264" w:before="107" w:after="0"/>
        <w:ind w:left="3983" w:right="1956" w:hanging="533"/>
        <w:jc w:val="left"/>
        <w:rPr>
          <w:rFonts w:ascii="Arial" w:hAnsi="Arial"/>
          <w:sz w:val="20"/>
        </w:rPr>
      </w:pPr>
      <w:r>
        <w:rPr>
          <w:rFonts w:ascii="Arial" w:hAnsi="Arial"/>
          <w:b/>
          <w:sz w:val="20"/>
        </w:rPr>
        <w:t>clause</w:t>
      </w:r>
      <w:r>
        <w:rPr>
          <w:rFonts w:ascii="Arial" w:hAnsi="Arial"/>
          <w:sz w:val="20"/>
        </w:rPr>
        <w:t> </w:t>
      </w:r>
      <w:r>
        <w:rPr>
          <w:rFonts w:ascii="Arial" w:hAnsi="Arial"/>
          <w:b/>
          <w:color w:val="2D97D3"/>
          <w:sz w:val="20"/>
          <w:u w:val="single"/>
        </w:rPr>
        <w:t>9.3</w:t>
      </w:r>
      <w:r>
        <w:rPr>
          <w:rFonts w:ascii="Arial" w:hAnsi="Arial"/>
          <w:b/>
          <w:strike/>
          <w:color w:val="B5082D"/>
          <w:sz w:val="20"/>
        </w:rPr>
        <w:t>9.3</w:t>
      </w:r>
      <w:r>
        <w:rPr>
          <w:rFonts w:ascii="Arial" w:hAnsi="Arial"/>
          <w:color w:val="B5082D"/>
          <w:sz w:val="20"/>
        </w:rPr>
        <w:t> </w:t>
      </w:r>
      <w:r>
        <w:rPr>
          <w:rFonts w:ascii="Arial" w:hAnsi="Arial"/>
          <w:sz w:val="20"/>
        </w:rPr>
        <w:t xml:space="preserve">were prepared, which has a Material Adverse Effect; </w:t>
      </w:r>
    </w:p>
    <w:p>
      <w:pPr>
        <w:pStyle w:val="TextBody"/>
        <w:bidi w:val="0"/>
        <w:spacing w:lineRule="auto" w:line="264" w:before="107" w:after="0"/>
        <w:ind w:left="3983" w:right="1956" w:hanging="0"/>
        <w:jc w:val="left"/>
        <w:rPr>
          <w:rFonts w:ascii="Arial" w:hAnsi="Arial"/>
          <w:sz w:val="20"/>
        </w:rPr>
      </w:pPr>
      <w:r>
        <w:rPr>
          <w:rFonts w:ascii="Arial" w:hAnsi="Arial"/>
          <w:sz w:val="20"/>
        </w:rPr>
        <w:t>(l)</w:t>
      </w:r>
      <w:r>
        <w:rPr>
          <w:rFonts w:ascii="Arial" w:hAnsi="Arial"/>
          <w:b/>
          <w:sz w:val="20"/>
        </w:rPr>
        <w:t>no related party transaction:</w:t>
      </w:r>
      <w:r>
        <w:rPr>
          <w:rFonts w:ascii="Arial" w:hAnsi="Arial"/>
          <w:sz w:val="20"/>
        </w:rPr>
        <w:t xml:space="preserve"> no person has contravened or will contravene sections 208 or 209 of the Corporations Act due to a Transaction Party entering into or performing its obligations under a Transaction Document; </w:t>
      </w:r>
    </w:p>
    <w:p>
      <w:pPr>
        <w:pStyle w:val="TextBody"/>
        <w:bidi w:val="0"/>
        <w:spacing w:lineRule="auto" w:line="264" w:before="107" w:after="0"/>
        <w:ind w:left="3983" w:right="1956" w:hanging="0"/>
        <w:jc w:val="left"/>
        <w:rPr>
          <w:rFonts w:ascii="Arial" w:hAnsi="Arial"/>
          <w:sz w:val="20"/>
        </w:rPr>
      </w:pPr>
      <w:r>
        <w:rPr>
          <w:rFonts w:ascii="Arial" w:hAnsi="Arial"/>
          <w:sz w:val="20"/>
        </w:rPr>
        <w:t>(m)</w:t>
      </w:r>
      <w:r>
        <w:rPr>
          <w:rFonts w:ascii="Arial" w:hAnsi="Arial"/>
          <w:b/>
          <w:sz w:val="20"/>
        </w:rPr>
        <w:t>no</w:t>
      </w:r>
      <w:r>
        <w:rPr>
          <w:rFonts w:ascii="Arial" w:hAnsi="Arial"/>
          <w:sz w:val="20"/>
        </w:rPr>
        <w:t> </w:t>
      </w:r>
      <w:r>
        <w:rPr>
          <w:rFonts w:ascii="Arial" w:hAnsi="Arial"/>
          <w:b/>
          <w:sz w:val="20"/>
        </w:rPr>
        <w:t>proceeding:</w:t>
      </w:r>
      <w:r>
        <w:rPr>
          <w:rFonts w:ascii="Arial" w:hAnsi="Arial"/>
          <w:sz w:val="20"/>
        </w:rPr>
        <w:t xml:space="preserve"> except as notified to the Bank in writing before the date of this document, no litigation, arbitration or administrative proceeding is current, pending or, to the knowledge of the Borrower, threatened, which has, or the adverse determination of which would be likely to have, a Material Adverse Effect; </w:t>
      </w:r>
    </w:p>
    <w:p>
      <w:pPr>
        <w:pStyle w:val="TextBody"/>
        <w:bidi w:val="0"/>
        <w:spacing w:lineRule="auto" w:line="264" w:before="107" w:after="0"/>
        <w:ind w:left="3983" w:right="1956" w:hanging="0"/>
        <w:jc w:val="left"/>
        <w:rPr>
          <w:rFonts w:ascii="Arial" w:hAnsi="Arial"/>
          <w:sz w:val="20"/>
        </w:rPr>
      </w:pPr>
      <w:r>
        <w:rPr>
          <w:rFonts w:ascii="Arial" w:hAnsi="Arial"/>
          <w:sz w:val="20"/>
        </w:rPr>
        <w:t>(n)</w:t>
      </w:r>
      <w:r>
        <w:rPr>
          <w:rFonts w:ascii="Arial" w:hAnsi="Arial"/>
          <w:b/>
          <w:sz w:val="20"/>
        </w:rPr>
        <w:t>no</w:t>
      </w:r>
      <w:r>
        <w:rPr>
          <w:rFonts w:ascii="Arial" w:hAnsi="Arial"/>
          <w:sz w:val="20"/>
        </w:rPr>
        <w:t> </w:t>
      </w:r>
      <w:r>
        <w:rPr>
          <w:rFonts w:ascii="Arial" w:hAnsi="Arial"/>
          <w:b/>
          <w:sz w:val="20"/>
        </w:rPr>
        <w:t>trust:</w:t>
      </w:r>
      <w:r>
        <w:rPr>
          <w:rFonts w:ascii="Arial" w:hAnsi="Arial"/>
          <w:sz w:val="20"/>
        </w:rPr>
        <w:t xml:space="preserve"> except as notified to the Bank in writing before the date of this document, no Transaction Party enters into a Transaction Document as trustee of any trust; </w:t>
      </w:r>
    </w:p>
    <w:p>
      <w:pPr>
        <w:pStyle w:val="TextBody"/>
        <w:bidi w:val="0"/>
        <w:spacing w:lineRule="auto" w:line="264" w:before="107" w:after="0"/>
        <w:ind w:left="3983" w:right="1956" w:hanging="0"/>
        <w:jc w:val="left"/>
        <w:rPr>
          <w:rFonts w:ascii="Arial" w:hAnsi="Arial"/>
          <w:sz w:val="20"/>
        </w:rPr>
      </w:pPr>
      <w:r>
        <w:rPr>
          <w:rFonts w:ascii="Arial" w:hAnsi="Arial"/>
          <w:sz w:val="20"/>
        </w:rPr>
        <w:t>(o)</w:t>
      </w:r>
      <w:r>
        <w:rPr>
          <w:rFonts w:ascii="Arial" w:hAnsi="Arial"/>
          <w:b/>
          <w:sz w:val="20"/>
        </w:rPr>
        <w:t>sole</w:t>
      </w:r>
      <w:r>
        <w:rPr>
          <w:rFonts w:ascii="Arial" w:hAnsi="Arial"/>
          <w:sz w:val="20"/>
        </w:rPr>
        <w:t> </w:t>
      </w:r>
      <w:r>
        <w:rPr>
          <w:rFonts w:ascii="Arial" w:hAnsi="Arial"/>
          <w:b/>
          <w:sz w:val="20"/>
        </w:rPr>
        <w:t>owner</w:t>
      </w:r>
      <w:r>
        <w:rPr>
          <w:rFonts w:ascii="Arial" w:hAnsi="Arial"/>
          <w:sz w:val="20"/>
        </w:rPr>
        <w:t> </w:t>
      </w:r>
      <w:r>
        <w:rPr>
          <w:rFonts w:ascii="Arial" w:hAnsi="Arial"/>
          <w:b/>
          <w:sz w:val="20"/>
        </w:rPr>
        <w:t>and</w:t>
      </w:r>
      <w:r>
        <w:rPr>
          <w:rFonts w:ascii="Arial" w:hAnsi="Arial"/>
          <w:sz w:val="20"/>
        </w:rPr>
        <w:t> </w:t>
      </w:r>
      <w:r>
        <w:rPr>
          <w:rFonts w:ascii="Arial" w:hAnsi="Arial"/>
          <w:b/>
          <w:sz w:val="20"/>
        </w:rPr>
        <w:t>no</w:t>
      </w:r>
      <w:r>
        <w:rPr>
          <w:rFonts w:ascii="Arial" w:hAnsi="Arial"/>
          <w:sz w:val="20"/>
        </w:rPr>
        <w:t> </w:t>
      </w:r>
      <w:r>
        <w:rPr>
          <w:rFonts w:ascii="Arial" w:hAnsi="Arial"/>
          <w:b/>
          <w:sz w:val="20"/>
        </w:rPr>
        <w:t>Encumbrances:</w:t>
      </w:r>
      <w:r>
        <w:rPr>
          <w:rFonts w:ascii="Arial" w:hAnsi="Arial"/>
          <w:sz w:val="20"/>
        </w:rPr>
        <w:t xml:space="preserve"> except as notified to the Bank in writing before the date of this document: </w:t>
      </w:r>
    </w:p>
    <w:p>
      <w:pPr>
        <w:pStyle w:val="TextBody"/>
        <w:bidi w:val="0"/>
        <w:spacing w:lineRule="auto" w:line="266" w:before="109" w:after="0"/>
        <w:ind w:left="4540" w:right="2160" w:hanging="0"/>
        <w:jc w:val="left"/>
        <w:rPr>
          <w:rFonts w:ascii="Arial" w:hAnsi="Arial"/>
          <w:sz w:val="20"/>
        </w:rPr>
      </w:pPr>
      <w:r>
        <w:rPr>
          <w:rFonts w:ascii="Arial" w:hAnsi="Arial"/>
          <w:sz w:val="20"/>
        </w:rPr>
        <w:t xml:space="preserve">(i)each Transaction Party is the sole legal and beneficial owner of the property it purports to own; and </w:t>
      </w:r>
    </w:p>
    <w:p>
      <w:pPr>
        <w:pStyle w:val="TextBody"/>
        <w:bidi w:val="0"/>
        <w:spacing w:lineRule="auto" w:line="264" w:before="106" w:after="0"/>
        <w:ind w:left="4540" w:right="2029" w:hanging="0"/>
        <w:jc w:val="left"/>
        <w:rPr>
          <w:rFonts w:ascii="Arial" w:hAnsi="Arial"/>
          <w:sz w:val="20"/>
        </w:rPr>
      </w:pPr>
      <w:r>
        <w:rPr>
          <w:rFonts w:ascii="Arial" w:hAnsi="Arial"/>
          <w:sz w:val="20"/>
        </w:rPr>
        <w:t xml:space="preserve">(ii)there are no Encumbrances over the property of any Transaction Party other than Permitted Encumbrances; </w:t>
      </w:r>
    </w:p>
    <w:p>
      <w:pPr>
        <w:pStyle w:val="TextBody"/>
        <w:bidi w:val="0"/>
        <w:spacing w:lineRule="auto" w:line="264" w:before="107" w:after="0"/>
        <w:ind w:left="3983" w:right="1956" w:hanging="0"/>
        <w:jc w:val="left"/>
        <w:rPr>
          <w:rFonts w:ascii="Arial" w:hAnsi="Arial"/>
          <w:sz w:val="20"/>
        </w:rPr>
      </w:pPr>
      <w:r>
        <w:rPr>
          <w:rFonts w:ascii="Arial" w:hAnsi="Arial"/>
          <w:sz w:val="20"/>
        </w:rPr>
        <w:t>(p)</w:t>
      </w:r>
      <w:r>
        <w:rPr>
          <w:rFonts w:ascii="Arial" w:hAnsi="Arial"/>
          <w:b/>
          <w:sz w:val="20"/>
        </w:rPr>
        <w:t>no</w:t>
      </w:r>
      <w:r>
        <w:rPr>
          <w:rFonts w:ascii="Arial" w:hAnsi="Arial"/>
          <w:sz w:val="20"/>
        </w:rPr>
        <w:t> </w:t>
      </w:r>
      <w:r>
        <w:rPr>
          <w:rFonts w:ascii="Arial" w:hAnsi="Arial"/>
          <w:b/>
          <w:sz w:val="20"/>
        </w:rPr>
        <w:t>existing</w:t>
      </w:r>
      <w:r>
        <w:rPr>
          <w:rFonts w:ascii="Arial" w:hAnsi="Arial"/>
          <w:sz w:val="20"/>
        </w:rPr>
        <w:t> </w:t>
      </w:r>
      <w:r>
        <w:rPr>
          <w:rFonts w:ascii="Arial" w:hAnsi="Arial"/>
          <w:b/>
          <w:sz w:val="20"/>
        </w:rPr>
        <w:t>default:</w:t>
      </w:r>
      <w:r>
        <w:rPr>
          <w:rFonts w:ascii="Arial" w:hAnsi="Arial"/>
          <w:sz w:val="20"/>
        </w:rPr>
        <w:t xml:space="preserve"> no Event of Default, Review Event or Potential Event of Default subsists; </w:t>
      </w:r>
    </w:p>
    <w:p>
      <w:pPr>
        <w:pStyle w:val="TextBody"/>
        <w:bidi w:val="0"/>
        <w:spacing w:lineRule="auto" w:line="264" w:before="107" w:after="0"/>
        <w:ind w:left="3983" w:right="1956" w:hanging="0"/>
        <w:jc w:val="left"/>
        <w:rPr>
          <w:rFonts w:ascii="Arial" w:hAnsi="Arial"/>
          <w:sz w:val="20"/>
        </w:rPr>
      </w:pPr>
      <w:r>
        <w:rPr>
          <w:rFonts w:ascii="Arial" w:hAnsi="Arial"/>
          <w:sz w:val="20"/>
        </w:rPr>
        <w:t>(q)</w:t>
      </w:r>
      <w:r>
        <w:rPr>
          <w:rFonts w:ascii="Arial" w:hAnsi="Arial"/>
          <w:b/>
          <w:sz w:val="20"/>
        </w:rPr>
        <w:t>ranking</w:t>
      </w:r>
      <w:r>
        <w:rPr>
          <w:rFonts w:ascii="Arial" w:hAnsi="Arial"/>
          <w:sz w:val="20"/>
        </w:rPr>
        <w:t> </w:t>
      </w:r>
      <w:r>
        <w:rPr>
          <w:rFonts w:ascii="Arial" w:hAnsi="Arial"/>
          <w:b/>
          <w:sz w:val="20"/>
        </w:rPr>
        <w:t>of</w:t>
      </w:r>
      <w:r>
        <w:rPr>
          <w:rFonts w:ascii="Arial" w:hAnsi="Arial"/>
          <w:sz w:val="20"/>
        </w:rPr>
        <w:t> </w:t>
      </w:r>
      <w:r>
        <w:rPr>
          <w:rFonts w:ascii="Arial" w:hAnsi="Arial"/>
          <w:b/>
          <w:sz w:val="20"/>
        </w:rPr>
        <w:t>obligations:</w:t>
      </w:r>
      <w:r>
        <w:rPr>
          <w:rFonts w:ascii="Arial" w:hAnsi="Arial"/>
          <w:sz w:val="20"/>
        </w:rPr>
        <w:t xml:space="preserve"> each obligation of the Borrower under this document ranks at least pari passu with all unsecured and unsubordinated obligations of the Borrower except obligations mandatorily preferred by law; </w:t>
      </w:r>
    </w:p>
    <w:p>
      <w:pPr>
        <w:pStyle w:val="TextBody"/>
        <w:bidi w:val="0"/>
        <w:spacing w:lineRule="auto" w:line="264" w:before="107" w:after="0"/>
        <w:ind w:left="3983" w:right="1956" w:hanging="0"/>
        <w:jc w:val="left"/>
        <w:rPr>
          <w:rFonts w:ascii="Arial" w:hAnsi="Arial"/>
          <w:sz w:val="20"/>
        </w:rPr>
      </w:pPr>
      <w:r>
        <w:rPr>
          <w:rFonts w:ascii="Arial" w:hAnsi="Arial"/>
          <w:sz w:val="20"/>
        </w:rPr>
        <w:t>(r)</w:t>
      </w:r>
      <w:r>
        <w:rPr>
          <w:rFonts w:ascii="Arial" w:hAnsi="Arial"/>
          <w:b/>
          <w:sz w:val="20"/>
        </w:rPr>
        <w:t>warranties correct:</w:t>
      </w:r>
      <w:r>
        <w:rPr>
          <w:rFonts w:ascii="Arial" w:hAnsi="Arial"/>
          <w:sz w:val="20"/>
        </w:rPr>
        <w:t xml:space="preserve"> the representations and warranties given by any Transaction Party in any Transaction Document are correct in all material respects and not misleading in any material respect and will be when given or repeated; </w:t>
      </w:r>
    </w:p>
    <w:p>
      <w:pPr>
        <w:pStyle w:val="TextBody"/>
        <w:bidi w:val="0"/>
        <w:spacing w:lineRule="auto" w:line="264" w:before="107" w:after="0"/>
        <w:ind w:left="3983" w:right="1956" w:hanging="0"/>
        <w:jc w:val="left"/>
        <w:rPr>
          <w:rFonts w:ascii="Arial" w:hAnsi="Arial"/>
          <w:sz w:val="20"/>
        </w:rPr>
      </w:pPr>
      <w:r>
        <w:rPr>
          <w:rFonts w:ascii="Arial" w:hAnsi="Arial"/>
          <w:sz w:val="20"/>
        </w:rPr>
        <w:t>(s)</w:t>
      </w:r>
      <w:r>
        <w:rPr>
          <w:rFonts w:ascii="Arial" w:hAnsi="Arial"/>
          <w:b/>
          <w:sz w:val="20"/>
        </w:rPr>
        <w:t>no</w:t>
      </w:r>
      <w:r>
        <w:rPr>
          <w:rFonts w:ascii="Arial" w:hAnsi="Arial"/>
          <w:sz w:val="20"/>
        </w:rPr>
        <w:t> </w:t>
      </w:r>
      <w:r>
        <w:rPr>
          <w:rFonts w:ascii="Arial" w:hAnsi="Arial"/>
          <w:b/>
          <w:sz w:val="20"/>
        </w:rPr>
        <w:t>immunity:</w:t>
      </w:r>
      <w:r>
        <w:rPr>
          <w:rFonts w:ascii="Arial" w:hAnsi="Arial"/>
          <w:sz w:val="20"/>
        </w:rPr>
        <w:t xml:space="preserve"> each Transaction Party and its property are free of any right of immunity from set-off, proceedings or execution in relation to its obligations under any Transaction Document; </w:t>
      </w:r>
    </w:p>
    <w:p>
      <w:pPr>
        <w:pStyle w:val="TextBody"/>
        <w:bidi w:val="0"/>
        <w:spacing w:lineRule="auto" w:line="264" w:before="107" w:after="0"/>
        <w:ind w:left="3983" w:right="1956" w:hanging="0"/>
        <w:jc w:val="left"/>
        <w:rPr>
          <w:rFonts w:ascii="Arial" w:hAnsi="Arial"/>
          <w:sz w:val="20"/>
        </w:rPr>
      </w:pPr>
      <w:r>
        <w:rPr>
          <w:rFonts w:ascii="Arial" w:hAnsi="Arial"/>
          <w:sz w:val="20"/>
        </w:rPr>
        <w:t>(t)</w:t>
      </w:r>
      <w:r>
        <w:rPr>
          <w:rFonts w:ascii="Arial" w:hAnsi="Arial"/>
          <w:b/>
          <w:sz w:val="20"/>
        </w:rPr>
        <w:t>insurance:</w:t>
      </w:r>
      <w:r>
        <w:rPr>
          <w:rFonts w:ascii="Arial" w:hAnsi="Arial"/>
          <w:sz w:val="20"/>
        </w:rPr>
        <w:t xml:space="preserve"> the Insurances are enforceable against the relevant insurer in accordance with their terms and are not void or voidable;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1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3" descr=""/>
                    <pic:cNvPicPr>
                      <a:picLocks noChangeAspect="1" noChangeArrowheads="1"/>
                    </pic:cNvPicPr>
                  </pic:nvPicPr>
                  <pic:blipFill>
                    <a:blip r:embed="rId11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1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4" descr=""/>
                    <pic:cNvPicPr>
                      <a:picLocks noChangeAspect="1" noChangeArrowheads="1"/>
                    </pic:cNvPicPr>
                  </pic:nvPicPr>
                  <pic:blipFill>
                    <a:blip r:embed="rId11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(u)</w:t>
      </w:r>
      <w:r>
        <w:rPr>
          <w:rFonts w:ascii="Arial" w:hAnsi="Arial"/>
          <w:b/>
          <w:sz w:val="20"/>
        </w:rPr>
        <w:t>trust</w:t>
      </w:r>
      <w:r>
        <w:rPr>
          <w:rFonts w:ascii="Arial" w:hAnsi="Arial"/>
          <w:sz w:val="20"/>
        </w:rPr>
        <w:t> </w:t>
      </w:r>
      <w:r>
        <w:rPr>
          <w:rFonts w:ascii="Arial" w:hAnsi="Arial"/>
          <w:b/>
          <w:sz w:val="20"/>
        </w:rPr>
        <w:t>provisions:</w:t>
      </w:r>
      <w:r>
        <w:rPr>
          <w:rFonts w:ascii="Arial" w:hAnsi="Arial"/>
          <w:sz w:val="20"/>
        </w:rPr>
        <w:t xml:space="preserve"> in relation to each Transaction Party which enters into any Transaction Document as trustee of a Trust: </w:t>
      </w:r>
    </w:p>
    <w:p>
      <w:pPr>
        <w:pStyle w:val="TextBody"/>
        <w:bidi w:val="0"/>
        <w:spacing w:lineRule="auto" w:line="264" w:before="107" w:after="0"/>
        <w:ind w:left="4540" w:right="2402" w:hanging="0"/>
        <w:jc w:val="left"/>
        <w:rPr>
          <w:rFonts w:ascii="Arial" w:hAnsi="Arial"/>
          <w:sz w:val="20"/>
        </w:rPr>
      </w:pPr>
      <w:r>
        <w:rPr>
          <w:rFonts w:ascii="Arial" w:hAnsi="Arial"/>
          <w:sz w:val="20"/>
        </w:rPr>
        <w:t xml:space="preserve">(i)the Trustee has power as trustee of the Trust to execute and perform its obligations under the Transaction Documents; </w:t>
      </w:r>
    </w:p>
    <w:p>
      <w:pPr>
        <w:pStyle w:val="TextBody"/>
        <w:bidi w:val="0"/>
        <w:spacing w:lineRule="auto" w:line="264" w:before="111" w:after="0"/>
        <w:ind w:left="4540" w:right="1908" w:hanging="0"/>
        <w:jc w:val="left"/>
        <w:rPr>
          <w:rFonts w:ascii="Arial" w:hAnsi="Arial"/>
          <w:sz w:val="20"/>
        </w:rPr>
      </w:pPr>
      <w:r>
        <w:rPr>
          <w:rFonts w:ascii="Arial" w:hAnsi="Arial"/>
          <w:sz w:val="20"/>
        </w:rPr>
        <w:t xml:space="preserve">(ii)the Trustee, in executing the Transaction Documents and entering into those transactions, have properly performed their obligations to the beneficiaries of the Trust; </w:t>
      </w:r>
    </w:p>
    <w:p>
      <w:pPr>
        <w:pStyle w:val="TextBody"/>
        <w:bidi w:val="0"/>
        <w:spacing w:lineRule="auto" w:line="264" w:before="110" w:after="0"/>
        <w:ind w:left="4540" w:right="2141" w:hanging="0"/>
        <w:jc w:val="both"/>
        <w:rPr>
          <w:rFonts w:ascii="Arial" w:hAnsi="Arial"/>
          <w:sz w:val="20"/>
        </w:rPr>
      </w:pPr>
      <w:r>
        <w:rPr>
          <w:rFonts w:ascii="Arial" w:hAnsi="Arial"/>
          <w:sz w:val="20"/>
        </w:rPr>
        <w:t xml:space="preserve">(iii)all necessary action required by the Trust Deed to authorise the unconditional execution and delivery of, and compliance with its obligations under, the Transaction Documents has been taken; </w:t>
      </w:r>
    </w:p>
    <w:p>
      <w:pPr>
        <w:pStyle w:val="TextBody"/>
        <w:bidi w:val="0"/>
        <w:spacing w:before="110" w:after="0"/>
        <w:ind w:left="4537" w:right="360" w:hanging="0"/>
        <w:jc w:val="both"/>
        <w:rPr>
          <w:rFonts w:ascii="Arial" w:hAnsi="Arial"/>
          <w:sz w:val="20"/>
        </w:rPr>
      </w:pPr>
      <w:r>
        <w:rPr>
          <w:rFonts w:ascii="Arial" w:hAnsi="Arial"/>
          <w:sz w:val="20"/>
        </w:rPr>
        <w:t xml:space="preserve">(iv)the Trustee is the only trustee of the Trust; </w:t>
      </w:r>
    </w:p>
    <w:p>
      <w:pPr>
        <w:pStyle w:val="TextBody"/>
        <w:bidi w:val="0"/>
        <w:spacing w:lineRule="auto" w:line="266" w:before="135" w:after="0"/>
        <w:ind w:left="4540" w:right="1942" w:hanging="0"/>
        <w:jc w:val="left"/>
        <w:rPr>
          <w:rFonts w:ascii="Arial" w:hAnsi="Arial"/>
          <w:sz w:val="20"/>
        </w:rPr>
      </w:pPr>
      <w:r>
        <w:rPr>
          <w:rFonts w:ascii="Arial" w:hAnsi="Arial"/>
          <w:sz w:val="20"/>
        </w:rPr>
        <w:t xml:space="preserve">(v)no effective action has been taken to remove the Trustee as trustee of the Trust or to appoint an additional trustee of the Trust; </w:t>
      </w:r>
    </w:p>
    <w:p>
      <w:pPr>
        <w:pStyle w:val="TextBody"/>
        <w:bidi w:val="0"/>
        <w:spacing w:lineRule="auto" w:line="264" w:before="106" w:after="0"/>
        <w:ind w:left="5056" w:right="1983" w:hanging="0"/>
        <w:jc w:val="left"/>
        <w:rPr>
          <w:rFonts w:ascii="Arial" w:hAnsi="Arial"/>
          <w:sz w:val="20"/>
        </w:rPr>
      </w:pPr>
      <w:r>
        <w:rPr>
          <w:rFonts w:ascii="Arial" w:hAnsi="Arial"/>
          <w:sz w:val="20"/>
        </w:rPr>
        <w:t xml:space="preserve">(vi)(A)the Trustee has a right to be fully indemnified out of the property of the Trust in relation to all of its obligations under the Transaction Documents; </w:t>
      </w:r>
    </w:p>
    <w:p>
      <w:pPr>
        <w:pStyle w:val="TextBody"/>
        <w:bidi w:val="0"/>
        <w:spacing w:lineRule="auto" w:line="264" w:before="108" w:after="0"/>
        <w:ind w:left="5054" w:right="1900" w:hanging="0"/>
        <w:jc w:val="left"/>
        <w:rPr>
          <w:rFonts w:ascii="Arial" w:hAnsi="Arial"/>
          <w:sz w:val="20"/>
        </w:rPr>
      </w:pPr>
      <w:r>
        <w:rPr>
          <w:rFonts w:ascii="Arial" w:hAnsi="Arial"/>
          <w:sz w:val="20"/>
        </w:rPr>
        <w:t xml:space="preserve">(B)the Trustee has not released or disposed of its equitable lien over the property of the Trust which secures that indemnity; and </w:t>
      </w:r>
    </w:p>
    <w:p>
      <w:pPr>
        <w:pStyle w:val="TextBody"/>
        <w:bidi w:val="0"/>
        <w:spacing w:before="110" w:after="0"/>
        <w:ind w:left="5053" w:right="360" w:hanging="0"/>
        <w:jc w:val="left"/>
        <w:rPr>
          <w:rFonts w:ascii="Arial" w:hAnsi="Arial"/>
          <w:sz w:val="20"/>
        </w:rPr>
      </w:pPr>
      <w:r>
        <w:rPr>
          <w:rFonts w:ascii="Arial" w:hAnsi="Arial"/>
          <w:sz w:val="20"/>
        </w:rPr>
        <w:t xml:space="preserve">(C)the property of the Trust is sufficient to satisfy that indemnity; </w:t>
      </w:r>
    </w:p>
    <w:p>
      <w:pPr>
        <w:pStyle w:val="TextBody"/>
        <w:bidi w:val="0"/>
        <w:spacing w:lineRule="auto" w:line="266" w:before="135" w:after="0"/>
        <w:ind w:left="4540" w:right="1878" w:hanging="0"/>
        <w:jc w:val="left"/>
        <w:rPr>
          <w:rFonts w:ascii="Arial" w:hAnsi="Arial"/>
          <w:sz w:val="20"/>
        </w:rPr>
      </w:pPr>
      <w:r>
        <w:rPr>
          <w:rFonts w:ascii="Arial" w:hAnsi="Arial"/>
          <w:sz w:val="20"/>
        </w:rPr>
        <w:t xml:space="preserve">(vii)the Trustee has complied with all of its obligations as trustee of the Trust in relation to execution of the Transaction Documents; </w:t>
      </w:r>
    </w:p>
    <w:p>
      <w:pPr>
        <w:pStyle w:val="TextBody"/>
        <w:bidi w:val="0"/>
        <w:spacing w:lineRule="auto" w:line="264" w:before="106" w:after="0"/>
        <w:ind w:left="4540" w:right="2349" w:hanging="0"/>
        <w:jc w:val="left"/>
        <w:rPr>
          <w:rFonts w:ascii="Arial" w:hAnsi="Arial"/>
          <w:sz w:val="20"/>
        </w:rPr>
      </w:pPr>
      <w:r>
        <w:rPr>
          <w:rFonts w:ascii="Arial" w:hAnsi="Arial"/>
          <w:sz w:val="20"/>
        </w:rPr>
        <w:t xml:space="preserve">(viii)no effective action has been taken or, so far as the Trustee is aware, is contemplated by the beneficiaries of the Trust to terminate the Trust; </w:t>
      </w:r>
    </w:p>
    <w:p>
      <w:pPr>
        <w:pStyle w:val="TextBody"/>
        <w:bidi w:val="0"/>
        <w:spacing w:before="110" w:after="0"/>
        <w:ind w:left="4539" w:right="360" w:hanging="0"/>
        <w:jc w:val="left"/>
        <w:rPr>
          <w:rFonts w:ascii="Arial" w:hAnsi="Arial"/>
          <w:sz w:val="20"/>
        </w:rPr>
      </w:pPr>
      <w:r>
        <w:rPr>
          <w:rFonts w:ascii="Arial" w:hAnsi="Arial"/>
          <w:sz w:val="20"/>
        </w:rPr>
        <w:t xml:space="preserve">(ix)the Trustee has disclosed to the Bank full details of: </w:t>
      </w:r>
    </w:p>
    <w:p>
      <w:pPr>
        <w:pStyle w:val="TextBody"/>
        <w:bidi w:val="0"/>
        <w:spacing w:lineRule="auto" w:line="264" w:before="138" w:after="0"/>
        <w:ind w:left="5054" w:right="1890" w:hanging="0"/>
        <w:jc w:val="left"/>
        <w:rPr>
          <w:rFonts w:ascii="Arial" w:hAnsi="Arial"/>
          <w:sz w:val="20"/>
        </w:rPr>
      </w:pPr>
      <w:r>
        <w:rPr>
          <w:rFonts w:ascii="Arial" w:hAnsi="Arial"/>
          <w:sz w:val="20"/>
        </w:rPr>
        <w:t xml:space="preserve">(A)the Trust and any other trust or fiduciary relationship affecting the property of the Trust and, without limitation, has given to the Bank copies of any instruments creating or evidencing the Trust; and </w:t>
      </w:r>
    </w:p>
    <w:p>
      <w:pPr>
        <w:pStyle w:val="TextBody"/>
        <w:bidi w:val="0"/>
        <w:spacing w:lineRule="auto" w:line="264" w:before="138" w:after="0"/>
        <w:ind w:left="5054" w:right="1890" w:hanging="0"/>
        <w:jc w:val="left"/>
        <w:rPr>
          <w:rFonts w:ascii="Arial" w:hAnsi="Arial"/>
          <w:sz w:val="20"/>
        </w:rPr>
      </w:pPr>
      <w:r>
        <w:rPr>
          <w:rFonts w:ascii="Arial" w:hAnsi="Arial"/>
          <w:sz w:val="20"/>
        </w:rPr>
        <w:t xml:space="preserve">(B)the Trustee’s other trusteeships (if any); </w:t>
      </w:r>
    </w:p>
    <w:p>
      <w:pPr>
        <w:pStyle w:val="TextBody"/>
        <w:bidi w:val="0"/>
        <w:spacing w:lineRule="auto" w:line="266" w:before="135" w:after="0"/>
        <w:ind w:left="4540" w:right="2194" w:hanging="0"/>
        <w:jc w:val="left"/>
        <w:rPr>
          <w:rFonts w:ascii="Arial" w:hAnsi="Arial"/>
          <w:sz w:val="20"/>
        </w:rPr>
      </w:pPr>
      <w:r>
        <w:rPr>
          <w:rFonts w:ascii="Arial" w:hAnsi="Arial"/>
          <w:sz w:val="20"/>
        </w:rPr>
        <w:t xml:space="preserve">(x)the Trust is properly constituted and the Trust Deed is not void, voidable or otherwise unenforceable; </w:t>
      </w:r>
    </w:p>
    <w:p>
      <w:pPr>
        <w:pStyle w:val="TextBody"/>
        <w:bidi w:val="0"/>
        <w:spacing w:lineRule="auto" w:line="264" w:before="106" w:after="0"/>
        <w:ind w:left="4540" w:right="2106" w:hanging="0"/>
        <w:jc w:val="left"/>
        <w:rPr>
          <w:rFonts w:ascii="Arial" w:hAnsi="Arial"/>
          <w:sz w:val="20"/>
        </w:rPr>
      </w:pPr>
      <w:r>
        <w:rPr>
          <w:rFonts w:ascii="Arial" w:hAnsi="Arial"/>
          <w:sz w:val="20"/>
        </w:rPr>
        <w:t xml:space="preserve">(xi)the rights of the beneficiaries of the Trust in relation to, and their interest in, the property of the Trust are subject to: </w:t>
      </w:r>
    </w:p>
    <w:p>
      <w:pPr>
        <w:pStyle w:val="TextBody"/>
        <w:bidi w:val="0"/>
        <w:spacing w:lineRule="auto" w:line="264" w:before="111" w:after="0"/>
        <w:ind w:left="5054" w:right="2352" w:hanging="0"/>
        <w:jc w:val="left"/>
        <w:rPr>
          <w:rFonts w:ascii="Arial" w:hAnsi="Arial"/>
          <w:sz w:val="20"/>
        </w:rPr>
      </w:pPr>
      <w:r>
        <w:rPr>
          <w:rFonts w:ascii="Arial" w:hAnsi="Arial"/>
          <w:sz w:val="20"/>
        </w:rPr>
        <w:t xml:space="preserve">(A)the rights of the Bank in relation to, and their respective interests in, the property of the Trust; and </w:t>
      </w:r>
    </w:p>
    <w:p>
      <w:pPr>
        <w:pStyle w:val="TextBody"/>
        <w:bidi w:val="0"/>
        <w:spacing w:lineRule="auto" w:line="266" w:before="109" w:after="0"/>
        <w:ind w:left="5054" w:right="2141" w:hanging="0"/>
        <w:jc w:val="left"/>
        <w:rPr>
          <w:rFonts w:ascii="Arial" w:hAnsi="Arial"/>
          <w:sz w:val="20"/>
        </w:rPr>
      </w:pPr>
      <w:r>
        <w:rPr>
          <w:rFonts w:ascii="Arial" w:hAnsi="Arial"/>
          <w:sz w:val="20"/>
        </w:rPr>
        <w:t xml:space="preserve">(B)any rights or interests in the property of the Trust to which the Bank may from time to time be subrogated; and </w:t>
      </w:r>
    </w:p>
    <w:p>
      <w:pPr>
        <w:pStyle w:val="TextBody"/>
        <w:bidi w:val="0"/>
        <w:spacing w:before="106" w:after="0"/>
        <w:ind w:left="4539" w:right="360" w:hanging="0"/>
        <w:jc w:val="left"/>
        <w:rPr>
          <w:rFonts w:ascii="Arial" w:hAnsi="Arial"/>
          <w:sz w:val="20"/>
        </w:rPr>
      </w:pPr>
      <w:r>
        <w:rPr>
          <w:rFonts w:ascii="Arial" w:hAnsi="Arial"/>
          <w:sz w:val="20"/>
        </w:rPr>
        <w:t xml:space="preserve">(xii)the Trustee: </w:t>
      </w:r>
    </w:p>
    <w:p>
      <w:pPr>
        <w:pStyle w:val="TextBody"/>
        <w:bidi w:val="0"/>
        <w:spacing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1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5" descr=""/>
                    <pic:cNvPicPr>
                      <a:picLocks noChangeAspect="1" noChangeArrowheads="1"/>
                    </pic:cNvPicPr>
                  </pic:nvPicPr>
                  <pic:blipFill>
                    <a:blip r:embed="rId11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1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6" descr=""/>
                    <pic:cNvPicPr>
                      <a:picLocks noChangeAspect="1" noChangeArrowheads="1"/>
                    </pic:cNvPicPr>
                  </pic:nvPicPr>
                  <pic:blipFill>
                    <a:blip r:embed="rId11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0" w:after="0"/>
        <w:ind w:left="5054" w:right="2012" w:hanging="0"/>
        <w:jc w:val="left"/>
        <w:rPr>
          <w:rFonts w:ascii="Arial" w:hAnsi="Arial"/>
          <w:sz w:val="20"/>
        </w:rPr>
      </w:pPr>
      <w:r>
        <w:rPr>
          <w:rFonts w:ascii="Arial" w:hAnsi="Arial"/>
          <w:sz w:val="20"/>
        </w:rPr>
        <w:t xml:space="preserve">(A)if it is a corporation, is duly incorporated in accordance with the laws of its place of incorporation, validly exists under those laws and has the capacity to sue and be sued in its own name, to own property and to act as trustee of the Trust; </w:t>
      </w:r>
    </w:p>
    <w:p>
      <w:pPr>
        <w:pStyle w:val="TextBody"/>
        <w:bidi w:val="0"/>
        <w:spacing w:lineRule="auto" w:line="264" w:before="109" w:after="0"/>
        <w:ind w:left="5054" w:right="2177" w:hanging="0"/>
        <w:jc w:val="left"/>
        <w:rPr>
          <w:rFonts w:ascii="Arial" w:hAnsi="Arial"/>
          <w:sz w:val="20"/>
        </w:rPr>
      </w:pPr>
      <w:r>
        <w:rPr>
          <w:rFonts w:ascii="Arial" w:hAnsi="Arial"/>
          <w:sz w:val="20"/>
        </w:rPr>
        <w:t xml:space="preserve">(B)if it is natural person, has the capacity to be trustee of the Trust; </w:t>
      </w:r>
    </w:p>
    <w:p>
      <w:pPr>
        <w:pStyle w:val="TextBody"/>
        <w:bidi w:val="0"/>
        <w:spacing w:lineRule="auto" w:line="264" w:before="107" w:after="0"/>
        <w:ind w:left="3983" w:right="1956" w:hanging="0"/>
        <w:jc w:val="left"/>
        <w:rPr>
          <w:rFonts w:ascii="Arial" w:hAnsi="Arial"/>
          <w:sz w:val="20"/>
        </w:rPr>
      </w:pPr>
      <w:r>
        <w:rPr>
          <w:rFonts w:ascii="Arial" w:hAnsi="Arial"/>
          <w:sz w:val="20"/>
        </w:rPr>
        <w:t>(v)</w:t>
      </w:r>
      <w:r>
        <w:rPr>
          <w:rFonts w:ascii="Arial" w:hAnsi="Arial"/>
          <w:b/>
          <w:sz w:val="20"/>
        </w:rPr>
        <w:t>solvency:</w:t>
      </w:r>
      <w:r>
        <w:rPr>
          <w:rFonts w:ascii="Arial" w:hAnsi="Arial"/>
          <w:sz w:val="20"/>
        </w:rPr>
        <w:t xml:space="preserve"> each Transaction party is not insolvent; </w:t>
      </w:r>
    </w:p>
    <w:p>
      <w:pPr>
        <w:pStyle w:val="TextBody"/>
        <w:bidi w:val="0"/>
        <w:spacing w:lineRule="auto" w:line="264" w:before="107" w:after="0"/>
        <w:ind w:left="3983" w:right="1956" w:hanging="0"/>
        <w:jc w:val="left"/>
        <w:rPr>
          <w:rFonts w:ascii="Arial" w:hAnsi="Arial"/>
          <w:sz w:val="20"/>
        </w:rPr>
      </w:pPr>
      <w:r>
        <w:rPr>
          <w:rFonts w:ascii="Arial" w:hAnsi="Arial"/>
          <w:sz w:val="20"/>
        </w:rPr>
        <w:t>(w)</w:t>
      </w:r>
      <w:r>
        <w:rPr>
          <w:rFonts w:ascii="Arial" w:hAnsi="Arial"/>
          <w:b/>
          <w:sz w:val="20"/>
        </w:rPr>
        <w:t>corporate</w:t>
      </w:r>
      <w:r>
        <w:rPr>
          <w:rFonts w:ascii="Arial" w:hAnsi="Arial"/>
          <w:sz w:val="20"/>
        </w:rPr>
        <w:t> </w:t>
      </w:r>
      <w:r>
        <w:rPr>
          <w:rFonts w:ascii="Arial" w:hAnsi="Arial"/>
          <w:b/>
          <w:sz w:val="20"/>
        </w:rPr>
        <w:t>benefit:</w:t>
      </w:r>
      <w:r>
        <w:rPr>
          <w:rFonts w:ascii="Arial" w:hAnsi="Arial"/>
          <w:sz w:val="20"/>
        </w:rPr>
        <w:t xml:space="preserve"> each of the Transaction Parties will receive corporate benefit by entering into the Transaction Documents to which they are a party. </w:t>
      </w:r>
    </w:p>
    <w:tbl>
      <w:tblPr>
        <w:tblW w:w="1481" w:type="dxa"/>
        <w:jc w:val="left"/>
        <w:tblInd w:w="360" w:type="dxa"/>
        <w:tblLayout w:type="fixed"/>
        <w:tblCellMar>
          <w:top w:w="0" w:type="dxa"/>
          <w:left w:w="0" w:type="dxa"/>
          <w:bottom w:w="0" w:type="dxa"/>
          <w:right w:w="0" w:type="dxa"/>
        </w:tblCellMar>
      </w:tblPr>
      <w:tblGrid>
        <w:gridCol w:w="38"/>
        <w:gridCol w:w="560"/>
        <w:gridCol w:w="23"/>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14.2. </w:t>
            </w:r>
          </w:p>
        </w:tc>
        <w:tc>
          <w:tcPr>
            <w:tcW w:w="23" w:type="dxa"/>
            <w:tcBorders/>
            <w:vAlign w:val="center"/>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174" w:after="0"/>
              <w:ind w:left="0" w:right="0" w:hanging="0"/>
              <w:jc w:val="left"/>
              <w:rPr>
                <w:rFonts w:ascii="Arial" w:hAnsi="Arial"/>
                <w:b/>
                <w:color w:val="000000"/>
                <w:sz w:val="22"/>
              </w:rPr>
            </w:pPr>
            <w:bookmarkStart w:id="220" w:name="General82"/>
            <w:bookmarkEnd w:id="220"/>
            <w:r>
              <w:rPr>
                <w:rFonts w:ascii="Arial" w:hAnsi="Arial"/>
                <w:b/>
                <w:color w:val="000000"/>
                <w:sz w:val="22"/>
              </w:rPr>
              <w:t>General</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interpretation of any statement contained in any representation or warranty will not be restricted by reference to or inference from any other statement contained in any other representation or warranty.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Borrower acknowledges that the Bank enters into the Transaction Documents in reliance on each representation and warranty.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(c)Each representation and warranty survives the execution of the Transaction Documents and is deemed to be repeated with reference to the facts and circumstances then existing on the date each Funding Notice is issued, on each Funding Date, on the last day of each Funding Period and on each day that an Annual Compliance Certificate or Interim Compliance Certificate is given.</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86" w:after="0"/>
        <w:ind w:left="360" w:right="360" w:hanging="0"/>
        <w:jc w:val="left"/>
        <w:rPr>
          <w:rFonts w:cs="Arial"/>
          <w:szCs w:val="20"/>
        </w:rPr>
      </w:pPr>
      <w:r>
        <w:rPr>
          <w:rFonts w:cs="Arial"/>
          <w:color w:val="000000"/>
          <w:szCs w:val="20"/>
        </w:rPr>
        <w:t>﻿</w:t>
      </w:r>
      <w:r>
        <w:rPr>
          <w:rFonts w:cs="Arial"/>
          <w:szCs w:val="20"/>
        </w:rPr>
        <w:t xml:space="preserve"> </w:t>
      </w:r>
    </w:p>
    <w:tbl>
      <w:tblPr>
        <w:tblW w:w="3191" w:type="dxa"/>
        <w:jc w:val="left"/>
        <w:tblInd w:w="360" w:type="dxa"/>
        <w:tblLayout w:type="fixed"/>
        <w:tblCellMar>
          <w:top w:w="0" w:type="dxa"/>
          <w:left w:w="0" w:type="dxa"/>
          <w:bottom w:w="0" w:type="dxa"/>
          <w:right w:w="0" w:type="dxa"/>
        </w:tblCellMar>
      </w:tblPr>
      <w:tblGrid>
        <w:gridCol w:w="38"/>
        <w:gridCol w:w="530"/>
        <w:gridCol w:w="23"/>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15. </w:t>
            </w:r>
          </w:p>
        </w:tc>
        <w:tc>
          <w:tcPr>
            <w:tcW w:w="23" w:type="dxa"/>
            <w:tcBorders/>
            <w:vAlign w:val="center"/>
          </w:tcPr>
          <w:p>
            <w:pPr>
              <w:pStyle w:val="TableContents"/>
              <w:bidi w:val="0"/>
              <w:spacing w:before="0" w:after="283"/>
              <w:jc w:val="left"/>
              <w:rPr>
                <w:sz w:val="4"/>
                <w:szCs w:val="4"/>
              </w:rPr>
            </w:pPr>
            <w:r>
              <w:rPr>
                <w:sz w:val="4"/>
                <w:szCs w:val="4"/>
              </w:rPr>
            </w:r>
          </w:p>
        </w:tc>
        <w:tc>
          <w:tcPr>
            <w:tcW w:w="2600" w:type="dxa"/>
            <w:tcBorders/>
          </w:tcPr>
          <w:p>
            <w:pPr>
              <w:pStyle w:val="TableContents"/>
              <w:bidi w:val="0"/>
              <w:spacing w:before="0" w:after="0"/>
              <w:ind w:left="0" w:right="0" w:hanging="0"/>
              <w:jc w:val="left"/>
              <w:rPr>
                <w:rFonts w:ascii="Arial" w:hAnsi="Arial"/>
                <w:color w:val="000000"/>
                <w:sz w:val="30"/>
              </w:rPr>
            </w:pPr>
            <w:bookmarkStart w:id="221" w:name="General_obligations9"/>
            <w:bookmarkEnd w:id="221"/>
            <w:r>
              <w:rPr>
                <w:rFonts w:ascii="Arial" w:hAnsi="Arial"/>
                <w:color w:val="000000"/>
                <w:sz w:val="30"/>
              </w:rPr>
              <w:t>General obligations</w:t>
            </w:r>
          </w:p>
        </w:tc>
      </w:tr>
    </w:tbl>
    <w:tbl>
      <w:tblPr>
        <w:tblW w:w="1151" w:type="dxa"/>
        <w:jc w:val="left"/>
        <w:tblInd w:w="360" w:type="dxa"/>
        <w:tblLayout w:type="fixed"/>
        <w:tblCellMar>
          <w:top w:w="0" w:type="dxa"/>
          <w:left w:w="0" w:type="dxa"/>
          <w:bottom w:w="0" w:type="dxa"/>
          <w:right w:w="0" w:type="dxa"/>
        </w:tblCellMar>
      </w:tblPr>
      <w:tblGrid>
        <w:gridCol w:w="38"/>
        <w:gridCol w:w="560"/>
        <w:gridCol w:w="23"/>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15.1. </w:t>
            </w:r>
          </w:p>
        </w:tc>
        <w:tc>
          <w:tcPr>
            <w:tcW w:w="23"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174" w:after="0"/>
              <w:ind w:left="0" w:right="0" w:hanging="0"/>
              <w:jc w:val="left"/>
              <w:rPr>
                <w:rFonts w:ascii="Arial" w:hAnsi="Arial"/>
                <w:b/>
                <w:color w:val="000000"/>
                <w:sz w:val="22"/>
              </w:rPr>
            </w:pPr>
            <w:bookmarkStart w:id="222" w:name="Fees91"/>
            <w:bookmarkEnd w:id="222"/>
            <w:r>
              <w:rPr>
                <w:rFonts w:ascii="Arial" w:hAnsi="Arial"/>
                <w:b/>
                <w:color w:val="000000"/>
                <w:sz w:val="22"/>
              </w:rPr>
              <w:t>Fees</w:t>
            </w:r>
          </w:p>
        </w:tc>
      </w:tr>
    </w:tbl>
    <w:p>
      <w:pPr>
        <w:pStyle w:val="TextBody"/>
        <w:bidi w:val="0"/>
        <w:spacing w:before="87" w:after="0"/>
        <w:ind w:left="3456" w:right="360" w:hanging="0"/>
        <w:jc w:val="left"/>
        <w:rPr>
          <w:rFonts w:ascii="Arial" w:hAnsi="Arial"/>
          <w:sz w:val="20"/>
        </w:rPr>
      </w:pPr>
      <w:r>
        <w:rPr>
          <w:rFonts w:ascii="Arial" w:hAnsi="Arial"/>
          <w:color w:val="000000"/>
          <w:sz w:val="20"/>
        </w:rPr>
        <w:t>The Borrower must pay to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t>
      </w:r>
      <w:r>
        <w:rPr>
          <w:rFonts w:ascii="Arial" w:hAnsi="Arial"/>
          <w:b/>
          <w:color w:val="000000"/>
          <w:sz w:val="20"/>
        </w:rPr>
        <w:t>restructure</w:t>
      </w:r>
      <w:r>
        <w:rPr>
          <w:rFonts w:ascii="Arial" w:hAnsi="Arial"/>
          <w:color w:val="000000"/>
          <w:sz w:val="20"/>
        </w:rPr>
        <w:t> </w:t>
      </w:r>
      <w:r>
        <w:rPr>
          <w:rFonts w:ascii="Arial" w:hAnsi="Arial"/>
          <w:b/>
          <w:color w:val="000000"/>
          <w:sz w:val="20"/>
        </w:rPr>
        <w:t>fee</w:t>
      </w:r>
      <w:r>
        <w:rPr>
          <w:rFonts w:ascii="Arial" w:hAnsi="Arial"/>
          <w:color w:val="000000"/>
          <w:sz w:val="20"/>
        </w:rPr>
        <w:t>: on or before execution of the Restatement Deed, a non- refundable Restructure Fee of $30,000 (which fee has been paid);</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(b)</w:t>
      </w:r>
      <w:r>
        <w:rPr>
          <w:rFonts w:ascii="Arial" w:hAnsi="Arial"/>
          <w:b/>
          <w:color w:val="000000"/>
          <w:sz w:val="20"/>
        </w:rPr>
        <w:t>restructure</w:t>
      </w:r>
      <w:r>
        <w:rPr>
          <w:rFonts w:ascii="Arial" w:hAnsi="Arial"/>
          <w:color w:val="000000"/>
          <w:sz w:val="22"/>
        </w:rPr>
        <w:t> </w:t>
      </w:r>
      <w:r>
        <w:rPr>
          <w:rFonts w:ascii="Arial" w:hAnsi="Arial"/>
          <w:b/>
          <w:color w:val="000000"/>
          <w:sz w:val="20"/>
        </w:rPr>
        <w:t>fee</w:t>
      </w:r>
      <w:r>
        <w:rPr>
          <w:rFonts w:ascii="Arial" w:hAnsi="Arial"/>
          <w:color w:val="000000"/>
          <w:sz w:val="20"/>
        </w:rPr>
        <w:t>:</w:t>
      </w:r>
      <w:r>
        <w:rPr>
          <w:rFonts w:ascii="Arial" w:hAnsi="Arial"/>
          <w:color w:val="000000"/>
          <w:sz w:val="22"/>
        </w:rPr>
        <w:t> </w:t>
      </w:r>
      <w:r>
        <w:rPr>
          <w:rFonts w:ascii="Arial" w:hAnsi="Arial"/>
          <w:color w:val="000000"/>
          <w:sz w:val="20"/>
        </w:rPr>
        <w:t>on</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before</w:t>
      </w:r>
      <w:r>
        <w:rPr>
          <w:rFonts w:ascii="Arial" w:hAnsi="Arial"/>
          <w:color w:val="000000"/>
          <w:sz w:val="22"/>
        </w:rPr>
        <w:t> the ‘</w:t>
      </w:r>
      <w:r>
        <w:rPr>
          <w:rFonts w:ascii="Arial" w:hAnsi="Arial"/>
          <w:color w:val="000000"/>
          <w:sz w:val="20"/>
        </w:rPr>
        <w:t>Amendment Date’</w:t>
      </w:r>
      <w:r>
        <w:rPr>
          <w:rFonts w:ascii="Arial" w:hAnsi="Arial"/>
          <w:color w:val="000000"/>
          <w:sz w:val="22"/>
        </w:rPr>
        <w:t> </w:t>
      </w:r>
      <w:r>
        <w:rPr>
          <w:rFonts w:ascii="Arial" w:hAnsi="Arial"/>
          <w:color w:val="000000"/>
          <w:sz w:val="20"/>
        </w:rPr>
        <w:t>referred to</w:t>
      </w:r>
      <w:r>
        <w:rPr>
          <w:rFonts w:ascii="Arial" w:hAnsi="Arial"/>
          <w:color w:val="000000"/>
          <w:sz w:val="22"/>
        </w:rPr>
        <w:t> </w:t>
      </w:r>
      <w:r>
        <w:rPr>
          <w:rFonts w:ascii="Arial" w:hAnsi="Arial"/>
          <w:color w:val="000000"/>
          <w:sz w:val="20"/>
        </w:rPr>
        <w:t>in the Amendment</w:t>
      </w:r>
      <w:r>
        <w:rPr>
          <w:rFonts w:ascii="Arial" w:hAnsi="Arial"/>
          <w:color w:val="000000"/>
          <w:sz w:val="22"/>
        </w:rPr>
        <w:t> </w:t>
      </w:r>
      <w:r>
        <w:rPr>
          <w:rFonts w:ascii="Arial" w:hAnsi="Arial"/>
          <w:color w:val="000000"/>
          <w:sz w:val="20"/>
        </w:rPr>
        <w:t>Deed,</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non-refundable</w:t>
      </w:r>
      <w:r>
        <w:rPr>
          <w:rFonts w:ascii="Arial" w:hAnsi="Arial"/>
          <w:color w:val="000000"/>
          <w:sz w:val="22"/>
        </w:rPr>
        <w:t> </w:t>
      </w:r>
      <w:r>
        <w:rPr>
          <w:rFonts w:ascii="Arial" w:hAnsi="Arial"/>
          <w:color w:val="000000"/>
          <w:sz w:val="20"/>
        </w:rPr>
        <w:t>Restructure</w:t>
      </w:r>
      <w:r>
        <w:rPr>
          <w:rFonts w:ascii="Arial" w:hAnsi="Arial"/>
          <w:color w:val="000000"/>
          <w:sz w:val="22"/>
        </w:rPr>
        <w:t> </w:t>
      </w:r>
      <w:r>
        <w:rPr>
          <w:rFonts w:ascii="Arial" w:hAnsi="Arial"/>
          <w:color w:val="000000"/>
          <w:sz w:val="20"/>
        </w:rPr>
        <w:t>&amp;</w:t>
      </w:r>
      <w:r>
        <w:rPr>
          <w:rFonts w:ascii="Arial" w:hAnsi="Arial"/>
          <w:color w:val="000000"/>
          <w:sz w:val="22"/>
        </w:rPr>
        <w:t> </w:t>
      </w:r>
      <w:r>
        <w:rPr>
          <w:rFonts w:ascii="Arial" w:hAnsi="Arial"/>
          <w:color w:val="000000"/>
          <w:sz w:val="20"/>
        </w:rPr>
        <w:t>Application</w:t>
      </w:r>
      <w:r>
        <w:rPr>
          <w:rFonts w:ascii="Arial" w:hAnsi="Arial"/>
          <w:color w:val="000000"/>
          <w:sz w:val="22"/>
        </w:rPr>
        <w:t> </w:t>
      </w:r>
      <w:r>
        <w:rPr>
          <w:rFonts w:ascii="Arial" w:hAnsi="Arial"/>
          <w:color w:val="000000"/>
          <w:sz w:val="20"/>
        </w:rPr>
        <w:t>Fee</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$300,000</w:t>
      </w:r>
      <w:r>
        <w:rPr>
          <w:rFonts w:ascii="Arial" w:hAnsi="Arial"/>
          <w:color w:val="000000"/>
          <w:sz w:val="22"/>
        </w:rPr>
        <w:t> </w:t>
      </w:r>
      <w:r>
        <w:rPr>
          <w:rFonts w:ascii="Arial" w:hAnsi="Arial"/>
          <w:color w:val="000000"/>
          <w:sz w:val="20"/>
        </w:rPr>
        <w:t>(less</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$20,000</w:t>
      </w:r>
      <w:r>
        <w:rPr>
          <w:rFonts w:ascii="Arial" w:hAnsi="Arial"/>
          <w:color w:val="000000"/>
          <w:sz w:val="22"/>
        </w:rPr>
        <w:t> </w:t>
      </w:r>
      <w:r>
        <w:rPr>
          <w:rFonts w:ascii="Arial" w:hAnsi="Arial"/>
          <w:color w:val="000000"/>
          <w:sz w:val="20"/>
        </w:rPr>
        <w:t>work</w:t>
      </w:r>
      <w:r>
        <w:rPr>
          <w:rFonts w:ascii="Arial" w:hAnsi="Arial"/>
          <w:color w:val="000000"/>
          <w:sz w:val="22"/>
        </w:rPr>
        <w:t> </w:t>
      </w:r>
      <w:r>
        <w:rPr>
          <w:rFonts w:ascii="Arial" w:hAnsi="Arial"/>
          <w:color w:val="000000"/>
          <w:sz w:val="20"/>
        </w:rPr>
        <w:t>fee</w:t>
      </w:r>
      <w:r>
        <w:rPr>
          <w:rFonts w:ascii="Arial" w:hAnsi="Arial"/>
          <w:color w:val="000000"/>
          <w:sz w:val="22"/>
        </w:rPr>
        <w:t> </w:t>
      </w:r>
      <w:r>
        <w:rPr>
          <w:rFonts w:ascii="Arial" w:hAnsi="Arial"/>
          <w:color w:val="000000"/>
          <w:sz w:val="20"/>
        </w:rPr>
        <w:t>referred</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term</w:t>
      </w:r>
      <w:r>
        <w:rPr>
          <w:rFonts w:ascii="Arial" w:hAnsi="Arial"/>
          <w:color w:val="000000"/>
          <w:sz w:val="22"/>
        </w:rPr>
        <w:t> </w:t>
      </w:r>
      <w:r>
        <w:rPr>
          <w:rFonts w:ascii="Arial" w:hAnsi="Arial"/>
          <w:color w:val="000000"/>
          <w:sz w:val="20"/>
        </w:rPr>
        <w:t>sheet</w:t>
      </w:r>
      <w:r>
        <w:rPr>
          <w:rFonts w:ascii="Arial" w:hAnsi="Arial"/>
          <w:color w:val="000000"/>
          <w:sz w:val="22"/>
        </w:rPr>
        <w:t> </w:t>
      </w:r>
      <w:r>
        <w:rPr>
          <w:rFonts w:ascii="Arial" w:hAnsi="Arial"/>
          <w:color w:val="000000"/>
          <w:sz w:val="20"/>
        </w:rPr>
        <w:t>dated 17</w:t>
      </w:r>
      <w:r>
        <w:rPr>
          <w:rFonts w:ascii="Arial" w:hAnsi="Arial"/>
          <w:color w:val="000000"/>
          <w:sz w:val="22"/>
        </w:rPr>
        <w:t> </w:t>
      </w:r>
      <w:r>
        <w:rPr>
          <w:rFonts w:ascii="Arial" w:hAnsi="Arial"/>
          <w:color w:val="000000"/>
          <w:sz w:val="20"/>
        </w:rPr>
        <w:t>December</w:t>
      </w:r>
      <w:r>
        <w:rPr>
          <w:rFonts w:ascii="Arial" w:hAnsi="Arial"/>
          <w:color w:val="000000"/>
          <w:sz w:val="22"/>
        </w:rPr>
        <w:t> </w:t>
      </w:r>
      <w:r>
        <w:rPr>
          <w:rFonts w:ascii="Arial" w:hAnsi="Arial"/>
          <w:color w:val="000000"/>
          <w:sz w:val="20"/>
        </w:rPr>
        <w:t>2018</w:t>
      </w:r>
      <w:r>
        <w:rPr>
          <w:rFonts w:ascii="Arial" w:hAnsi="Arial"/>
          <w:color w:val="000000"/>
          <w:sz w:val="22"/>
        </w:rPr>
        <w:t> </w:t>
      </w:r>
      <w:r>
        <w:rPr>
          <w:rFonts w:ascii="Arial" w:hAnsi="Arial"/>
          <w:color w:val="000000"/>
          <w:sz w:val="20"/>
        </w:rPr>
        <w:t>if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Borrower</w:t>
      </w:r>
      <w:r>
        <w:rPr>
          <w:rFonts w:ascii="Arial" w:hAnsi="Arial"/>
          <w:color w:val="000000"/>
          <w:sz w:val="22"/>
        </w:rPr>
        <w:t> </w:t>
      </w:r>
      <w:r>
        <w:rPr>
          <w:rFonts w:ascii="Arial" w:hAnsi="Arial"/>
          <w:color w:val="000000"/>
          <w:sz w:val="20"/>
        </w:rPr>
        <w:t>has</w:t>
      </w:r>
      <w:r>
        <w:rPr>
          <w:rFonts w:ascii="Arial" w:hAnsi="Arial"/>
          <w:color w:val="000000"/>
          <w:sz w:val="22"/>
        </w:rPr>
        <w:t> </w:t>
      </w:r>
      <w:r>
        <w:rPr>
          <w:rFonts w:ascii="Arial" w:hAnsi="Arial"/>
          <w:color w:val="000000"/>
          <w:sz w:val="20"/>
        </w:rPr>
        <w:t>paid</w:t>
      </w:r>
      <w:r>
        <w:rPr>
          <w:rFonts w:ascii="Arial" w:hAnsi="Arial"/>
          <w:color w:val="000000"/>
          <w:sz w:val="22"/>
        </w:rPr>
        <w:t> </w:t>
      </w:r>
      <w:r>
        <w:rPr>
          <w:rFonts w:ascii="Arial" w:hAnsi="Arial"/>
          <w:color w:val="000000"/>
          <w:sz w:val="20"/>
        </w:rPr>
        <w:t>that</w:t>
      </w:r>
      <w:r>
        <w:rPr>
          <w:rFonts w:ascii="Arial" w:hAnsi="Arial"/>
          <w:color w:val="000000"/>
          <w:sz w:val="22"/>
        </w:rPr>
        <w:t> </w:t>
      </w:r>
      <w:r>
        <w:rPr>
          <w:rFonts w:ascii="Arial" w:hAnsi="Arial"/>
          <w:color w:val="000000"/>
          <w:sz w:val="20"/>
        </w:rPr>
        <w:t>work</w:t>
      </w:r>
      <w:r>
        <w:rPr>
          <w:rFonts w:ascii="Arial" w:hAnsi="Arial"/>
          <w:color w:val="000000"/>
          <w:sz w:val="22"/>
        </w:rPr>
        <w:t> </w:t>
      </w:r>
      <w:r>
        <w:rPr>
          <w:rFonts w:ascii="Arial" w:hAnsi="Arial"/>
          <w:color w:val="000000"/>
          <w:sz w:val="20"/>
        </w:rPr>
        <w:t>fee</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sz w:val="22"/>
        </w:rPr>
        <w:t xml:space="preserve"> </w:t>
      </w:r>
    </w:p>
    <w:p>
      <w:pPr>
        <w:pStyle w:val="TextBody"/>
        <w:bidi w:val="0"/>
        <w:spacing w:lineRule="auto" w:line="264" w:before="104" w:after="0"/>
        <w:ind w:left="3988" w:right="2075" w:hanging="0"/>
        <w:jc w:val="left"/>
        <w:rPr>
          <w:rFonts w:ascii="Arial" w:hAnsi="Arial"/>
          <w:sz w:val="20"/>
        </w:rPr>
      </w:pPr>
      <w:r>
        <w:rPr>
          <w:rFonts w:ascii="Arial" w:hAnsi="Arial"/>
          <w:color w:val="000000"/>
          <w:sz w:val="20"/>
        </w:rPr>
        <w:t>(c)</w:t>
      </w:r>
      <w:r>
        <w:rPr>
          <w:rFonts w:ascii="Arial" w:hAnsi="Arial"/>
          <w:b/>
          <w:color w:val="000000"/>
          <w:sz w:val="20"/>
        </w:rPr>
        <w:t>Corporate</w:t>
      </w:r>
      <w:r>
        <w:rPr>
          <w:rFonts w:ascii="Arial" w:hAnsi="Arial"/>
          <w:color w:val="000000"/>
          <w:sz w:val="20"/>
        </w:rPr>
        <w:t> </w:t>
      </w:r>
      <w:r>
        <w:rPr>
          <w:rFonts w:ascii="Arial" w:hAnsi="Arial"/>
          <w:b/>
          <w:color w:val="000000"/>
          <w:sz w:val="20"/>
        </w:rPr>
        <w:t>Markets</w:t>
      </w:r>
      <w:r>
        <w:rPr>
          <w:rFonts w:ascii="Arial" w:hAnsi="Arial"/>
          <w:color w:val="000000"/>
          <w:sz w:val="20"/>
        </w:rPr>
        <w:t> </w:t>
      </w:r>
      <w:r>
        <w:rPr>
          <w:rFonts w:ascii="Arial" w:hAnsi="Arial"/>
          <w:b/>
          <w:color w:val="000000"/>
          <w:sz w:val="20"/>
        </w:rPr>
        <w:t>Loan</w:t>
      </w:r>
      <w:r>
        <w:rPr>
          <w:rFonts w:ascii="Arial" w:hAnsi="Arial"/>
          <w:color w:val="000000"/>
          <w:sz w:val="20"/>
        </w:rPr>
        <w:t> </w:t>
      </w:r>
      <w:r>
        <w:rPr>
          <w:rFonts w:ascii="Arial" w:hAnsi="Arial"/>
          <w:b/>
          <w:color w:val="000000"/>
          <w:sz w:val="20"/>
        </w:rPr>
        <w:t>Facility</w:t>
      </w:r>
      <w:r>
        <w:rPr>
          <w:rFonts w:ascii="Arial" w:hAnsi="Arial"/>
          <w:color w:val="000000"/>
          <w:sz w:val="20"/>
        </w:rPr>
        <w:t> </w:t>
      </w:r>
      <w:r>
        <w:rPr>
          <w:rFonts w:ascii="Arial" w:hAnsi="Arial"/>
          <w:b/>
          <w:color w:val="000000"/>
          <w:sz w:val="20"/>
        </w:rPr>
        <w:t>fee:</w:t>
      </w:r>
      <w:r>
        <w:rPr>
          <w:rFonts w:ascii="Arial" w:hAnsi="Arial"/>
          <w:color w:val="000000"/>
          <w:sz w:val="20"/>
        </w:rPr>
        <w:t> a non-refundable facility fee on the Facility Limit in respect of the Corporate Markets Loan Facility calculated Exhibit 10.3_ Amendment Deed_ NAB - April 2</w:t>
      </w:r>
      <w:r>
        <w:rPr>
          <w:rFonts w:ascii="Arial" w:hAnsi="Arial"/>
          <w:sz w:val="20"/>
        </w:rPr>
        <w:t xml:space="preserve"> </w:t>
      </w:r>
    </w:p>
    <w:p>
      <w:pPr>
        <w:pStyle w:val="TextBody"/>
        <w:bidi w:val="0"/>
        <w:spacing w:lineRule="auto" w:line="264" w:before="104" w:after="0"/>
        <w:ind w:left="4540" w:right="2085" w:hanging="0"/>
        <w:jc w:val="left"/>
        <w:rPr>
          <w:rFonts w:ascii="Arial" w:hAnsi="Arial"/>
          <w:sz w:val="20"/>
        </w:rPr>
      </w:pPr>
      <w:r>
        <w:rPr>
          <w:rFonts w:ascii="Arial" w:hAnsi="Arial"/>
          <w:color w:val="000000"/>
          <w:sz w:val="20"/>
        </w:rPr>
        <w:t>(i)accrue from day to day from the date of this document up to and including the Termination Date;</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1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7" descr=""/>
                    <pic:cNvPicPr>
                      <a:picLocks noChangeAspect="1" noChangeArrowheads="1"/>
                    </pic:cNvPicPr>
                  </pic:nvPicPr>
                  <pic:blipFill>
                    <a:blip r:embed="rId11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2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8" descr=""/>
                    <pic:cNvPicPr>
                      <a:picLocks noChangeAspect="1" noChangeArrowheads="1"/>
                    </pic:cNvPicPr>
                  </pic:nvPicPr>
                  <pic:blipFill>
                    <a:blip r:embed="rId12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6" w:before="0" w:after="0"/>
        <w:ind w:left="4540" w:right="2017" w:hanging="0"/>
        <w:jc w:val="left"/>
        <w:rPr>
          <w:rFonts w:ascii="Arial" w:hAnsi="Arial"/>
          <w:sz w:val="20"/>
        </w:rPr>
      </w:pPr>
      <w:r>
        <w:rPr>
          <w:rFonts w:ascii="Arial" w:hAnsi="Arial"/>
          <w:sz w:val="20"/>
        </w:rPr>
        <w:t xml:space="preserve">(ii)be payable quarterly in arrears, on the first Business Day of each Quarter; </w:t>
      </w:r>
    </w:p>
    <w:p>
      <w:pPr>
        <w:pStyle w:val="TextBody"/>
        <w:bidi w:val="0"/>
        <w:spacing w:lineRule="auto" w:line="264" w:before="107" w:after="0"/>
        <w:ind w:left="4540" w:right="2191" w:hanging="0"/>
        <w:jc w:val="left"/>
        <w:rPr>
          <w:rFonts w:ascii="Arial" w:hAnsi="Arial"/>
          <w:sz w:val="20"/>
        </w:rPr>
      </w:pPr>
      <w:r>
        <w:rPr>
          <w:rFonts w:ascii="Arial" w:hAnsi="Arial"/>
          <w:sz w:val="20"/>
        </w:rPr>
        <w:t xml:space="preserve">(iii)be calculated on the actual number of days elapsed and on the basis of a 365 day year; </w:t>
      </w:r>
    </w:p>
    <w:p>
      <w:pPr>
        <w:pStyle w:val="TextBody"/>
        <w:bidi w:val="0"/>
        <w:spacing w:lineRule="auto" w:line="264" w:before="107" w:after="0"/>
        <w:ind w:left="3983" w:right="1956" w:hanging="0"/>
        <w:jc w:val="left"/>
        <w:rPr>
          <w:rFonts w:ascii="Arial" w:hAnsi="Arial"/>
          <w:sz w:val="20"/>
        </w:rPr>
      </w:pPr>
      <w:r>
        <w:rPr>
          <w:rFonts w:ascii="Arial" w:hAnsi="Arial"/>
          <w:sz w:val="20"/>
        </w:rPr>
        <w:t>(d)</w:t>
      </w:r>
      <w:r>
        <w:rPr>
          <w:rFonts w:ascii="Arial" w:hAnsi="Arial"/>
          <w:b/>
          <w:sz w:val="20"/>
        </w:rPr>
        <w:t>Reset</w:t>
      </w:r>
      <w:r>
        <w:rPr>
          <w:rFonts w:ascii="Arial" w:hAnsi="Arial"/>
          <w:sz w:val="20"/>
        </w:rPr>
        <w:t> </w:t>
      </w:r>
      <w:r>
        <w:rPr>
          <w:rFonts w:ascii="Arial" w:hAnsi="Arial"/>
          <w:b/>
          <w:sz w:val="20"/>
        </w:rPr>
        <w:t>Fee</w:t>
      </w:r>
      <w:r>
        <w:rPr>
          <w:rFonts w:ascii="Arial" w:hAnsi="Arial"/>
          <w:sz w:val="20"/>
        </w:rPr>
        <w:t>: on the first Business Day of each Pricing Period (other than the first Pricing Period) a non-refundable fee of $150.00;</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(e)</w:t>
      </w:r>
      <w:r>
        <w:rPr>
          <w:rFonts w:ascii="Arial" w:hAnsi="Arial"/>
          <w:b/>
          <w:sz w:val="20"/>
        </w:rPr>
        <w:t>Bank</w:t>
      </w:r>
      <w:r>
        <w:rPr>
          <w:rFonts w:ascii="Arial" w:hAnsi="Arial"/>
          <w:sz w:val="20"/>
        </w:rPr>
        <w:t> </w:t>
      </w:r>
      <w:r>
        <w:rPr>
          <w:rFonts w:ascii="Arial" w:hAnsi="Arial"/>
          <w:b/>
          <w:sz w:val="20"/>
        </w:rPr>
        <w:t>Guarantee</w:t>
      </w:r>
      <w:r>
        <w:rPr>
          <w:rFonts w:ascii="Arial" w:hAnsi="Arial"/>
          <w:sz w:val="20"/>
        </w:rPr>
        <w:t> </w:t>
      </w:r>
      <w:r>
        <w:rPr>
          <w:rFonts w:ascii="Arial" w:hAnsi="Arial"/>
          <w:b/>
          <w:sz w:val="20"/>
        </w:rPr>
        <w:t>service</w:t>
      </w:r>
      <w:r>
        <w:rPr>
          <w:rFonts w:ascii="Arial" w:hAnsi="Arial"/>
          <w:sz w:val="20"/>
        </w:rPr>
        <w:t> </w:t>
      </w:r>
      <w:r>
        <w:rPr>
          <w:rFonts w:ascii="Arial" w:hAnsi="Arial"/>
          <w:b/>
          <w:sz w:val="20"/>
        </w:rPr>
        <w:t>fee</w:t>
      </w:r>
      <w:r>
        <w:rPr>
          <w:rFonts w:ascii="Arial" w:hAnsi="Arial"/>
          <w:sz w:val="20"/>
        </w:rPr>
        <w:t>: on and from the first services fee charge date following the August 2023 Amendment Date, a non-refundable fee of 1.90% per annum, calculated on the Face Value of the Bank Guarantee, payable on a pro-rata basis half yearly in arrears, with the first payment due six months after the relevant Funding Date of the Bank Guarantee, and subsequent payments due every six months thereafter until the Bank Guarantee Matures or Expires or is cancelled. This fee will be calculated on the actual number of days elapsed and on the basis of a 365 day year;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(f)</w:t>
      </w:r>
      <w:r>
        <w:rPr>
          <w:rFonts w:ascii="Arial" w:hAnsi="Arial"/>
          <w:b/>
          <w:sz w:val="20"/>
        </w:rPr>
        <w:t>Bank</w:t>
      </w:r>
      <w:r>
        <w:rPr>
          <w:rFonts w:ascii="Arial" w:hAnsi="Arial"/>
          <w:sz w:val="20"/>
        </w:rPr>
        <w:t> </w:t>
      </w:r>
      <w:r>
        <w:rPr>
          <w:rFonts w:ascii="Arial" w:hAnsi="Arial"/>
          <w:b/>
          <w:sz w:val="20"/>
        </w:rPr>
        <w:t>Guarantee</w:t>
      </w:r>
      <w:r>
        <w:rPr>
          <w:rFonts w:ascii="Arial" w:hAnsi="Arial"/>
          <w:sz w:val="20"/>
        </w:rPr>
        <w:t> </w:t>
      </w:r>
      <w:r>
        <w:rPr>
          <w:rFonts w:ascii="Arial" w:hAnsi="Arial"/>
          <w:b/>
          <w:sz w:val="20"/>
        </w:rPr>
        <w:t>issuance</w:t>
      </w:r>
      <w:r>
        <w:rPr>
          <w:rFonts w:ascii="Arial" w:hAnsi="Arial"/>
          <w:sz w:val="20"/>
        </w:rPr>
        <w:t> </w:t>
      </w:r>
      <w:r>
        <w:rPr>
          <w:rFonts w:ascii="Arial" w:hAnsi="Arial"/>
          <w:b/>
          <w:sz w:val="20"/>
        </w:rPr>
        <w:t>fee:</w:t>
      </w:r>
      <w:r>
        <w:rPr>
          <w:rFonts w:ascii="Arial" w:hAnsi="Arial"/>
          <w:sz w:val="20"/>
        </w:rPr>
        <w:t> a non-refundable fee in respect of each Bank Guarantee of 0.95% calculated on the Face Value of the Bank Guarantee (or $125 whichever is greater), payable on the relevant Funding Date of the Bank Guarantee;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(g)</w:t>
      </w:r>
      <w:r>
        <w:rPr>
          <w:rFonts w:ascii="Arial" w:hAnsi="Arial"/>
          <w:b/>
          <w:sz w:val="20"/>
        </w:rPr>
        <w:t>Bridge</w:t>
      </w:r>
      <w:r>
        <w:rPr>
          <w:rFonts w:ascii="Arial" w:hAnsi="Arial"/>
          <w:sz w:val="20"/>
        </w:rPr>
        <w:t> </w:t>
      </w:r>
      <w:r>
        <w:rPr>
          <w:rFonts w:ascii="Arial" w:hAnsi="Arial"/>
          <w:b/>
          <w:sz w:val="20"/>
        </w:rPr>
        <w:t>Facility</w:t>
      </w:r>
      <w:r>
        <w:rPr>
          <w:rFonts w:ascii="Arial" w:hAnsi="Arial"/>
          <w:sz w:val="20"/>
        </w:rPr>
        <w:t> </w:t>
      </w:r>
      <w:r>
        <w:rPr>
          <w:rFonts w:ascii="Arial" w:hAnsi="Arial"/>
          <w:b/>
          <w:sz w:val="20"/>
        </w:rPr>
        <w:t>fee:</w:t>
      </w:r>
      <w:r>
        <w:rPr>
          <w:rFonts w:ascii="Arial" w:hAnsi="Arial"/>
          <w:sz w:val="20"/>
        </w:rPr>
        <w:t xml:space="preserve"> a non-refundable facility fee on the Facility Limit in respect of the Bridge Facility calculated at 1.25% per annum, which will: </w:t>
      </w:r>
    </w:p>
    <w:p>
      <w:pPr>
        <w:pStyle w:val="TextBody"/>
        <w:bidi w:val="0"/>
        <w:spacing w:lineRule="auto" w:line="264" w:before="111" w:after="0"/>
        <w:ind w:left="4540" w:right="1876" w:hanging="0"/>
        <w:jc w:val="left"/>
        <w:rPr>
          <w:rFonts w:ascii="Arial" w:hAnsi="Arial"/>
          <w:sz w:val="20"/>
        </w:rPr>
      </w:pPr>
      <w:r>
        <w:rPr>
          <w:rFonts w:ascii="Arial" w:hAnsi="Arial"/>
          <w:sz w:val="20"/>
        </w:rPr>
        <w:t xml:space="preserve">(i)accrue from day to day from the April 2024 Amendment Date up to and including the Termination Date; </w:t>
      </w:r>
    </w:p>
    <w:p>
      <w:pPr>
        <w:pStyle w:val="TextBody"/>
        <w:bidi w:val="0"/>
        <w:spacing w:lineRule="auto" w:line="266" w:before="108" w:after="0"/>
        <w:ind w:left="4540" w:right="2017" w:hanging="0"/>
        <w:jc w:val="left"/>
        <w:rPr>
          <w:rFonts w:ascii="Arial" w:hAnsi="Arial"/>
          <w:sz w:val="20"/>
        </w:rPr>
      </w:pPr>
      <w:r>
        <w:rPr>
          <w:rFonts w:ascii="Arial" w:hAnsi="Arial"/>
          <w:sz w:val="20"/>
        </w:rPr>
        <w:t xml:space="preserve">(ii)be payable quarterly in arrears, on the first Business Day of each Quarter; </w:t>
      </w:r>
    </w:p>
    <w:p>
      <w:pPr>
        <w:pStyle w:val="TextBody"/>
        <w:bidi w:val="0"/>
        <w:spacing w:lineRule="auto" w:line="264" w:before="107" w:after="0"/>
        <w:ind w:left="4540" w:right="2193" w:hanging="0"/>
        <w:jc w:val="left"/>
        <w:rPr>
          <w:rFonts w:ascii="Arial" w:hAnsi="Arial"/>
          <w:sz w:val="20"/>
        </w:rPr>
      </w:pPr>
      <w:r>
        <w:rPr>
          <w:rFonts w:ascii="Arial" w:hAnsi="Arial"/>
          <w:sz w:val="20"/>
        </w:rPr>
        <w:t xml:space="preserve">(iii)be calculated on the actual number of days elapsed and on the basis of a 365 day year. </w:t>
      </w:r>
    </w:p>
    <w:tbl>
      <w:tblPr>
        <w:tblW w:w="1541" w:type="dxa"/>
        <w:jc w:val="left"/>
        <w:tblInd w:w="360" w:type="dxa"/>
        <w:tblLayout w:type="fixed"/>
        <w:tblCellMar>
          <w:top w:w="0" w:type="dxa"/>
          <w:left w:w="0" w:type="dxa"/>
          <w:bottom w:w="0" w:type="dxa"/>
          <w:right w:w="0" w:type="dxa"/>
        </w:tblCellMar>
      </w:tblPr>
      <w:tblGrid>
        <w:gridCol w:w="38"/>
        <w:gridCol w:w="56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15.2.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bidi w:val="0"/>
              <w:spacing w:before="174" w:after="0"/>
              <w:ind w:left="0" w:right="0" w:hanging="0"/>
              <w:jc w:val="left"/>
              <w:rPr>
                <w:rFonts w:ascii="Arial" w:hAnsi="Arial"/>
                <w:b/>
                <w:color w:val="000000"/>
                <w:sz w:val="22"/>
              </w:rPr>
            </w:pPr>
            <w:bookmarkStart w:id="223" w:name="Records92"/>
            <w:bookmarkEnd w:id="223"/>
            <w:r>
              <w:rPr>
                <w:rFonts w:ascii="Arial" w:hAnsi="Arial"/>
                <w:b/>
                <w:color w:val="000000"/>
                <w:sz w:val="22"/>
              </w:rPr>
              <w:t>Records</w:t>
            </w:r>
          </w:p>
        </w:tc>
      </w:tr>
    </w:tbl>
    <w:p>
      <w:pPr>
        <w:pStyle w:val="TextBody"/>
        <w:bidi w:val="0"/>
        <w:spacing w:before="88" w:after="0"/>
        <w:ind w:left="3456" w:right="360" w:hanging="0"/>
        <w:jc w:val="left"/>
        <w:rPr>
          <w:rFonts w:ascii="Arial" w:hAnsi="Arial"/>
          <w:sz w:val="20"/>
        </w:rPr>
      </w:pPr>
      <w:r>
        <w:rPr>
          <w:rFonts w:ascii="Arial" w:hAnsi="Arial"/>
          <w:color w:val="000000"/>
          <w:sz w:val="20"/>
        </w:rPr>
        <w:t>The Borrower must ensure that each Transaction Party: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(a)prepares and keeps books, accounts and other records in accordance with the law and Accounting Standards;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(b)on demand, makes the same available for inspection and copying by the Bank.</w:t>
      </w:r>
      <w:r>
        <w:rPr>
          <w:rFonts w:ascii="Arial" w:hAnsi="Arial"/>
          <w:sz w:val="20"/>
        </w:rPr>
        <w:t xml:space="preserve"> </w:t>
      </w:r>
    </w:p>
    <w:tbl>
      <w:tblPr>
        <w:tblW w:w="6131" w:type="dxa"/>
        <w:jc w:val="left"/>
        <w:tblInd w:w="360" w:type="dxa"/>
        <w:tblLayout w:type="fixed"/>
        <w:tblCellMar>
          <w:top w:w="0" w:type="dxa"/>
          <w:left w:w="0" w:type="dxa"/>
          <w:bottom w:w="0" w:type="dxa"/>
          <w:right w:w="0" w:type="dxa"/>
        </w:tblCellMar>
      </w:tblPr>
      <w:tblGrid>
        <w:gridCol w:w="38"/>
        <w:gridCol w:w="560"/>
        <w:gridCol w:w="23"/>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15.3. </w:t>
            </w:r>
          </w:p>
        </w:tc>
        <w:tc>
          <w:tcPr>
            <w:tcW w:w="23" w:type="dxa"/>
            <w:tcBorders/>
            <w:vAlign w:val="center"/>
          </w:tcPr>
          <w:p>
            <w:pPr>
              <w:pStyle w:val="TableContents"/>
              <w:bidi w:val="0"/>
              <w:spacing w:before="0" w:after="283"/>
              <w:jc w:val="left"/>
              <w:rPr>
                <w:sz w:val="4"/>
                <w:szCs w:val="4"/>
              </w:rPr>
            </w:pPr>
            <w:r>
              <w:rPr>
                <w:sz w:val="4"/>
                <w:szCs w:val="4"/>
              </w:rPr>
            </w:r>
          </w:p>
        </w:tc>
        <w:tc>
          <w:tcPr>
            <w:tcW w:w="5510" w:type="dxa"/>
            <w:tcBorders/>
          </w:tcPr>
          <w:p>
            <w:pPr>
              <w:pStyle w:val="TableContents"/>
              <w:bidi w:val="0"/>
              <w:spacing w:before="174" w:after="0"/>
              <w:ind w:left="0" w:right="0" w:hanging="0"/>
              <w:jc w:val="left"/>
              <w:rPr>
                <w:rFonts w:ascii="Arial" w:hAnsi="Arial"/>
                <w:b/>
                <w:color w:val="000000"/>
                <w:sz w:val="22"/>
              </w:rPr>
            </w:pPr>
            <w:bookmarkStart w:id="224" w:name="Financial_Statements93"/>
            <w:bookmarkEnd w:id="224"/>
            <w:r>
              <w:rPr>
                <w:rFonts w:ascii="Arial" w:hAnsi="Arial"/>
                <w:b/>
                <w:color w:val="000000"/>
                <w:sz w:val="22"/>
              </w:rPr>
              <w:t>Financial Statements and other financial information</w:t>
            </w:r>
          </w:p>
        </w:tc>
      </w:tr>
    </w:tbl>
    <w:p>
      <w:pPr>
        <w:pStyle w:val="TextBody"/>
        <w:bidi w:val="0"/>
        <w:spacing w:before="90" w:after="0"/>
        <w:ind w:left="3456" w:right="360" w:hanging="0"/>
        <w:jc w:val="left"/>
        <w:rPr>
          <w:rFonts w:ascii="Arial" w:hAnsi="Arial"/>
          <w:sz w:val="20"/>
        </w:rPr>
      </w:pPr>
      <w:r>
        <w:rPr>
          <w:rFonts w:ascii="Arial" w:hAnsi="Arial"/>
          <w:color w:val="000000"/>
          <w:sz w:val="20"/>
        </w:rPr>
        <w:t>The Borrower must give to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t>
      </w:r>
      <w:r>
        <w:rPr>
          <w:rFonts w:ascii="Arial" w:hAnsi="Arial"/>
          <w:b/>
          <w:color w:val="000000"/>
          <w:sz w:val="20"/>
        </w:rPr>
        <w:t>Annual</w:t>
      </w:r>
      <w:r>
        <w:rPr>
          <w:rFonts w:ascii="Arial" w:hAnsi="Arial"/>
          <w:color w:val="000000"/>
          <w:sz w:val="20"/>
        </w:rPr>
        <w:t> </w:t>
      </w:r>
      <w:r>
        <w:rPr>
          <w:rFonts w:ascii="Arial" w:hAnsi="Arial"/>
          <w:b/>
          <w:color w:val="000000"/>
          <w:sz w:val="20"/>
        </w:rPr>
        <w:t>Financial</w:t>
      </w:r>
      <w:r>
        <w:rPr>
          <w:rFonts w:ascii="Arial" w:hAnsi="Arial"/>
          <w:color w:val="000000"/>
          <w:sz w:val="20"/>
        </w:rPr>
        <w:t> </w:t>
      </w:r>
      <w:r>
        <w:rPr>
          <w:rFonts w:ascii="Arial" w:hAnsi="Arial"/>
          <w:b/>
          <w:color w:val="000000"/>
          <w:sz w:val="20"/>
        </w:rPr>
        <w:t>Statements:</w:t>
      </w:r>
      <w:r>
        <w:rPr>
          <w:rFonts w:ascii="Arial" w:hAnsi="Arial"/>
          <w:color w:val="000000"/>
          <w:sz w:val="20"/>
        </w:rPr>
        <w:t> as soon as practicable, and in any event within 120 days after the end of each Financial Year the consolidated audited Financial Statements of the Reading Entertainment Australia Group for that Financial Year;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w:t>
      </w:r>
      <w:r>
        <w:rPr>
          <w:rFonts w:ascii="Arial" w:hAnsi="Arial"/>
          <w:b/>
          <w:color w:val="000000"/>
          <w:sz w:val="20"/>
        </w:rPr>
        <w:t>Quarterly</w:t>
      </w:r>
      <w:r>
        <w:rPr>
          <w:rFonts w:ascii="Arial" w:hAnsi="Arial"/>
          <w:color w:val="000000"/>
          <w:sz w:val="20"/>
        </w:rPr>
        <w:t> </w:t>
      </w:r>
      <w:r>
        <w:rPr>
          <w:rFonts w:ascii="Arial" w:hAnsi="Arial"/>
          <w:b/>
          <w:color w:val="000000"/>
          <w:sz w:val="20"/>
        </w:rPr>
        <w:t>Financial</w:t>
      </w:r>
      <w:r>
        <w:rPr>
          <w:rFonts w:ascii="Arial" w:hAnsi="Arial"/>
          <w:color w:val="000000"/>
          <w:sz w:val="20"/>
        </w:rPr>
        <w:t> </w:t>
      </w:r>
      <w:r>
        <w:rPr>
          <w:rFonts w:ascii="Arial" w:hAnsi="Arial"/>
          <w:b/>
          <w:color w:val="000000"/>
          <w:sz w:val="20"/>
        </w:rPr>
        <w:t>Statements:</w:t>
      </w:r>
      <w:r>
        <w:rPr>
          <w:rFonts w:ascii="Arial" w:hAnsi="Arial"/>
          <w:color w:val="000000"/>
          <w:sz w:val="20"/>
        </w:rPr>
        <w:t> as soon as practicable, and in any event within 45 days after the end of each Quarter (other than the</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2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9" descr=""/>
                    <pic:cNvPicPr>
                      <a:picLocks noChangeAspect="1" noChangeArrowheads="1"/>
                    </pic:cNvPicPr>
                  </pic:nvPicPr>
                  <pic:blipFill>
                    <a:blip r:embed="rId12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2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0" descr=""/>
                    <pic:cNvPicPr>
                      <a:picLocks noChangeAspect="1" noChangeArrowheads="1"/>
                    </pic:cNvPicPr>
                  </pic:nvPicPr>
                  <pic:blipFill>
                    <a:blip r:embed="rId12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4" w:before="0" w:after="0"/>
        <w:ind w:left="3950" w:right="1854" w:hanging="0"/>
        <w:jc w:val="left"/>
        <w:rPr>
          <w:rFonts w:ascii="Arial" w:hAnsi="Arial"/>
          <w:sz w:val="20"/>
        </w:rPr>
      </w:pPr>
      <w:r>
        <w:rPr>
          <w:rFonts w:ascii="Arial" w:hAnsi="Arial"/>
          <w:sz w:val="20"/>
        </w:rPr>
        <w:t xml:space="preserve">Quarter ending 31 December) the consolidated unaudited Financial Statements of the Reading Entertainment Australia Group for that Quarter (showing both actual and budget figures and any information regarding the effect of AASB 16 on EBITDA, including but limited to, AASB 16 interest expense and AASB 16 depreciation); </w:t>
      </w:r>
    </w:p>
    <w:p>
      <w:pPr>
        <w:pStyle w:val="TextBody"/>
        <w:bidi w:val="0"/>
        <w:spacing w:lineRule="auto" w:line="264" w:before="107" w:after="0"/>
        <w:ind w:left="3983" w:right="1956" w:hanging="0"/>
        <w:jc w:val="left"/>
        <w:rPr>
          <w:rFonts w:ascii="Arial" w:hAnsi="Arial"/>
          <w:sz w:val="20"/>
        </w:rPr>
      </w:pPr>
      <w:r>
        <w:rPr>
          <w:rFonts w:ascii="Arial" w:hAnsi="Arial"/>
          <w:sz w:val="20"/>
        </w:rPr>
        <w:t>(c)</w:t>
      </w:r>
      <w:r>
        <w:rPr>
          <w:rFonts w:ascii="Arial" w:hAnsi="Arial"/>
          <w:b/>
          <w:sz w:val="20"/>
        </w:rPr>
        <w:t>group structure diagram</w:t>
      </w:r>
      <w:r>
        <w:rPr>
          <w:rFonts w:ascii="Arial" w:hAnsi="Arial"/>
          <w:sz w:val="20"/>
        </w:rPr>
        <w:t xml:space="preserve">: within 120 days after the end of each Financial Year, a group structure diagram in relation to Reading International Inc. and the Reading Entertainment Australia Group which lists all the then Group Members and which contains such other information in relation to the legal relationship between Reading International Inc. and the Reading Entertainment Australia Group Members as the Bank reasonably requires; </w:t>
      </w:r>
    </w:p>
    <w:p>
      <w:pPr>
        <w:pStyle w:val="TextBody"/>
        <w:bidi w:val="0"/>
        <w:spacing w:lineRule="auto" w:line="264" w:before="107" w:after="0"/>
        <w:ind w:left="3983" w:right="1956" w:hanging="0"/>
        <w:jc w:val="left"/>
        <w:rPr>
          <w:rFonts w:ascii="Arial" w:hAnsi="Arial"/>
          <w:sz w:val="20"/>
        </w:rPr>
      </w:pPr>
      <w:r>
        <w:rPr>
          <w:rFonts w:ascii="Arial" w:hAnsi="Arial"/>
          <w:sz w:val="20"/>
        </w:rPr>
        <w:t>(d)</w:t>
      </w:r>
      <w:r>
        <w:rPr>
          <w:rFonts w:ascii="Arial" w:hAnsi="Arial"/>
          <w:b/>
          <w:sz w:val="20"/>
        </w:rPr>
        <w:t>budget</w:t>
      </w:r>
      <w:r>
        <w:rPr>
          <w:rFonts w:ascii="Arial" w:hAnsi="Arial"/>
          <w:sz w:val="20"/>
        </w:rPr>
        <w:t xml:space="preserve">: as soon as practicable, and in any event before 31 March for each Financial Year, a consolidated budget for the Reading Entertainment Australia Group for the current Financial Year showing the budgeted profit and loss, balance sheet and cash flow for the Reading Entertainment Australia Group and such other matters customarily dealt with in such budgets; </w:t>
      </w:r>
    </w:p>
    <w:p>
      <w:pPr>
        <w:pStyle w:val="TextBody"/>
        <w:bidi w:val="0"/>
        <w:spacing w:lineRule="auto" w:line="264" w:before="107" w:after="0"/>
        <w:ind w:left="3983" w:right="1956" w:hanging="0"/>
        <w:jc w:val="left"/>
        <w:rPr>
          <w:rFonts w:ascii="Arial" w:hAnsi="Arial"/>
          <w:sz w:val="20"/>
        </w:rPr>
      </w:pPr>
      <w:r>
        <w:rPr>
          <w:rFonts w:ascii="Arial" w:hAnsi="Arial"/>
          <w:sz w:val="20"/>
        </w:rPr>
        <w:t>(e)</w:t>
      </w:r>
      <w:r>
        <w:rPr>
          <w:rFonts w:ascii="Arial" w:hAnsi="Arial"/>
          <w:b/>
          <w:sz w:val="20"/>
        </w:rPr>
        <w:t>Parent</w:t>
      </w:r>
      <w:r>
        <w:rPr>
          <w:rFonts w:ascii="Arial" w:hAnsi="Arial"/>
          <w:sz w:val="20"/>
        </w:rPr>
        <w:t> </w:t>
      </w:r>
      <w:r>
        <w:rPr>
          <w:rFonts w:ascii="Arial" w:hAnsi="Arial"/>
          <w:b/>
          <w:sz w:val="20"/>
        </w:rPr>
        <w:t>Subordination</w:t>
      </w:r>
      <w:r>
        <w:rPr>
          <w:rFonts w:ascii="Arial" w:hAnsi="Arial"/>
          <w:sz w:val="20"/>
        </w:rPr>
        <w:t> </w:t>
      </w:r>
      <w:r>
        <w:rPr>
          <w:rFonts w:ascii="Arial" w:hAnsi="Arial"/>
          <w:b/>
          <w:sz w:val="20"/>
        </w:rPr>
        <w:t>Agreement</w:t>
      </w:r>
      <w:r>
        <w:rPr>
          <w:rFonts w:ascii="Arial" w:hAnsi="Arial"/>
          <w:sz w:val="20"/>
        </w:rPr>
        <w:t xml:space="preserve">: as soon as practicable, and in any event by no later than 30 November 2023 (or such later date as agreed by the Bank in writing in its absolute discretion): </w:t>
      </w:r>
    </w:p>
    <w:p>
      <w:pPr>
        <w:pStyle w:val="TextBody"/>
        <w:bidi w:val="0"/>
        <w:spacing w:lineRule="auto" w:line="264" w:before="110" w:after="0"/>
        <w:ind w:left="4540" w:right="2158" w:hanging="0"/>
        <w:jc w:val="left"/>
        <w:rPr>
          <w:rFonts w:ascii="Arial" w:hAnsi="Arial"/>
          <w:sz w:val="20"/>
        </w:rPr>
      </w:pPr>
      <w:r>
        <w:rPr>
          <w:rFonts w:ascii="Arial" w:hAnsi="Arial"/>
          <w:sz w:val="20"/>
        </w:rPr>
        <w:t xml:space="preserve">(i)a fully executed original copy of the Parent Subordination Agreement, duly executed by the Borrower and the Parent; and </w:t>
      </w:r>
    </w:p>
    <w:p>
      <w:pPr>
        <w:pStyle w:val="TextBody"/>
        <w:bidi w:val="0"/>
        <w:spacing w:lineRule="auto" w:line="264" w:before="111" w:after="0"/>
        <w:ind w:left="4540" w:right="1997" w:hanging="0"/>
        <w:jc w:val="left"/>
        <w:rPr>
          <w:rFonts w:ascii="Arial" w:hAnsi="Arial"/>
          <w:sz w:val="20"/>
        </w:rPr>
      </w:pPr>
      <w:r>
        <w:rPr>
          <w:rFonts w:ascii="Arial" w:hAnsi="Arial"/>
          <w:sz w:val="20"/>
        </w:rPr>
        <w:t xml:space="preserve">(ii)a legal opinion from the Borrower’s US counsel, addressed to the Lender, in relation to the due execution of the Parent Subordination Agreement by the Parent, </w:t>
      </w:r>
    </w:p>
    <w:p>
      <w:pPr>
        <w:pStyle w:val="TextBody"/>
        <w:bidi w:val="0"/>
        <w:spacing w:lineRule="auto" w:line="264" w:before="112" w:after="0"/>
        <w:ind w:left="3988" w:right="1854" w:hanging="0"/>
        <w:jc w:val="left"/>
        <w:rPr>
          <w:rFonts w:ascii="Arial" w:hAnsi="Arial"/>
          <w:sz w:val="20"/>
        </w:rPr>
      </w:pPr>
      <w:r>
        <w:rPr>
          <w:rFonts w:ascii="Arial" w:hAnsi="Arial"/>
          <w:sz w:val="20"/>
        </w:rPr>
        <w:t xml:space="preserve">each in a form and substance which is acceptable to the Lender in its absolute discretion. </w:t>
      </w:r>
    </w:p>
    <w:p>
      <w:pPr>
        <w:pStyle w:val="TextBody"/>
        <w:bidi w:val="0"/>
        <w:spacing w:lineRule="auto" w:line="264" w:before="107" w:after="0"/>
        <w:ind w:left="3983" w:right="1956" w:hanging="0"/>
        <w:jc w:val="left"/>
        <w:rPr>
          <w:rFonts w:ascii="Arial" w:hAnsi="Arial"/>
          <w:sz w:val="20"/>
        </w:rPr>
      </w:pPr>
      <w:r>
        <w:rPr>
          <w:rFonts w:ascii="Arial" w:hAnsi="Arial"/>
          <w:sz w:val="20"/>
        </w:rPr>
        <w:t>(f)</w:t>
      </w:r>
      <w:r>
        <w:rPr>
          <w:rFonts w:ascii="Arial" w:hAnsi="Arial"/>
          <w:b/>
          <w:sz w:val="20"/>
        </w:rPr>
        <w:t>other financial information:</w:t>
      </w:r>
      <w:r>
        <w:rPr>
          <w:rFonts w:ascii="Arial" w:hAnsi="Arial"/>
          <w:sz w:val="20"/>
        </w:rPr>
        <w:t xml:space="preserve"> promptly on reasonable notice from the Bank, such additional information in relation to the financial condition and the operations of the Borrower and each other Transaction Party as the Bank reasonably requests from time to time. </w:t>
      </w:r>
    </w:p>
    <w:p>
      <w:pPr>
        <w:pStyle w:val="TextBody"/>
        <w:pBdr/>
        <w:bidi w:val="0"/>
        <w:spacing w:lineRule="auto" w:line="264" w:before="107" w:after="0"/>
        <w:ind w:left="3456" w:right="1940" w:hanging="0"/>
        <w:jc w:val="left"/>
        <w:rPr>
          <w:rFonts w:ascii="Arial" w:hAnsi="Arial"/>
          <w:sz w:val="20"/>
        </w:rPr>
      </w:pPr>
      <w:r>
        <w:rPr>
          <w:rFonts w:ascii="Arial" w:hAnsi="Arial"/>
          <w:sz w:val="20"/>
        </w:rPr>
        <w:t xml:space="preserve">The Borrower must ensure that all Financial Statements given to the Bank under the Transaction Documents are prepared in accordance with the Corporations Act and the Accounting Standards. </w:t>
      </w:r>
    </w:p>
    <w:p>
      <w:pPr>
        <w:pStyle w:val="TextBody"/>
        <w:pBdr/>
        <w:bidi w:val="0"/>
        <w:spacing w:lineRule="auto" w:line="264" w:before="110" w:after="0"/>
        <w:ind w:left="3456" w:right="1854" w:hanging="0"/>
        <w:jc w:val="left"/>
        <w:rPr>
          <w:rFonts w:ascii="Arial" w:hAnsi="Arial"/>
          <w:sz w:val="20"/>
        </w:rPr>
      </w:pPr>
      <w:r>
        <w:rPr>
          <w:rFonts w:ascii="Arial" w:hAnsi="Arial"/>
          <w:sz w:val="20"/>
        </w:rPr>
        <w:t>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w:t>
      </w:r>
      <w:r>
        <w:rPr>
          <w:rFonts w:ascii="Arial" w:hAnsi="Arial"/>
          <w:b/>
          <w:sz w:val="20"/>
        </w:rPr>
        <w:t>clause</w:t>
      </w:r>
      <w:r>
        <w:rPr>
          <w:rFonts w:ascii="Arial" w:hAnsi="Arial"/>
          <w:sz w:val="20"/>
        </w:rPr>
        <w:t> </w:t>
      </w:r>
      <w:r>
        <w:rPr>
          <w:rFonts w:ascii="Arial" w:hAnsi="Arial"/>
          <w:b/>
          <w:color w:val="2D97D3"/>
          <w:sz w:val="20"/>
          <w:u w:val="single"/>
        </w:rPr>
        <w:t>9.8</w:t>
      </w:r>
      <w:r>
        <w:rPr>
          <w:rFonts w:ascii="Arial" w:hAnsi="Arial"/>
          <w:b/>
          <w:strike/>
          <w:color w:val="B5082D"/>
          <w:sz w:val="20"/>
        </w:rPr>
        <w:t>9.8</w:t>
      </w:r>
      <w:r>
        <w:rPr>
          <w:rFonts w:ascii="Arial" w:hAnsi="Arial"/>
          <w:sz w:val="20"/>
        </w:rPr>
        <w:t xml:space="preserve">, the Bank and the Borrower shall endeavour to agree mutually acceptable changes to this document so that the accounting change can be adopted for the purposes of this document. </w:t>
      </w:r>
    </w:p>
    <w:p>
      <w:pPr>
        <w:pStyle w:val="TextBody"/>
        <w:pBdr/>
        <w:bidi w:val="0"/>
        <w:spacing w:lineRule="auto" w:line="264"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39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2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1" descr=""/>
                    <pic:cNvPicPr>
                      <a:picLocks noChangeAspect="1" noChangeArrowheads="1"/>
                    </pic:cNvPicPr>
                  </pic:nvPicPr>
                  <pic:blipFill>
                    <a:blip r:embed="rId12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2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2" descr=""/>
                    <pic:cNvPicPr>
                      <a:picLocks noChangeAspect="1" noChangeArrowheads="1"/>
                    </pic:cNvPicPr>
                  </pic:nvPicPr>
                  <pic:blipFill>
                    <a:blip r:embed="rId12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72" w:after="0"/>
        <w:ind w:left="360" w:right="360" w:hanging="0"/>
        <w:jc w:val="left"/>
        <w:rPr>
          <w:rFonts w:cs="Arial"/>
          <w:szCs w:val="22"/>
        </w:rPr>
      </w:pPr>
      <w:r>
        <w:rPr>
          <w:rFonts w:cs="Arial"/>
          <w:szCs w:val="22"/>
        </w:rPr>
        <w:t xml:space="preserve">﻿ </w:t>
      </w:r>
    </w:p>
    <w:tbl>
      <w:tblPr>
        <w:tblW w:w="3356" w:type="dxa"/>
        <w:jc w:val="left"/>
        <w:tblInd w:w="360" w:type="dxa"/>
        <w:tblLayout w:type="fixed"/>
        <w:tblCellMar>
          <w:top w:w="0" w:type="dxa"/>
          <w:left w:w="0" w:type="dxa"/>
          <w:bottom w:w="0" w:type="dxa"/>
          <w:right w:w="0" w:type="dxa"/>
        </w:tblCellMar>
      </w:tblPr>
      <w:tblGrid>
        <w:gridCol w:w="38"/>
        <w:gridCol w:w="560"/>
        <w:gridCol w:w="23"/>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15.4. </w:t>
            </w:r>
          </w:p>
        </w:tc>
        <w:tc>
          <w:tcPr>
            <w:tcW w:w="23" w:type="dxa"/>
            <w:tcBorders/>
            <w:vAlign w:val="center"/>
          </w:tcPr>
          <w:p>
            <w:pPr>
              <w:pStyle w:val="TableContents"/>
              <w:bidi w:val="0"/>
              <w:spacing w:before="0" w:after="283"/>
              <w:jc w:val="left"/>
              <w:rPr>
                <w:sz w:val="4"/>
                <w:szCs w:val="4"/>
              </w:rPr>
            </w:pPr>
            <w:r>
              <w:rPr>
                <w:sz w:val="4"/>
                <w:szCs w:val="4"/>
              </w:rPr>
            </w:r>
          </w:p>
        </w:tc>
        <w:tc>
          <w:tcPr>
            <w:tcW w:w="2735" w:type="dxa"/>
            <w:tcBorders/>
          </w:tcPr>
          <w:p>
            <w:pPr>
              <w:pStyle w:val="TableContents"/>
              <w:bidi w:val="0"/>
              <w:spacing w:before="174" w:after="0"/>
              <w:ind w:left="0" w:right="0" w:hanging="0"/>
              <w:jc w:val="left"/>
              <w:rPr>
                <w:rFonts w:ascii="Arial" w:hAnsi="Arial"/>
                <w:b/>
                <w:color w:val="000000"/>
                <w:sz w:val="22"/>
              </w:rPr>
            </w:pPr>
            <w:bookmarkStart w:id="225" w:name="Adjustments94"/>
            <w:bookmarkEnd w:id="225"/>
            <w:r>
              <w:rPr>
                <w:rFonts w:ascii="Arial" w:hAnsi="Arial"/>
                <w:b/>
                <w:color w:val="000000"/>
                <w:sz w:val="22"/>
              </w:rPr>
              <w:t>Adjustments for AASB 16</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parties acknowledge that:</w:t>
      </w:r>
      <w:r>
        <w:rPr>
          <w:rFonts w:ascii="Arial" w:hAnsi="Arial"/>
          <w:sz w:val="20"/>
        </w:rPr>
        <w:t xml:space="preserve"> </w:t>
      </w:r>
    </w:p>
    <w:p>
      <w:pPr>
        <w:pStyle w:val="TextBody"/>
        <w:bidi w:val="0"/>
        <w:spacing w:lineRule="auto" w:line="264" w:before="135" w:after="0"/>
        <w:ind w:left="4540" w:right="1919" w:hanging="0"/>
        <w:jc w:val="both"/>
        <w:rPr>
          <w:rFonts w:ascii="Arial" w:hAnsi="Arial"/>
          <w:sz w:val="20"/>
        </w:rPr>
      </w:pPr>
      <w:r>
        <w:rPr>
          <w:rFonts w:ascii="Arial" w:hAnsi="Arial"/>
          <w:color w:val="000000"/>
          <w:sz w:val="20"/>
        </w:rPr>
        <w:t>(i)AASB 16 took effect on and from 1 January 2019, which changed or eliminated the distinction between operating leases and finance leases; and</w:t>
      </w:r>
      <w:r>
        <w:rPr>
          <w:rFonts w:ascii="Arial" w:hAnsi="Arial"/>
          <w:sz w:val="20"/>
        </w:rPr>
        <w:t xml:space="preserve"> </w:t>
      </w:r>
    </w:p>
    <w:p>
      <w:pPr>
        <w:pStyle w:val="TextBody"/>
        <w:bidi w:val="0"/>
        <w:spacing w:lineRule="auto" w:line="264" w:before="110" w:after="0"/>
        <w:ind w:left="4540" w:right="2119" w:hanging="0"/>
        <w:jc w:val="both"/>
        <w:rPr>
          <w:rFonts w:ascii="Arial" w:hAnsi="Arial"/>
          <w:sz w:val="22"/>
        </w:rPr>
      </w:pPr>
      <w:r>
        <w:rPr>
          <w:rFonts w:ascii="Arial" w:hAnsi="Arial"/>
          <w:color w:val="000000"/>
          <w:sz w:val="20"/>
        </w:rPr>
        <w:t>(ii)the</w:t>
      </w:r>
      <w:r>
        <w:rPr>
          <w:rFonts w:ascii="Arial" w:hAnsi="Arial"/>
          <w:color w:val="000000"/>
          <w:sz w:val="22"/>
        </w:rPr>
        <w:t> </w:t>
      </w:r>
      <w:r>
        <w:rPr>
          <w:rFonts w:ascii="Arial" w:hAnsi="Arial"/>
          <w:color w:val="000000"/>
          <w:sz w:val="20"/>
        </w:rPr>
        <w:t>parties</w:t>
      </w:r>
      <w:r>
        <w:rPr>
          <w:rFonts w:ascii="Arial" w:hAnsi="Arial"/>
          <w:color w:val="000000"/>
          <w:sz w:val="22"/>
        </w:rPr>
        <w:t> </w:t>
      </w:r>
      <w:r>
        <w:rPr>
          <w:rFonts w:ascii="Arial" w:hAnsi="Arial"/>
          <w:color w:val="000000"/>
          <w:sz w:val="20"/>
        </w:rPr>
        <w:t>are</w:t>
      </w:r>
      <w:r>
        <w:rPr>
          <w:rFonts w:ascii="Arial" w:hAnsi="Arial"/>
          <w:color w:val="000000"/>
          <w:sz w:val="22"/>
        </w:rPr>
        <w:t> </w:t>
      </w:r>
      <w:r>
        <w:rPr>
          <w:rFonts w:ascii="Arial" w:hAnsi="Arial"/>
          <w:color w:val="000000"/>
          <w:sz w:val="20"/>
        </w:rPr>
        <w:t>continuing</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assess</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potential</w:t>
      </w:r>
      <w:r>
        <w:rPr>
          <w:rFonts w:ascii="Arial" w:hAnsi="Arial"/>
          <w:color w:val="000000"/>
          <w:sz w:val="22"/>
        </w:rPr>
        <w:t> </w:t>
      </w:r>
      <w:r>
        <w:rPr>
          <w:rFonts w:ascii="Arial" w:hAnsi="Arial"/>
          <w:color w:val="000000"/>
          <w:sz w:val="20"/>
        </w:rPr>
        <w:t>effect</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AASB 16</w:t>
      </w:r>
      <w:r>
        <w:rPr>
          <w:rFonts w:ascii="Arial" w:hAnsi="Arial"/>
          <w:color w:val="000000"/>
          <w:sz w:val="22"/>
        </w:rPr>
        <w:t> </w:t>
      </w:r>
      <w:r>
        <w:rPr>
          <w:rFonts w:ascii="Arial" w:hAnsi="Arial"/>
          <w:color w:val="000000"/>
          <w:sz w:val="20"/>
        </w:rPr>
        <w:t>on</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calculation</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financial</w:t>
      </w:r>
      <w:r>
        <w:rPr>
          <w:rFonts w:ascii="Arial" w:hAnsi="Arial"/>
          <w:color w:val="000000"/>
          <w:sz w:val="22"/>
        </w:rPr>
        <w:t> </w:t>
      </w:r>
      <w:r>
        <w:rPr>
          <w:rFonts w:ascii="Arial" w:hAnsi="Arial"/>
          <w:color w:val="000000"/>
          <w:sz w:val="20"/>
        </w:rPr>
        <w:t>ratios</w:t>
      </w:r>
      <w:r>
        <w:rPr>
          <w:rFonts w:ascii="Arial" w:hAnsi="Arial"/>
          <w:color w:val="000000"/>
          <w:sz w:val="22"/>
        </w:rPr>
        <w:t> </w:t>
      </w:r>
      <w:r>
        <w:rPr>
          <w:rFonts w:ascii="Arial" w:hAnsi="Arial"/>
          <w:color w:val="000000"/>
          <w:sz w:val="20"/>
        </w:rPr>
        <w:t>referred</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b/>
          <w:color w:val="000000"/>
          <w:sz w:val="20"/>
        </w:rPr>
        <w:t>clause</w:t>
      </w:r>
      <w:r>
        <w:rPr>
          <w:rFonts w:ascii="Arial" w:hAnsi="Arial"/>
          <w:sz w:val="22"/>
        </w:rPr>
        <w:t xml:space="preserve"> </w:t>
      </w:r>
    </w:p>
    <w:p>
      <w:pPr>
        <w:pStyle w:val="TextBody"/>
        <w:bidi w:val="0"/>
        <w:spacing w:lineRule="atLeast" w:line="226" w:before="0" w:after="0"/>
        <w:ind w:left="4540" w:right="360" w:hanging="0"/>
        <w:jc w:val="both"/>
        <w:rPr>
          <w:rFonts w:ascii="Arial" w:hAnsi="Arial"/>
          <w:sz w:val="20"/>
        </w:rPr>
      </w:pPr>
      <w:r>
        <w:rPr>
          <w:rFonts w:ascii="Arial" w:hAnsi="Arial"/>
          <w:b/>
          <w:color w:val="2D97D3"/>
          <w:sz w:val="20"/>
          <w:u w:val="single"/>
        </w:rPr>
        <w:t>9.8</w:t>
      </w:r>
      <w:r>
        <w:rPr>
          <w:rFonts w:ascii="Arial" w:hAnsi="Arial"/>
          <w:b/>
          <w:strike/>
          <w:color w:val="B5082D"/>
          <w:sz w:val="20"/>
        </w:rPr>
        <w:t>9.8</w:t>
      </w:r>
      <w:r>
        <w:rPr>
          <w:rFonts w:ascii="Arial" w:hAnsi="Arial"/>
          <w:color w:val="B5082D"/>
          <w:sz w:val="20"/>
        </w:rPr>
        <w:t> </w:t>
      </w:r>
      <w:r>
        <w:rPr>
          <w:rFonts w:ascii="Arial" w:hAnsi="Arial"/>
          <w:color w:val="000000"/>
          <w:sz w:val="20"/>
        </w:rPr>
        <w:t>and the related definitions.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(b)For each Calculation Date occurring on or prior to 31 December 2021:</w:t>
      </w:r>
      <w:r>
        <w:rPr>
          <w:rFonts w:ascii="Arial" w:hAnsi="Arial"/>
          <w:sz w:val="20"/>
        </w:rPr>
        <w:t xml:space="preserve"> </w:t>
      </w:r>
    </w:p>
    <w:p>
      <w:pPr>
        <w:pStyle w:val="TextBody"/>
        <w:bidi w:val="0"/>
        <w:spacing w:lineRule="auto" w:line="264" w:before="134" w:after="0"/>
        <w:ind w:left="4540" w:right="1917" w:hanging="0"/>
        <w:jc w:val="left"/>
        <w:rPr>
          <w:rFonts w:ascii="Arial" w:hAnsi="Arial"/>
          <w:sz w:val="22"/>
        </w:rPr>
      </w:pPr>
      <w:r>
        <w:rPr>
          <w:rFonts w:ascii="Arial" w:hAnsi="Arial"/>
          <w:color w:val="000000"/>
          <w:sz w:val="20"/>
        </w:rPr>
        <w:t xml:space="preserve">(i)the financial ratios referred to in </w:t>
      </w:r>
      <w:r>
        <w:rPr>
          <w:rFonts w:ascii="Arial" w:hAnsi="Arial"/>
          <w:b/>
          <w:color w:val="000000"/>
          <w:sz w:val="20"/>
        </w:rPr>
        <w:t xml:space="preserve">clause </w:t>
      </w:r>
      <w:r>
        <w:rPr>
          <w:rFonts w:ascii="Arial" w:hAnsi="Arial"/>
          <w:b/>
          <w:color w:val="2D97D3"/>
          <w:sz w:val="20"/>
          <w:u w:val="single"/>
        </w:rPr>
        <w:t>9.8</w:t>
      </w:r>
      <w:r>
        <w:rPr>
          <w:rFonts w:ascii="Arial" w:hAnsi="Arial"/>
          <w:b/>
          <w:strike/>
          <w:color w:val="B5082D"/>
          <w:sz w:val="20"/>
        </w:rPr>
        <w:t>9.8</w:t>
      </w:r>
      <w:r>
        <w:rPr>
          <w:rFonts w:ascii="Arial" w:hAnsi="Arial"/>
          <w:color w:val="B5082D"/>
          <w:sz w:val="22"/>
        </w:rPr>
        <w:t> </w:t>
      </w:r>
      <w:r>
        <w:rPr>
          <w:rFonts w:ascii="Arial" w:hAnsi="Arial"/>
          <w:color w:val="000000"/>
          <w:sz w:val="20"/>
        </w:rPr>
        <w:t>and the related definitions</w:t>
      </w:r>
      <w:r>
        <w:rPr>
          <w:rFonts w:ascii="Arial" w:hAnsi="Arial"/>
          <w:color w:val="000000"/>
          <w:sz w:val="22"/>
        </w:rPr>
        <w:t> </w:t>
      </w:r>
      <w:r>
        <w:rPr>
          <w:rFonts w:ascii="Arial" w:hAnsi="Arial"/>
          <w:color w:val="000000"/>
          <w:sz w:val="20"/>
        </w:rPr>
        <w:t>will</w:t>
      </w:r>
      <w:r>
        <w:rPr>
          <w:rFonts w:ascii="Arial" w:hAnsi="Arial"/>
          <w:color w:val="000000"/>
          <w:sz w:val="22"/>
        </w:rPr>
        <w:t> </w:t>
      </w:r>
      <w:r>
        <w:rPr>
          <w:rFonts w:ascii="Arial" w:hAnsi="Arial"/>
          <w:color w:val="000000"/>
          <w:sz w:val="20"/>
        </w:rPr>
        <w:t>be</w:t>
      </w:r>
      <w:r>
        <w:rPr>
          <w:rFonts w:ascii="Arial" w:hAnsi="Arial"/>
          <w:color w:val="000000"/>
          <w:sz w:val="22"/>
        </w:rPr>
        <w:t> </w:t>
      </w:r>
      <w:r>
        <w:rPr>
          <w:rFonts w:ascii="Arial" w:hAnsi="Arial"/>
          <w:color w:val="000000"/>
          <w:sz w:val="20"/>
        </w:rPr>
        <w:t>calculated</w:t>
      </w:r>
      <w:r>
        <w:rPr>
          <w:rFonts w:ascii="Arial" w:hAnsi="Arial"/>
          <w:color w:val="000000"/>
          <w:sz w:val="22"/>
        </w:rPr>
        <w:t> </w:t>
      </w:r>
      <w:r>
        <w:rPr>
          <w:rFonts w:ascii="Arial" w:hAnsi="Arial"/>
          <w:color w:val="000000"/>
          <w:sz w:val="20"/>
        </w:rPr>
        <w:t>ignoring</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changes</w:t>
      </w:r>
      <w:r>
        <w:rPr>
          <w:rFonts w:ascii="Arial" w:hAnsi="Arial"/>
          <w:color w:val="000000"/>
          <w:sz w:val="22"/>
        </w:rPr>
        <w:t> </w:t>
      </w:r>
      <w:r>
        <w:rPr>
          <w:rFonts w:ascii="Arial" w:hAnsi="Arial"/>
          <w:color w:val="000000"/>
          <w:sz w:val="20"/>
        </w:rPr>
        <w:t>following</w:t>
      </w:r>
      <w:r>
        <w:rPr>
          <w:rFonts w:ascii="Arial" w:hAnsi="Arial"/>
          <w:color w:val="000000"/>
          <w:sz w:val="22"/>
        </w:rPr>
        <w:t> </w:t>
      </w:r>
      <w:r>
        <w:rPr>
          <w:rFonts w:ascii="Arial" w:hAnsi="Arial"/>
          <w:color w:val="000000"/>
          <w:sz w:val="20"/>
        </w:rPr>
        <w:t>AASB 16 taking effect on 1 January 2019; and</w:t>
      </w:r>
      <w:r>
        <w:rPr>
          <w:rFonts w:ascii="Arial" w:hAnsi="Arial"/>
          <w:sz w:val="22"/>
        </w:rPr>
        <w:t xml:space="preserve"> </w:t>
      </w:r>
    </w:p>
    <w:p>
      <w:pPr>
        <w:pStyle w:val="TextBody"/>
        <w:bidi w:val="0"/>
        <w:spacing w:lineRule="auto" w:line="264" w:before="111" w:after="0"/>
        <w:ind w:left="4540" w:right="1890" w:hanging="0"/>
        <w:jc w:val="both"/>
        <w:rPr>
          <w:rFonts w:ascii="Arial" w:hAnsi="Arial"/>
          <w:sz w:val="22"/>
        </w:rPr>
      </w:pPr>
      <w:r>
        <w:rPr>
          <w:rFonts w:ascii="Arial" w:hAnsi="Arial"/>
          <w:color w:val="000000"/>
          <w:sz w:val="20"/>
        </w:rPr>
        <w:t>(ii)the</w:t>
      </w:r>
      <w:r>
        <w:rPr>
          <w:rFonts w:ascii="Arial" w:hAnsi="Arial"/>
          <w:color w:val="000000"/>
          <w:sz w:val="22"/>
        </w:rPr>
        <w:t> </w:t>
      </w:r>
      <w:r>
        <w:rPr>
          <w:rFonts w:ascii="Arial" w:hAnsi="Arial"/>
          <w:color w:val="000000"/>
          <w:sz w:val="20"/>
        </w:rPr>
        <w:t>Company</w:t>
      </w:r>
      <w:r>
        <w:rPr>
          <w:rFonts w:ascii="Arial" w:hAnsi="Arial"/>
          <w:color w:val="000000"/>
          <w:sz w:val="22"/>
        </w:rPr>
        <w:t> </w:t>
      </w:r>
      <w:r>
        <w:rPr>
          <w:rFonts w:ascii="Arial" w:hAnsi="Arial"/>
          <w:color w:val="000000"/>
          <w:sz w:val="20"/>
        </w:rPr>
        <w:t>must</w:t>
      </w:r>
      <w:r>
        <w:rPr>
          <w:rFonts w:ascii="Arial" w:hAnsi="Arial"/>
          <w:color w:val="000000"/>
          <w:sz w:val="22"/>
        </w:rPr>
        <w:t> </w:t>
      </w:r>
      <w:r>
        <w:rPr>
          <w:rFonts w:ascii="Arial" w:hAnsi="Arial"/>
          <w:color w:val="000000"/>
          <w:sz w:val="20"/>
        </w:rPr>
        <w:t>provide</w:t>
      </w:r>
      <w:r>
        <w:rPr>
          <w:rFonts w:ascii="Arial" w:hAnsi="Arial"/>
          <w:color w:val="000000"/>
          <w:sz w:val="22"/>
        </w:rPr>
        <w:t> </w:t>
      </w:r>
      <w:r>
        <w:rPr>
          <w:rFonts w:ascii="Arial" w:hAnsi="Arial"/>
          <w:color w:val="000000"/>
          <w:sz w:val="20"/>
        </w:rPr>
        <w:t>with</w:t>
      </w:r>
      <w:r>
        <w:rPr>
          <w:rFonts w:ascii="Arial" w:hAnsi="Arial"/>
          <w:color w:val="000000"/>
          <w:sz w:val="22"/>
        </w:rPr>
        <w:t> </w:t>
      </w:r>
      <w:r>
        <w:rPr>
          <w:rFonts w:ascii="Arial" w:hAnsi="Arial"/>
          <w:color w:val="000000"/>
          <w:sz w:val="20"/>
        </w:rPr>
        <w:t>its</w:t>
      </w:r>
      <w:r>
        <w:rPr>
          <w:rFonts w:ascii="Arial" w:hAnsi="Arial"/>
          <w:color w:val="000000"/>
          <w:sz w:val="22"/>
        </w:rPr>
        <w:t> </w:t>
      </w:r>
      <w:r>
        <w:rPr>
          <w:rFonts w:ascii="Arial" w:hAnsi="Arial"/>
          <w:color w:val="000000"/>
          <w:sz w:val="20"/>
        </w:rPr>
        <w:t>Financial</w:t>
      </w:r>
      <w:r>
        <w:rPr>
          <w:rFonts w:ascii="Arial" w:hAnsi="Arial"/>
          <w:color w:val="000000"/>
          <w:sz w:val="22"/>
        </w:rPr>
        <w:t> </w:t>
      </w:r>
      <w:r>
        <w:rPr>
          <w:rFonts w:ascii="Arial" w:hAnsi="Arial"/>
          <w:color w:val="000000"/>
          <w:sz w:val="20"/>
        </w:rPr>
        <w:t>Statements</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other financial</w:t>
      </w:r>
      <w:r>
        <w:rPr>
          <w:rFonts w:ascii="Arial" w:hAnsi="Arial"/>
          <w:color w:val="000000"/>
          <w:sz w:val="22"/>
        </w:rPr>
        <w:t> </w:t>
      </w:r>
      <w:r>
        <w:rPr>
          <w:rFonts w:ascii="Arial" w:hAnsi="Arial"/>
          <w:color w:val="000000"/>
          <w:sz w:val="20"/>
        </w:rPr>
        <w:t>information</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reconciliation</w:t>
      </w:r>
      <w:r>
        <w:rPr>
          <w:rFonts w:ascii="Arial" w:hAnsi="Arial"/>
          <w:color w:val="000000"/>
          <w:sz w:val="22"/>
        </w:rPr>
        <w:t> </w:t>
      </w:r>
      <w:r>
        <w:rPr>
          <w:rFonts w:ascii="Arial" w:hAnsi="Arial"/>
          <w:color w:val="000000"/>
          <w:sz w:val="20"/>
        </w:rPr>
        <w:t>statements</w:t>
      </w:r>
      <w:r>
        <w:rPr>
          <w:rFonts w:ascii="Arial" w:hAnsi="Arial"/>
          <w:color w:val="000000"/>
          <w:sz w:val="22"/>
        </w:rPr>
        <w:t> </w:t>
      </w:r>
      <w:r>
        <w:rPr>
          <w:rFonts w:ascii="Arial" w:hAnsi="Arial"/>
          <w:color w:val="000000"/>
          <w:sz w:val="20"/>
        </w:rPr>
        <w:t>(audited,</w:t>
      </w:r>
      <w:r>
        <w:rPr>
          <w:rFonts w:ascii="Arial" w:hAnsi="Arial"/>
          <w:color w:val="000000"/>
          <w:sz w:val="22"/>
        </w:rPr>
        <w:t> </w:t>
      </w:r>
      <w:r>
        <w:rPr>
          <w:rFonts w:ascii="Arial" w:hAnsi="Arial"/>
          <w:color w:val="000000"/>
          <w:sz w:val="20"/>
        </w:rPr>
        <w:t xml:space="preserve">where applicable) necessary to enable the financial ratios in </w:t>
      </w:r>
      <w:r>
        <w:rPr>
          <w:rFonts w:ascii="Arial" w:hAnsi="Arial"/>
          <w:b/>
          <w:color w:val="000000"/>
          <w:sz w:val="20"/>
        </w:rPr>
        <w:t>clause</w:t>
      </w:r>
      <w:r>
        <w:rPr>
          <w:rFonts w:ascii="Arial" w:hAnsi="Arial"/>
          <w:sz w:val="22"/>
        </w:rPr>
        <w:t xml:space="preserve"> </w:t>
      </w:r>
    </w:p>
    <w:p>
      <w:pPr>
        <w:pStyle w:val="TextBody"/>
        <w:bidi w:val="0"/>
        <w:spacing w:lineRule="auto" w:line="264" w:before="1" w:after="0"/>
        <w:ind w:left="4540" w:right="2104" w:hanging="0"/>
        <w:jc w:val="both"/>
        <w:rPr>
          <w:rFonts w:ascii="Arial" w:hAnsi="Arial"/>
          <w:sz w:val="20"/>
        </w:rPr>
      </w:pPr>
      <w:r>
        <w:rPr>
          <w:rFonts w:ascii="Arial" w:hAnsi="Arial"/>
          <w:b/>
          <w:color w:val="2D97D3"/>
          <w:sz w:val="20"/>
          <w:u w:val="single"/>
        </w:rPr>
        <w:t>9.8</w:t>
      </w:r>
      <w:r>
        <w:rPr>
          <w:rFonts w:ascii="Arial" w:hAnsi="Arial"/>
          <w:b/>
          <w:strike/>
          <w:color w:val="B5082D"/>
          <w:sz w:val="20"/>
        </w:rPr>
        <w:t>9.8</w:t>
      </w:r>
      <w:r>
        <w:rPr>
          <w:rFonts w:ascii="Arial" w:hAnsi="Arial"/>
          <w:color w:val="B5082D"/>
          <w:sz w:val="20"/>
        </w:rPr>
        <w:t> </w:t>
      </w:r>
      <w:r>
        <w:rPr>
          <w:rFonts w:ascii="Arial" w:hAnsi="Arial"/>
          <w:color w:val="000000"/>
          <w:sz w:val="20"/>
        </w:rPr>
        <w:t xml:space="preserve">and the related definitions to be calculated in accordance with </w:t>
      </w:r>
      <w:r>
        <w:rPr>
          <w:rFonts w:ascii="Arial" w:hAnsi="Arial"/>
          <w:b/>
          <w:color w:val="000000"/>
          <w:sz w:val="20"/>
        </w:rPr>
        <w:t xml:space="preserve">clause </w:t>
      </w:r>
      <w:r>
        <w:rPr>
          <w:rFonts w:ascii="Arial" w:hAnsi="Arial"/>
          <w:b/>
          <w:color w:val="2D97D3"/>
          <w:sz w:val="20"/>
          <w:u w:val="single"/>
        </w:rPr>
        <w:t>9.4(b)(i)</w:t>
      </w:r>
      <w:r>
        <w:rPr>
          <w:rFonts w:ascii="Arial" w:hAnsi="Arial"/>
          <w:b/>
          <w:strike/>
          <w:color w:val="B5082D"/>
          <w:sz w:val="20"/>
        </w:rPr>
        <w:t>9.4(b)(i)</w:t>
      </w:r>
      <w:r>
        <w:rPr>
          <w:rFonts w:ascii="Arial" w:hAnsi="Arial"/>
          <w:color w:val="000000"/>
          <w:sz w:val="20"/>
        </w:rPr>
        <w:t>.</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(c)If,</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reasonable</w:t>
      </w:r>
      <w:r>
        <w:rPr>
          <w:rFonts w:ascii="Arial" w:hAnsi="Arial"/>
          <w:color w:val="000000"/>
          <w:sz w:val="22"/>
        </w:rPr>
        <w:t> </w:t>
      </w:r>
      <w:r>
        <w:rPr>
          <w:rFonts w:ascii="Arial" w:hAnsi="Arial"/>
          <w:color w:val="000000"/>
          <w:sz w:val="20"/>
        </w:rPr>
        <w:t>opinion</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Borrower</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at</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time</w:t>
      </w:r>
      <w:r>
        <w:rPr>
          <w:rFonts w:ascii="Arial" w:hAnsi="Arial"/>
          <w:color w:val="000000"/>
          <w:sz w:val="22"/>
        </w:rPr>
        <w:t> </w:t>
      </w:r>
      <w:r>
        <w:rPr>
          <w:rFonts w:ascii="Arial" w:hAnsi="Arial"/>
          <w:color w:val="000000"/>
          <w:sz w:val="20"/>
        </w:rPr>
        <w:t>after 31 December 2021, taking into account the AASB 16 changes when calculating</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financial</w:t>
      </w:r>
      <w:r>
        <w:rPr>
          <w:rFonts w:ascii="Arial" w:hAnsi="Arial"/>
          <w:color w:val="000000"/>
          <w:sz w:val="22"/>
        </w:rPr>
        <w:t> </w:t>
      </w:r>
      <w:r>
        <w:rPr>
          <w:rFonts w:ascii="Arial" w:hAnsi="Arial"/>
          <w:color w:val="000000"/>
          <w:sz w:val="20"/>
        </w:rPr>
        <w:t>ratios</w:t>
      </w:r>
      <w:r>
        <w:rPr>
          <w:rFonts w:ascii="Arial" w:hAnsi="Arial"/>
          <w:color w:val="000000"/>
          <w:sz w:val="22"/>
        </w:rPr>
        <w:t> </w:t>
      </w:r>
      <w:r>
        <w:rPr>
          <w:rFonts w:ascii="Arial" w:hAnsi="Arial"/>
          <w:color w:val="000000"/>
          <w:sz w:val="20"/>
        </w:rPr>
        <w:t>referred</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9.8</w:t>
      </w:r>
      <w:r>
        <w:rPr>
          <w:rFonts w:ascii="Arial" w:hAnsi="Arial"/>
          <w:b/>
          <w:strike/>
          <w:color w:val="B5082D"/>
          <w:sz w:val="20"/>
        </w:rPr>
        <w:t>9.8</w:t>
      </w:r>
      <w:r>
        <w:rPr>
          <w:rFonts w:ascii="Arial" w:hAnsi="Arial"/>
          <w:color w:val="B5082D"/>
          <w:sz w:val="22"/>
        </w:rPr>
        <w:t> </w:t>
      </w:r>
      <w:r>
        <w:rPr>
          <w:rFonts w:ascii="Arial" w:hAnsi="Arial"/>
          <w:color w:val="000000"/>
          <w:sz w:val="20"/>
        </w:rPr>
        <w:t>and</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related definitions would</w:t>
      </w:r>
      <w:r>
        <w:rPr>
          <w:rFonts w:ascii="Arial" w:hAnsi="Arial"/>
          <w:color w:val="000000"/>
          <w:sz w:val="22"/>
        </w:rPr>
        <w:t> </w:t>
      </w:r>
      <w:r>
        <w:rPr>
          <w:rFonts w:ascii="Arial" w:hAnsi="Arial"/>
          <w:color w:val="000000"/>
          <w:sz w:val="20"/>
        </w:rPr>
        <w:t>materially alter</w:t>
      </w:r>
      <w:r>
        <w:rPr>
          <w:rFonts w:ascii="Arial" w:hAnsi="Arial"/>
          <w:color w:val="000000"/>
          <w:sz w:val="22"/>
        </w:rPr>
        <w:t> </w:t>
      </w:r>
      <w:r>
        <w:rPr>
          <w:rFonts w:ascii="Arial" w:hAnsi="Arial"/>
          <w:color w:val="000000"/>
          <w:sz w:val="20"/>
        </w:rPr>
        <w:t>the effect of, or the calculation of, those financial ratios or related definitions, the Borrower and the Bank will negotiate</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good</w:t>
      </w:r>
      <w:r>
        <w:rPr>
          <w:rFonts w:ascii="Arial" w:hAnsi="Arial"/>
          <w:color w:val="000000"/>
          <w:sz w:val="22"/>
        </w:rPr>
        <w:t> </w:t>
      </w:r>
      <w:r>
        <w:rPr>
          <w:rFonts w:ascii="Arial" w:hAnsi="Arial"/>
          <w:color w:val="000000"/>
          <w:sz w:val="20"/>
        </w:rPr>
        <w:t>faith</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amend</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relevant</w:t>
      </w:r>
      <w:r>
        <w:rPr>
          <w:rFonts w:ascii="Arial" w:hAnsi="Arial"/>
          <w:color w:val="000000"/>
          <w:sz w:val="22"/>
        </w:rPr>
        <w:t> </w:t>
      </w:r>
      <w:r>
        <w:rPr>
          <w:rFonts w:ascii="Arial" w:hAnsi="Arial"/>
          <w:color w:val="000000"/>
          <w:sz w:val="20"/>
        </w:rPr>
        <w:t>undertakings</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definitions so</w:t>
      </w:r>
      <w:r>
        <w:rPr>
          <w:rFonts w:ascii="Arial" w:hAnsi="Arial"/>
          <w:color w:val="000000"/>
          <w:sz w:val="22"/>
        </w:rPr>
        <w:t> </w:t>
      </w:r>
      <w:r>
        <w:rPr>
          <w:rFonts w:ascii="Arial" w:hAnsi="Arial"/>
          <w:color w:val="000000"/>
          <w:sz w:val="20"/>
        </w:rPr>
        <w:t>that</w:t>
      </w:r>
      <w:r>
        <w:rPr>
          <w:rFonts w:ascii="Arial" w:hAnsi="Arial"/>
          <w:color w:val="000000"/>
          <w:sz w:val="22"/>
        </w:rPr>
        <w:t> </w:t>
      </w:r>
      <w:r>
        <w:rPr>
          <w:rFonts w:ascii="Arial" w:hAnsi="Arial"/>
          <w:color w:val="000000"/>
          <w:sz w:val="20"/>
        </w:rPr>
        <w:t>they</w:t>
      </w:r>
      <w:r>
        <w:rPr>
          <w:rFonts w:ascii="Arial" w:hAnsi="Arial"/>
          <w:color w:val="000000"/>
          <w:sz w:val="22"/>
        </w:rPr>
        <w:t> </w:t>
      </w:r>
      <w:r>
        <w:rPr>
          <w:rFonts w:ascii="Arial" w:hAnsi="Arial"/>
          <w:color w:val="000000"/>
          <w:sz w:val="20"/>
        </w:rPr>
        <w:t>have</w:t>
      </w:r>
      <w:r>
        <w:rPr>
          <w:rFonts w:ascii="Arial" w:hAnsi="Arial"/>
          <w:color w:val="000000"/>
          <w:sz w:val="22"/>
        </w:rPr>
        <w:t> </w:t>
      </w:r>
      <w:r>
        <w:rPr>
          <w:rFonts w:ascii="Arial" w:hAnsi="Arial"/>
          <w:color w:val="000000"/>
          <w:sz w:val="20"/>
        </w:rPr>
        <w:t>an</w:t>
      </w:r>
      <w:r>
        <w:rPr>
          <w:rFonts w:ascii="Arial" w:hAnsi="Arial"/>
          <w:color w:val="000000"/>
          <w:sz w:val="22"/>
        </w:rPr>
        <w:t> </w:t>
      </w:r>
      <w:r>
        <w:rPr>
          <w:rFonts w:ascii="Arial" w:hAnsi="Arial"/>
          <w:color w:val="000000"/>
          <w:sz w:val="20"/>
        </w:rPr>
        <w:t>effect</w:t>
      </w:r>
      <w:r>
        <w:rPr>
          <w:rFonts w:ascii="Arial" w:hAnsi="Arial"/>
          <w:color w:val="000000"/>
          <w:sz w:val="22"/>
        </w:rPr>
        <w:t> </w:t>
      </w:r>
      <w:r>
        <w:rPr>
          <w:rFonts w:ascii="Arial" w:hAnsi="Arial"/>
          <w:color w:val="000000"/>
          <w:sz w:val="20"/>
        </w:rPr>
        <w:t>comparable</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that</w:t>
      </w:r>
      <w:r>
        <w:rPr>
          <w:rFonts w:ascii="Arial" w:hAnsi="Arial"/>
          <w:color w:val="000000"/>
          <w:sz w:val="22"/>
        </w:rPr>
        <w:t> </w:t>
      </w:r>
      <w:r>
        <w:rPr>
          <w:rFonts w:ascii="Arial" w:hAnsi="Arial"/>
          <w:color w:val="000000"/>
          <w:sz w:val="20"/>
        </w:rPr>
        <w:t>as</w:t>
      </w:r>
      <w:r>
        <w:rPr>
          <w:rFonts w:ascii="Arial" w:hAnsi="Arial"/>
          <w:color w:val="000000"/>
          <w:sz w:val="22"/>
        </w:rPr>
        <w:t> </w:t>
      </w:r>
      <w:r>
        <w:rPr>
          <w:rFonts w:ascii="Arial" w:hAnsi="Arial"/>
          <w:color w:val="000000"/>
          <w:sz w:val="20"/>
        </w:rPr>
        <w:t>if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AASB</w:t>
      </w:r>
      <w:r>
        <w:rPr>
          <w:rFonts w:ascii="Arial" w:hAnsi="Arial"/>
          <w:color w:val="000000"/>
          <w:sz w:val="22"/>
        </w:rPr>
        <w:t> </w:t>
      </w:r>
      <w:r>
        <w:rPr>
          <w:rFonts w:ascii="Arial" w:hAnsi="Arial"/>
          <w:color w:val="000000"/>
          <w:sz w:val="20"/>
        </w:rPr>
        <w:t>16</w:t>
      </w:r>
      <w:r>
        <w:rPr>
          <w:rFonts w:ascii="Arial" w:hAnsi="Arial"/>
          <w:color w:val="000000"/>
          <w:sz w:val="22"/>
        </w:rPr>
        <w:t> </w:t>
      </w:r>
      <w:r>
        <w:rPr>
          <w:rFonts w:ascii="Arial" w:hAnsi="Arial"/>
          <w:color w:val="000000"/>
          <w:sz w:val="20"/>
        </w:rPr>
        <w:t>changes did not apply.</w:t>
      </w:r>
      <w:r>
        <w:rPr>
          <w:rFonts w:ascii="Arial" w:hAnsi="Arial"/>
          <w:sz w:val="22"/>
        </w:rPr>
        <w:t xml:space="preserve"> </w:t>
      </w:r>
    </w:p>
    <w:tbl>
      <w:tblPr>
        <w:tblW w:w="2531" w:type="dxa"/>
        <w:jc w:val="left"/>
        <w:tblInd w:w="360" w:type="dxa"/>
        <w:tblLayout w:type="fixed"/>
        <w:tblCellMar>
          <w:top w:w="0" w:type="dxa"/>
          <w:left w:w="0" w:type="dxa"/>
          <w:bottom w:w="0" w:type="dxa"/>
          <w:right w:w="0" w:type="dxa"/>
        </w:tblCellMar>
      </w:tblPr>
      <w:tblGrid>
        <w:gridCol w:w="38"/>
        <w:gridCol w:w="560"/>
        <w:gridCol w:w="23"/>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15.5. </w:t>
            </w:r>
          </w:p>
        </w:tc>
        <w:tc>
          <w:tcPr>
            <w:tcW w:w="23" w:type="dxa"/>
            <w:tcBorders/>
            <w:vAlign w:val="center"/>
          </w:tcPr>
          <w:p>
            <w:pPr>
              <w:pStyle w:val="TableContents"/>
              <w:bidi w:val="0"/>
              <w:spacing w:before="0" w:after="283"/>
              <w:jc w:val="left"/>
              <w:rPr>
                <w:sz w:val="4"/>
                <w:szCs w:val="4"/>
              </w:rPr>
            </w:pPr>
            <w:r>
              <w:rPr>
                <w:sz w:val="4"/>
                <w:szCs w:val="4"/>
              </w:rPr>
            </w:r>
          </w:p>
        </w:tc>
        <w:tc>
          <w:tcPr>
            <w:tcW w:w="1910" w:type="dxa"/>
            <w:tcBorders/>
          </w:tcPr>
          <w:p>
            <w:pPr>
              <w:pStyle w:val="TableContents"/>
              <w:bidi w:val="0"/>
              <w:spacing w:before="174" w:after="0"/>
              <w:ind w:left="0" w:right="0" w:hanging="0"/>
              <w:jc w:val="left"/>
              <w:rPr>
                <w:rFonts w:ascii="Arial" w:hAnsi="Arial"/>
                <w:b/>
                <w:color w:val="000000"/>
                <w:sz w:val="22"/>
              </w:rPr>
            </w:pPr>
            <w:bookmarkStart w:id="226" w:name="Other_information95"/>
            <w:bookmarkEnd w:id="226"/>
            <w:r>
              <w:rPr>
                <w:rFonts w:ascii="Arial" w:hAnsi="Arial"/>
                <w:b/>
                <w:color w:val="000000"/>
                <w:sz w:val="22"/>
              </w:rPr>
              <w:t>Other information</w:t>
            </w:r>
          </w:p>
        </w:tc>
      </w:tr>
    </w:tbl>
    <w:p>
      <w:pPr>
        <w:pStyle w:val="TextBody"/>
        <w:bidi w:val="0"/>
        <w:spacing w:before="87" w:after="0"/>
        <w:ind w:left="3453" w:right="360" w:hanging="0"/>
        <w:jc w:val="left"/>
        <w:rPr>
          <w:rFonts w:ascii="Arial" w:hAnsi="Arial"/>
          <w:sz w:val="20"/>
        </w:rPr>
      </w:pPr>
      <w:r>
        <w:rPr>
          <w:rFonts w:ascii="Arial" w:hAnsi="Arial"/>
          <w:color w:val="000000"/>
          <w:sz w:val="20"/>
        </w:rPr>
        <w:t>The Borrower must give to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t>
      </w:r>
      <w:r>
        <w:rPr>
          <w:rFonts w:ascii="Arial" w:hAnsi="Arial"/>
          <w:b/>
          <w:color w:val="000000"/>
          <w:sz w:val="20"/>
        </w:rPr>
        <w:t>other information:</w:t>
      </w:r>
      <w:r>
        <w:rPr>
          <w:rFonts w:ascii="Arial" w:hAnsi="Arial"/>
          <w:color w:val="000000"/>
          <w:sz w:val="20"/>
        </w:rPr>
        <w:t> on reasonable notice from the Bank, any other information in the possession or under the control of a Transaction Party which in the Bank’s reasonable opinion is  necessary to verify the Borrower’s compliance with any Transaction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w:t>
      </w:r>
      <w:r>
        <w:rPr>
          <w:rFonts w:ascii="Arial" w:hAnsi="Arial"/>
          <w:b/>
          <w:color w:val="000000"/>
          <w:sz w:val="20"/>
        </w:rPr>
        <w:t>Annual</w:t>
      </w:r>
      <w:r>
        <w:rPr>
          <w:rFonts w:ascii="Arial" w:hAnsi="Arial"/>
          <w:color w:val="000000"/>
          <w:sz w:val="20"/>
        </w:rPr>
        <w:t> </w:t>
      </w:r>
      <w:r>
        <w:rPr>
          <w:rFonts w:ascii="Arial" w:hAnsi="Arial"/>
          <w:b/>
          <w:color w:val="000000"/>
          <w:sz w:val="20"/>
        </w:rPr>
        <w:t>Compliance Certificate</w:t>
      </w:r>
      <w:r>
        <w:rPr>
          <w:rFonts w:ascii="Arial" w:hAnsi="Arial"/>
          <w:color w:val="000000"/>
          <w:sz w:val="20"/>
        </w:rPr>
        <w:t>: as soon as practicable, and in any event within 120 days after the end of each Financial Year, an Annual Compliance Certificate for that Financial Year signed by at least one director of the Borrower;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w:t>
      </w:r>
      <w:r>
        <w:rPr>
          <w:rFonts w:ascii="Arial" w:hAnsi="Arial"/>
          <w:b/>
          <w:color w:val="000000"/>
          <w:sz w:val="20"/>
        </w:rPr>
        <w:t>Interim Compliance Certificate:</w:t>
      </w:r>
      <w:r>
        <w:rPr>
          <w:rFonts w:ascii="Arial" w:hAnsi="Arial"/>
          <w:color w:val="000000"/>
          <w:sz w:val="20"/>
        </w:rPr>
        <w:t> as soon as practicable, and in any event within 45 days after the end of each Quarter (other than the Quarter ending 31 December) an Interim Compliance Certificate for the previous 12 months signed by at least one director of the Borrower;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w:t>
      </w:r>
      <w:r>
        <w:rPr>
          <w:rFonts w:ascii="Arial" w:hAnsi="Arial"/>
          <w:b/>
          <w:color w:val="000000"/>
          <w:sz w:val="20"/>
        </w:rPr>
        <w:t>tenancy schedule</w:t>
      </w:r>
      <w:r>
        <w:rPr>
          <w:rFonts w:ascii="Arial" w:hAnsi="Arial"/>
          <w:color w:val="000000"/>
          <w:sz w:val="20"/>
        </w:rPr>
        <w:t>: as soon as practicable, and in any event within 120 days of the end of each Financial Year an updated tenancy schedule for each Freehold Property, including (without limitation) the following details:</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2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3" descr=""/>
                    <pic:cNvPicPr>
                      <a:picLocks noChangeAspect="1" noChangeArrowheads="1"/>
                    </pic:cNvPicPr>
                  </pic:nvPicPr>
                  <pic:blipFill>
                    <a:blip r:embed="rId12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2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4" descr=""/>
                    <pic:cNvPicPr>
                      <a:picLocks noChangeAspect="1" noChangeArrowheads="1"/>
                    </pic:cNvPicPr>
                  </pic:nvPicPr>
                  <pic:blipFill>
                    <a:blip r:embed="rId12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bidi w:val="0"/>
        <w:spacing w:before="1" w:after="0"/>
        <w:ind w:left="4540" w:right="360" w:hanging="0"/>
        <w:jc w:val="left"/>
        <w:rPr>
          <w:rFonts w:ascii="Arial" w:hAnsi="Arial"/>
          <w:sz w:val="20"/>
        </w:rPr>
      </w:pPr>
      <w:r>
        <w:rPr>
          <w:rFonts w:ascii="Arial" w:hAnsi="Arial"/>
          <w:sz w:val="20"/>
        </w:rPr>
        <w:t xml:space="preserve">(i)the name of each tenant; </w:t>
      </w:r>
    </w:p>
    <w:p>
      <w:pPr>
        <w:pStyle w:val="TextBody"/>
        <w:bidi w:val="0"/>
        <w:spacing w:before="0" w:after="0"/>
        <w:ind w:left="4540" w:right="360" w:hanging="0"/>
        <w:jc w:val="left"/>
        <w:rPr>
          <w:rFonts w:ascii="Arial" w:hAnsi="Arial"/>
          <w:sz w:val="20"/>
        </w:rPr>
      </w:pPr>
      <w:r>
        <w:rPr>
          <w:rFonts w:ascii="Arial" w:hAnsi="Arial"/>
          <w:sz w:val="20"/>
        </w:rPr>
        <w:t xml:space="preserve">(ii)area let by each tenant; </w:t>
      </w:r>
    </w:p>
    <w:p>
      <w:pPr>
        <w:pStyle w:val="TextBody"/>
        <w:bidi w:val="0"/>
        <w:spacing w:before="0" w:after="0"/>
        <w:ind w:left="4540" w:right="360" w:hanging="0"/>
        <w:jc w:val="left"/>
        <w:rPr>
          <w:rFonts w:ascii="Arial" w:hAnsi="Arial"/>
          <w:sz w:val="20"/>
        </w:rPr>
      </w:pPr>
      <w:r>
        <w:rPr>
          <w:rFonts w:ascii="Arial" w:hAnsi="Arial"/>
          <w:sz w:val="20"/>
        </w:rPr>
        <w:t xml:space="preserve">(iii)current passing rent paid by each tenant; </w:t>
      </w:r>
    </w:p>
    <w:p>
      <w:pPr>
        <w:pStyle w:val="TextBody"/>
        <w:bidi w:val="0"/>
        <w:spacing w:before="135" w:after="0"/>
        <w:ind w:left="4540" w:right="360" w:hanging="0"/>
        <w:jc w:val="left"/>
        <w:rPr>
          <w:rFonts w:ascii="Arial" w:hAnsi="Arial"/>
          <w:sz w:val="20"/>
        </w:rPr>
      </w:pPr>
      <w:r>
        <w:rPr>
          <w:rFonts w:ascii="Arial" w:hAnsi="Arial"/>
          <w:sz w:val="20"/>
        </w:rPr>
        <w:t xml:space="preserve">(iv)the lease start date; </w:t>
      </w:r>
    </w:p>
    <w:p>
      <w:pPr>
        <w:pStyle w:val="TextBody"/>
        <w:bidi w:val="0"/>
        <w:spacing w:before="139" w:after="0"/>
        <w:ind w:left="4540" w:right="360" w:hanging="0"/>
        <w:jc w:val="left"/>
        <w:rPr>
          <w:rFonts w:ascii="Arial" w:hAnsi="Arial"/>
          <w:sz w:val="20"/>
        </w:rPr>
      </w:pPr>
      <w:r>
        <w:rPr>
          <w:rFonts w:ascii="Arial" w:hAnsi="Arial"/>
          <w:sz w:val="20"/>
        </w:rPr>
        <w:t xml:space="preserve">(v)the lease term; </w:t>
      </w:r>
    </w:p>
    <w:p>
      <w:pPr>
        <w:pStyle w:val="TextBody"/>
        <w:bidi w:val="0"/>
        <w:spacing w:before="135" w:after="0"/>
        <w:ind w:left="4540" w:right="360" w:hanging="0"/>
        <w:jc w:val="left"/>
        <w:rPr>
          <w:rFonts w:ascii="Arial" w:hAnsi="Arial"/>
          <w:sz w:val="20"/>
        </w:rPr>
      </w:pPr>
      <w:r>
        <w:rPr>
          <w:rFonts w:ascii="Arial" w:hAnsi="Arial"/>
          <w:sz w:val="20"/>
        </w:rPr>
        <w:t xml:space="preserve">(vi)the lease maturity date; </w:t>
      </w:r>
    </w:p>
    <w:p>
      <w:pPr>
        <w:pStyle w:val="TextBody"/>
        <w:bidi w:val="0"/>
        <w:spacing w:before="140" w:after="0"/>
        <w:ind w:left="4540" w:right="360" w:hanging="0"/>
        <w:jc w:val="left"/>
        <w:rPr>
          <w:rFonts w:ascii="Arial" w:hAnsi="Arial"/>
          <w:sz w:val="20"/>
        </w:rPr>
      </w:pPr>
      <w:r>
        <w:rPr>
          <w:rFonts w:ascii="Arial" w:hAnsi="Arial"/>
          <w:sz w:val="20"/>
        </w:rPr>
        <w:t xml:space="preserve">(vii)the option term (if any); </w:t>
      </w:r>
    </w:p>
    <w:p>
      <w:pPr>
        <w:pStyle w:val="TextBody"/>
        <w:bidi w:val="0"/>
        <w:spacing w:before="135" w:after="0"/>
        <w:ind w:left="4536" w:right="360" w:hanging="0"/>
        <w:jc w:val="left"/>
        <w:rPr>
          <w:rFonts w:ascii="Arial" w:hAnsi="Arial"/>
          <w:sz w:val="20"/>
        </w:rPr>
      </w:pPr>
      <w:r>
        <w:rPr>
          <w:rFonts w:ascii="Arial" w:hAnsi="Arial"/>
          <w:sz w:val="20"/>
        </w:rPr>
        <w:t xml:space="preserve">(viii)rent review details; and </w:t>
      </w:r>
    </w:p>
    <w:p>
      <w:pPr>
        <w:pStyle w:val="TextBody"/>
        <w:bidi w:val="0"/>
        <w:spacing w:before="0" w:after="0"/>
        <w:ind w:left="4540" w:right="360" w:hanging="0"/>
        <w:jc w:val="left"/>
        <w:rPr>
          <w:rFonts w:ascii="Arial" w:hAnsi="Arial"/>
          <w:sz w:val="20"/>
        </w:rPr>
      </w:pPr>
      <w:r>
        <w:rPr>
          <w:rFonts w:ascii="Arial" w:hAnsi="Arial"/>
          <w:sz w:val="20"/>
        </w:rPr>
        <w:t xml:space="preserve">(ix)any other material or special clauses or conditions; </w:t>
      </w:r>
    </w:p>
    <w:p>
      <w:pPr>
        <w:pStyle w:val="TextBody"/>
        <w:bidi w:val="0"/>
        <w:spacing w:lineRule="auto" w:line="264" w:before="107" w:after="0"/>
        <w:ind w:left="3983" w:right="1956" w:hanging="0"/>
        <w:jc w:val="left"/>
        <w:rPr>
          <w:rFonts w:ascii="Arial" w:hAnsi="Arial"/>
          <w:sz w:val="20"/>
        </w:rPr>
      </w:pPr>
      <w:r>
        <w:rPr>
          <w:rFonts w:ascii="Arial" w:hAnsi="Arial"/>
          <w:sz w:val="20"/>
        </w:rPr>
        <w:t>(e)</w:t>
      </w:r>
      <w:r>
        <w:rPr>
          <w:rFonts w:ascii="Arial" w:hAnsi="Arial"/>
          <w:b/>
          <w:sz w:val="20"/>
        </w:rPr>
        <w:t xml:space="preserve">Valuations: </w:t>
      </w:r>
      <w:r>
        <w:rPr>
          <w:rFonts w:ascii="Arial" w:hAnsi="Arial"/>
          <w:sz w:val="20"/>
        </w:rPr>
        <w:t xml:space="preserve">on demand (provided that no more than one demand is made in a Financial Year and the Bank reasonably considers that there has been a material devaluation of the freehold and leasehold interests subject to the Collateral Security), , a Valuation in respect of each Freehold Property and leasehold interest that is subject to the Collateral Security Each Valuation is to be at the Borrower’s expense, addressed to the Bank, conducted by an Approved Valuer and in a form and substance (other than as to value) reasonably satisfactory to the Bank; </w:t>
      </w:r>
    </w:p>
    <w:p>
      <w:pPr>
        <w:pStyle w:val="TextBody"/>
        <w:bidi w:val="0"/>
        <w:spacing w:lineRule="auto" w:line="264" w:before="107" w:after="0"/>
        <w:ind w:left="3983" w:right="1956" w:hanging="0"/>
        <w:jc w:val="left"/>
        <w:rPr>
          <w:rFonts w:ascii="Arial" w:hAnsi="Arial"/>
          <w:sz w:val="20"/>
        </w:rPr>
      </w:pPr>
      <w:r>
        <w:rPr>
          <w:rFonts w:ascii="Arial" w:hAnsi="Arial"/>
          <w:sz w:val="20"/>
        </w:rPr>
        <w:t>(f)</w:t>
      </w:r>
      <w:r>
        <w:rPr>
          <w:rFonts w:ascii="Arial" w:hAnsi="Arial"/>
          <w:b/>
          <w:sz w:val="20"/>
        </w:rPr>
        <w:t>details of any proceeding:</w:t>
      </w:r>
      <w:r>
        <w:rPr>
          <w:rFonts w:ascii="Arial" w:hAnsi="Arial"/>
          <w:sz w:val="20"/>
        </w:rPr>
        <w:t xml:space="preserve"> full details of any litigation, arbitration, administrative proceeding or native title claim which affects a Transaction Party and which has or the adverse determination of which would be likely to have a Material Adverse Effect, as soon as it is commenced or to the knowledge of the Borrower is threatened; </w:t>
      </w:r>
    </w:p>
    <w:p>
      <w:pPr>
        <w:pStyle w:val="TextBody"/>
        <w:bidi w:val="0"/>
        <w:spacing w:lineRule="auto" w:line="264" w:before="107" w:after="0"/>
        <w:ind w:left="3983" w:right="1956" w:hanging="0"/>
        <w:jc w:val="left"/>
        <w:rPr>
          <w:rFonts w:ascii="Arial" w:hAnsi="Arial"/>
          <w:sz w:val="20"/>
        </w:rPr>
      </w:pPr>
      <w:r>
        <w:rPr>
          <w:rFonts w:ascii="Arial" w:hAnsi="Arial"/>
          <w:sz w:val="20"/>
        </w:rPr>
        <w:t>(g)</w:t>
      </w:r>
      <w:r>
        <w:rPr>
          <w:rFonts w:ascii="Arial" w:hAnsi="Arial"/>
          <w:b/>
          <w:sz w:val="20"/>
        </w:rPr>
        <w:t>claims:</w:t>
      </w:r>
      <w:r>
        <w:rPr>
          <w:rFonts w:ascii="Arial" w:hAnsi="Arial"/>
          <w:sz w:val="20"/>
        </w:rPr>
        <w:t xml:space="preserve"> on being notified of it, full details of any event which entitles the Borrower or the Bank to claim more than $1,000,000 under the Insurances; and </w:t>
      </w:r>
    </w:p>
    <w:p>
      <w:pPr>
        <w:pStyle w:val="TextBody"/>
        <w:bidi w:val="0"/>
        <w:spacing w:lineRule="auto" w:line="264" w:before="107" w:after="0"/>
        <w:ind w:left="3983" w:right="1956" w:hanging="0"/>
        <w:jc w:val="left"/>
        <w:rPr>
          <w:rFonts w:ascii="Arial" w:hAnsi="Arial"/>
          <w:sz w:val="20"/>
        </w:rPr>
      </w:pPr>
      <w:r>
        <w:rPr>
          <w:rFonts w:ascii="Arial" w:hAnsi="Arial"/>
          <w:sz w:val="20"/>
        </w:rPr>
        <w:t>(h)</w:t>
      </w:r>
      <w:r>
        <w:rPr>
          <w:rFonts w:ascii="Arial" w:hAnsi="Arial"/>
          <w:b/>
          <w:sz w:val="20"/>
        </w:rPr>
        <w:t>Cannon Park Property</w:t>
      </w:r>
      <w:r>
        <w:rPr>
          <w:rFonts w:ascii="Arial" w:hAnsi="Arial"/>
          <w:sz w:val="20"/>
        </w:rPr>
        <w:t xml:space="preserve">: as soon as practicable, but in any event by 15 March 2025 (or, if a Delay Event occurs, such later date as agreed by the Borrower and the Bank in writing), a duly executed contract of sale in respect of the Cannon Park Property confirming a purchase price of no less than $28,400,000 and a settlement term of no longer than 75 days. </w:t>
      </w:r>
    </w:p>
    <w:tbl>
      <w:tblPr>
        <w:tblW w:w="3641" w:type="dxa"/>
        <w:jc w:val="left"/>
        <w:tblInd w:w="360" w:type="dxa"/>
        <w:tblLayout w:type="fixed"/>
        <w:tblCellMar>
          <w:top w:w="0" w:type="dxa"/>
          <w:left w:w="0" w:type="dxa"/>
          <w:bottom w:w="0" w:type="dxa"/>
          <w:right w:w="0" w:type="dxa"/>
        </w:tblCellMar>
      </w:tblPr>
      <w:tblGrid>
        <w:gridCol w:w="38"/>
        <w:gridCol w:w="560"/>
        <w:gridCol w:w="23"/>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15.6. </w:t>
            </w:r>
          </w:p>
        </w:tc>
        <w:tc>
          <w:tcPr>
            <w:tcW w:w="23" w:type="dxa"/>
            <w:tcBorders/>
            <w:vAlign w:val="center"/>
          </w:tcPr>
          <w:p>
            <w:pPr>
              <w:pStyle w:val="TableContents"/>
              <w:bidi w:val="0"/>
              <w:spacing w:before="0" w:after="283"/>
              <w:jc w:val="left"/>
              <w:rPr>
                <w:sz w:val="4"/>
                <w:szCs w:val="4"/>
              </w:rPr>
            </w:pPr>
            <w:r>
              <w:rPr>
                <w:sz w:val="4"/>
                <w:szCs w:val="4"/>
              </w:rPr>
            </w:r>
          </w:p>
        </w:tc>
        <w:tc>
          <w:tcPr>
            <w:tcW w:w="3020" w:type="dxa"/>
            <w:tcBorders/>
          </w:tcPr>
          <w:p>
            <w:pPr>
              <w:pStyle w:val="TableContents"/>
              <w:bidi w:val="0"/>
              <w:spacing w:before="174" w:after="0"/>
              <w:ind w:left="0" w:right="0" w:hanging="0"/>
              <w:jc w:val="left"/>
              <w:rPr>
                <w:rFonts w:ascii="Arial" w:hAnsi="Arial"/>
                <w:b/>
                <w:color w:val="000000"/>
                <w:sz w:val="22"/>
              </w:rPr>
            </w:pPr>
            <w:bookmarkStart w:id="227" w:name="Other_financial_undertakings96"/>
            <w:bookmarkEnd w:id="227"/>
            <w:r>
              <w:rPr>
                <w:rFonts w:ascii="Arial" w:hAnsi="Arial"/>
                <w:b/>
                <w:color w:val="000000"/>
                <w:sz w:val="22"/>
              </w:rPr>
              <w:t>Other financial undertakings</w:t>
            </w:r>
          </w:p>
        </w:tc>
      </w:tr>
    </w:tbl>
    <w:p>
      <w:pPr>
        <w:pStyle w:val="TextBody"/>
        <w:bidi w:val="0"/>
        <w:spacing w:before="85" w:after="0"/>
        <w:ind w:left="3453" w:right="360" w:hanging="0"/>
        <w:jc w:val="left"/>
        <w:rPr>
          <w:rFonts w:ascii="Arial" w:hAnsi="Arial"/>
          <w:sz w:val="20"/>
        </w:rPr>
      </w:pPr>
      <w:r>
        <w:rPr>
          <w:rFonts w:ascii="Arial" w:hAnsi="Arial"/>
          <w:color w:val="000000"/>
          <w:sz w:val="20"/>
        </w:rPr>
        <w:t>Each Transaction Party must ensure that: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t>
      </w:r>
      <w:r>
        <w:rPr>
          <w:rFonts w:ascii="Arial" w:hAnsi="Arial"/>
          <w:b/>
          <w:color w:val="000000"/>
          <w:sz w:val="20"/>
        </w:rPr>
        <w:t>negative</w:t>
      </w:r>
      <w:r>
        <w:rPr>
          <w:rFonts w:ascii="Arial" w:hAnsi="Arial"/>
          <w:color w:val="000000"/>
          <w:sz w:val="20"/>
        </w:rPr>
        <w:t> </w:t>
      </w:r>
      <w:r>
        <w:rPr>
          <w:rFonts w:ascii="Arial" w:hAnsi="Arial"/>
          <w:b/>
          <w:color w:val="000000"/>
          <w:sz w:val="20"/>
        </w:rPr>
        <w:t>pledge:</w:t>
      </w:r>
      <w:r>
        <w:rPr>
          <w:rFonts w:ascii="Arial" w:hAnsi="Arial"/>
          <w:color w:val="000000"/>
          <w:sz w:val="20"/>
        </w:rPr>
        <w:t> no Encumbrances exist on its property, except Permitted Encumbrances;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w:t>
      </w:r>
      <w:r>
        <w:rPr>
          <w:rFonts w:ascii="Arial" w:hAnsi="Arial"/>
          <w:b/>
          <w:color w:val="000000"/>
          <w:sz w:val="20"/>
        </w:rPr>
        <w:t>permitted</w:t>
      </w:r>
      <w:r>
        <w:rPr>
          <w:rFonts w:ascii="Arial" w:hAnsi="Arial"/>
          <w:color w:val="000000"/>
          <w:sz w:val="20"/>
        </w:rPr>
        <w:t> </w:t>
      </w:r>
      <w:r>
        <w:rPr>
          <w:rFonts w:ascii="Arial" w:hAnsi="Arial"/>
          <w:b/>
          <w:color w:val="000000"/>
          <w:sz w:val="20"/>
        </w:rPr>
        <w:t>financial</w:t>
      </w:r>
      <w:r>
        <w:rPr>
          <w:rFonts w:ascii="Arial" w:hAnsi="Arial"/>
          <w:color w:val="000000"/>
          <w:sz w:val="20"/>
        </w:rPr>
        <w:t> </w:t>
      </w:r>
      <w:r>
        <w:rPr>
          <w:rFonts w:ascii="Arial" w:hAnsi="Arial"/>
          <w:b/>
          <w:color w:val="000000"/>
          <w:sz w:val="20"/>
        </w:rPr>
        <w:t>transactions:</w:t>
      </w:r>
      <w:r>
        <w:rPr>
          <w:rFonts w:ascii="Arial" w:hAnsi="Arial"/>
          <w:color w:val="000000"/>
          <w:sz w:val="20"/>
        </w:rPr>
        <w:t> it does not, without the prior written consent of the Bank:</w:t>
      </w:r>
      <w:r>
        <w:rPr>
          <w:rFonts w:ascii="Arial" w:hAnsi="Arial"/>
          <w:sz w:val="20"/>
        </w:rPr>
        <w:t xml:space="preserve"> </w:t>
      </w:r>
    </w:p>
    <w:p>
      <w:pPr>
        <w:pStyle w:val="TextBody"/>
        <w:bidi w:val="0"/>
        <w:spacing w:lineRule="auto" w:line="266" w:before="108" w:after="0"/>
        <w:ind w:left="4540" w:right="2428" w:hanging="0"/>
        <w:jc w:val="left"/>
        <w:rPr>
          <w:rFonts w:ascii="Arial" w:hAnsi="Arial"/>
          <w:sz w:val="20"/>
        </w:rPr>
      </w:pPr>
      <w:r>
        <w:rPr>
          <w:rFonts w:ascii="Arial" w:hAnsi="Arial"/>
          <w:color w:val="000000"/>
          <w:sz w:val="20"/>
        </w:rPr>
        <w:t>(i)incur any Financial Indebtedness except Permitted Financial Indebtedness;</w:t>
      </w:r>
      <w:r>
        <w:rPr>
          <w:rFonts w:ascii="Arial" w:hAnsi="Arial"/>
          <w:sz w:val="20"/>
        </w:rPr>
        <w:t xml:space="preserve"> </w:t>
      </w:r>
    </w:p>
    <w:p>
      <w:pPr>
        <w:pStyle w:val="TextBody"/>
        <w:bidi w:val="0"/>
        <w:spacing w:lineRule="auto" w:line="266"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2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5" descr=""/>
                    <pic:cNvPicPr>
                      <a:picLocks noChangeAspect="1" noChangeArrowheads="1"/>
                    </pic:cNvPicPr>
                  </pic:nvPicPr>
                  <pic:blipFill>
                    <a:blip r:embed="rId12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2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6" descr=""/>
                    <pic:cNvPicPr>
                      <a:picLocks noChangeAspect="1" noChangeArrowheads="1"/>
                    </pic:cNvPicPr>
                  </pic:nvPicPr>
                  <pic:blipFill>
                    <a:blip r:embed="rId12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0" w:after="0"/>
        <w:ind w:left="4540" w:right="1910" w:hanging="0"/>
        <w:jc w:val="left"/>
        <w:rPr>
          <w:rFonts w:ascii="Arial" w:hAnsi="Arial"/>
          <w:sz w:val="20"/>
        </w:rPr>
      </w:pPr>
      <w:r>
        <w:rPr>
          <w:rFonts w:ascii="Arial" w:hAnsi="Arial"/>
          <w:sz w:val="20"/>
        </w:rPr>
        <w:t xml:space="preserve">(ii)provide any financial accommodation (excluding trade credit in the ordinary course of business) except Permitted Financial Accommodation; </w:t>
      </w:r>
    </w:p>
    <w:p>
      <w:pPr>
        <w:pStyle w:val="TextBody"/>
        <w:bidi w:val="0"/>
        <w:spacing w:lineRule="auto" w:line="264" w:before="107" w:after="0"/>
        <w:ind w:left="3983" w:right="1956" w:hanging="0"/>
        <w:jc w:val="left"/>
        <w:rPr>
          <w:rFonts w:ascii="Arial" w:hAnsi="Arial"/>
          <w:sz w:val="20"/>
        </w:rPr>
      </w:pPr>
      <w:r>
        <w:rPr>
          <w:rFonts w:ascii="Arial" w:hAnsi="Arial"/>
          <w:sz w:val="20"/>
        </w:rPr>
        <w:t>(c)</w:t>
      </w:r>
      <w:r>
        <w:rPr>
          <w:rFonts w:ascii="Arial" w:hAnsi="Arial"/>
          <w:b/>
          <w:sz w:val="20"/>
        </w:rPr>
        <w:t>disposals:</w:t>
      </w:r>
      <w:r>
        <w:rPr>
          <w:rFonts w:ascii="Arial" w:hAnsi="Arial"/>
          <w:sz w:val="20"/>
        </w:rPr>
        <w:t xml:space="preserve"> must not dispose of any of its assets, either in a single transaction or in a series of transactions whether related or not and whether voluntary or involuntary, except Permitted Disposals; </w:t>
      </w:r>
    </w:p>
    <w:p>
      <w:pPr>
        <w:pStyle w:val="TextBody"/>
        <w:bidi w:val="0"/>
        <w:spacing w:lineRule="auto" w:line="264" w:before="107" w:after="0"/>
        <w:ind w:left="3983" w:right="1956" w:hanging="0"/>
        <w:jc w:val="left"/>
        <w:rPr>
          <w:rFonts w:ascii="Arial" w:hAnsi="Arial"/>
          <w:sz w:val="20"/>
        </w:rPr>
      </w:pPr>
      <w:r>
        <w:rPr>
          <w:rFonts w:ascii="Arial" w:hAnsi="Arial"/>
          <w:sz w:val="20"/>
        </w:rPr>
        <w:t>(d)</w:t>
      </w:r>
      <w:r>
        <w:rPr>
          <w:rFonts w:ascii="Arial" w:hAnsi="Arial"/>
          <w:b/>
          <w:sz w:val="20"/>
        </w:rPr>
        <w:t>mergers:</w:t>
      </w:r>
      <w:r>
        <w:rPr>
          <w:rFonts w:ascii="Arial" w:hAnsi="Arial"/>
          <w:sz w:val="20"/>
        </w:rPr>
        <w:t xml:space="preserve"> a Transaction Party does not: </w:t>
      </w:r>
    </w:p>
    <w:p>
      <w:pPr>
        <w:pStyle w:val="TextBody"/>
        <w:bidi w:val="0"/>
        <w:spacing w:before="138" w:after="0"/>
        <w:ind w:left="4539" w:right="360" w:hanging="0"/>
        <w:jc w:val="left"/>
        <w:rPr>
          <w:rFonts w:ascii="Arial" w:hAnsi="Arial"/>
          <w:sz w:val="20"/>
        </w:rPr>
      </w:pPr>
      <w:r>
        <w:rPr>
          <w:rFonts w:ascii="Arial" w:hAnsi="Arial"/>
          <w:sz w:val="20"/>
        </w:rPr>
        <w:t xml:space="preserve">(i)enter into any merger, reconstruction or amalgamation; or </w:t>
      </w:r>
    </w:p>
    <w:p>
      <w:pPr>
        <w:pStyle w:val="TextBody"/>
        <w:bidi w:val="0"/>
        <w:spacing w:lineRule="auto" w:line="264" w:before="135" w:after="0"/>
        <w:ind w:left="4540" w:right="2184" w:hanging="0"/>
        <w:jc w:val="both"/>
        <w:rPr>
          <w:rFonts w:ascii="Arial" w:hAnsi="Arial"/>
          <w:sz w:val="20"/>
        </w:rPr>
      </w:pPr>
      <w:r>
        <w:rPr>
          <w:rFonts w:ascii="Arial" w:hAnsi="Arial"/>
          <w:sz w:val="20"/>
        </w:rPr>
        <w:t xml:space="preserve">(ii)acquire any property or business or make any investment if the property, business or investment is substantial in relation to the relevant Transaction Party, </w:t>
      </w:r>
    </w:p>
    <w:p>
      <w:pPr>
        <w:pStyle w:val="TextBody"/>
        <w:bidi w:val="0"/>
        <w:spacing w:before="110" w:after="0"/>
        <w:ind w:left="3988" w:right="360" w:hanging="0"/>
        <w:jc w:val="both"/>
        <w:rPr>
          <w:rFonts w:ascii="Arial" w:hAnsi="Arial"/>
          <w:sz w:val="20"/>
        </w:rPr>
      </w:pPr>
      <w:r>
        <w:rPr>
          <w:rFonts w:ascii="Arial" w:hAnsi="Arial"/>
          <w:sz w:val="20"/>
        </w:rPr>
        <w:t xml:space="preserve">if it would have or be likely to have a Material Adverse Effect; </w:t>
      </w:r>
    </w:p>
    <w:p>
      <w:pPr>
        <w:pStyle w:val="TextBody"/>
        <w:bidi w:val="0"/>
        <w:spacing w:lineRule="auto" w:line="264" w:before="107" w:after="0"/>
        <w:ind w:left="3983" w:right="1956" w:hanging="0"/>
        <w:jc w:val="left"/>
        <w:rPr>
          <w:rFonts w:ascii="Arial" w:hAnsi="Arial"/>
          <w:sz w:val="20"/>
        </w:rPr>
      </w:pPr>
      <w:r>
        <w:rPr>
          <w:rFonts w:ascii="Arial" w:hAnsi="Arial"/>
          <w:sz w:val="20"/>
        </w:rPr>
        <w:t>(e)</w:t>
      </w:r>
      <w:r>
        <w:rPr>
          <w:rFonts w:ascii="Arial" w:hAnsi="Arial"/>
          <w:b/>
          <w:sz w:val="20"/>
        </w:rPr>
        <w:t>maintain</w:t>
      </w:r>
      <w:r>
        <w:rPr>
          <w:rFonts w:ascii="Arial" w:hAnsi="Arial"/>
          <w:sz w:val="20"/>
        </w:rPr>
        <w:t> </w:t>
      </w:r>
      <w:r>
        <w:rPr>
          <w:rFonts w:ascii="Arial" w:hAnsi="Arial"/>
          <w:b/>
          <w:sz w:val="20"/>
        </w:rPr>
        <w:t>status:</w:t>
      </w:r>
      <w:r>
        <w:rPr>
          <w:rFonts w:ascii="Arial" w:hAnsi="Arial"/>
          <w:sz w:val="20"/>
        </w:rPr>
        <w:t xml:space="preserve"> it does everything necessary to maintain its corporate existence in good standing and: </w:t>
      </w:r>
    </w:p>
    <w:p>
      <w:pPr>
        <w:pStyle w:val="TextBody"/>
        <w:bidi w:val="0"/>
        <w:spacing w:lineRule="auto" w:line="266" w:before="108" w:after="0"/>
        <w:ind w:left="4540" w:right="1951" w:hanging="0"/>
        <w:jc w:val="left"/>
        <w:rPr>
          <w:rFonts w:ascii="Arial" w:hAnsi="Arial"/>
          <w:sz w:val="20"/>
        </w:rPr>
      </w:pPr>
      <w:r>
        <w:rPr>
          <w:rFonts w:ascii="Arial" w:hAnsi="Arial"/>
          <w:sz w:val="20"/>
        </w:rPr>
        <w:t xml:space="preserve">(i)ensures that it has the right and is properly qualified to conduct its business in all relevant jurisdictions; and </w:t>
      </w:r>
    </w:p>
    <w:p>
      <w:pPr>
        <w:pStyle w:val="TextBody"/>
        <w:bidi w:val="0"/>
        <w:spacing w:lineRule="auto" w:line="264" w:before="107" w:after="0"/>
        <w:ind w:left="4540" w:right="1895" w:hanging="0"/>
        <w:jc w:val="left"/>
        <w:rPr>
          <w:rFonts w:ascii="Arial" w:hAnsi="Arial"/>
          <w:sz w:val="20"/>
        </w:rPr>
      </w:pPr>
      <w:r>
        <w:rPr>
          <w:rFonts w:ascii="Arial" w:hAnsi="Arial"/>
          <w:sz w:val="20"/>
        </w:rPr>
        <w:t xml:space="preserve">(ii)obtains and maintains all Authorisations necessary for the conduct of its business; </w:t>
      </w:r>
    </w:p>
    <w:p>
      <w:pPr>
        <w:pStyle w:val="TextBody"/>
        <w:bidi w:val="0"/>
        <w:spacing w:lineRule="auto" w:line="264" w:before="111" w:after="0"/>
        <w:ind w:left="4540" w:right="2467" w:hanging="0"/>
        <w:jc w:val="left"/>
        <w:rPr>
          <w:rFonts w:ascii="Arial" w:hAnsi="Arial"/>
          <w:sz w:val="20"/>
        </w:rPr>
      </w:pPr>
      <w:r>
        <w:rPr>
          <w:rFonts w:ascii="Arial" w:hAnsi="Arial"/>
          <w:sz w:val="20"/>
        </w:rPr>
        <w:t xml:space="preserve">(iii)comply with all laws affecting it or its business in all relevant jurisdictions </w:t>
      </w:r>
    </w:p>
    <w:p>
      <w:pPr>
        <w:pStyle w:val="TextBody"/>
        <w:bidi w:val="0"/>
        <w:spacing w:lineRule="auto" w:line="264" w:before="107" w:after="0"/>
        <w:ind w:left="3983" w:right="1956" w:hanging="0"/>
        <w:jc w:val="left"/>
        <w:rPr>
          <w:rFonts w:ascii="Arial" w:hAnsi="Arial"/>
          <w:sz w:val="20"/>
        </w:rPr>
      </w:pPr>
      <w:r>
        <w:rPr>
          <w:rFonts w:ascii="Arial" w:hAnsi="Arial"/>
          <w:sz w:val="20"/>
        </w:rPr>
        <w:t>(f)</w:t>
      </w:r>
      <w:r>
        <w:rPr>
          <w:rFonts w:ascii="Arial" w:hAnsi="Arial"/>
          <w:b/>
          <w:sz w:val="20"/>
        </w:rPr>
        <w:t>Distributions:</w:t>
      </w:r>
      <w:r>
        <w:rPr>
          <w:rFonts w:ascii="Arial" w:hAnsi="Arial"/>
          <w:sz w:val="20"/>
        </w:rPr>
        <w:t xml:space="preserve"> it must not make any Distribution except a Permitted Distribution; </w:t>
      </w:r>
    </w:p>
    <w:p>
      <w:pPr>
        <w:pStyle w:val="TextBody"/>
        <w:bidi w:val="0"/>
        <w:spacing w:lineRule="auto" w:line="264" w:before="107" w:after="0"/>
        <w:ind w:left="3983" w:right="1956" w:hanging="0"/>
        <w:jc w:val="left"/>
        <w:rPr>
          <w:rFonts w:ascii="Arial" w:hAnsi="Arial"/>
          <w:sz w:val="20"/>
        </w:rPr>
      </w:pPr>
      <w:r>
        <w:rPr>
          <w:rFonts w:ascii="Arial" w:hAnsi="Arial"/>
          <w:sz w:val="20"/>
        </w:rPr>
        <w:t>(g)</w:t>
      </w:r>
      <w:r>
        <w:rPr>
          <w:rFonts w:ascii="Arial" w:hAnsi="Arial"/>
          <w:b/>
          <w:sz w:val="20"/>
        </w:rPr>
        <w:t>Taxes:</w:t>
      </w:r>
      <w:r>
        <w:rPr>
          <w:rFonts w:ascii="Arial" w:hAnsi="Arial"/>
          <w:sz w:val="20"/>
        </w:rPr>
        <w:t xml:space="preserve"> must </w:t>
      </w:r>
    </w:p>
    <w:p>
      <w:pPr>
        <w:pStyle w:val="TextBody"/>
        <w:bidi w:val="0"/>
        <w:spacing w:lineRule="auto" w:line="264" w:before="135" w:after="0"/>
        <w:ind w:left="4540" w:right="1963" w:hanging="0"/>
        <w:jc w:val="left"/>
        <w:rPr>
          <w:rFonts w:ascii="Arial" w:hAnsi="Arial"/>
          <w:sz w:val="20"/>
        </w:rPr>
      </w:pPr>
      <w:r>
        <w:rPr>
          <w:rFonts w:ascii="Arial" w:hAnsi="Arial"/>
          <w:sz w:val="20"/>
        </w:rPr>
        <w:t xml:space="preserve">(i)promptly pay when they become due for payment (or reimburse the Bank on demand for) all Taxes payable by it from time to time other than Taxes being contested in good faith where it has made adequate provisioning; </w:t>
      </w:r>
    </w:p>
    <w:p>
      <w:pPr>
        <w:pStyle w:val="TextBody"/>
        <w:bidi w:val="0"/>
        <w:spacing w:lineRule="auto" w:line="264" w:before="110" w:after="0"/>
        <w:ind w:left="4540" w:right="1852" w:hanging="0"/>
        <w:jc w:val="left"/>
        <w:rPr>
          <w:rFonts w:ascii="Arial" w:hAnsi="Arial"/>
          <w:sz w:val="20"/>
        </w:rPr>
      </w:pPr>
      <w:r>
        <w:rPr>
          <w:rFonts w:ascii="Arial" w:hAnsi="Arial"/>
          <w:sz w:val="20"/>
        </w:rPr>
        <w:t xml:space="preserve">(ii)not transfer any Tax losses to any person other than to the Borrower in connection with the preparation of consolidated annual Financial Statements or in connection with the Reading Entertainment Australia Group's tax consolidation arrangements; and </w:t>
      </w:r>
    </w:p>
    <w:p>
      <w:pPr>
        <w:pStyle w:val="TextBody"/>
        <w:bidi w:val="0"/>
        <w:spacing w:lineRule="auto" w:line="264" w:before="117" w:after="0"/>
        <w:ind w:left="4540" w:right="1864" w:hanging="0"/>
        <w:jc w:val="left"/>
        <w:rPr>
          <w:rFonts w:ascii="Arial" w:hAnsi="Arial"/>
          <w:sz w:val="20"/>
        </w:rPr>
      </w:pPr>
      <w:r>
        <w:rPr>
          <w:rFonts w:ascii="Arial" w:hAnsi="Arial"/>
          <w:sz w:val="20"/>
        </w:rPr>
        <w:t>(iii)not become a member of a consolidated group for the purposes of Part 3-90 of the Income </w:t>
      </w:r>
      <w:r>
        <w:rPr>
          <w:rFonts w:ascii="Arial" w:hAnsi="Arial"/>
          <w:i/>
          <w:sz w:val="20"/>
        </w:rPr>
        <w:t>Tax</w:t>
      </w:r>
      <w:r>
        <w:rPr>
          <w:rFonts w:ascii="Arial" w:hAnsi="Arial"/>
          <w:sz w:val="20"/>
        </w:rPr>
        <w:t> </w:t>
      </w:r>
      <w:r>
        <w:rPr>
          <w:rFonts w:ascii="Arial" w:hAnsi="Arial"/>
          <w:i/>
          <w:sz w:val="20"/>
        </w:rPr>
        <w:t>Assessment</w:t>
      </w:r>
      <w:r>
        <w:rPr>
          <w:rFonts w:ascii="Arial" w:hAnsi="Arial"/>
          <w:sz w:val="20"/>
        </w:rPr>
        <w:t> </w:t>
      </w:r>
      <w:r>
        <w:rPr>
          <w:rFonts w:ascii="Arial" w:hAnsi="Arial"/>
          <w:i/>
          <w:sz w:val="20"/>
        </w:rPr>
        <w:t>Act</w:t>
      </w:r>
      <w:r>
        <w:rPr>
          <w:rFonts w:ascii="Arial" w:hAnsi="Arial"/>
          <w:sz w:val="20"/>
        </w:rPr>
        <w:t> </w:t>
      </w:r>
      <w:r>
        <w:rPr>
          <w:rFonts w:ascii="Arial" w:hAnsi="Arial"/>
          <w:i/>
          <w:sz w:val="20"/>
        </w:rPr>
        <w:t>1936</w:t>
      </w:r>
      <w:r>
        <w:rPr>
          <w:rFonts w:ascii="Arial" w:hAnsi="Arial"/>
          <w:sz w:val="20"/>
        </w:rPr>
        <w:t> and the </w:t>
      </w:r>
      <w:r>
        <w:rPr>
          <w:rFonts w:ascii="Arial" w:hAnsi="Arial"/>
          <w:i/>
          <w:sz w:val="20"/>
        </w:rPr>
        <w:t xml:space="preserve">Income Tax Act 1997 </w:t>
      </w:r>
      <w:r>
        <w:rPr>
          <w:rFonts w:ascii="Arial" w:hAnsi="Arial"/>
          <w:sz w:val="20"/>
        </w:rPr>
        <w:t xml:space="preserve">including any amendments thereto (including any amendments made by the </w:t>
      </w:r>
      <w:r>
        <w:rPr>
          <w:rFonts w:ascii="Arial" w:hAnsi="Arial"/>
          <w:i/>
          <w:sz w:val="20"/>
        </w:rPr>
        <w:t xml:space="preserve">New Business Tax (Consolidation Act (No. 1)) 2002 </w:t>
      </w:r>
      <w:r>
        <w:rPr>
          <w:rFonts w:ascii="Arial" w:hAnsi="Arial"/>
          <w:sz w:val="20"/>
        </w:rPr>
        <w:t xml:space="preserve">and the </w:t>
      </w:r>
      <w:r>
        <w:rPr>
          <w:rFonts w:ascii="Arial" w:hAnsi="Arial"/>
          <w:i/>
          <w:sz w:val="20"/>
        </w:rPr>
        <w:t xml:space="preserve">New Business Tax System (Consolidation, Value Shifting, Damages and other Measures) Act 2002) </w:t>
      </w:r>
      <w:r>
        <w:rPr>
          <w:rFonts w:ascii="Arial" w:hAnsi="Arial"/>
          <w:sz w:val="20"/>
        </w:rPr>
        <w:t xml:space="preserve">other than in accordance with a Tax Sharing Agreement or otherwise on terms approved by the Bank; </w:t>
      </w:r>
    </w:p>
    <w:p>
      <w:pPr>
        <w:pStyle w:val="TextBody"/>
        <w:bidi w:val="0"/>
        <w:spacing w:lineRule="auto" w:line="264" w:before="107" w:after="0"/>
        <w:ind w:left="3983" w:right="1956" w:hanging="0"/>
        <w:jc w:val="left"/>
        <w:rPr>
          <w:rFonts w:ascii="Arial" w:hAnsi="Arial"/>
          <w:sz w:val="20"/>
        </w:rPr>
      </w:pPr>
      <w:r>
        <w:rPr>
          <w:rFonts w:ascii="Arial" w:hAnsi="Arial"/>
          <w:sz w:val="20"/>
        </w:rPr>
        <w:t>(h)</w:t>
      </w:r>
      <w:r>
        <w:rPr>
          <w:rFonts w:ascii="Arial" w:hAnsi="Arial"/>
          <w:b/>
          <w:sz w:val="20"/>
        </w:rPr>
        <w:t>Guarantor</w:t>
      </w:r>
      <w:r>
        <w:rPr>
          <w:rFonts w:ascii="Arial" w:hAnsi="Arial"/>
          <w:sz w:val="20"/>
        </w:rPr>
        <w:t> </w:t>
      </w:r>
      <w:r>
        <w:rPr>
          <w:rFonts w:ascii="Arial" w:hAnsi="Arial"/>
          <w:b/>
          <w:sz w:val="20"/>
        </w:rPr>
        <w:t>coverage</w:t>
      </w:r>
      <w:r>
        <w:rPr>
          <w:rFonts w:ascii="Arial" w:hAnsi="Arial"/>
          <w:sz w:val="20"/>
        </w:rPr>
        <w:t xml:space="preserve">: </w:t>
      </w:r>
    </w:p>
    <w:p>
      <w:pPr>
        <w:pStyle w:val="TextBody"/>
        <w:bidi w:val="0"/>
        <w:spacing w:lineRule="auto" w:line="264" w:before="117" w:after="0"/>
        <w:ind w:left="4540" w:right="1864"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2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7" descr=""/>
                    <pic:cNvPicPr>
                      <a:picLocks noChangeAspect="1" noChangeArrowheads="1"/>
                    </pic:cNvPicPr>
                  </pic:nvPicPr>
                  <pic:blipFill>
                    <a:blip r:embed="rId12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3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8" descr=""/>
                    <pic:cNvPicPr>
                      <a:picLocks noChangeAspect="1" noChangeArrowheads="1"/>
                    </pic:cNvPicPr>
                  </pic:nvPicPr>
                  <pic:blipFill>
                    <a:blip r:embed="rId13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6" w:before="0" w:after="0"/>
        <w:ind w:left="4521" w:right="2392" w:hanging="0"/>
        <w:jc w:val="left"/>
        <w:rPr>
          <w:rFonts w:ascii="Arial" w:hAnsi="Arial"/>
          <w:sz w:val="20"/>
        </w:rPr>
      </w:pPr>
      <w:r>
        <w:rPr>
          <w:rFonts w:ascii="Arial" w:hAnsi="Arial"/>
          <w:sz w:val="20"/>
        </w:rPr>
        <w:t xml:space="preserve">(i)Subject to paragraph (ii), the Borrower shall ensure that at all times: </w:t>
      </w:r>
    </w:p>
    <w:p>
      <w:pPr>
        <w:pStyle w:val="TextBody"/>
        <w:bidi w:val="0"/>
        <w:spacing w:lineRule="auto" w:line="264" w:before="107" w:after="0"/>
        <w:ind w:left="5054" w:right="2019" w:hanging="0"/>
        <w:jc w:val="left"/>
        <w:rPr>
          <w:rFonts w:ascii="Arial" w:hAnsi="Arial"/>
          <w:sz w:val="20"/>
        </w:rPr>
      </w:pPr>
      <w:r>
        <w:rPr>
          <w:rFonts w:ascii="Arial" w:hAnsi="Arial"/>
          <w:sz w:val="20"/>
        </w:rPr>
        <w:t xml:space="preserve">(A)the aggregate of total assets (calculated on the same basis as total assets of the Reading Entertainment Australia Group) of the Guarantors represents at least 90 per cent of total assets of the Reading Entertainment Australia Group; and </w:t>
      </w:r>
    </w:p>
    <w:p>
      <w:pPr>
        <w:pStyle w:val="TextBody"/>
        <w:bidi w:val="0"/>
        <w:spacing w:lineRule="auto" w:line="264" w:before="108" w:after="0"/>
        <w:ind w:left="5054" w:right="1986" w:hanging="0"/>
        <w:jc w:val="left"/>
        <w:rPr>
          <w:rFonts w:ascii="Arial" w:hAnsi="Arial"/>
          <w:sz w:val="20"/>
        </w:rPr>
      </w:pPr>
      <w:r>
        <w:rPr>
          <w:rFonts w:ascii="Arial" w:hAnsi="Arial"/>
          <w:sz w:val="20"/>
        </w:rPr>
        <w:t xml:space="preserve">(B)the aggregate EBITDA of the Guarantors (calculated on the same basis as EBITDA of the Reading Entertainment Australia Group) represents at least 90 per cent of EBITDA of the Reading Entertainment Australia Group; </w:t>
      </w:r>
    </w:p>
    <w:p>
      <w:pPr>
        <w:pStyle w:val="TextBody"/>
        <w:bidi w:val="0"/>
        <w:spacing w:lineRule="auto" w:line="264" w:before="107" w:after="0"/>
        <w:ind w:left="5054" w:right="1985" w:hanging="0"/>
        <w:jc w:val="left"/>
        <w:rPr>
          <w:rFonts w:ascii="Arial" w:hAnsi="Arial"/>
          <w:sz w:val="20"/>
        </w:rPr>
      </w:pPr>
      <w:r>
        <w:rPr>
          <w:rFonts w:ascii="Arial" w:hAnsi="Arial"/>
          <w:sz w:val="20"/>
        </w:rPr>
        <w:t xml:space="preserve">(C)any member of the Reading Entertainment Australia Group which contributes 5 per cent of more of EBITDA of the Reading Entertainment Australia Group is a Guarantor; and </w:t>
      </w:r>
    </w:p>
    <w:p>
      <w:pPr>
        <w:pStyle w:val="TextBody"/>
        <w:bidi w:val="0"/>
        <w:spacing w:lineRule="auto" w:line="264" w:before="108" w:after="0"/>
        <w:ind w:left="5054" w:right="1869" w:hanging="0"/>
        <w:jc w:val="left"/>
        <w:rPr>
          <w:rFonts w:ascii="Arial" w:hAnsi="Arial"/>
          <w:sz w:val="20"/>
        </w:rPr>
      </w:pPr>
      <w:r>
        <w:rPr>
          <w:rFonts w:ascii="Arial" w:hAnsi="Arial"/>
          <w:sz w:val="20"/>
        </w:rPr>
        <w:t xml:space="preserve">(D)any member of the Reading Entertainment Australia Group which holds intellectual property which the Bank considers to be material to the operations of the Reading Entertainment Australia Group is a Guarantor </w:t>
      </w:r>
    </w:p>
    <w:p>
      <w:pPr>
        <w:pStyle w:val="TextBody"/>
        <w:bidi w:val="0"/>
        <w:spacing w:lineRule="auto" w:line="264" w:before="109" w:after="0"/>
        <w:ind w:left="4521" w:right="1854" w:hanging="0"/>
        <w:jc w:val="left"/>
        <w:rPr>
          <w:rFonts w:ascii="Arial" w:hAnsi="Arial"/>
          <w:sz w:val="20"/>
        </w:rPr>
      </w:pPr>
      <w:r>
        <w:rPr>
          <w:rFonts w:ascii="Arial" w:hAnsi="Arial"/>
          <w:sz w:val="20"/>
        </w:rPr>
        <w:t xml:space="preserve">(and in each case the figures for the Guarantors will be calculated on an unconsolidated basis and excluding all intra-Reading Entertainment Australia Group items and investments in Subsidiaries); and </w:t>
      </w:r>
    </w:p>
    <w:p>
      <w:pPr>
        <w:pStyle w:val="TextBody"/>
        <w:bidi w:val="0"/>
        <w:spacing w:lineRule="auto" w:line="264" w:before="107" w:after="0"/>
        <w:ind w:left="4540" w:right="1931" w:hanging="0"/>
        <w:jc w:val="left"/>
        <w:rPr>
          <w:rFonts w:ascii="Arial" w:hAnsi="Arial"/>
          <w:sz w:val="20"/>
        </w:rPr>
      </w:pPr>
      <w:r>
        <w:rPr>
          <w:rFonts w:ascii="Arial" w:hAnsi="Arial"/>
          <w:sz w:val="20"/>
        </w:rPr>
        <w:t xml:space="preserve">(ii)where an entity becomes a member of the Reading Entertainment Australia and is required to become a Guarantor to comply with paragraph (i), the Borrower shall ensure: </w:t>
      </w:r>
    </w:p>
    <w:p>
      <w:pPr>
        <w:pStyle w:val="TextBody"/>
        <w:bidi w:val="0"/>
        <w:spacing w:lineRule="auto" w:line="264" w:before="110" w:after="0"/>
        <w:ind w:left="5054" w:right="2056" w:hanging="0"/>
        <w:jc w:val="left"/>
        <w:rPr>
          <w:rFonts w:ascii="Arial" w:hAnsi="Arial"/>
          <w:sz w:val="20"/>
        </w:rPr>
      </w:pPr>
      <w:r>
        <w:rPr>
          <w:rFonts w:ascii="Arial" w:hAnsi="Arial"/>
          <w:sz w:val="20"/>
        </w:rPr>
        <w:t xml:space="preserve">(A)the entity becomes an Additional Guarantor by executing a Guarantor Accession Deed; </w:t>
      </w:r>
    </w:p>
    <w:p>
      <w:pPr>
        <w:pStyle w:val="TextBody"/>
        <w:bidi w:val="0"/>
        <w:spacing w:lineRule="auto" w:line="264" w:before="111" w:after="0"/>
        <w:ind w:left="5054" w:right="1979" w:hanging="0"/>
        <w:jc w:val="left"/>
        <w:rPr>
          <w:rFonts w:ascii="Arial" w:hAnsi="Arial"/>
          <w:sz w:val="20"/>
        </w:rPr>
      </w:pPr>
      <w:r>
        <w:rPr>
          <w:rFonts w:ascii="Arial" w:hAnsi="Arial"/>
          <w:sz w:val="20"/>
        </w:rPr>
        <w:t xml:space="preserve">(B)the entity executes a general security agreement over all its assets in favour of the Bank, in form and substance consistent with the general security agreements previously executed by the other Guarantors; and </w:t>
      </w:r>
    </w:p>
    <w:p>
      <w:pPr>
        <w:pStyle w:val="TextBody"/>
        <w:bidi w:val="0"/>
        <w:spacing w:lineRule="auto" w:line="264" w:before="107" w:after="0"/>
        <w:ind w:left="5054" w:right="2105" w:hanging="0"/>
        <w:jc w:val="left"/>
        <w:rPr>
          <w:rFonts w:ascii="Arial" w:hAnsi="Arial"/>
          <w:sz w:val="20"/>
        </w:rPr>
      </w:pPr>
      <w:r>
        <w:rPr>
          <w:rFonts w:ascii="Arial" w:hAnsi="Arial"/>
          <w:sz w:val="20"/>
        </w:rPr>
        <w:t xml:space="preserve">(C)provides the Bank with any documents or evidence in relation to the entity as the Bank may reasonably consider necessary in respect of the entering into, validity and enforceability of the accession documents, </w:t>
      </w:r>
    </w:p>
    <w:p>
      <w:pPr>
        <w:pStyle w:val="TextBody"/>
        <w:pBdr/>
        <w:bidi w:val="0"/>
        <w:spacing w:before="107" w:after="0"/>
        <w:ind w:left="4521" w:right="360" w:hanging="0"/>
        <w:jc w:val="left"/>
        <w:rPr>
          <w:rFonts w:ascii="Arial" w:hAnsi="Arial"/>
          <w:sz w:val="20"/>
        </w:rPr>
      </w:pPr>
      <w:r>
        <w:rPr>
          <w:rFonts w:ascii="Arial" w:hAnsi="Arial"/>
          <w:sz w:val="20"/>
        </w:rPr>
        <w:t xml:space="preserve">as soon as reasonably practicable and in any event within 45 days. </w:t>
      </w:r>
    </w:p>
    <w:p>
      <w:pPr>
        <w:pStyle w:val="TextBody"/>
        <w:pBdr/>
        <w:bidi w:val="0"/>
        <w:spacing w:lineRule="auto" w:line="264" w:before="137" w:after="0"/>
        <w:ind w:left="4521" w:right="1854" w:hanging="0"/>
        <w:jc w:val="left"/>
        <w:rPr>
          <w:rFonts w:ascii="Arial" w:hAnsi="Arial"/>
          <w:sz w:val="20"/>
        </w:rPr>
      </w:pPr>
      <w:r>
        <w:rPr>
          <w:rFonts w:ascii="Arial" w:hAnsi="Arial"/>
          <w:sz w:val="20"/>
        </w:rPr>
        <w:t xml:space="preserve">Provided the Borrower complies with this paragraph (ii), the Borrower will not be in breach of paragraph (i) by reason only that the entity is not a Guarantor. </w:t>
      </w:r>
    </w:p>
    <w:p>
      <w:pPr>
        <w:pStyle w:val="TextBody"/>
        <w:bidi w:val="0"/>
        <w:spacing w:lineRule="auto" w:line="264" w:before="107" w:after="0"/>
        <w:ind w:left="3983" w:right="1956" w:hanging="0"/>
        <w:jc w:val="left"/>
        <w:rPr>
          <w:rFonts w:ascii="Arial" w:hAnsi="Arial"/>
          <w:sz w:val="20"/>
        </w:rPr>
      </w:pPr>
      <w:r>
        <w:rPr>
          <w:rFonts w:ascii="Arial" w:hAnsi="Arial"/>
          <w:sz w:val="20"/>
        </w:rPr>
        <w:t>(i)</w:t>
      </w:r>
      <w:r>
        <w:rPr>
          <w:rFonts w:ascii="Arial" w:hAnsi="Arial"/>
          <w:b/>
          <w:sz w:val="20"/>
        </w:rPr>
        <w:t>Major</w:t>
      </w:r>
      <w:r>
        <w:rPr>
          <w:rFonts w:ascii="Arial" w:hAnsi="Arial"/>
          <w:sz w:val="20"/>
        </w:rPr>
        <w:t> </w:t>
      </w:r>
      <w:r>
        <w:rPr>
          <w:rFonts w:ascii="Arial" w:hAnsi="Arial"/>
          <w:b/>
          <w:sz w:val="20"/>
        </w:rPr>
        <w:t>developments</w:t>
      </w:r>
      <w:r>
        <w:rPr>
          <w:rFonts w:ascii="Arial" w:hAnsi="Arial"/>
          <w:sz w:val="20"/>
        </w:rPr>
        <w:t xml:space="preserve">: in respect of any major development projects to be undertaken by the Transaction Parties (that are outside of the budgeted capital expenditure that has been disclosed to the Bank):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3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9" descr=""/>
                    <pic:cNvPicPr>
                      <a:picLocks noChangeAspect="1" noChangeArrowheads="1"/>
                    </pic:cNvPicPr>
                  </pic:nvPicPr>
                  <pic:blipFill>
                    <a:blip r:embed="rId13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3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0" descr=""/>
                    <pic:cNvPicPr>
                      <a:picLocks noChangeAspect="1" noChangeArrowheads="1"/>
                    </pic:cNvPicPr>
                  </pic:nvPicPr>
                  <pic:blipFill>
                    <a:blip r:embed="rId13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(i)the Bank is provided with development budgets and other information reasonably requested by the Bank; and </w:t>
      </w:r>
    </w:p>
    <w:p>
      <w:pPr>
        <w:pStyle w:val="TextBody"/>
        <w:bidi w:val="0"/>
        <w:spacing w:lineRule="auto" w:line="264" w:before="107" w:after="0"/>
        <w:ind w:left="3983" w:right="1956" w:hanging="0"/>
        <w:jc w:val="left"/>
        <w:rPr>
          <w:rFonts w:ascii="Arial" w:hAnsi="Arial"/>
          <w:sz w:val="20"/>
        </w:rPr>
      </w:pPr>
      <w:r>
        <w:rPr>
          <w:rFonts w:ascii="Arial" w:hAnsi="Arial"/>
          <w:sz w:val="20"/>
        </w:rPr>
        <w:t>(j)</w:t>
      </w:r>
      <w:r>
        <w:rPr>
          <w:rFonts w:ascii="Arial" w:hAnsi="Arial"/>
          <w:b/>
          <w:sz w:val="20"/>
        </w:rPr>
        <w:t>Major</w:t>
      </w:r>
      <w:r>
        <w:rPr>
          <w:rFonts w:ascii="Arial" w:hAnsi="Arial"/>
          <w:sz w:val="20"/>
        </w:rPr>
        <w:t> </w:t>
      </w:r>
      <w:r>
        <w:rPr>
          <w:rFonts w:ascii="Arial" w:hAnsi="Arial"/>
          <w:b/>
          <w:sz w:val="20"/>
        </w:rPr>
        <w:t>acquisitions</w:t>
      </w:r>
      <w:r>
        <w:rPr>
          <w:rFonts w:ascii="Arial" w:hAnsi="Arial"/>
          <w:sz w:val="20"/>
        </w:rPr>
        <w:t xml:space="preserve">: in respect to any acquisitions or investments in  assets to be undertaken by the Transaction Parties, the Bank’s written consent is obtained for (and prior to) the purchase of: </w:t>
      </w:r>
    </w:p>
    <w:p>
      <w:pPr>
        <w:pStyle w:val="TextBody"/>
        <w:bidi w:val="0"/>
        <w:spacing w:lineRule="auto" w:line="264" w:before="135" w:after="0"/>
        <w:ind w:left="4540" w:right="1984" w:hanging="0"/>
        <w:jc w:val="left"/>
        <w:rPr>
          <w:rFonts w:ascii="Arial" w:hAnsi="Arial"/>
          <w:sz w:val="20"/>
        </w:rPr>
      </w:pPr>
      <w:r>
        <w:rPr>
          <w:rFonts w:ascii="Arial" w:hAnsi="Arial"/>
          <w:sz w:val="20"/>
        </w:rPr>
        <w:t xml:space="preserve">(i)any freehold title or ground lease with a remaining tenor of 25 years or more and a consideration greater than $50,000,000; and </w:t>
      </w:r>
    </w:p>
    <w:p>
      <w:pPr>
        <w:pStyle w:val="TextBody"/>
        <w:bidi w:val="0"/>
        <w:spacing w:lineRule="auto" w:line="264" w:before="111" w:after="0"/>
        <w:ind w:left="4540" w:right="2543" w:hanging="0"/>
        <w:jc w:val="left"/>
        <w:rPr>
          <w:rFonts w:ascii="Arial" w:hAnsi="Arial"/>
          <w:sz w:val="20"/>
        </w:rPr>
      </w:pPr>
      <w:r>
        <w:rPr>
          <w:rFonts w:ascii="Arial" w:hAnsi="Arial"/>
          <w:sz w:val="20"/>
        </w:rPr>
        <w:t xml:space="preserve">(ii)the purchase of any other operating business assets with a consideration greater than $25,000,000. </w:t>
      </w:r>
    </w:p>
    <w:p>
      <w:pPr>
        <w:pStyle w:val="TextBody"/>
        <w:bidi w:val="0"/>
        <w:spacing w:lineRule="auto" w:line="264" w:before="107" w:after="0"/>
        <w:ind w:left="3983" w:right="1956" w:hanging="0"/>
        <w:jc w:val="left"/>
        <w:rPr>
          <w:rFonts w:ascii="Arial" w:hAnsi="Arial"/>
          <w:sz w:val="20"/>
        </w:rPr>
      </w:pPr>
      <w:r>
        <w:rPr>
          <w:rFonts w:ascii="Arial" w:hAnsi="Arial"/>
          <w:sz w:val="20"/>
        </w:rPr>
        <w:t>(k)</w:t>
      </w:r>
      <w:r>
        <w:rPr>
          <w:rFonts w:ascii="Arial" w:hAnsi="Arial"/>
          <w:b/>
          <w:sz w:val="20"/>
        </w:rPr>
        <w:t>Management</w:t>
      </w:r>
      <w:r>
        <w:rPr>
          <w:rFonts w:ascii="Arial" w:hAnsi="Arial"/>
          <w:sz w:val="20"/>
        </w:rPr>
        <w:t> </w:t>
      </w:r>
      <w:r>
        <w:rPr>
          <w:rFonts w:ascii="Arial" w:hAnsi="Arial"/>
          <w:b/>
          <w:sz w:val="20"/>
        </w:rPr>
        <w:t>Fees:</w:t>
      </w:r>
      <w:r>
        <w:rPr>
          <w:rFonts w:ascii="Arial" w:hAnsi="Arial"/>
          <w:sz w:val="20"/>
        </w:rPr>
        <w:t xml:space="preserve"> no Management Fees are paid except: </w:t>
      </w:r>
    </w:p>
    <w:p>
      <w:pPr>
        <w:pStyle w:val="TextBody"/>
        <w:bidi w:val="0"/>
        <w:spacing w:before="134" w:after="0"/>
        <w:ind w:left="4547" w:right="360" w:hanging="0"/>
        <w:jc w:val="left"/>
        <w:rPr>
          <w:rFonts w:ascii="Arial" w:hAnsi="Arial"/>
          <w:sz w:val="20"/>
        </w:rPr>
      </w:pPr>
      <w:r>
        <w:rPr>
          <w:rFonts w:ascii="Arial" w:hAnsi="Arial"/>
          <w:sz w:val="20"/>
        </w:rPr>
        <w:t xml:space="preserve">(i)at any time on or prior to the the Relevant Date, with the Bank’s prior written constent; and </w:t>
      </w:r>
    </w:p>
    <w:p>
      <w:pPr>
        <w:pStyle w:val="TextBody"/>
        <w:bidi w:val="0"/>
        <w:spacing w:lineRule="auto" w:line="264" w:before="0" w:after="0"/>
        <w:ind w:left="4540" w:right="1931" w:hanging="0"/>
        <w:jc w:val="left"/>
        <w:rPr>
          <w:rFonts w:ascii="Arial" w:hAnsi="Arial"/>
          <w:sz w:val="20"/>
        </w:rPr>
      </w:pPr>
      <w:r>
        <w:rPr>
          <w:rFonts w:ascii="Arial" w:hAnsi="Arial"/>
          <w:sz w:val="20"/>
        </w:rPr>
        <w:t xml:space="preserve">(ii)at any time after the Relevant Date, if no Event of Default subsists and provided that the aggregate amount of Management Fees paid per Financial Year does not exceed $5,000,000. </w:t>
      </w:r>
    </w:p>
    <w:p>
      <w:pPr>
        <w:pStyle w:val="TextBody"/>
        <w:bidi w:val="0"/>
        <w:spacing w:lineRule="auto" w:line="264" w:before="107" w:after="0"/>
        <w:ind w:left="3983" w:right="1956" w:hanging="0"/>
        <w:jc w:val="left"/>
        <w:rPr>
          <w:rFonts w:ascii="Arial" w:hAnsi="Arial"/>
          <w:sz w:val="20"/>
        </w:rPr>
      </w:pPr>
      <w:r>
        <w:rPr>
          <w:rFonts w:ascii="Arial" w:hAnsi="Arial"/>
          <w:sz w:val="20"/>
        </w:rPr>
        <w:t>(l)</w:t>
      </w:r>
      <w:r>
        <w:rPr>
          <w:rFonts w:ascii="Arial" w:hAnsi="Arial"/>
          <w:b/>
          <w:sz w:val="20"/>
        </w:rPr>
        <w:t>Preservation</w:t>
      </w:r>
      <w:r>
        <w:rPr>
          <w:rFonts w:ascii="Arial" w:hAnsi="Arial"/>
          <w:sz w:val="20"/>
        </w:rPr>
        <w:t> </w:t>
      </w:r>
      <w:r>
        <w:rPr>
          <w:rFonts w:ascii="Arial" w:hAnsi="Arial"/>
          <w:b/>
          <w:sz w:val="20"/>
        </w:rPr>
        <w:t>and</w:t>
      </w:r>
      <w:r>
        <w:rPr>
          <w:rFonts w:ascii="Arial" w:hAnsi="Arial"/>
          <w:sz w:val="20"/>
        </w:rPr>
        <w:t> </w:t>
      </w:r>
      <w:r>
        <w:rPr>
          <w:rFonts w:ascii="Arial" w:hAnsi="Arial"/>
          <w:b/>
          <w:sz w:val="20"/>
        </w:rPr>
        <w:t>protection</w:t>
      </w:r>
      <w:r>
        <w:rPr>
          <w:rFonts w:ascii="Arial" w:hAnsi="Arial"/>
          <w:sz w:val="20"/>
        </w:rPr>
        <w:t> </w:t>
      </w:r>
      <w:r>
        <w:rPr>
          <w:rFonts w:ascii="Arial" w:hAnsi="Arial"/>
          <w:b/>
          <w:sz w:val="20"/>
        </w:rPr>
        <w:t>of</w:t>
      </w:r>
      <w:r>
        <w:rPr>
          <w:rFonts w:ascii="Arial" w:hAnsi="Arial"/>
          <w:sz w:val="20"/>
        </w:rPr>
        <w:t> </w:t>
      </w:r>
      <w:r>
        <w:rPr>
          <w:rFonts w:ascii="Arial" w:hAnsi="Arial"/>
          <w:b/>
          <w:sz w:val="20"/>
        </w:rPr>
        <w:t>Security:</w:t>
      </w:r>
      <w:r>
        <w:rPr>
          <w:rFonts w:ascii="Arial" w:hAnsi="Arial"/>
          <w:sz w:val="20"/>
        </w:rPr>
        <w:t xml:space="preserve"> it does everything necessary or reasonably required by the Bank to: </w:t>
      </w:r>
    </w:p>
    <w:p>
      <w:pPr>
        <w:pStyle w:val="TextBody"/>
        <w:bidi w:val="0"/>
        <w:spacing w:lineRule="auto" w:line="266" w:before="109" w:after="0"/>
        <w:ind w:left="4540" w:right="2260" w:hanging="0"/>
        <w:jc w:val="left"/>
        <w:rPr>
          <w:rFonts w:ascii="Arial" w:hAnsi="Arial"/>
          <w:sz w:val="20"/>
        </w:rPr>
      </w:pPr>
      <w:r>
        <w:rPr>
          <w:rFonts w:ascii="Arial" w:hAnsi="Arial"/>
          <w:sz w:val="20"/>
        </w:rPr>
        <w:t xml:space="preserve">(i)keep the Secured Property in good repair and in good working order; </w:t>
      </w:r>
    </w:p>
    <w:p>
      <w:pPr>
        <w:pStyle w:val="TextBody"/>
        <w:bidi w:val="0"/>
        <w:spacing w:lineRule="auto" w:line="264" w:before="106" w:after="0"/>
        <w:ind w:left="4540" w:right="2143" w:hanging="0"/>
        <w:jc w:val="left"/>
        <w:rPr>
          <w:rFonts w:ascii="Arial" w:hAnsi="Arial"/>
          <w:sz w:val="20"/>
        </w:rPr>
      </w:pPr>
      <w:r>
        <w:rPr>
          <w:rFonts w:ascii="Arial" w:hAnsi="Arial"/>
          <w:sz w:val="20"/>
        </w:rPr>
        <w:t xml:space="preserve">(ii)promptly pay when they become due for payment (or reimburse the Bank on demand for) all Taxes payable in respect of the Secured Property; </w:t>
      </w:r>
    </w:p>
    <w:p>
      <w:pPr>
        <w:pStyle w:val="TextBody"/>
        <w:bidi w:val="0"/>
        <w:spacing w:lineRule="auto" w:line="264" w:before="108" w:after="0"/>
        <w:ind w:left="4540" w:right="2458" w:hanging="0"/>
        <w:jc w:val="left"/>
        <w:rPr>
          <w:rFonts w:ascii="Arial" w:hAnsi="Arial"/>
          <w:sz w:val="20"/>
        </w:rPr>
      </w:pPr>
      <w:r>
        <w:rPr>
          <w:rFonts w:ascii="Arial" w:hAnsi="Arial"/>
          <w:sz w:val="20"/>
        </w:rPr>
        <w:t xml:space="preserve">(iii)preserve and protect the value of the Secured Property as a whole; and </w:t>
      </w:r>
    </w:p>
    <w:p>
      <w:pPr>
        <w:pStyle w:val="TextBody"/>
        <w:bidi w:val="0"/>
        <w:spacing w:lineRule="auto" w:line="264" w:before="114" w:after="0"/>
        <w:ind w:left="4540" w:right="2170" w:hanging="0"/>
        <w:jc w:val="left"/>
        <w:rPr>
          <w:rFonts w:ascii="Arial" w:hAnsi="Arial"/>
          <w:sz w:val="20"/>
        </w:rPr>
      </w:pPr>
      <w:r>
        <w:rPr>
          <w:rFonts w:ascii="Arial" w:hAnsi="Arial"/>
          <w:sz w:val="20"/>
        </w:rPr>
        <w:t xml:space="preserve">(iv)protect and enforce its title and the Bank as mortgagee to the Secured Property </w:t>
      </w:r>
    </w:p>
    <w:p>
      <w:pPr>
        <w:pStyle w:val="TextBody"/>
        <w:bidi w:val="0"/>
        <w:spacing w:lineRule="auto" w:line="264" w:before="107" w:after="0"/>
        <w:ind w:left="3983" w:right="1956" w:hanging="0"/>
        <w:jc w:val="left"/>
        <w:rPr>
          <w:rFonts w:ascii="Arial" w:hAnsi="Arial"/>
          <w:sz w:val="20"/>
        </w:rPr>
      </w:pPr>
      <w:r>
        <w:rPr>
          <w:rFonts w:ascii="Arial" w:hAnsi="Arial"/>
          <w:sz w:val="20"/>
        </w:rPr>
        <w:t>(m)</w:t>
      </w:r>
      <w:r>
        <w:rPr>
          <w:rFonts w:ascii="Arial" w:hAnsi="Arial"/>
          <w:b/>
          <w:sz w:val="20"/>
        </w:rPr>
        <w:t>mandatory hedging</w:t>
      </w:r>
      <w:r>
        <w:rPr>
          <w:rFonts w:ascii="Arial" w:hAnsi="Arial"/>
          <w:sz w:val="20"/>
        </w:rPr>
        <w:t xml:space="preserve">: in respect of the Borrower only, as soon as practicable, but in any event by 30 June 2024, it enters into an interest rate Hedging Transaction with the Bank in respect of at least 50% of the Facility Limit of the Corporate Markets Loan Facility on such terms in accordance with the Borrower’s hedging strategy. </w:t>
      </w:r>
    </w:p>
    <w:tbl>
      <w:tblPr>
        <w:tblW w:w="1691" w:type="dxa"/>
        <w:jc w:val="left"/>
        <w:tblInd w:w="360" w:type="dxa"/>
        <w:tblLayout w:type="fixed"/>
        <w:tblCellMar>
          <w:top w:w="0" w:type="dxa"/>
          <w:left w:w="0" w:type="dxa"/>
          <w:bottom w:w="0" w:type="dxa"/>
          <w:right w:w="0" w:type="dxa"/>
        </w:tblCellMar>
      </w:tblPr>
      <w:tblGrid>
        <w:gridCol w:w="38"/>
        <w:gridCol w:w="56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15.7.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bidi w:val="0"/>
              <w:spacing w:before="174" w:after="0"/>
              <w:ind w:left="0" w:right="0" w:hanging="0"/>
              <w:jc w:val="left"/>
              <w:rPr>
                <w:rFonts w:ascii="Arial" w:hAnsi="Arial"/>
                <w:b/>
                <w:color w:val="000000"/>
                <w:sz w:val="22"/>
              </w:rPr>
            </w:pPr>
            <w:bookmarkStart w:id="228" w:name="Insurance97"/>
            <w:bookmarkEnd w:id="228"/>
            <w:r>
              <w:rPr>
                <w:rFonts w:ascii="Arial" w:hAnsi="Arial"/>
                <w:b/>
                <w:color w:val="000000"/>
                <w:sz w:val="22"/>
              </w:rPr>
              <w:t>Insurance</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(a)Subject to the provisions of the Transaction Documents, the Borrower must effect and maintain insurance over and in relation to the Secured Property, the business operations of the Group (including business interruption) and for public liability with insurers, for amounts, against risks and on terms and conditions:</w:t>
      </w:r>
      <w:r>
        <w:rPr>
          <w:rFonts w:ascii="Arial" w:hAnsi="Arial"/>
          <w:sz w:val="20"/>
        </w:rPr>
        <w:t xml:space="preserve"> </w:t>
      </w:r>
    </w:p>
    <w:p>
      <w:pPr>
        <w:pStyle w:val="TextBody"/>
        <w:bidi w:val="0"/>
        <w:spacing w:before="108" w:after="0"/>
        <w:ind w:left="4539" w:right="360" w:hanging="0"/>
        <w:jc w:val="left"/>
        <w:rPr>
          <w:rFonts w:ascii="Arial" w:hAnsi="Arial"/>
          <w:sz w:val="20"/>
        </w:rPr>
      </w:pPr>
      <w:r>
        <w:rPr>
          <w:rFonts w:ascii="Arial" w:hAnsi="Arial"/>
          <w:color w:val="000000"/>
          <w:sz w:val="20"/>
        </w:rPr>
        <w:t>(i)that the Bank reasonably requires; or</w:t>
      </w:r>
      <w:r>
        <w:rPr>
          <w:rFonts w:ascii="Arial" w:hAnsi="Arial"/>
          <w:sz w:val="20"/>
        </w:rPr>
        <w:t xml:space="preserve"> </w:t>
      </w:r>
    </w:p>
    <w:p>
      <w:pPr>
        <w:pStyle w:val="TextBody"/>
        <w:bidi w:val="0"/>
        <w:spacing w:lineRule="auto" w:line="264" w:before="135" w:after="0"/>
        <w:ind w:left="4540" w:right="1954" w:hanging="0"/>
        <w:jc w:val="left"/>
        <w:rPr>
          <w:rFonts w:ascii="Arial" w:hAnsi="Arial"/>
          <w:sz w:val="20"/>
        </w:rPr>
      </w:pPr>
      <w:r>
        <w:rPr>
          <w:rFonts w:ascii="Arial" w:hAnsi="Arial"/>
          <w:color w:val="000000"/>
          <w:sz w:val="20"/>
        </w:rPr>
        <w:t>(ii)if the Bank does not notify the Borrower of its requirements, that a prudent and reasonable owner of the Secured Property would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3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1" descr=""/>
                    <pic:cNvPicPr>
                      <a:picLocks noChangeAspect="1" noChangeArrowheads="1"/>
                    </pic:cNvPicPr>
                  </pic:nvPicPr>
                  <pic:blipFill>
                    <a:blip r:embed="rId13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3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2" descr=""/>
                    <pic:cNvPicPr>
                      <a:picLocks noChangeAspect="1" noChangeArrowheads="1"/>
                    </pic:cNvPicPr>
                  </pic:nvPicPr>
                  <pic:blipFill>
                    <a:blip r:embed="rId13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4540" w:right="1854" w:hanging="0"/>
        <w:jc w:val="left"/>
        <w:rPr>
          <w:rFonts w:ascii="Arial" w:hAnsi="Arial"/>
          <w:sz w:val="20"/>
        </w:rPr>
      </w:pPr>
      <w:r>
        <w:rPr>
          <w:rFonts w:ascii="Arial" w:hAnsi="Arial"/>
          <w:sz w:val="20"/>
        </w:rPr>
        <w:t xml:space="preserve">effect and maintain, including insurance for full replacement value on a reinstatement basis.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(b)Subject to the provisions of the Transaction Documents, the Borrower must give to the Bank on demand a certificate in form and substance satisfactory to the Bank from the insurer to the effect that the required Insurances are current and no premium is overdue. </w:t>
      </w:r>
    </w:p>
    <w:tbl>
      <w:tblPr>
        <w:tblW w:w="2261" w:type="dxa"/>
        <w:jc w:val="left"/>
        <w:tblInd w:w="360" w:type="dxa"/>
        <w:tblLayout w:type="fixed"/>
        <w:tblCellMar>
          <w:top w:w="0" w:type="dxa"/>
          <w:left w:w="0" w:type="dxa"/>
          <w:bottom w:w="0" w:type="dxa"/>
          <w:right w:w="0" w:type="dxa"/>
        </w:tblCellMar>
      </w:tblPr>
      <w:tblGrid>
        <w:gridCol w:w="38"/>
        <w:gridCol w:w="560"/>
        <w:gridCol w:w="23"/>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15.8. </w:t>
            </w:r>
          </w:p>
        </w:tc>
        <w:tc>
          <w:tcPr>
            <w:tcW w:w="23" w:type="dxa"/>
            <w:tcBorders/>
            <w:vAlign w:val="center"/>
          </w:tcPr>
          <w:p>
            <w:pPr>
              <w:pStyle w:val="TableContents"/>
              <w:bidi w:val="0"/>
              <w:spacing w:before="0" w:after="283"/>
              <w:jc w:val="left"/>
              <w:rPr>
                <w:sz w:val="4"/>
                <w:szCs w:val="4"/>
              </w:rPr>
            </w:pPr>
            <w:r>
              <w:rPr>
                <w:sz w:val="4"/>
                <w:szCs w:val="4"/>
              </w:rPr>
            </w:r>
          </w:p>
        </w:tc>
        <w:tc>
          <w:tcPr>
            <w:tcW w:w="1640" w:type="dxa"/>
            <w:tcBorders/>
          </w:tcPr>
          <w:p>
            <w:pPr>
              <w:pStyle w:val="TableContents"/>
              <w:bidi w:val="0"/>
              <w:spacing w:before="174" w:after="0"/>
              <w:ind w:left="0" w:right="0" w:hanging="0"/>
              <w:jc w:val="left"/>
              <w:rPr>
                <w:rFonts w:ascii="Arial" w:hAnsi="Arial"/>
                <w:b/>
                <w:color w:val="000000"/>
                <w:sz w:val="22"/>
              </w:rPr>
            </w:pPr>
            <w:bookmarkStart w:id="229" w:name="Financial_ratios98"/>
            <w:bookmarkEnd w:id="229"/>
            <w:r>
              <w:rPr>
                <w:rFonts w:ascii="Arial" w:hAnsi="Arial"/>
                <w:b/>
                <w:color w:val="000000"/>
                <w:sz w:val="22"/>
              </w:rPr>
              <w:t>Financial ratios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Borrower must ensure that:</w:t>
      </w:r>
      <w:r>
        <w:rPr>
          <w:rFonts w:ascii="Arial" w:hAnsi="Arial"/>
          <w:sz w:val="20"/>
        </w:rPr>
        <w:t xml:space="preserve"> </w:t>
      </w:r>
    </w:p>
    <w:p>
      <w:pPr>
        <w:pStyle w:val="TextBody"/>
        <w:bidi w:val="0"/>
        <w:spacing w:before="139" w:after="0"/>
        <w:ind w:left="4540" w:right="360" w:hanging="0"/>
        <w:jc w:val="left"/>
        <w:rPr>
          <w:rFonts w:ascii="Arial" w:hAnsi="Arial"/>
          <w:b/>
          <w:sz w:val="20"/>
        </w:rPr>
      </w:pPr>
      <w:r>
        <w:rPr>
          <w:rFonts w:ascii="Arial" w:hAnsi="Arial"/>
          <w:b w:val="false"/>
          <w:color w:val="000000"/>
          <w:sz w:val="20"/>
        </w:rPr>
        <w:t>(i)</w:t>
      </w:r>
      <w:r>
        <w:rPr>
          <w:rFonts w:ascii="Arial" w:hAnsi="Arial"/>
          <w:b/>
          <w:color w:val="000000"/>
          <w:sz w:val="20"/>
        </w:rPr>
        <w:t>Fixed Charges Cover Ratio:</w:t>
      </w:r>
      <w:r>
        <w:rPr>
          <w:rFonts w:ascii="Arial" w:hAnsi="Arial"/>
          <w:b/>
          <w:sz w:val="20"/>
        </w:rPr>
        <w:t xml:space="preserve"> </w:t>
      </w:r>
    </w:p>
    <w:p>
      <w:pPr>
        <w:pStyle w:val="TextBody"/>
        <w:bidi w:val="0"/>
        <w:spacing w:lineRule="auto" w:line="264" w:before="135" w:after="0"/>
        <w:ind w:left="5054" w:right="2018" w:hanging="0"/>
        <w:jc w:val="left"/>
        <w:rPr>
          <w:rFonts w:ascii="Arial" w:hAnsi="Arial"/>
          <w:sz w:val="20"/>
        </w:rPr>
      </w:pPr>
      <w:r>
        <w:rPr>
          <w:rFonts w:ascii="Arial" w:hAnsi="Arial"/>
          <w:color w:val="000000"/>
          <w:sz w:val="20"/>
        </w:rPr>
        <w:t xml:space="preserve">(A)subject to </w:t>
      </w:r>
      <w:r>
        <w:rPr>
          <w:rFonts w:ascii="Arial" w:hAnsi="Arial"/>
          <w:b/>
          <w:color w:val="000000"/>
          <w:sz w:val="20"/>
        </w:rPr>
        <w:t>clause 9.8(a)(i)(B)</w:t>
      </w:r>
      <w:r>
        <w:rPr>
          <w:rFonts w:ascii="Arial" w:hAnsi="Arial"/>
          <w:color w:val="000000"/>
          <w:sz w:val="20"/>
        </w:rPr>
        <w:t>, at each Calculation Date commencing 31 March 2024 until 30 June 2025 (inclusive), the Fixed Charges Cover Ratio for the Calculation Period ending on that Calculation Date is not less than 1.40 times;</w:t>
      </w:r>
      <w:r>
        <w:rPr>
          <w:rFonts w:ascii="Arial" w:hAnsi="Arial"/>
          <w:sz w:val="20"/>
        </w:rPr>
        <w:t xml:space="preserve"> </w:t>
      </w:r>
    </w:p>
    <w:p>
      <w:pPr>
        <w:pStyle w:val="TextBody"/>
        <w:bidi w:val="0"/>
        <w:spacing w:lineRule="auto" w:line="264" w:before="107" w:after="0"/>
        <w:ind w:left="5054" w:right="2109" w:hanging="0"/>
        <w:jc w:val="both"/>
        <w:rPr>
          <w:rFonts w:ascii="Arial" w:hAnsi="Arial"/>
          <w:sz w:val="20"/>
        </w:rPr>
      </w:pPr>
      <w:r>
        <w:rPr>
          <w:rFonts w:ascii="Arial" w:hAnsi="Arial"/>
          <w:color w:val="000000"/>
          <w:sz w:val="20"/>
        </w:rPr>
        <w:t>(B)at the Calculation Date 31 December 2024 only, the Fixed Charges Cover Ratio for the Calculation Period ending on that Calculation Date is not less than 1.35 times ; and</w:t>
      </w:r>
      <w:r>
        <w:rPr>
          <w:rFonts w:ascii="Arial" w:hAnsi="Arial"/>
          <w:sz w:val="20"/>
        </w:rPr>
        <w:t xml:space="preserve"> </w:t>
      </w:r>
    </w:p>
    <w:p>
      <w:pPr>
        <w:pStyle w:val="TextBody"/>
        <w:bidi w:val="0"/>
        <w:spacing w:lineRule="auto" w:line="264" w:before="108" w:after="0"/>
        <w:ind w:left="5054" w:right="1987" w:hanging="0"/>
        <w:jc w:val="left"/>
        <w:rPr>
          <w:rFonts w:ascii="Arial" w:hAnsi="Arial"/>
          <w:sz w:val="20"/>
        </w:rPr>
      </w:pPr>
      <w:r>
        <w:rPr>
          <w:rFonts w:ascii="Arial" w:hAnsi="Arial"/>
          <w:color w:val="000000"/>
          <w:sz w:val="20"/>
        </w:rPr>
        <w:t>(C)at each other Calculation Date commencing 30 September 2025, the Fixed Charges Cover Ratio for the Calculation Period ending on that Calculation Date is not less than 1.50 times.</w:t>
      </w:r>
      <w:r>
        <w:rPr>
          <w:rFonts w:ascii="Arial" w:hAnsi="Arial"/>
          <w:sz w:val="20"/>
        </w:rPr>
        <w:t xml:space="preserve"> </w:t>
      </w:r>
    </w:p>
    <w:p>
      <w:pPr>
        <w:pStyle w:val="TextBody"/>
        <w:bidi w:val="0"/>
        <w:spacing w:before="112" w:after="0"/>
        <w:ind w:left="4540" w:right="360" w:hanging="0"/>
        <w:jc w:val="left"/>
        <w:rPr>
          <w:rFonts w:ascii="Arial" w:hAnsi="Arial"/>
          <w:b/>
          <w:sz w:val="20"/>
        </w:rPr>
      </w:pPr>
      <w:r>
        <w:rPr>
          <w:rFonts w:ascii="Arial" w:hAnsi="Arial"/>
          <w:b w:val="false"/>
          <w:color w:val="000000"/>
          <w:sz w:val="20"/>
        </w:rPr>
        <w:t>(ii)</w:t>
      </w:r>
      <w:r>
        <w:rPr>
          <w:rFonts w:ascii="Arial" w:hAnsi="Arial"/>
          <w:b/>
          <w:color w:val="000000"/>
          <w:sz w:val="20"/>
        </w:rPr>
        <w:t>Leverage Ratio:</w:t>
      </w:r>
      <w:r>
        <w:rPr>
          <w:rFonts w:ascii="Arial" w:hAnsi="Arial"/>
          <w:b/>
          <w:sz w:val="20"/>
        </w:rPr>
        <w:t xml:space="preserve"> </w:t>
      </w:r>
    </w:p>
    <w:p>
      <w:pPr>
        <w:pStyle w:val="TextBody"/>
        <w:bidi w:val="0"/>
        <w:spacing w:lineRule="auto" w:line="264" w:before="134" w:after="0"/>
        <w:ind w:left="5054" w:right="2106" w:hanging="0"/>
        <w:jc w:val="both"/>
        <w:rPr>
          <w:rFonts w:ascii="Arial" w:hAnsi="Arial"/>
          <w:sz w:val="20"/>
        </w:rPr>
      </w:pPr>
      <w:r>
        <w:rPr>
          <w:rFonts w:ascii="Arial" w:hAnsi="Arial"/>
          <w:color w:val="000000"/>
          <w:sz w:val="20"/>
        </w:rPr>
        <w:t>(A)at the Calculation Date 30 September 2025, the Leverage Ratio for the Calculation Period ending on that Calculation Date is less than or equal to 4.25 times;</w:t>
      </w:r>
      <w:r>
        <w:rPr>
          <w:rFonts w:ascii="Arial" w:hAnsi="Arial"/>
          <w:sz w:val="20"/>
        </w:rPr>
        <w:t xml:space="preserve"> </w:t>
      </w:r>
    </w:p>
    <w:p>
      <w:pPr>
        <w:pStyle w:val="TextBody"/>
        <w:bidi w:val="0"/>
        <w:spacing w:lineRule="auto" w:line="264" w:before="108" w:after="0"/>
        <w:ind w:left="5054" w:right="2108" w:hanging="0"/>
        <w:jc w:val="both"/>
        <w:rPr>
          <w:rFonts w:ascii="Arial" w:hAnsi="Arial"/>
          <w:sz w:val="20"/>
        </w:rPr>
      </w:pPr>
      <w:r>
        <w:rPr>
          <w:rFonts w:ascii="Arial" w:hAnsi="Arial"/>
          <w:color w:val="000000"/>
          <w:sz w:val="20"/>
        </w:rPr>
        <w:t>(B)at each Calculation Date commencing 31 December 2025 until 31 March 2026 (inclusive), the Leverage Ratio for the Calculation Period ending on that Calculation Date is less than or equal to 4.00 times; and</w:t>
      </w:r>
      <w:r>
        <w:rPr>
          <w:rFonts w:ascii="Arial" w:hAnsi="Arial"/>
          <w:sz w:val="20"/>
        </w:rPr>
        <w:t xml:space="preserve"> </w:t>
      </w:r>
    </w:p>
    <w:p>
      <w:pPr>
        <w:pStyle w:val="TextBody"/>
        <w:bidi w:val="0"/>
        <w:spacing w:lineRule="auto" w:line="264" w:before="107" w:after="0"/>
        <w:ind w:left="5054" w:right="1935" w:hanging="0"/>
        <w:jc w:val="left"/>
        <w:rPr>
          <w:rFonts w:ascii="Arial" w:hAnsi="Arial"/>
          <w:sz w:val="20"/>
        </w:rPr>
      </w:pPr>
      <w:r>
        <w:rPr>
          <w:rFonts w:ascii="Arial" w:hAnsi="Arial"/>
          <w:color w:val="000000"/>
          <w:sz w:val="20"/>
        </w:rPr>
        <w:t>(C)at each other Calculation Date commencing 30 June 2026, the Leverage Ratio for the Calculation Period ending on that Calculation Date is less than or equal to 3.50 times;</w:t>
      </w:r>
      <w:r>
        <w:rPr>
          <w:rFonts w:ascii="Arial" w:hAnsi="Arial"/>
          <w:sz w:val="20"/>
        </w:rPr>
        <w:t xml:space="preserve"> </w:t>
      </w:r>
    </w:p>
    <w:p>
      <w:pPr>
        <w:pStyle w:val="TextBody"/>
        <w:bidi w:val="0"/>
        <w:spacing w:lineRule="auto" w:line="264" w:before="110" w:after="0"/>
        <w:ind w:left="4540" w:right="1929" w:hanging="0"/>
        <w:jc w:val="both"/>
        <w:rPr>
          <w:rFonts w:ascii="Arial" w:hAnsi="Arial"/>
          <w:sz w:val="20"/>
        </w:rPr>
      </w:pPr>
      <w:r>
        <w:rPr>
          <w:rFonts w:ascii="Arial" w:hAnsi="Arial"/>
          <w:color w:val="000000"/>
          <w:sz w:val="20"/>
        </w:rPr>
        <w:t>(iii)</w:t>
      </w:r>
      <w:r>
        <w:rPr>
          <w:rFonts w:ascii="Arial" w:hAnsi="Arial"/>
          <w:b/>
          <w:color w:val="000000"/>
          <w:sz w:val="20"/>
        </w:rPr>
        <w:t>Loan</w:t>
      </w:r>
      <w:r>
        <w:rPr>
          <w:rFonts w:ascii="Arial" w:hAnsi="Arial"/>
          <w:color w:val="000000"/>
          <w:sz w:val="20"/>
        </w:rPr>
        <w:t> </w:t>
      </w:r>
      <w:r>
        <w:rPr>
          <w:rFonts w:ascii="Arial" w:hAnsi="Arial"/>
          <w:b/>
          <w:color w:val="000000"/>
          <w:sz w:val="20"/>
        </w:rPr>
        <w:t>to</w:t>
      </w:r>
      <w:r>
        <w:rPr>
          <w:rFonts w:ascii="Arial" w:hAnsi="Arial"/>
          <w:color w:val="000000"/>
          <w:sz w:val="20"/>
        </w:rPr>
        <w:t> </w:t>
      </w:r>
      <w:r>
        <w:rPr>
          <w:rFonts w:ascii="Arial" w:hAnsi="Arial"/>
          <w:b/>
          <w:color w:val="000000"/>
          <w:sz w:val="20"/>
        </w:rPr>
        <w:t>Value</w:t>
      </w:r>
      <w:r>
        <w:rPr>
          <w:rFonts w:ascii="Arial" w:hAnsi="Arial"/>
          <w:color w:val="000000"/>
          <w:sz w:val="20"/>
        </w:rPr>
        <w:t> </w:t>
      </w:r>
      <w:r>
        <w:rPr>
          <w:rFonts w:ascii="Arial" w:hAnsi="Arial"/>
          <w:b/>
          <w:color w:val="000000"/>
          <w:sz w:val="20"/>
        </w:rPr>
        <w:t>Ratio</w:t>
      </w:r>
      <w:r>
        <w:rPr>
          <w:rFonts w:ascii="Arial" w:hAnsi="Arial"/>
          <w:color w:val="000000"/>
          <w:sz w:val="20"/>
        </w:rPr>
        <w:t>: at each Calculation Date, the Loan to Value Ratio for the Calculation Period ending on that date is less than or equal to 70%; and</w:t>
      </w:r>
      <w:r>
        <w:rPr>
          <w:rFonts w:ascii="Arial" w:hAnsi="Arial"/>
          <w:sz w:val="20"/>
        </w:rPr>
        <w:t xml:space="preserve"> </w:t>
      </w:r>
    </w:p>
    <w:p>
      <w:pPr>
        <w:pStyle w:val="TextBody"/>
        <w:bidi w:val="0"/>
        <w:spacing w:lineRule="auto" w:line="264" w:before="110" w:after="0"/>
        <w:ind w:left="4540" w:right="2250" w:hanging="0"/>
        <w:jc w:val="both"/>
        <w:rPr>
          <w:rFonts w:ascii="Arial" w:hAnsi="Arial"/>
          <w:sz w:val="20"/>
        </w:rPr>
      </w:pPr>
      <w:r>
        <w:rPr>
          <w:rFonts w:ascii="Arial" w:hAnsi="Arial"/>
          <w:color w:val="000000"/>
          <w:sz w:val="20"/>
        </w:rPr>
        <w:t>(iv)</w:t>
      </w:r>
      <w:r>
        <w:rPr>
          <w:rFonts w:ascii="Arial" w:hAnsi="Arial"/>
          <w:b/>
          <w:color w:val="000000"/>
          <w:sz w:val="20"/>
        </w:rPr>
        <w:t>Minimum</w:t>
      </w:r>
      <w:r>
        <w:rPr>
          <w:rFonts w:ascii="Arial" w:hAnsi="Arial"/>
          <w:color w:val="000000"/>
          <w:sz w:val="20"/>
        </w:rPr>
        <w:t> </w:t>
      </w:r>
      <w:r>
        <w:rPr>
          <w:rFonts w:ascii="Arial" w:hAnsi="Arial"/>
          <w:b/>
          <w:color w:val="000000"/>
          <w:sz w:val="20"/>
        </w:rPr>
        <w:t>Liquidity:</w:t>
      </w:r>
      <w:r>
        <w:rPr>
          <w:rFonts w:ascii="Arial" w:hAnsi="Arial"/>
          <w:color w:val="000000"/>
          <w:sz w:val="20"/>
        </w:rPr>
        <w:t> the Borrower's Minimum Liquidity is at all times at least:</w:t>
      </w:r>
      <w:r>
        <w:rPr>
          <w:rFonts w:ascii="Arial" w:hAnsi="Arial"/>
          <w:sz w:val="20"/>
        </w:rPr>
        <w:t xml:space="preserve"> </w:t>
      </w:r>
    </w:p>
    <w:p>
      <w:pPr>
        <w:pStyle w:val="TextBody"/>
        <w:bidi w:val="0"/>
        <w:spacing w:before="111" w:after="0"/>
        <w:ind w:left="5051" w:right="360" w:hanging="0"/>
        <w:jc w:val="both"/>
        <w:rPr>
          <w:rFonts w:ascii="Arial" w:hAnsi="Arial"/>
          <w:sz w:val="20"/>
        </w:rPr>
      </w:pPr>
      <w:r>
        <w:rPr>
          <w:rFonts w:ascii="Arial" w:hAnsi="Arial"/>
          <w:color w:val="000000"/>
          <w:sz w:val="20"/>
        </w:rPr>
        <w:t>(A)up to and until 30 April 2025, $2,500,000; and</w:t>
      </w:r>
      <w:r>
        <w:rPr>
          <w:rFonts w:ascii="Arial" w:hAnsi="Arial"/>
          <w:sz w:val="20"/>
        </w:rPr>
        <w:t xml:space="preserve"> </w:t>
      </w:r>
    </w:p>
    <w:p>
      <w:pPr>
        <w:pStyle w:val="TextBody"/>
        <w:bidi w:val="0"/>
        <w:spacing w:before="138" w:after="0"/>
        <w:ind w:left="5051" w:right="360" w:hanging="0"/>
        <w:jc w:val="both"/>
        <w:rPr>
          <w:rFonts w:ascii="Arial" w:hAnsi="Arial"/>
          <w:sz w:val="20"/>
        </w:rPr>
      </w:pPr>
      <w:r>
        <w:rPr>
          <w:rFonts w:ascii="Arial" w:hAnsi="Arial"/>
          <w:color w:val="000000"/>
          <w:sz w:val="20"/>
        </w:rPr>
        <w:t>(B)thereafter $5,000,000.</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 xml:space="preserve">(b)A financial ratio or amount to be determined under </w:t>
      </w:r>
      <w:r>
        <w:rPr>
          <w:rFonts w:ascii="Arial" w:hAnsi="Arial"/>
          <w:b/>
          <w:color w:val="000000"/>
          <w:sz w:val="20"/>
        </w:rPr>
        <w:t xml:space="preserve">clause </w:t>
      </w:r>
      <w:r>
        <w:rPr>
          <w:rFonts w:ascii="Arial" w:hAnsi="Arial"/>
          <w:b/>
          <w:color w:val="2D97D3"/>
          <w:sz w:val="20"/>
          <w:u w:val="single"/>
        </w:rPr>
        <w:t>9.8</w:t>
      </w:r>
      <w:r>
        <w:rPr>
          <w:rFonts w:ascii="Arial" w:hAnsi="Arial"/>
          <w:b/>
          <w:strike/>
          <w:color w:val="B5082D"/>
          <w:sz w:val="20"/>
        </w:rPr>
        <w:t>9.8</w:t>
      </w:r>
      <w:r>
        <w:rPr>
          <w:rFonts w:ascii="Arial" w:hAnsi="Arial"/>
          <w:b/>
          <w:color w:val="2D97D3"/>
          <w:sz w:val="20"/>
          <w:u w:val="single"/>
        </w:rPr>
        <w:t>(a)</w:t>
      </w:r>
      <w:r>
        <w:rPr>
          <w:rFonts w:ascii="Arial" w:hAnsi="Arial"/>
          <w:b/>
          <w:strike/>
          <w:color w:val="B5082D"/>
          <w:sz w:val="20"/>
        </w:rPr>
        <w:t>(a)</w:t>
      </w:r>
      <w:r>
        <w:rPr>
          <w:rFonts w:ascii="Arial" w:hAnsi="Arial"/>
          <w:color w:val="B5082D"/>
          <w:sz w:val="22"/>
        </w:rPr>
        <w:t> </w:t>
      </w:r>
      <w:r>
        <w:rPr>
          <w:rFonts w:ascii="Arial" w:hAnsi="Arial"/>
          <w:color w:val="000000"/>
          <w:sz w:val="20"/>
        </w:rPr>
        <w:t>must</w:t>
      </w:r>
      <w:r>
        <w:rPr>
          <w:rFonts w:ascii="Arial" w:hAnsi="Arial"/>
          <w:color w:val="000000"/>
          <w:sz w:val="22"/>
        </w:rPr>
        <w:t> </w:t>
      </w:r>
      <w:r>
        <w:rPr>
          <w:rFonts w:ascii="Arial" w:hAnsi="Arial"/>
          <w:color w:val="000000"/>
          <w:sz w:val="20"/>
        </w:rPr>
        <w:t>be</w:t>
      </w:r>
      <w:r>
        <w:rPr>
          <w:rFonts w:ascii="Arial" w:hAnsi="Arial"/>
          <w:color w:val="000000"/>
          <w:sz w:val="22"/>
        </w:rPr>
        <w:t> </w:t>
      </w:r>
      <w:r>
        <w:rPr>
          <w:rFonts w:ascii="Arial" w:hAnsi="Arial"/>
          <w:color w:val="000000"/>
          <w:sz w:val="20"/>
        </w:rPr>
        <w:t>tested</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determined</w:t>
      </w:r>
      <w:r>
        <w:rPr>
          <w:rFonts w:ascii="Arial" w:hAnsi="Arial"/>
          <w:color w:val="000000"/>
          <w:sz w:val="22"/>
        </w:rPr>
        <w:t> </w:t>
      </w:r>
      <w:r>
        <w:rPr>
          <w:rFonts w:ascii="Arial" w:hAnsi="Arial"/>
          <w:color w:val="000000"/>
          <w:sz w:val="20"/>
        </w:rPr>
        <w:t>by</w:t>
      </w:r>
      <w:r>
        <w:rPr>
          <w:rFonts w:ascii="Arial" w:hAnsi="Arial"/>
          <w:color w:val="000000"/>
          <w:sz w:val="22"/>
        </w:rPr>
        <w:t> </w:t>
      </w:r>
      <w:r>
        <w:rPr>
          <w:rFonts w:ascii="Arial" w:hAnsi="Arial"/>
          <w:color w:val="000000"/>
          <w:sz w:val="20"/>
        </w:rPr>
        <w:t>reference</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most</w:t>
      </w:r>
      <w:r>
        <w:rPr>
          <w:rFonts w:ascii="Arial" w:hAnsi="Arial"/>
          <w:color w:val="000000"/>
          <w:sz w:val="22"/>
        </w:rPr>
        <w:t> </w:t>
      </w:r>
      <w:r>
        <w:rPr>
          <w:rFonts w:ascii="Arial" w:hAnsi="Arial"/>
          <w:color w:val="000000"/>
          <w:sz w:val="20"/>
        </w:rPr>
        <w:t>recently</w:t>
      </w:r>
      <w:r>
        <w:rPr>
          <w:rFonts w:ascii="Arial" w:hAnsi="Arial"/>
          <w:color w:val="000000"/>
          <w:sz w:val="22"/>
        </w:rPr>
        <w:t> </w:t>
      </w:r>
      <w:r>
        <w:rPr>
          <w:rFonts w:ascii="Arial" w:hAnsi="Arial"/>
          <w:color w:val="000000"/>
          <w:sz w:val="20"/>
        </w:rPr>
        <w:t>prepared Financial</w:t>
      </w:r>
      <w:r>
        <w:rPr>
          <w:rFonts w:ascii="Arial" w:hAnsi="Arial"/>
          <w:color w:val="000000"/>
          <w:sz w:val="22"/>
        </w:rPr>
        <w:t> </w:t>
      </w:r>
      <w:r>
        <w:rPr>
          <w:rFonts w:ascii="Arial" w:hAnsi="Arial"/>
          <w:color w:val="000000"/>
          <w:sz w:val="20"/>
        </w:rPr>
        <w:t>Statements.</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calculation</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amounts</w:t>
      </w:r>
      <w:r>
        <w:rPr>
          <w:rFonts w:ascii="Arial" w:hAnsi="Arial"/>
          <w:color w:val="000000"/>
          <w:sz w:val="22"/>
        </w:rPr>
        <w:t> </w:t>
      </w:r>
      <w:r>
        <w:rPr>
          <w:rFonts w:ascii="Arial" w:hAnsi="Arial"/>
          <w:color w:val="000000"/>
          <w:sz w:val="20"/>
        </w:rPr>
        <w:t>on</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consolidated</w:t>
      </w:r>
      <w:r>
        <w:rPr>
          <w:rFonts w:ascii="Arial" w:hAnsi="Arial"/>
          <w:sz w:val="22"/>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3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3" descr=""/>
                    <pic:cNvPicPr>
                      <a:picLocks noChangeAspect="1" noChangeArrowheads="1"/>
                    </pic:cNvPicPr>
                  </pic:nvPicPr>
                  <pic:blipFill>
                    <a:blip r:embed="rId13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3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4" descr=""/>
                    <pic:cNvPicPr>
                      <a:picLocks noChangeAspect="1" noChangeArrowheads="1"/>
                    </pic:cNvPicPr>
                  </pic:nvPicPr>
                  <pic:blipFill>
                    <a:blip r:embed="rId13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3988" w:right="1854" w:hanging="0"/>
        <w:jc w:val="left"/>
        <w:rPr>
          <w:rFonts w:ascii="Arial" w:hAnsi="Arial"/>
          <w:sz w:val="20"/>
        </w:rPr>
      </w:pPr>
      <w:r>
        <w:rPr>
          <w:rFonts w:ascii="Arial" w:hAnsi="Arial"/>
          <w:sz w:val="20"/>
        </w:rPr>
        <w:t xml:space="preserve">basis must be made in accordance with the requirements of the Accounting Standards relating to the consolidation of entities. </w:t>
      </w:r>
    </w:p>
    <w:tbl>
      <w:tblPr>
        <w:tblW w:w="2006" w:type="dxa"/>
        <w:jc w:val="left"/>
        <w:tblInd w:w="360" w:type="dxa"/>
        <w:tblLayout w:type="fixed"/>
        <w:tblCellMar>
          <w:top w:w="0" w:type="dxa"/>
          <w:left w:w="0" w:type="dxa"/>
          <w:bottom w:w="0" w:type="dxa"/>
          <w:right w:w="0" w:type="dxa"/>
        </w:tblCellMar>
      </w:tblPr>
      <w:tblGrid>
        <w:gridCol w:w="38"/>
        <w:gridCol w:w="560"/>
        <w:gridCol w:w="23"/>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15.9. </w:t>
            </w:r>
          </w:p>
        </w:tc>
        <w:tc>
          <w:tcPr>
            <w:tcW w:w="23" w:type="dxa"/>
            <w:tcBorders/>
            <w:vAlign w:val="center"/>
          </w:tcPr>
          <w:p>
            <w:pPr>
              <w:pStyle w:val="TableContents"/>
              <w:bidi w:val="0"/>
              <w:spacing w:before="0" w:after="283"/>
              <w:jc w:val="left"/>
              <w:rPr>
                <w:sz w:val="4"/>
                <w:szCs w:val="4"/>
              </w:rPr>
            </w:pPr>
            <w:r>
              <w:rPr>
                <w:sz w:val="4"/>
                <w:szCs w:val="4"/>
              </w:rPr>
            </w:r>
          </w:p>
        </w:tc>
        <w:tc>
          <w:tcPr>
            <w:tcW w:w="1385" w:type="dxa"/>
            <w:tcBorders/>
          </w:tcPr>
          <w:p>
            <w:pPr>
              <w:pStyle w:val="TableContents"/>
              <w:bidi w:val="0"/>
              <w:spacing w:before="174" w:after="0"/>
              <w:ind w:left="0" w:right="0" w:hanging="0"/>
              <w:jc w:val="left"/>
              <w:rPr>
                <w:rFonts w:ascii="Arial" w:hAnsi="Arial"/>
                <w:b/>
                <w:color w:val="000000"/>
                <w:sz w:val="22"/>
              </w:rPr>
            </w:pPr>
            <w:bookmarkStart w:id="230" w:name="Environment99"/>
            <w:bookmarkEnd w:id="230"/>
            <w:r>
              <w:rPr>
                <w:rFonts w:ascii="Arial" w:hAnsi="Arial"/>
                <w:b/>
                <w:color w:val="000000"/>
                <w:sz w:val="22"/>
              </w:rPr>
              <w:t>Environment</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(a)Each Transaction Party must ensure that at all times all practical and reasonable steps that can be taken and measures and precautions that can be adopted are taken or adopted by each Transaction Party to ensure that:</w:t>
      </w:r>
      <w:r>
        <w:rPr>
          <w:rFonts w:ascii="Arial" w:hAnsi="Arial"/>
          <w:sz w:val="20"/>
        </w:rPr>
        <w:t xml:space="preserve"> </w:t>
      </w:r>
    </w:p>
    <w:p>
      <w:pPr>
        <w:pStyle w:val="TextBody"/>
        <w:bidi w:val="0"/>
        <w:spacing w:lineRule="auto" w:line="264" w:before="107" w:after="0"/>
        <w:ind w:left="4540" w:right="2039" w:hanging="0"/>
        <w:jc w:val="left"/>
        <w:rPr>
          <w:rFonts w:ascii="Arial" w:hAnsi="Arial"/>
          <w:sz w:val="20"/>
        </w:rPr>
      </w:pPr>
      <w:r>
        <w:rPr>
          <w:rFonts w:ascii="Arial" w:hAnsi="Arial"/>
          <w:color w:val="000000"/>
          <w:sz w:val="20"/>
        </w:rPr>
        <w:t>(i)all persons, things and activities of any kind on or using the Land comply with all Environmental Laws and any consent, permit, approval, licence, authorisation, certification, order or direction granted or issued under any Environmental Law;</w:t>
      </w:r>
      <w:r>
        <w:rPr>
          <w:rFonts w:ascii="Arial" w:hAnsi="Arial"/>
          <w:sz w:val="20"/>
        </w:rPr>
        <w:t xml:space="preserve"> </w:t>
      </w:r>
    </w:p>
    <w:p>
      <w:pPr>
        <w:pStyle w:val="TextBody"/>
        <w:bidi w:val="0"/>
        <w:spacing w:lineRule="auto" w:line="264" w:before="107" w:after="0"/>
        <w:ind w:left="4540" w:right="1898" w:hanging="0"/>
        <w:jc w:val="left"/>
        <w:rPr>
          <w:rFonts w:ascii="Arial" w:hAnsi="Arial"/>
          <w:sz w:val="20"/>
        </w:rPr>
      </w:pPr>
      <w:r>
        <w:rPr>
          <w:rFonts w:ascii="Arial" w:hAnsi="Arial"/>
          <w:color w:val="000000"/>
          <w:sz w:val="20"/>
        </w:rPr>
        <w:t>(ii)if there is any non-compliance with any Environmental Law or any consent, permit, approval, licence, authorisation, certification, order or direction granted or issued under any Environmental Law:</w:t>
      </w:r>
      <w:r>
        <w:rPr>
          <w:rFonts w:ascii="Arial" w:hAnsi="Arial"/>
          <w:sz w:val="20"/>
        </w:rPr>
        <w:t xml:space="preserve"> </w:t>
      </w:r>
    </w:p>
    <w:p>
      <w:pPr>
        <w:pStyle w:val="TextBody"/>
        <w:bidi w:val="0"/>
        <w:spacing w:lineRule="auto" w:line="266" w:before="108" w:after="0"/>
        <w:ind w:left="5054" w:right="2119" w:hanging="0"/>
        <w:jc w:val="left"/>
        <w:rPr>
          <w:rFonts w:ascii="Arial" w:hAnsi="Arial"/>
          <w:sz w:val="20"/>
        </w:rPr>
      </w:pPr>
      <w:r>
        <w:rPr>
          <w:rFonts w:ascii="Arial" w:hAnsi="Arial"/>
          <w:color w:val="000000"/>
          <w:sz w:val="20"/>
        </w:rPr>
        <w:t>(A)the impact on the Land and the environment is minimised; and</w:t>
      </w:r>
      <w:r>
        <w:rPr>
          <w:rFonts w:ascii="Arial" w:hAnsi="Arial"/>
          <w:sz w:val="20"/>
        </w:rPr>
        <w:t xml:space="preserve"> </w:t>
      </w:r>
    </w:p>
    <w:p>
      <w:pPr>
        <w:pStyle w:val="TextBody"/>
        <w:bidi w:val="0"/>
        <w:spacing w:lineRule="auto" w:line="264" w:before="106" w:after="0"/>
        <w:ind w:left="5054" w:right="1933" w:hanging="0"/>
        <w:jc w:val="left"/>
        <w:rPr>
          <w:rFonts w:ascii="Arial" w:hAnsi="Arial"/>
          <w:sz w:val="20"/>
        </w:rPr>
      </w:pPr>
      <w:r>
        <w:rPr>
          <w:rFonts w:ascii="Arial" w:hAnsi="Arial"/>
          <w:color w:val="000000"/>
          <w:sz w:val="20"/>
        </w:rPr>
        <w:t>(B)steps are taken as quickly as possible to rectify the non- compliance, eliminate or reduce any liability arising from the non-compliance and to ensure the non-compliance does not recur;</w:t>
      </w:r>
      <w:r>
        <w:rPr>
          <w:rFonts w:ascii="Arial" w:hAnsi="Arial"/>
          <w:sz w:val="20"/>
        </w:rPr>
        <w:t xml:space="preserve"> </w:t>
      </w:r>
    </w:p>
    <w:p>
      <w:pPr>
        <w:pStyle w:val="TextBody"/>
        <w:bidi w:val="0"/>
        <w:spacing w:before="112" w:after="0"/>
        <w:ind w:left="4539" w:right="360" w:hanging="0"/>
        <w:jc w:val="left"/>
        <w:rPr>
          <w:rFonts w:ascii="Arial" w:hAnsi="Arial"/>
          <w:sz w:val="20"/>
        </w:rPr>
      </w:pPr>
      <w:r>
        <w:rPr>
          <w:rFonts w:ascii="Arial" w:hAnsi="Arial"/>
          <w:color w:val="000000"/>
          <w:sz w:val="20"/>
        </w:rPr>
        <w:t>(iii)it or any person on the Land does not:</w:t>
      </w:r>
      <w:r>
        <w:rPr>
          <w:rFonts w:ascii="Arial" w:hAnsi="Arial"/>
          <w:sz w:val="20"/>
        </w:rPr>
        <w:t xml:space="preserve"> </w:t>
      </w:r>
    </w:p>
    <w:p>
      <w:pPr>
        <w:pStyle w:val="TextBody"/>
        <w:bidi w:val="0"/>
        <w:spacing w:lineRule="auto" w:line="264" w:before="134" w:after="0"/>
        <w:ind w:left="5054" w:right="2075" w:hanging="0"/>
        <w:jc w:val="left"/>
        <w:rPr>
          <w:rFonts w:ascii="Arial" w:hAnsi="Arial"/>
          <w:sz w:val="20"/>
        </w:rPr>
      </w:pPr>
      <w:r>
        <w:rPr>
          <w:rFonts w:ascii="Arial" w:hAnsi="Arial"/>
          <w:color w:val="000000"/>
          <w:sz w:val="20"/>
        </w:rPr>
        <w:t>(A)allow onto or permit to exist on the Land any Contaminant; or</w:t>
      </w:r>
      <w:r>
        <w:rPr>
          <w:rFonts w:ascii="Arial" w:hAnsi="Arial"/>
          <w:sz w:val="20"/>
        </w:rPr>
        <w:t xml:space="preserve"> </w:t>
      </w:r>
    </w:p>
    <w:p>
      <w:pPr>
        <w:pStyle w:val="TextBody"/>
        <w:bidi w:val="0"/>
        <w:spacing w:lineRule="auto" w:line="264" w:before="111" w:after="0"/>
        <w:ind w:left="5054" w:right="2460" w:hanging="0"/>
        <w:jc w:val="left"/>
        <w:rPr>
          <w:rFonts w:ascii="Arial" w:hAnsi="Arial"/>
          <w:sz w:val="20"/>
        </w:rPr>
      </w:pPr>
      <w:r>
        <w:rPr>
          <w:rFonts w:ascii="Arial" w:hAnsi="Arial"/>
          <w:color w:val="000000"/>
          <w:sz w:val="20"/>
        </w:rPr>
        <w:t>(B)allow a Contaminant to escape or be released into the environment,</w:t>
      </w:r>
      <w:r>
        <w:rPr>
          <w:rFonts w:ascii="Arial" w:hAnsi="Arial"/>
          <w:sz w:val="20"/>
        </w:rPr>
        <w:t xml:space="preserve"> </w:t>
      </w:r>
    </w:p>
    <w:p>
      <w:pPr>
        <w:pStyle w:val="TextBody"/>
        <w:bidi w:val="0"/>
        <w:spacing w:lineRule="auto" w:line="264" w:before="109" w:after="0"/>
        <w:ind w:left="5054" w:right="1854" w:hanging="0"/>
        <w:jc w:val="left"/>
        <w:rPr>
          <w:rFonts w:ascii="Arial" w:hAnsi="Arial"/>
          <w:sz w:val="20"/>
        </w:rPr>
      </w:pPr>
      <w:r>
        <w:rPr>
          <w:rFonts w:ascii="Arial" w:hAnsi="Arial"/>
          <w:color w:val="000000"/>
          <w:sz w:val="20"/>
        </w:rPr>
        <w:t>if to do so would be in breach of any Environmental Law or any consent, permit, approval, licence, authorisation, certification, order or direction granted or issued under any Environmental Law or could give rise to an order or direction being issued under any Environmental Law; and</w:t>
      </w:r>
      <w:r>
        <w:rPr>
          <w:rFonts w:ascii="Arial" w:hAnsi="Arial"/>
          <w:sz w:val="20"/>
        </w:rPr>
        <w:t xml:space="preserve"> </w:t>
      </w:r>
    </w:p>
    <w:p>
      <w:pPr>
        <w:pStyle w:val="TextBody"/>
        <w:bidi w:val="0"/>
        <w:spacing w:lineRule="auto" w:line="264" w:before="106" w:after="0"/>
        <w:ind w:left="4540" w:right="1889" w:hanging="0"/>
        <w:jc w:val="left"/>
        <w:rPr>
          <w:rFonts w:ascii="Arial" w:hAnsi="Arial"/>
          <w:sz w:val="20"/>
        </w:rPr>
      </w:pPr>
      <w:r>
        <w:rPr>
          <w:rFonts w:ascii="Arial" w:hAnsi="Arial"/>
          <w:color w:val="000000"/>
          <w:sz w:val="20"/>
        </w:rPr>
        <w:t>(iv)if any Contaminant is discovered on or affecting the Land (other than a Contaminant which is safely stored in accordance with lawful authority) or, without lawful authority, escapes or is released from the Land into the environment:</w:t>
      </w:r>
      <w:r>
        <w:rPr>
          <w:rFonts w:ascii="Arial" w:hAnsi="Arial"/>
          <w:sz w:val="20"/>
        </w:rPr>
        <w:t xml:space="preserve"> </w:t>
      </w:r>
    </w:p>
    <w:p>
      <w:pPr>
        <w:pStyle w:val="TextBody"/>
        <w:bidi w:val="0"/>
        <w:spacing w:lineRule="auto" w:line="266" w:before="107" w:after="0"/>
        <w:ind w:left="5054" w:right="2119" w:hanging="0"/>
        <w:jc w:val="left"/>
        <w:rPr>
          <w:rFonts w:ascii="Arial" w:hAnsi="Arial"/>
          <w:sz w:val="20"/>
        </w:rPr>
      </w:pPr>
      <w:r>
        <w:rPr>
          <w:rFonts w:ascii="Arial" w:hAnsi="Arial"/>
          <w:color w:val="000000"/>
          <w:sz w:val="20"/>
        </w:rPr>
        <w:t>(A)the impact on the Land and the environment is minimised; and</w:t>
      </w:r>
      <w:r>
        <w:rPr>
          <w:rFonts w:ascii="Arial" w:hAnsi="Arial"/>
          <w:sz w:val="20"/>
        </w:rPr>
        <w:t xml:space="preserve"> </w:t>
      </w:r>
    </w:p>
    <w:p>
      <w:pPr>
        <w:pStyle w:val="TextBody"/>
        <w:bidi w:val="0"/>
        <w:spacing w:lineRule="auto" w:line="264" w:before="106" w:after="0"/>
        <w:ind w:left="5054" w:right="1889" w:hanging="0"/>
        <w:jc w:val="left"/>
        <w:rPr>
          <w:rFonts w:ascii="Arial" w:hAnsi="Arial"/>
          <w:sz w:val="20"/>
        </w:rPr>
      </w:pPr>
      <w:r>
        <w:rPr>
          <w:rFonts w:ascii="Arial" w:hAnsi="Arial"/>
          <w:color w:val="000000"/>
          <w:sz w:val="20"/>
        </w:rPr>
        <w:t>(B)steps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 or reduce any liability arising from the Contaminant</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3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5" descr=""/>
                    <pic:cNvPicPr>
                      <a:picLocks noChangeAspect="1" noChangeArrowheads="1"/>
                    </pic:cNvPicPr>
                  </pic:nvPicPr>
                  <pic:blipFill>
                    <a:blip r:embed="rId13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3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6" descr=""/>
                    <pic:cNvPicPr>
                      <a:picLocks noChangeAspect="1" noChangeArrowheads="1"/>
                    </pic:cNvPicPr>
                  </pic:nvPicPr>
                  <pic:blipFill>
                    <a:blip r:embed="rId13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5054" w:right="1854" w:hanging="0"/>
        <w:jc w:val="left"/>
        <w:rPr>
          <w:rFonts w:ascii="Arial" w:hAnsi="Arial"/>
          <w:sz w:val="20"/>
        </w:rPr>
      </w:pPr>
      <w:r>
        <w:rPr>
          <w:rFonts w:ascii="Arial" w:hAnsi="Arial"/>
          <w:sz w:val="20"/>
        </w:rPr>
        <w:t xml:space="preserve">and do all things necessary to restore the Land and the environment. </w:t>
      </w:r>
    </w:p>
    <w:p>
      <w:pPr>
        <w:pStyle w:val="TextBody"/>
        <w:bidi w:val="0"/>
        <w:spacing w:lineRule="auto" w:line="264" w:before="107" w:after="0"/>
        <w:ind w:left="3983" w:right="1956" w:hanging="0"/>
        <w:jc w:val="left"/>
        <w:rPr>
          <w:rFonts w:ascii="Arial" w:hAnsi="Arial"/>
          <w:sz w:val="22"/>
        </w:rPr>
      </w:pPr>
      <w:r>
        <w:rPr>
          <w:rFonts w:ascii="Arial" w:hAnsi="Arial"/>
          <w:sz w:val="20"/>
        </w:rPr>
        <w:t>(b)If</w:t>
      </w:r>
      <w:r>
        <w:rPr>
          <w:rFonts w:ascii="Arial" w:hAnsi="Arial"/>
          <w:sz w:val="22"/>
        </w:rPr>
        <w:t> </w:t>
      </w:r>
      <w:r>
        <w:rPr>
          <w:rFonts w:ascii="Arial" w:hAnsi="Arial"/>
          <w:sz w:val="20"/>
        </w:rPr>
        <w:t>there</w:t>
      </w:r>
      <w:r>
        <w:rPr>
          <w:rFonts w:ascii="Arial" w:hAnsi="Arial"/>
          <w:sz w:val="22"/>
        </w:rPr>
        <w:t> </w:t>
      </w:r>
      <w:r>
        <w:rPr>
          <w:rFonts w:ascii="Arial" w:hAnsi="Arial"/>
          <w:sz w:val="20"/>
        </w:rPr>
        <w:t>is</w:t>
      </w:r>
      <w:r>
        <w:rPr>
          <w:rFonts w:ascii="Arial" w:hAnsi="Arial"/>
          <w:sz w:val="22"/>
        </w:rPr>
        <w:t> </w:t>
      </w:r>
      <w:r>
        <w:rPr>
          <w:rFonts w:ascii="Arial" w:hAnsi="Arial"/>
          <w:sz w:val="20"/>
        </w:rPr>
        <w:t>any</w:t>
      </w:r>
      <w:r>
        <w:rPr>
          <w:rFonts w:ascii="Arial" w:hAnsi="Arial"/>
          <w:sz w:val="22"/>
        </w:rPr>
        <w:t> </w:t>
      </w:r>
      <w:r>
        <w:rPr>
          <w:rFonts w:ascii="Arial" w:hAnsi="Arial"/>
          <w:sz w:val="20"/>
        </w:rPr>
        <w:t>non-compliance</w:t>
      </w:r>
      <w:r>
        <w:rPr>
          <w:rFonts w:ascii="Arial" w:hAnsi="Arial"/>
          <w:sz w:val="22"/>
        </w:rPr>
        <w:t> </w:t>
      </w:r>
      <w:r>
        <w:rPr>
          <w:rFonts w:ascii="Arial" w:hAnsi="Arial"/>
          <w:sz w:val="20"/>
        </w:rPr>
        <w:t>under</w:t>
      </w:r>
      <w:r>
        <w:rPr>
          <w:rFonts w:ascii="Arial" w:hAnsi="Arial"/>
          <w:sz w:val="22"/>
        </w:rPr>
        <w:t xml:space="preserve"> </w:t>
      </w:r>
    </w:p>
    <w:p>
      <w:pPr>
        <w:pStyle w:val="TextBody"/>
        <w:bidi w:val="0"/>
        <w:spacing w:lineRule="auto" w:line="264" w:before="22" w:after="0"/>
        <w:ind w:left="3950" w:right="1854" w:hanging="0"/>
        <w:jc w:val="left"/>
        <w:rPr>
          <w:rFonts w:ascii="Arial" w:hAnsi="Arial"/>
          <w:sz w:val="20"/>
        </w:rPr>
      </w:pPr>
      <w:r>
        <w:rPr>
          <w:rFonts w:ascii="Arial" w:hAnsi="Arial"/>
          <w:b/>
          <w:sz w:val="20"/>
        </w:rPr>
        <w:t xml:space="preserve">clauses </w:t>
      </w:r>
      <w:r>
        <w:rPr>
          <w:rFonts w:ascii="Arial" w:hAnsi="Arial"/>
          <w:b/>
          <w:color w:val="2D97D3"/>
          <w:sz w:val="20"/>
          <w:u w:val="single"/>
        </w:rPr>
        <w:t>9.9</w:t>
      </w:r>
      <w:r>
        <w:rPr>
          <w:rFonts w:ascii="Arial" w:hAnsi="Arial"/>
          <w:b/>
          <w:strike/>
          <w:color w:val="B5082D"/>
          <w:sz w:val="20"/>
        </w:rPr>
        <w:t>9.9</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w:t>
      </w:r>
      <w:r>
        <w:rPr>
          <w:rFonts w:ascii="Arial" w:hAnsi="Arial"/>
          <w:b/>
          <w:strike/>
          <w:color w:val="B5082D"/>
          <w:sz w:val="20"/>
        </w:rPr>
        <w:t>(i)</w:t>
      </w:r>
      <w:r>
        <w:rPr>
          <w:rFonts w:ascii="Arial" w:hAnsi="Arial"/>
          <w:sz w:val="20"/>
        </w:rPr>
        <w:t>,  </w:t>
      </w:r>
      <w:r>
        <w:rPr>
          <w:rFonts w:ascii="Arial" w:hAnsi="Arial"/>
          <w:b/>
          <w:color w:val="2D97D3"/>
          <w:sz w:val="20"/>
          <w:u w:val="single"/>
        </w:rPr>
        <w:t>(ii)</w:t>
      </w:r>
      <w:r>
        <w:rPr>
          <w:rFonts w:ascii="Arial" w:hAnsi="Arial"/>
          <w:b/>
          <w:strike/>
          <w:color w:val="B5082D"/>
          <w:sz w:val="20"/>
        </w:rPr>
        <w:t>(ii)</w:t>
      </w:r>
      <w:r>
        <w:rPr>
          <w:rFonts w:ascii="Arial" w:hAnsi="Arial"/>
          <w:color w:val="B5082D"/>
          <w:sz w:val="20"/>
        </w:rPr>
        <w:t> </w:t>
      </w:r>
      <w:r>
        <w:rPr>
          <w:rFonts w:ascii="Arial" w:hAnsi="Arial"/>
          <w:sz w:val="20"/>
        </w:rPr>
        <w:t xml:space="preserve">or </w:t>
      </w:r>
      <w:r>
        <w:rPr>
          <w:rFonts w:ascii="Arial" w:hAnsi="Arial"/>
          <w:b/>
          <w:color w:val="2D97D3"/>
          <w:sz w:val="20"/>
          <w:u w:val="single"/>
        </w:rPr>
        <w:t>(iii)</w:t>
      </w:r>
      <w:r>
        <w:rPr>
          <w:rFonts w:ascii="Arial" w:hAnsi="Arial"/>
          <w:b/>
          <w:strike/>
          <w:color w:val="B5082D"/>
          <w:sz w:val="20"/>
        </w:rPr>
        <w:t>(iii)</w:t>
      </w:r>
      <w:r>
        <w:rPr>
          <w:rFonts w:ascii="Arial" w:hAnsi="Arial"/>
          <w:color w:val="B5082D"/>
          <w:sz w:val="20"/>
        </w:rPr>
        <w:t> </w:t>
      </w:r>
      <w:r>
        <w:rPr>
          <w:rFonts w:ascii="Arial" w:hAnsi="Arial"/>
          <w:sz w:val="20"/>
        </w:rPr>
        <w:t xml:space="preserve">or any Contaminant is discovered or the Borrower has reason to believe that there is some Contaminant on the Land requiring action to be taken under </w:t>
      </w:r>
    </w:p>
    <w:p>
      <w:pPr>
        <w:pStyle w:val="TextBody"/>
        <w:bidi w:val="0"/>
        <w:spacing w:lineRule="auto" w:line="268" w:before="0" w:after="0"/>
        <w:ind w:left="3950" w:right="1854" w:hanging="0"/>
        <w:jc w:val="left"/>
        <w:rPr>
          <w:rFonts w:ascii="Arial" w:hAnsi="Arial"/>
          <w:sz w:val="20"/>
        </w:rPr>
      </w:pPr>
      <w:r>
        <w:rPr>
          <w:rFonts w:ascii="Arial" w:hAnsi="Arial"/>
          <w:b/>
          <w:sz w:val="20"/>
        </w:rPr>
        <w:t>clause</w:t>
      </w:r>
      <w:r>
        <w:rPr>
          <w:rFonts w:ascii="Arial" w:hAnsi="Arial"/>
          <w:sz w:val="20"/>
        </w:rPr>
        <w:t> </w:t>
      </w:r>
      <w:r>
        <w:rPr>
          <w:rFonts w:ascii="Arial" w:hAnsi="Arial"/>
          <w:b/>
          <w:color w:val="2D97D3"/>
          <w:sz w:val="20"/>
          <w:u w:val="single"/>
        </w:rPr>
        <w:t>9.9</w:t>
      </w:r>
      <w:r>
        <w:rPr>
          <w:rFonts w:ascii="Arial" w:hAnsi="Arial"/>
          <w:b/>
          <w:strike/>
          <w:color w:val="B5082D"/>
          <w:sz w:val="20"/>
        </w:rPr>
        <w:t>9.9</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(iv)</w:t>
      </w:r>
      <w:r>
        <w:rPr>
          <w:rFonts w:ascii="Arial" w:hAnsi="Arial"/>
          <w:b/>
          <w:strike/>
          <w:color w:val="B5082D"/>
          <w:sz w:val="20"/>
        </w:rPr>
        <w:t>(iv)</w:t>
      </w:r>
      <w:r>
        <w:rPr>
          <w:rFonts w:ascii="Arial" w:hAnsi="Arial"/>
          <w:sz w:val="20"/>
        </w:rPr>
        <w:t xml:space="preserve">, the Borrower must immediately notify the Bank. </w:t>
      </w:r>
    </w:p>
    <w:p>
      <w:pPr>
        <w:pStyle w:val="TextBody"/>
        <w:bidi w:val="0"/>
        <w:spacing w:before="99" w:after="0"/>
        <w:ind w:left="3949" w:right="360" w:hanging="0"/>
        <w:jc w:val="left"/>
        <w:rPr>
          <w:rFonts w:ascii="Arial" w:hAnsi="Arial"/>
          <w:sz w:val="22"/>
        </w:rPr>
      </w:pPr>
      <w:r>
        <w:rPr>
          <w:rFonts w:ascii="Arial" w:hAnsi="Arial"/>
          <w:sz w:val="20"/>
        </w:rPr>
        <w:t>(c)If</w:t>
      </w:r>
      <w:r>
        <w:rPr>
          <w:rFonts w:ascii="Arial" w:hAnsi="Arial"/>
          <w:sz w:val="22"/>
        </w:rPr>
        <w:t> </w:t>
      </w:r>
      <w:r>
        <w:rPr>
          <w:rFonts w:ascii="Arial" w:hAnsi="Arial"/>
          <w:sz w:val="20"/>
        </w:rPr>
        <w:t>there</w:t>
      </w:r>
      <w:r>
        <w:rPr>
          <w:rFonts w:ascii="Arial" w:hAnsi="Arial"/>
          <w:sz w:val="22"/>
        </w:rPr>
        <w:t> </w:t>
      </w:r>
      <w:r>
        <w:rPr>
          <w:rFonts w:ascii="Arial" w:hAnsi="Arial"/>
          <w:sz w:val="20"/>
        </w:rPr>
        <w:t>is</w:t>
      </w:r>
      <w:r>
        <w:rPr>
          <w:rFonts w:ascii="Arial" w:hAnsi="Arial"/>
          <w:sz w:val="22"/>
        </w:rPr>
        <w:t> </w:t>
      </w:r>
      <w:r>
        <w:rPr>
          <w:rFonts w:ascii="Arial" w:hAnsi="Arial"/>
          <w:sz w:val="20"/>
        </w:rPr>
        <w:t>or</w:t>
      </w:r>
      <w:r>
        <w:rPr>
          <w:rFonts w:ascii="Arial" w:hAnsi="Arial"/>
          <w:sz w:val="22"/>
        </w:rPr>
        <w:t> </w:t>
      </w:r>
      <w:r>
        <w:rPr>
          <w:rFonts w:ascii="Arial" w:hAnsi="Arial"/>
          <w:sz w:val="20"/>
        </w:rPr>
        <w:t>the</w:t>
      </w:r>
      <w:r>
        <w:rPr>
          <w:rFonts w:ascii="Arial" w:hAnsi="Arial"/>
          <w:sz w:val="22"/>
        </w:rPr>
        <w:t> </w:t>
      </w:r>
      <w:r>
        <w:rPr>
          <w:rFonts w:ascii="Arial" w:hAnsi="Arial"/>
          <w:sz w:val="20"/>
        </w:rPr>
        <w:t>Bank</w:t>
      </w:r>
      <w:r>
        <w:rPr>
          <w:rFonts w:ascii="Arial" w:hAnsi="Arial"/>
          <w:sz w:val="22"/>
        </w:rPr>
        <w:t> </w:t>
      </w:r>
      <w:r>
        <w:rPr>
          <w:rFonts w:ascii="Arial" w:hAnsi="Arial"/>
          <w:sz w:val="20"/>
        </w:rPr>
        <w:t>has</w:t>
      </w:r>
      <w:r>
        <w:rPr>
          <w:rFonts w:ascii="Arial" w:hAnsi="Arial"/>
          <w:sz w:val="22"/>
        </w:rPr>
        <w:t> </w:t>
      </w:r>
      <w:r>
        <w:rPr>
          <w:rFonts w:ascii="Arial" w:hAnsi="Arial"/>
          <w:sz w:val="20"/>
        </w:rPr>
        <w:t>reason</w:t>
      </w:r>
      <w:r>
        <w:rPr>
          <w:rFonts w:ascii="Arial" w:hAnsi="Arial"/>
          <w:sz w:val="22"/>
        </w:rPr>
        <w:t> </w:t>
      </w:r>
      <w:r>
        <w:rPr>
          <w:rFonts w:ascii="Arial" w:hAnsi="Arial"/>
          <w:sz w:val="20"/>
        </w:rPr>
        <w:t>to</w:t>
      </w:r>
      <w:r>
        <w:rPr>
          <w:rFonts w:ascii="Arial" w:hAnsi="Arial"/>
          <w:sz w:val="22"/>
        </w:rPr>
        <w:t> </w:t>
      </w:r>
      <w:r>
        <w:rPr>
          <w:rFonts w:ascii="Arial" w:hAnsi="Arial"/>
          <w:sz w:val="20"/>
        </w:rPr>
        <w:t>believe</w:t>
      </w:r>
      <w:r>
        <w:rPr>
          <w:rFonts w:ascii="Arial" w:hAnsi="Arial"/>
          <w:sz w:val="22"/>
        </w:rPr>
        <w:t> </w:t>
      </w:r>
      <w:r>
        <w:rPr>
          <w:rFonts w:ascii="Arial" w:hAnsi="Arial"/>
          <w:sz w:val="20"/>
        </w:rPr>
        <w:t>that</w:t>
      </w:r>
      <w:r>
        <w:rPr>
          <w:rFonts w:ascii="Arial" w:hAnsi="Arial"/>
          <w:sz w:val="22"/>
        </w:rPr>
        <w:t> </w:t>
      </w:r>
      <w:r>
        <w:rPr>
          <w:rFonts w:ascii="Arial" w:hAnsi="Arial"/>
          <w:sz w:val="20"/>
        </w:rPr>
        <w:t>there</w:t>
      </w:r>
      <w:r>
        <w:rPr>
          <w:rFonts w:ascii="Arial" w:hAnsi="Arial"/>
          <w:sz w:val="22"/>
        </w:rPr>
        <w:t> </w:t>
      </w:r>
      <w:r>
        <w:rPr>
          <w:rFonts w:ascii="Arial" w:hAnsi="Arial"/>
          <w:sz w:val="20"/>
        </w:rPr>
        <w:t>may</w:t>
      </w:r>
      <w:r>
        <w:rPr>
          <w:rFonts w:ascii="Arial" w:hAnsi="Arial"/>
          <w:sz w:val="22"/>
        </w:rPr>
        <w:t> </w:t>
      </w:r>
      <w:r>
        <w:rPr>
          <w:rFonts w:ascii="Arial" w:hAnsi="Arial"/>
          <w:sz w:val="20"/>
        </w:rPr>
        <w:t>be</w:t>
      </w:r>
      <w:r>
        <w:rPr>
          <w:rFonts w:ascii="Arial" w:hAnsi="Arial"/>
          <w:sz w:val="22"/>
        </w:rPr>
        <w:t> </w:t>
      </w:r>
      <w:r>
        <w:rPr>
          <w:rFonts w:ascii="Arial" w:hAnsi="Arial"/>
          <w:sz w:val="20"/>
        </w:rPr>
        <w:t>any</w:t>
      </w:r>
      <w:r>
        <w:rPr>
          <w:rFonts w:ascii="Arial" w:hAnsi="Arial"/>
          <w:sz w:val="22"/>
        </w:rPr>
        <w:t xml:space="preserve"> </w:t>
      </w:r>
    </w:p>
    <w:p>
      <w:pPr>
        <w:pStyle w:val="TextBody"/>
        <w:bidi w:val="0"/>
        <w:spacing w:lineRule="auto" w:line="264" w:before="107" w:after="0"/>
        <w:ind w:left="3983" w:right="1956" w:hanging="533"/>
        <w:jc w:val="left"/>
        <w:rPr>
          <w:rFonts w:ascii="Arial" w:hAnsi="Arial"/>
          <w:sz w:val="20"/>
        </w:rPr>
      </w:pPr>
      <w:r>
        <w:rPr>
          <w:rFonts w:ascii="Arial" w:hAnsi="Arial"/>
          <w:sz w:val="20"/>
        </w:rPr>
        <w:t xml:space="preserve">non-compliance under </w:t>
      </w:r>
      <w:r>
        <w:rPr>
          <w:rFonts w:ascii="Arial" w:hAnsi="Arial"/>
          <w:b/>
          <w:sz w:val="20"/>
        </w:rPr>
        <w:t xml:space="preserve">clauses </w:t>
      </w:r>
      <w:r>
        <w:rPr>
          <w:rFonts w:ascii="Arial" w:hAnsi="Arial"/>
          <w:b/>
          <w:color w:val="2D97D3"/>
          <w:sz w:val="20"/>
          <w:u w:val="single"/>
        </w:rPr>
        <w:t>9.9</w:t>
      </w:r>
      <w:r>
        <w:rPr>
          <w:rFonts w:ascii="Arial" w:hAnsi="Arial"/>
          <w:b/>
          <w:strike/>
          <w:color w:val="B5082D"/>
          <w:sz w:val="20"/>
        </w:rPr>
        <w:t>9.9</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w:t>
      </w:r>
      <w:r>
        <w:rPr>
          <w:rFonts w:ascii="Arial" w:hAnsi="Arial"/>
          <w:b/>
          <w:strike/>
          <w:color w:val="B5082D"/>
          <w:sz w:val="20"/>
        </w:rPr>
        <w:t>(i)</w:t>
      </w:r>
      <w:r>
        <w:rPr>
          <w:rFonts w:ascii="Arial" w:hAnsi="Arial"/>
          <w:sz w:val="20"/>
        </w:rPr>
        <w:t>,  </w:t>
      </w:r>
      <w:r>
        <w:rPr>
          <w:rFonts w:ascii="Arial" w:hAnsi="Arial"/>
          <w:b/>
          <w:color w:val="2D97D3"/>
          <w:sz w:val="20"/>
          <w:u w:val="single"/>
        </w:rPr>
        <w:t>(ii)</w:t>
      </w:r>
      <w:r>
        <w:rPr>
          <w:rFonts w:ascii="Arial" w:hAnsi="Arial"/>
          <w:b/>
          <w:strike/>
          <w:color w:val="B5082D"/>
          <w:sz w:val="20"/>
        </w:rPr>
        <w:t>(ii)</w:t>
      </w:r>
      <w:r>
        <w:rPr>
          <w:rFonts w:ascii="Arial" w:hAnsi="Arial"/>
          <w:color w:val="B5082D"/>
          <w:sz w:val="20"/>
        </w:rPr>
        <w:t> </w:t>
      </w:r>
      <w:r>
        <w:rPr>
          <w:rFonts w:ascii="Arial" w:hAnsi="Arial"/>
          <w:sz w:val="20"/>
        </w:rPr>
        <w:t xml:space="preserve">or </w:t>
      </w:r>
      <w:r>
        <w:rPr>
          <w:rFonts w:ascii="Arial" w:hAnsi="Arial"/>
          <w:b/>
          <w:color w:val="2D97D3"/>
          <w:sz w:val="20"/>
          <w:u w:val="single"/>
        </w:rPr>
        <w:t>(iii)</w:t>
      </w:r>
      <w:r>
        <w:rPr>
          <w:rFonts w:ascii="Arial" w:hAnsi="Arial"/>
          <w:b/>
          <w:strike/>
          <w:color w:val="B5082D"/>
          <w:sz w:val="20"/>
        </w:rPr>
        <w:t>(iii)</w:t>
      </w:r>
      <w:r>
        <w:rPr>
          <w:rFonts w:ascii="Arial" w:hAnsi="Arial"/>
          <w:color w:val="B5082D"/>
          <w:sz w:val="20"/>
        </w:rPr>
        <w:t> </w:t>
      </w:r>
      <w:r>
        <w:rPr>
          <w:rFonts w:ascii="Arial" w:hAnsi="Arial"/>
          <w:sz w:val="20"/>
        </w:rPr>
        <w:t xml:space="preserve">or any Contaminant is discovered or the Bank has reason to believe that there is some Contaminant on the Land requiring action to be taken under </w:t>
      </w:r>
      <w:r>
        <w:rPr>
          <w:rFonts w:ascii="Arial" w:hAnsi="Arial"/>
          <w:b/>
          <w:sz w:val="20"/>
        </w:rPr>
        <w:t xml:space="preserve">clause </w:t>
      </w:r>
      <w:r>
        <w:rPr>
          <w:rFonts w:ascii="Arial" w:hAnsi="Arial"/>
          <w:b/>
          <w:color w:val="2D97D3"/>
          <w:sz w:val="20"/>
          <w:u w:val="single"/>
        </w:rPr>
        <w:t>9.9</w:t>
      </w:r>
      <w:r>
        <w:rPr>
          <w:rFonts w:ascii="Arial" w:hAnsi="Arial"/>
          <w:b/>
          <w:strike/>
          <w:color w:val="B5082D"/>
          <w:sz w:val="20"/>
        </w:rPr>
        <w:t>9.9</w:t>
      </w:r>
      <w:r>
        <w:rPr>
          <w:rFonts w:ascii="Arial" w:hAnsi="Arial"/>
          <w:b/>
          <w:color w:val="2D97D3"/>
          <w:sz w:val="20"/>
          <w:u w:val="single"/>
        </w:rPr>
        <w:t>(a)(iv)</w:t>
      </w:r>
      <w:r>
        <w:rPr>
          <w:rFonts w:ascii="Arial" w:hAnsi="Arial"/>
          <w:b/>
          <w:strike/>
          <w:color w:val="B5082D"/>
          <w:sz w:val="20"/>
        </w:rPr>
        <w:t>(a)(iv)</w:t>
      </w:r>
      <w:r>
        <w:rPr>
          <w:rFonts w:ascii="Arial" w:hAnsi="Arial"/>
          <w:sz w:val="20"/>
        </w:rPr>
        <w:t xml:space="preserve">, the Borrower, at the request of the Bank, must procure and furnish to the Bank, in a form acceptable to the Bank, an Environmental Assessment Report in relation to the Land and any operations conducted on it.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(d)The Borrower indemnifies the Bank from and against all: </w:t>
      </w:r>
    </w:p>
    <w:p>
      <w:pPr>
        <w:pStyle w:val="TextBody"/>
        <w:bidi w:val="0"/>
        <w:spacing w:before="135" w:after="0"/>
        <w:ind w:left="4539" w:right="360" w:hanging="0"/>
        <w:jc w:val="left"/>
        <w:rPr>
          <w:rFonts w:ascii="Arial" w:hAnsi="Arial"/>
          <w:sz w:val="20"/>
        </w:rPr>
      </w:pPr>
      <w:r>
        <w:rPr>
          <w:rFonts w:ascii="Arial" w:hAnsi="Arial"/>
          <w:sz w:val="20"/>
        </w:rPr>
        <w:t xml:space="preserve">(i)Environmental Liability; and </w:t>
      </w:r>
    </w:p>
    <w:p>
      <w:pPr>
        <w:pStyle w:val="TextBody"/>
        <w:bidi w:val="0"/>
        <w:spacing w:lineRule="auto" w:line="264" w:before="0" w:after="0"/>
        <w:ind w:left="4540" w:right="1965" w:hanging="0"/>
        <w:jc w:val="left"/>
        <w:rPr>
          <w:rFonts w:ascii="Arial" w:hAnsi="Arial"/>
          <w:sz w:val="20"/>
        </w:rPr>
      </w:pPr>
      <w:r>
        <w:rPr>
          <w:rFonts w:ascii="Arial" w:hAnsi="Arial"/>
          <w:sz w:val="20"/>
        </w:rPr>
        <w:t xml:space="preserve">(ii)damages, losses, outgoings, costs, charges or expenses suffered or incurred by the Bank in respect of any action, claim or demand made or brought in respect of or otherwise arising from or in connection with any breach of any Environmental Law in relation to the Land.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(e)The Borrower must immediately notify the Bank of: </w:t>
      </w:r>
    </w:p>
    <w:p>
      <w:pPr>
        <w:pStyle w:val="TextBody"/>
        <w:bidi w:val="0"/>
        <w:spacing w:lineRule="auto" w:line="264" w:before="0" w:after="0"/>
        <w:ind w:left="4540" w:right="1876" w:hanging="0"/>
        <w:jc w:val="left"/>
        <w:rPr>
          <w:rFonts w:ascii="Arial" w:hAnsi="Arial"/>
          <w:sz w:val="20"/>
        </w:rPr>
      </w:pPr>
      <w:r>
        <w:rPr>
          <w:rFonts w:ascii="Arial" w:hAnsi="Arial"/>
          <w:sz w:val="20"/>
        </w:rPr>
        <w:t xml:space="preserve">(i)the existence of any Contaminant on or adjacent to or affecting the Land; and </w:t>
      </w:r>
    </w:p>
    <w:p>
      <w:pPr>
        <w:pStyle w:val="TextBody"/>
        <w:bidi w:val="0"/>
        <w:spacing w:lineRule="auto" w:line="266" w:before="109" w:after="0"/>
        <w:ind w:left="4540" w:right="2558" w:hanging="0"/>
        <w:jc w:val="left"/>
        <w:rPr>
          <w:rFonts w:ascii="Arial" w:hAnsi="Arial"/>
          <w:sz w:val="20"/>
        </w:rPr>
      </w:pPr>
      <w:r>
        <w:rPr>
          <w:rFonts w:ascii="Arial" w:hAnsi="Arial"/>
          <w:sz w:val="20"/>
        </w:rPr>
        <w:t xml:space="preserve">(ii)the receipt by any Transaction Party of any notice, order or direction: </w:t>
      </w:r>
    </w:p>
    <w:p>
      <w:pPr>
        <w:pStyle w:val="TextBody"/>
        <w:bidi w:val="0"/>
        <w:spacing w:before="109" w:after="0"/>
        <w:ind w:left="5053" w:right="360" w:hanging="0"/>
        <w:jc w:val="left"/>
        <w:rPr>
          <w:rFonts w:ascii="Arial" w:hAnsi="Arial"/>
          <w:sz w:val="20"/>
        </w:rPr>
      </w:pPr>
      <w:r>
        <w:rPr>
          <w:rFonts w:ascii="Arial" w:hAnsi="Arial"/>
          <w:sz w:val="20"/>
        </w:rPr>
        <w:t xml:space="preserve">(A)to clean up any Contaminant on the Land; or </w:t>
      </w:r>
    </w:p>
    <w:p>
      <w:pPr>
        <w:pStyle w:val="TextBody"/>
        <w:bidi w:val="0"/>
        <w:spacing w:before="135" w:after="0"/>
        <w:ind w:left="5053" w:right="360" w:hanging="0"/>
        <w:jc w:val="left"/>
        <w:rPr>
          <w:rFonts w:ascii="Arial" w:hAnsi="Arial"/>
          <w:sz w:val="20"/>
        </w:rPr>
      </w:pPr>
      <w:r>
        <w:rPr>
          <w:rFonts w:ascii="Arial" w:hAnsi="Arial"/>
          <w:sz w:val="20"/>
        </w:rPr>
        <w:t xml:space="preserve">(B)alleging any breach of Environmental Law.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(f)If requested by the Bank, the Borrower must provide the Bank with a copy of each environmental consent, permit, approval, licence, authorisation, certification, order and direction relating to the Land together with confirmation that: </w:t>
      </w:r>
    </w:p>
    <w:p>
      <w:pPr>
        <w:pStyle w:val="TextBody"/>
        <w:bidi w:val="0"/>
        <w:spacing w:lineRule="auto" w:line="264" w:before="107" w:after="0"/>
        <w:ind w:left="4540" w:right="2249" w:hanging="0"/>
        <w:jc w:val="left"/>
        <w:rPr>
          <w:rFonts w:ascii="Arial" w:hAnsi="Arial"/>
          <w:sz w:val="20"/>
        </w:rPr>
      </w:pPr>
      <w:r>
        <w:rPr>
          <w:rFonts w:ascii="Arial" w:hAnsi="Arial"/>
          <w:sz w:val="20"/>
        </w:rPr>
        <w:t xml:space="preserve">(i)it is complying with the terms and conditions of each consent, permit, approval, licence, authorisation, certification, order and direction; and </w:t>
      </w:r>
    </w:p>
    <w:p>
      <w:pPr>
        <w:pStyle w:val="TextBody"/>
        <w:bidi w:val="0"/>
        <w:spacing w:lineRule="auto" w:line="266" w:before="110" w:after="0"/>
        <w:ind w:left="4540" w:right="2325" w:hanging="0"/>
        <w:jc w:val="left"/>
        <w:rPr>
          <w:rFonts w:ascii="Arial" w:hAnsi="Arial"/>
          <w:sz w:val="20"/>
        </w:rPr>
      </w:pPr>
      <w:r>
        <w:rPr>
          <w:rFonts w:ascii="Arial" w:hAnsi="Arial"/>
          <w:sz w:val="20"/>
        </w:rPr>
        <w:t xml:space="preserve">(ii)it has renewed each consent, permit, approval, licence, authorisation, certification, order and direction as appropriate. </w:t>
      </w:r>
    </w:p>
    <w:p>
      <w:pPr>
        <w:pStyle w:val="TextBody"/>
        <w:bidi w:val="0"/>
        <w:spacing w:lineRule="auto" w:line="266"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3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7" descr=""/>
                    <pic:cNvPicPr>
                      <a:picLocks noChangeAspect="1" noChangeArrowheads="1"/>
                    </pic:cNvPicPr>
                  </pic:nvPicPr>
                  <pic:blipFill>
                    <a:blip r:embed="rId13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4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8" descr=""/>
                    <pic:cNvPicPr>
                      <a:picLocks noChangeAspect="1" noChangeArrowheads="1"/>
                    </pic:cNvPicPr>
                  </pic:nvPicPr>
                  <pic:blipFill>
                    <a:blip r:embed="rId14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(g)The Borrower must: </w:t>
      </w:r>
    </w:p>
    <w:p>
      <w:pPr>
        <w:pStyle w:val="TextBody"/>
        <w:bidi w:val="0"/>
        <w:spacing w:lineRule="auto" w:line="264" w:before="0" w:after="0"/>
        <w:ind w:left="4540" w:right="2009" w:hanging="0"/>
        <w:jc w:val="left"/>
        <w:rPr>
          <w:rFonts w:ascii="Arial" w:hAnsi="Arial"/>
          <w:sz w:val="20"/>
        </w:rPr>
      </w:pPr>
      <w:r>
        <w:rPr>
          <w:rFonts w:ascii="Arial" w:hAnsi="Arial"/>
          <w:sz w:val="20"/>
        </w:rPr>
        <w:t xml:space="preserve">(i)when reasonably required by the Bank, obtain or permit the Bank to obtain an Environmental Assessment Report from a person approved by the Bank in relation to the Land; and </w:t>
      </w:r>
    </w:p>
    <w:p>
      <w:pPr>
        <w:pStyle w:val="TextBody"/>
        <w:bidi w:val="0"/>
        <w:spacing w:lineRule="auto" w:line="264" w:before="114" w:after="0"/>
        <w:ind w:left="4540" w:right="2009" w:hanging="0"/>
        <w:jc w:val="left"/>
        <w:rPr>
          <w:rFonts w:ascii="Arial" w:hAnsi="Arial"/>
          <w:sz w:val="20"/>
        </w:rPr>
      </w:pPr>
      <w:r>
        <w:rPr>
          <w:rFonts w:ascii="Arial" w:hAnsi="Arial"/>
          <w:sz w:val="20"/>
        </w:rPr>
        <w:t xml:space="preserve">(ii)promptly comply with any reasonable recommendation contained in any Environmental Assessment Report relating to compliance with Environmental Law in relation to the Land and obtain any consent, permit, approval, licence, authorisation, certification, order and direction required in order to comply with that recommendation. </w:t>
      </w:r>
    </w:p>
    <w:tbl>
      <w:tblPr>
        <w:tblW w:w="1856" w:type="dxa"/>
        <w:jc w:val="left"/>
        <w:tblInd w:w="360" w:type="dxa"/>
        <w:tblLayout w:type="fixed"/>
        <w:tblCellMar>
          <w:top w:w="0" w:type="dxa"/>
          <w:left w:w="0" w:type="dxa"/>
          <w:bottom w:w="0" w:type="dxa"/>
          <w:right w:w="0" w:type="dxa"/>
        </w:tblCellMar>
      </w:tblPr>
      <w:tblGrid>
        <w:gridCol w:w="38"/>
        <w:gridCol w:w="680"/>
        <w:gridCol w:w="23"/>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15.10. </w:t>
            </w:r>
          </w:p>
        </w:tc>
        <w:tc>
          <w:tcPr>
            <w:tcW w:w="23" w:type="dxa"/>
            <w:tcBorders/>
            <w:vAlign w:val="center"/>
          </w:tcPr>
          <w:p>
            <w:pPr>
              <w:pStyle w:val="TableContents"/>
              <w:bidi w:val="0"/>
              <w:spacing w:before="0" w:after="283"/>
              <w:jc w:val="left"/>
              <w:rPr>
                <w:sz w:val="4"/>
                <w:szCs w:val="4"/>
              </w:rPr>
            </w:pPr>
            <w:r>
              <w:rPr>
                <w:sz w:val="4"/>
                <w:szCs w:val="4"/>
              </w:rPr>
            </w:r>
          </w:p>
        </w:tc>
        <w:tc>
          <w:tcPr>
            <w:tcW w:w="1115" w:type="dxa"/>
            <w:tcBorders/>
          </w:tcPr>
          <w:p>
            <w:pPr>
              <w:pStyle w:val="TableContents"/>
              <w:bidi w:val="0"/>
              <w:spacing w:before="174" w:after="0"/>
              <w:ind w:left="0" w:right="0" w:hanging="0"/>
              <w:jc w:val="left"/>
              <w:rPr>
                <w:rFonts w:ascii="Arial" w:hAnsi="Arial"/>
                <w:b/>
                <w:color w:val="000000"/>
                <w:sz w:val="22"/>
              </w:rPr>
            </w:pPr>
            <w:bookmarkStart w:id="231" w:name="No_default910"/>
            <w:bookmarkEnd w:id="231"/>
            <w:r>
              <w:rPr>
                <w:rFonts w:ascii="Arial" w:hAnsi="Arial"/>
                <w:b/>
                <w:color w:val="000000"/>
                <w:sz w:val="22"/>
              </w:rPr>
              <w:t>No default</w:t>
            </w:r>
          </w:p>
        </w:tc>
      </w:tr>
    </w:tbl>
    <w:p>
      <w:pPr>
        <w:pStyle w:val="TextBody"/>
        <w:bidi w:val="0"/>
        <w:spacing w:before="85" w:after="0"/>
        <w:ind w:left="3456" w:right="360" w:hanging="0"/>
        <w:jc w:val="left"/>
        <w:rPr>
          <w:rFonts w:ascii="Arial" w:hAnsi="Arial"/>
          <w:sz w:val="20"/>
        </w:rPr>
      </w:pPr>
      <w:r>
        <w:rPr>
          <w:rFonts w:ascii="Arial" w:hAnsi="Arial"/>
          <w:color w:val="000000"/>
          <w:sz w:val="20"/>
        </w:rPr>
        <w:t>The Borrower must ensure that an Event of Default does not occur.</w:t>
      </w:r>
      <w:r>
        <w:rPr>
          <w:rFonts w:ascii="Arial" w:hAnsi="Arial"/>
          <w:sz w:val="20"/>
        </w:rPr>
        <w:t xml:space="preserve"> </w:t>
      </w:r>
    </w:p>
    <w:tbl>
      <w:tblPr>
        <w:tblW w:w="3236" w:type="dxa"/>
        <w:jc w:val="left"/>
        <w:tblInd w:w="360" w:type="dxa"/>
        <w:tblLayout w:type="fixed"/>
        <w:tblCellMar>
          <w:top w:w="0" w:type="dxa"/>
          <w:left w:w="0" w:type="dxa"/>
          <w:bottom w:w="0" w:type="dxa"/>
          <w:right w:w="0" w:type="dxa"/>
        </w:tblCellMar>
      </w:tblPr>
      <w:tblGrid>
        <w:gridCol w:w="38"/>
        <w:gridCol w:w="680"/>
        <w:gridCol w:w="23"/>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15.11. </w:t>
            </w:r>
          </w:p>
        </w:tc>
        <w:tc>
          <w:tcPr>
            <w:tcW w:w="23" w:type="dxa"/>
            <w:tcBorders/>
            <w:vAlign w:val="center"/>
          </w:tcPr>
          <w:p>
            <w:pPr>
              <w:pStyle w:val="TableContents"/>
              <w:bidi w:val="0"/>
              <w:spacing w:before="0" w:after="283"/>
              <w:jc w:val="left"/>
              <w:rPr>
                <w:sz w:val="4"/>
                <w:szCs w:val="4"/>
              </w:rPr>
            </w:pPr>
            <w:r>
              <w:rPr>
                <w:sz w:val="4"/>
                <w:szCs w:val="4"/>
              </w:rPr>
            </w:r>
          </w:p>
        </w:tc>
        <w:tc>
          <w:tcPr>
            <w:tcW w:w="2495" w:type="dxa"/>
            <w:tcBorders/>
          </w:tcPr>
          <w:p>
            <w:pPr>
              <w:pStyle w:val="TableContents"/>
              <w:bidi w:val="0"/>
              <w:spacing w:before="174" w:after="0"/>
              <w:ind w:left="0" w:right="0" w:hanging="0"/>
              <w:jc w:val="left"/>
              <w:rPr>
                <w:rFonts w:ascii="Arial" w:hAnsi="Arial"/>
                <w:b/>
                <w:color w:val="000000"/>
                <w:sz w:val="22"/>
              </w:rPr>
            </w:pPr>
            <w:bookmarkStart w:id="232" w:name="Obligations_of_Trustees911"/>
            <w:bookmarkEnd w:id="232"/>
            <w:r>
              <w:rPr>
                <w:rFonts w:ascii="Arial" w:hAnsi="Arial"/>
                <w:b/>
                <w:color w:val="000000"/>
                <w:sz w:val="22"/>
              </w:rPr>
              <w:t>Obligations of Trustees</w:t>
            </w:r>
          </w:p>
        </w:tc>
      </w:tr>
    </w:tbl>
    <w:p>
      <w:pPr>
        <w:pStyle w:val="TextBody"/>
        <w:bidi w:val="0"/>
        <w:spacing w:before="85" w:after="0"/>
        <w:ind w:left="3456" w:right="360" w:hanging="0"/>
        <w:jc w:val="left"/>
        <w:rPr>
          <w:rFonts w:ascii="Arial" w:hAnsi="Arial"/>
          <w:sz w:val="20"/>
        </w:rPr>
      </w:pPr>
      <w:r>
        <w:rPr>
          <w:rFonts w:ascii="Arial" w:hAnsi="Arial"/>
          <w:color w:val="000000"/>
          <w:sz w:val="20"/>
        </w:rPr>
        <w:t>If a Transaction Party is a Trustee the Borrower must ensure that it: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(a)ensures that the property of the Trust is not mixed with any other property;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(b)complies with its obligations as trustee of the Trust;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(c)does not release, dispose of or otherwise prejudice its right of indemnity against, and equitable lien over, the property of the Trust and its right of indemnity (if any) against the beneficiaries of the Trust in relation to any money owing to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(d)at the Bank’s request;</w:t>
      </w:r>
      <w:r>
        <w:rPr>
          <w:rFonts w:ascii="Arial" w:hAnsi="Arial"/>
          <w:sz w:val="20"/>
        </w:rPr>
        <w:t xml:space="preserve"> </w:t>
      </w:r>
    </w:p>
    <w:p>
      <w:pPr>
        <w:pStyle w:val="TextBody"/>
        <w:bidi w:val="0"/>
        <w:spacing w:lineRule="auto" w:line="264" w:before="134" w:after="0"/>
        <w:ind w:left="4540" w:right="1876" w:hanging="0"/>
        <w:jc w:val="left"/>
        <w:rPr>
          <w:rFonts w:ascii="Arial" w:hAnsi="Arial"/>
          <w:sz w:val="20"/>
        </w:rPr>
      </w:pPr>
      <w:r>
        <w:rPr>
          <w:rFonts w:ascii="Arial" w:hAnsi="Arial"/>
          <w:color w:val="000000"/>
          <w:sz w:val="20"/>
        </w:rPr>
        <w:t>(i)exercises its right of indemnity against, and equitable lien over, the property of the Trust and its right of indemnity (if any) against the beneficiaries of the Trust in relation to any money owing to the Bank; and</w:t>
      </w:r>
      <w:r>
        <w:rPr>
          <w:rFonts w:ascii="Arial" w:hAnsi="Arial"/>
          <w:sz w:val="20"/>
        </w:rPr>
        <w:t xml:space="preserve"> </w:t>
      </w:r>
    </w:p>
    <w:p>
      <w:pPr>
        <w:pStyle w:val="TextBody"/>
        <w:bidi w:val="0"/>
        <w:spacing w:lineRule="auto" w:line="264" w:before="107" w:after="0"/>
        <w:ind w:left="4540" w:right="2003" w:hanging="0"/>
        <w:jc w:val="left"/>
        <w:rPr>
          <w:rFonts w:ascii="Arial" w:hAnsi="Arial"/>
          <w:sz w:val="20"/>
        </w:rPr>
      </w:pPr>
      <w:r>
        <w:rPr>
          <w:rFonts w:ascii="Arial" w:hAnsi="Arial"/>
          <w:color w:val="000000"/>
          <w:sz w:val="20"/>
        </w:rPr>
        <w:t>(ii)assigns to the Bank those indemnities and that equitable lien and otherwise facilitates the subrogation of the Bank to those indemnities and that equitable lien;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(e)does not, if the Trust is a unit trust, consent to or register the transfer of units in the Trust or cancel, repurchase, redeem or issue any units in the Trust;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(f)ensures that:</w:t>
      </w:r>
      <w:r>
        <w:rPr>
          <w:rFonts w:ascii="Arial" w:hAnsi="Arial"/>
          <w:sz w:val="20"/>
        </w:rPr>
        <w:t xml:space="preserve"> </w:t>
      </w:r>
    </w:p>
    <w:p>
      <w:pPr>
        <w:pStyle w:val="TextBody"/>
        <w:bidi w:val="0"/>
        <w:spacing w:before="134" w:after="0"/>
        <w:ind w:left="4539" w:right="360" w:hanging="0"/>
        <w:jc w:val="left"/>
        <w:rPr>
          <w:rFonts w:ascii="Arial" w:hAnsi="Arial"/>
          <w:sz w:val="20"/>
        </w:rPr>
      </w:pPr>
      <w:r>
        <w:rPr>
          <w:rFonts w:ascii="Arial" w:hAnsi="Arial"/>
          <w:color w:val="000000"/>
          <w:sz w:val="20"/>
        </w:rPr>
        <w:t>(i)another person is not appointed as trustee of the Trust;</w:t>
      </w:r>
      <w:r>
        <w:rPr>
          <w:rFonts w:ascii="Arial" w:hAnsi="Arial"/>
          <w:sz w:val="20"/>
        </w:rPr>
        <w:t xml:space="preserve"> </w:t>
      </w:r>
    </w:p>
    <w:p>
      <w:pPr>
        <w:pStyle w:val="TextBody"/>
        <w:bidi w:val="0"/>
        <w:spacing w:before="140" w:after="0"/>
        <w:ind w:left="4539" w:right="360" w:hanging="0"/>
        <w:jc w:val="left"/>
        <w:rPr>
          <w:rFonts w:ascii="Arial" w:hAnsi="Arial"/>
          <w:sz w:val="20"/>
        </w:rPr>
      </w:pPr>
      <w:r>
        <w:rPr>
          <w:rFonts w:ascii="Arial" w:hAnsi="Arial"/>
          <w:color w:val="000000"/>
          <w:sz w:val="20"/>
        </w:rPr>
        <w:t>(ii)the Trust is not terminated or its terms varied;</w:t>
      </w:r>
      <w:r>
        <w:rPr>
          <w:rFonts w:ascii="Arial" w:hAnsi="Arial"/>
          <w:sz w:val="20"/>
        </w:rPr>
        <w:t xml:space="preserve"> </w:t>
      </w:r>
    </w:p>
    <w:p>
      <w:pPr>
        <w:pStyle w:val="TextBody"/>
        <w:bidi w:val="0"/>
        <w:spacing w:lineRule="auto" w:line="264" w:before="135" w:after="0"/>
        <w:ind w:left="4540" w:right="2248" w:hanging="0"/>
        <w:jc w:val="left"/>
        <w:rPr>
          <w:rFonts w:ascii="Arial" w:hAnsi="Arial"/>
          <w:sz w:val="20"/>
        </w:rPr>
      </w:pPr>
      <w:r>
        <w:rPr>
          <w:rFonts w:ascii="Arial" w:hAnsi="Arial"/>
          <w:color w:val="000000"/>
          <w:sz w:val="20"/>
        </w:rPr>
        <w:t>(iii)the Trustee does not resign and is not removed or replaced as trustee of the Trust;</w:t>
      </w:r>
      <w:r>
        <w:rPr>
          <w:rFonts w:ascii="Arial" w:hAnsi="Arial"/>
          <w:sz w:val="20"/>
        </w:rPr>
        <w:t xml:space="preserve"> </w:t>
      </w:r>
    </w:p>
    <w:p>
      <w:pPr>
        <w:pStyle w:val="TextBody"/>
        <w:bidi w:val="0"/>
        <w:spacing w:before="111" w:after="0"/>
        <w:ind w:left="4539" w:right="360" w:hanging="0"/>
        <w:jc w:val="left"/>
        <w:rPr>
          <w:rFonts w:ascii="Arial" w:hAnsi="Arial"/>
          <w:sz w:val="20"/>
        </w:rPr>
      </w:pPr>
      <w:r>
        <w:rPr>
          <w:rFonts w:ascii="Arial" w:hAnsi="Arial"/>
          <w:color w:val="000000"/>
          <w:sz w:val="20"/>
        </w:rPr>
        <w:t>(iv)the property of the Trust is not resettled;</w:t>
      </w:r>
      <w:r>
        <w:rPr>
          <w:rFonts w:ascii="Arial" w:hAnsi="Arial"/>
          <w:sz w:val="20"/>
        </w:rPr>
        <w:t xml:space="preserve"> </w:t>
      </w:r>
    </w:p>
    <w:p>
      <w:pPr>
        <w:pStyle w:val="TextBody"/>
        <w:bidi w:val="0"/>
        <w:spacing w:lineRule="auto" w:line="264" w:before="135" w:after="0"/>
        <w:ind w:left="4540" w:right="2325" w:hanging="0"/>
        <w:jc w:val="left"/>
        <w:rPr>
          <w:rFonts w:ascii="Arial" w:hAnsi="Arial"/>
          <w:sz w:val="20"/>
        </w:rPr>
      </w:pPr>
      <w:r>
        <w:rPr>
          <w:rFonts w:ascii="Arial" w:hAnsi="Arial"/>
          <w:color w:val="000000"/>
          <w:sz w:val="20"/>
        </w:rPr>
        <w:t>(v)the capital of the property of the Trust is not distributed at any time; and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4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9" descr=""/>
                    <pic:cNvPicPr>
                      <a:picLocks noChangeAspect="1" noChangeArrowheads="1"/>
                    </pic:cNvPicPr>
                  </pic:nvPicPr>
                  <pic:blipFill>
                    <a:blip r:embed="rId14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4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0" descr=""/>
                    <pic:cNvPicPr>
                      <a:picLocks noChangeAspect="1" noChangeArrowheads="1"/>
                    </pic:cNvPicPr>
                  </pic:nvPicPr>
                  <pic:blipFill>
                    <a:blip r:embed="rId14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0" w:after="0"/>
        <w:ind w:left="4540" w:right="2076" w:hanging="0"/>
        <w:jc w:val="left"/>
        <w:rPr>
          <w:rFonts w:ascii="Arial" w:hAnsi="Arial"/>
          <w:sz w:val="20"/>
        </w:rPr>
      </w:pPr>
      <w:r>
        <w:rPr>
          <w:rFonts w:ascii="Arial" w:hAnsi="Arial"/>
          <w:sz w:val="20"/>
        </w:rPr>
        <w:t xml:space="preserve">(vi)income of the Trust is not distributed to anyone other than a Transaction Party while an Event of Default or Potential Event of Default subsists;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(g)prepares and keeps full and true records and books of accounts of the Trust and makes them available for inspection and copying by the Bank on demand; and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(h)does not default in performing or observing its obligations under the Transaction Documents. </w:t>
      </w:r>
    </w:p>
    <w:tbl>
      <w:tblPr>
        <w:tblW w:w="4136" w:type="dxa"/>
        <w:jc w:val="left"/>
        <w:tblInd w:w="360" w:type="dxa"/>
        <w:tblLayout w:type="fixed"/>
        <w:tblCellMar>
          <w:top w:w="0" w:type="dxa"/>
          <w:left w:w="0" w:type="dxa"/>
          <w:bottom w:w="0" w:type="dxa"/>
          <w:right w:w="0" w:type="dxa"/>
        </w:tblCellMar>
      </w:tblPr>
      <w:tblGrid>
        <w:gridCol w:w="38"/>
        <w:gridCol w:w="680"/>
        <w:gridCol w:w="23"/>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15.12. </w:t>
            </w:r>
          </w:p>
        </w:tc>
        <w:tc>
          <w:tcPr>
            <w:tcW w:w="23" w:type="dxa"/>
            <w:tcBorders/>
            <w:vAlign w:val="center"/>
          </w:tcPr>
          <w:p>
            <w:pPr>
              <w:pStyle w:val="TableContents"/>
              <w:bidi w:val="0"/>
              <w:spacing w:before="0" w:after="283"/>
              <w:jc w:val="left"/>
              <w:rPr>
                <w:sz w:val="4"/>
                <w:szCs w:val="4"/>
              </w:rPr>
            </w:pPr>
            <w:r>
              <w:rPr>
                <w:sz w:val="4"/>
                <w:szCs w:val="4"/>
              </w:rPr>
            </w:r>
          </w:p>
        </w:tc>
        <w:tc>
          <w:tcPr>
            <w:tcW w:w="3395" w:type="dxa"/>
            <w:tcBorders/>
          </w:tcPr>
          <w:p>
            <w:pPr>
              <w:pStyle w:val="TableContents"/>
              <w:bidi w:val="0"/>
              <w:spacing w:before="174" w:after="0"/>
              <w:ind w:left="0" w:right="0" w:hanging="0"/>
              <w:jc w:val="left"/>
              <w:rPr>
                <w:rFonts w:ascii="Arial" w:hAnsi="Arial"/>
                <w:b/>
                <w:color w:val="000000"/>
                <w:sz w:val="22"/>
              </w:rPr>
            </w:pPr>
            <w:bookmarkStart w:id="233" w:name="Release_for_Permitted_Disposals912"/>
            <w:bookmarkEnd w:id="233"/>
            <w:r>
              <w:rPr>
                <w:rFonts w:ascii="Arial" w:hAnsi="Arial"/>
                <w:b/>
                <w:color w:val="000000"/>
                <w:sz w:val="22"/>
              </w:rPr>
              <w:t>Release for Permitted Disposals</w:t>
            </w:r>
          </w:p>
        </w:tc>
      </w:tr>
    </w:tbl>
    <w:p>
      <w:pPr>
        <w:pStyle w:val="TextBody"/>
        <w:pBdr/>
        <w:bidi w:val="0"/>
        <w:spacing w:lineRule="auto" w:line="264" w:before="88" w:after="0"/>
        <w:ind w:left="3456" w:right="1854" w:hanging="0"/>
        <w:jc w:val="left"/>
        <w:rPr>
          <w:rFonts w:ascii="Arial" w:hAnsi="Arial"/>
          <w:sz w:val="20"/>
        </w:rPr>
      </w:pPr>
      <w:r>
        <w:rPr>
          <w:rFonts w:ascii="Arial" w:hAnsi="Arial"/>
          <w:color w:val="000000"/>
          <w:sz w:val="20"/>
        </w:rPr>
        <w:t>The Bank must on request from (and at the cost of) a Transaction Party release from the Collateral Security that part of the Secured Property that is the subject of a Permitted Disposal (other than a Permitted Disposal of the kind referred to in paragraph (a) of that term's definition).</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4" w:after="0"/>
        <w:ind w:left="360" w:right="360" w:hanging="0"/>
        <w:jc w:val="left"/>
        <w:rPr>
          <w:rFonts w:cs="Arial"/>
          <w:szCs w:val="20"/>
        </w:rPr>
      </w:pPr>
      <w:r>
        <w:rPr>
          <w:rFonts w:cs="Arial"/>
          <w:color w:val="000000"/>
          <w:szCs w:val="20"/>
        </w:rPr>
        <w:t>﻿</w:t>
      </w:r>
      <w:r>
        <w:rPr>
          <w:rFonts w:cs="Arial"/>
          <w:szCs w:val="20"/>
        </w:rPr>
        <w:t xml:space="preserve"> </w:t>
      </w:r>
    </w:p>
    <w:tbl>
      <w:tblPr>
        <w:tblW w:w="2921" w:type="dxa"/>
        <w:jc w:val="left"/>
        <w:tblInd w:w="360" w:type="dxa"/>
        <w:tblLayout w:type="fixed"/>
        <w:tblCellMar>
          <w:top w:w="0" w:type="dxa"/>
          <w:left w:w="0" w:type="dxa"/>
          <w:bottom w:w="0" w:type="dxa"/>
          <w:right w:w="0" w:type="dxa"/>
        </w:tblCellMar>
      </w:tblPr>
      <w:tblGrid>
        <w:gridCol w:w="38"/>
        <w:gridCol w:w="530"/>
        <w:gridCol w:w="23"/>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16. </w:t>
            </w:r>
          </w:p>
        </w:tc>
        <w:tc>
          <w:tcPr>
            <w:tcW w:w="23" w:type="dxa"/>
            <w:tcBorders/>
            <w:vAlign w:val="center"/>
          </w:tcPr>
          <w:p>
            <w:pPr>
              <w:pStyle w:val="TableContents"/>
              <w:bidi w:val="0"/>
              <w:spacing w:before="0" w:after="283"/>
              <w:jc w:val="left"/>
              <w:rPr>
                <w:sz w:val="4"/>
                <w:szCs w:val="4"/>
              </w:rPr>
            </w:pPr>
            <w:r>
              <w:rPr>
                <w:sz w:val="4"/>
                <w:szCs w:val="4"/>
              </w:rPr>
            </w:r>
          </w:p>
        </w:tc>
        <w:tc>
          <w:tcPr>
            <w:tcW w:w="2330" w:type="dxa"/>
            <w:tcBorders/>
          </w:tcPr>
          <w:p>
            <w:pPr>
              <w:pStyle w:val="TableContents"/>
              <w:bidi w:val="0"/>
              <w:spacing w:before="0" w:after="0"/>
              <w:ind w:left="0" w:right="0" w:hanging="0"/>
              <w:jc w:val="left"/>
              <w:rPr>
                <w:rFonts w:ascii="Arial" w:hAnsi="Arial"/>
                <w:color w:val="000000"/>
                <w:sz w:val="30"/>
              </w:rPr>
            </w:pPr>
            <w:bookmarkStart w:id="234" w:name="Events_of_Default10"/>
            <w:bookmarkEnd w:id="234"/>
            <w:r>
              <w:rPr>
                <w:rFonts w:ascii="Arial" w:hAnsi="Arial"/>
                <w:color w:val="000000"/>
                <w:sz w:val="30"/>
              </w:rPr>
              <w:t>Events of Default</w:t>
            </w:r>
          </w:p>
        </w:tc>
      </w:tr>
    </w:tbl>
    <w:tbl>
      <w:tblPr>
        <w:tblW w:w="1361" w:type="dxa"/>
        <w:jc w:val="left"/>
        <w:tblInd w:w="360" w:type="dxa"/>
        <w:tblLayout w:type="fixed"/>
        <w:tblCellMar>
          <w:top w:w="0" w:type="dxa"/>
          <w:left w:w="0" w:type="dxa"/>
          <w:bottom w:w="0" w:type="dxa"/>
          <w:right w:w="0" w:type="dxa"/>
        </w:tblCellMar>
      </w:tblPr>
      <w:tblGrid>
        <w:gridCol w:w="38"/>
        <w:gridCol w:w="560"/>
        <w:gridCol w:w="23"/>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16.1. </w:t>
            </w:r>
          </w:p>
        </w:tc>
        <w:tc>
          <w:tcPr>
            <w:tcW w:w="23" w:type="dxa"/>
            <w:tcBorders/>
            <w:vAlign w:val="center"/>
          </w:tcPr>
          <w:p>
            <w:pPr>
              <w:pStyle w:val="TableContents"/>
              <w:bidi w:val="0"/>
              <w:spacing w:before="0" w:after="283"/>
              <w:jc w:val="left"/>
              <w:rPr>
                <w:sz w:val="4"/>
                <w:szCs w:val="4"/>
              </w:rPr>
            </w:pPr>
            <w:r>
              <w:rPr>
                <w:sz w:val="4"/>
                <w:szCs w:val="4"/>
              </w:rPr>
            </w:r>
          </w:p>
        </w:tc>
        <w:tc>
          <w:tcPr>
            <w:tcW w:w="740" w:type="dxa"/>
            <w:tcBorders/>
          </w:tcPr>
          <w:p>
            <w:pPr>
              <w:pStyle w:val="TableContents"/>
              <w:bidi w:val="0"/>
              <w:spacing w:before="174" w:after="0"/>
              <w:ind w:left="0" w:right="0" w:hanging="0"/>
              <w:jc w:val="left"/>
              <w:rPr>
                <w:rFonts w:ascii="Arial" w:hAnsi="Arial"/>
                <w:b/>
                <w:color w:val="000000"/>
                <w:sz w:val="22"/>
              </w:rPr>
            </w:pPr>
            <w:bookmarkStart w:id="235" w:name="Nature101"/>
            <w:bookmarkEnd w:id="235"/>
            <w:r>
              <w:rPr>
                <w:rFonts w:ascii="Arial" w:hAnsi="Arial"/>
                <w:b/>
                <w:color w:val="000000"/>
                <w:sz w:val="22"/>
              </w:rPr>
              <w:t>Nature</w:t>
            </w:r>
          </w:p>
        </w:tc>
      </w:tr>
    </w:tbl>
    <w:p>
      <w:pPr>
        <w:pStyle w:val="TextBody"/>
        <w:bidi w:val="0"/>
        <w:spacing w:lineRule="auto" w:line="266" w:before="85" w:after="0"/>
        <w:ind w:left="3456" w:right="1854" w:hanging="0"/>
        <w:jc w:val="left"/>
        <w:rPr>
          <w:rFonts w:ascii="Arial" w:hAnsi="Arial"/>
          <w:sz w:val="20"/>
        </w:rPr>
      </w:pPr>
      <w:r>
        <w:rPr>
          <w:rFonts w:ascii="Arial" w:hAnsi="Arial"/>
          <w:color w:val="000000"/>
          <w:sz w:val="20"/>
        </w:rPr>
        <w:t>Each of the following is an Event of Default (whether or not caused by anything outside the control of any Transaction Party):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t>
      </w:r>
      <w:r>
        <w:rPr>
          <w:rFonts w:ascii="Arial" w:hAnsi="Arial"/>
          <w:b/>
          <w:color w:val="000000"/>
          <w:sz w:val="20"/>
        </w:rPr>
        <w:t>non-payment:</w:t>
      </w:r>
      <w:r>
        <w:rPr>
          <w:rFonts w:ascii="Arial" w:hAnsi="Arial"/>
          <w:color w:val="000000"/>
          <w:sz w:val="20"/>
        </w:rPr>
        <w:t> a Transaction Party does not pay on the due date any principal, interest and fees due for payment by it under a Transaction Document in accordance with the relevant Transaction Document unless the Bank is satisfied that the sole reason for such failure to pay is caused by administrative or technical error in the banking system generally which is beyond the control of that Transaction Party and payment is made within 2 Business Days after its due date;</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(b)</w:t>
      </w:r>
      <w:r>
        <w:rPr>
          <w:rFonts w:ascii="Arial" w:hAnsi="Arial"/>
          <w:b/>
          <w:color w:val="000000"/>
          <w:sz w:val="20"/>
        </w:rPr>
        <w:t>other non-compliance:</w:t>
      </w:r>
      <w:r>
        <w:rPr>
          <w:rFonts w:ascii="Arial" w:hAnsi="Arial"/>
          <w:color w:val="000000"/>
          <w:sz w:val="22"/>
        </w:rPr>
        <w:t> </w:t>
      </w:r>
      <w:r>
        <w:rPr>
          <w:rFonts w:ascii="Arial" w:hAnsi="Arial"/>
          <w:color w:val="000000"/>
          <w:sz w:val="20"/>
        </w:rPr>
        <w:t xml:space="preserve">(subject to </w:t>
      </w:r>
      <w:r>
        <w:rPr>
          <w:rFonts w:ascii="Arial" w:hAnsi="Arial"/>
          <w:b/>
          <w:color w:val="000000"/>
          <w:sz w:val="20"/>
        </w:rPr>
        <w:t xml:space="preserve">clause </w:t>
      </w:r>
      <w:r>
        <w:rPr>
          <w:rFonts w:ascii="Arial" w:hAnsi="Arial"/>
          <w:b/>
          <w:color w:val="2D97D3"/>
          <w:sz w:val="20"/>
          <w:u w:val="single"/>
        </w:rPr>
        <w:t>10.6</w:t>
      </w:r>
      <w:r>
        <w:rPr>
          <w:rFonts w:ascii="Arial" w:hAnsi="Arial"/>
          <w:b/>
          <w:strike/>
          <w:color w:val="B5082D"/>
          <w:sz w:val="20"/>
        </w:rPr>
        <w:t>10.6</w:t>
      </w:r>
      <w:r>
        <w:rPr>
          <w:rFonts w:ascii="Arial" w:hAnsi="Arial"/>
          <w:color w:val="B5082D"/>
          <w:sz w:val="22"/>
        </w:rPr>
        <w:t> </w:t>
      </w:r>
      <w:r>
        <w:rPr>
          <w:rFonts w:ascii="Arial" w:hAnsi="Arial"/>
          <w:color w:val="000000"/>
          <w:sz w:val="20"/>
        </w:rPr>
        <w:t>in the case of a failure to comply with a Financial Ratio other than the Fixed Charges Cover Ratio) a Transaction Party does not comply with any other obligation</w:t>
      </w:r>
      <w:r>
        <w:rPr>
          <w:rFonts w:ascii="Arial" w:hAnsi="Arial"/>
          <w:color w:val="000000"/>
          <w:sz w:val="22"/>
        </w:rPr>
        <w:t> </w:t>
      </w:r>
      <w:r>
        <w:rPr>
          <w:rFonts w:ascii="Arial" w:hAnsi="Arial"/>
          <w:color w:val="000000"/>
          <w:sz w:val="20"/>
        </w:rPr>
        <w:t>under</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Transaction</w:t>
      </w:r>
      <w:r>
        <w:rPr>
          <w:rFonts w:ascii="Arial" w:hAnsi="Arial"/>
          <w:color w:val="000000"/>
          <w:sz w:val="22"/>
        </w:rPr>
        <w:t> </w:t>
      </w:r>
      <w:r>
        <w:rPr>
          <w:rFonts w:ascii="Arial" w:hAnsi="Arial"/>
          <w:color w:val="000000"/>
          <w:sz w:val="20"/>
        </w:rPr>
        <w:t>Document</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if</w:t>
      </w:r>
      <w:r>
        <w:rPr>
          <w:rFonts w:ascii="Arial" w:hAnsi="Arial"/>
          <w:color w:val="000000"/>
          <w:sz w:val="22"/>
        </w:rPr>
        <w:t> </w:t>
      </w:r>
      <w:r>
        <w:rPr>
          <w:rFonts w:ascii="Arial" w:hAnsi="Arial"/>
          <w:color w:val="000000"/>
          <w:sz w:val="20"/>
        </w:rPr>
        <w:t>that</w:t>
      </w:r>
      <w:r>
        <w:rPr>
          <w:rFonts w:ascii="Arial" w:hAnsi="Arial"/>
          <w:color w:val="000000"/>
          <w:sz w:val="22"/>
        </w:rPr>
        <w:t> </w:t>
      </w:r>
      <w:r>
        <w:rPr>
          <w:rFonts w:ascii="Arial" w:hAnsi="Arial"/>
          <w:color w:val="000000"/>
          <w:sz w:val="20"/>
        </w:rPr>
        <w:t>default</w:t>
      </w:r>
      <w:r>
        <w:rPr>
          <w:rFonts w:ascii="Arial" w:hAnsi="Arial"/>
          <w:color w:val="000000"/>
          <w:sz w:val="22"/>
        </w:rPr>
        <w:t> </w:t>
      </w:r>
      <w:r>
        <w:rPr>
          <w:rFonts w:ascii="Arial" w:hAnsi="Arial"/>
          <w:color w:val="000000"/>
          <w:sz w:val="20"/>
        </w:rPr>
        <w:t>is</w:t>
      </w:r>
      <w:r>
        <w:rPr>
          <w:rFonts w:ascii="Arial" w:hAnsi="Arial"/>
          <w:color w:val="000000"/>
          <w:sz w:val="22"/>
        </w:rPr>
        <w:t> </w:t>
      </w:r>
      <w:r>
        <w:rPr>
          <w:rFonts w:ascii="Arial" w:hAnsi="Arial"/>
          <w:color w:val="000000"/>
          <w:sz w:val="20"/>
        </w:rPr>
        <w:t>capable</w:t>
      </w:r>
      <w:r>
        <w:rPr>
          <w:rFonts w:ascii="Arial" w:hAnsi="Arial"/>
          <w:color w:val="000000"/>
          <w:sz w:val="22"/>
        </w:rPr>
        <w:t> </w:t>
      </w:r>
      <w:r>
        <w:rPr>
          <w:rFonts w:ascii="Arial" w:hAnsi="Arial"/>
          <w:color w:val="000000"/>
          <w:sz w:val="20"/>
        </w:rPr>
        <w:t>of rectification:</w:t>
      </w:r>
      <w:r>
        <w:rPr>
          <w:rFonts w:ascii="Arial" w:hAnsi="Arial"/>
          <w:sz w:val="22"/>
        </w:rPr>
        <w:t xml:space="preserve"> </w:t>
      </w:r>
    </w:p>
    <w:p>
      <w:pPr>
        <w:pStyle w:val="TextBody"/>
        <w:bidi w:val="0"/>
        <w:spacing w:lineRule="auto" w:line="264" w:before="106" w:after="0"/>
        <w:ind w:left="4540" w:right="2349" w:hanging="0"/>
        <w:jc w:val="left"/>
        <w:rPr>
          <w:rFonts w:ascii="Arial" w:hAnsi="Arial"/>
          <w:sz w:val="20"/>
        </w:rPr>
      </w:pPr>
      <w:r>
        <w:rPr>
          <w:rFonts w:ascii="Arial" w:hAnsi="Arial"/>
          <w:color w:val="000000"/>
          <w:sz w:val="20"/>
        </w:rPr>
        <w:t>(i)it is not rectified within 10 Business Days (or any other longer period agreed by the Bank) after its occurrence; or</w:t>
      </w:r>
      <w:r>
        <w:rPr>
          <w:rFonts w:ascii="Arial" w:hAnsi="Arial"/>
          <w:sz w:val="20"/>
        </w:rPr>
        <w:t xml:space="preserve"> </w:t>
      </w:r>
    </w:p>
    <w:p>
      <w:pPr>
        <w:pStyle w:val="TextBody"/>
        <w:bidi w:val="0"/>
        <w:spacing w:lineRule="auto" w:line="264" w:before="111" w:after="0"/>
        <w:ind w:left="4540" w:right="1942" w:hanging="0"/>
        <w:jc w:val="left"/>
        <w:rPr>
          <w:rFonts w:ascii="Arial" w:hAnsi="Arial"/>
          <w:sz w:val="20"/>
        </w:rPr>
      </w:pPr>
      <w:r>
        <w:rPr>
          <w:rFonts w:ascii="Arial" w:hAnsi="Arial"/>
          <w:color w:val="000000"/>
          <w:sz w:val="20"/>
        </w:rPr>
        <w:t>(ii)the Transaction Party does not during that period take all action which in the Bank’s reasonable opinion is necessary to rectify that default;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w:t>
      </w:r>
      <w:r>
        <w:rPr>
          <w:rFonts w:ascii="Arial" w:hAnsi="Arial"/>
          <w:b/>
          <w:color w:val="000000"/>
          <w:sz w:val="20"/>
        </w:rPr>
        <w:t>untrue warranty:</w:t>
      </w:r>
      <w:r>
        <w:rPr>
          <w:rFonts w:ascii="Arial" w:hAnsi="Arial"/>
          <w:color w:val="000000"/>
          <w:sz w:val="20"/>
        </w:rPr>
        <w:t> a representation, warranty or statement made or deemed to be made by a Transaction Party in a Transaction Document is untrue or misleading in any material respect or a reply by a Transaction Party to a requisition made by, or on behalf of, the Bank is untrue or misleading in any material respect;</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49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4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1" descr=""/>
                    <pic:cNvPicPr>
                      <a:picLocks noChangeAspect="1" noChangeArrowheads="1"/>
                    </pic:cNvPicPr>
                  </pic:nvPicPr>
                  <pic:blipFill>
                    <a:blip r:embed="rId14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4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2" descr=""/>
                    <pic:cNvPicPr>
                      <a:picLocks noChangeAspect="1" noChangeArrowheads="1"/>
                    </pic:cNvPicPr>
                  </pic:nvPicPr>
                  <pic:blipFill>
                    <a:blip r:embed="rId14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(d)</w:t>
      </w:r>
      <w:r>
        <w:rPr>
          <w:rFonts w:ascii="Arial" w:hAnsi="Arial"/>
          <w:b/>
          <w:sz w:val="20"/>
        </w:rPr>
        <w:t>void</w:t>
      </w:r>
      <w:r>
        <w:rPr>
          <w:rFonts w:ascii="Arial" w:hAnsi="Arial"/>
          <w:sz w:val="20"/>
        </w:rPr>
        <w:t> </w:t>
      </w:r>
      <w:r>
        <w:rPr>
          <w:rFonts w:ascii="Arial" w:hAnsi="Arial"/>
          <w:b/>
          <w:sz w:val="20"/>
        </w:rPr>
        <w:t>document:</w:t>
      </w:r>
      <w:r>
        <w:rPr>
          <w:rFonts w:ascii="Arial" w:hAnsi="Arial"/>
          <w:sz w:val="20"/>
        </w:rPr>
        <w:t xml:space="preserve"> a Transaction Document is void, voidable or otherwise unenforceable by the Bank or is claimed to be so by a Transaction Party; </w:t>
      </w:r>
    </w:p>
    <w:p>
      <w:pPr>
        <w:pStyle w:val="TextBody"/>
        <w:bidi w:val="0"/>
        <w:spacing w:lineRule="auto" w:line="264" w:before="107" w:after="0"/>
        <w:ind w:left="3983" w:right="1956" w:hanging="0"/>
        <w:jc w:val="left"/>
        <w:rPr>
          <w:rFonts w:ascii="Arial" w:hAnsi="Arial"/>
          <w:sz w:val="20"/>
        </w:rPr>
      </w:pPr>
      <w:r>
        <w:rPr>
          <w:rFonts w:ascii="Arial" w:hAnsi="Arial"/>
          <w:sz w:val="20"/>
        </w:rPr>
        <w:t>(e)</w:t>
      </w:r>
      <w:r>
        <w:rPr>
          <w:rFonts w:ascii="Arial" w:hAnsi="Arial"/>
          <w:b/>
          <w:sz w:val="20"/>
        </w:rPr>
        <w:t>compliance unlawful:</w:t>
      </w:r>
      <w:r>
        <w:rPr>
          <w:rFonts w:ascii="Arial" w:hAnsi="Arial"/>
          <w:sz w:val="20"/>
        </w:rPr>
        <w:t xml:space="preserve"> it is unlawful for a Transaction Party to comply with any of its obligations under a Transaction Document or it is claimed to be so by a Transaction Party; </w:t>
      </w:r>
    </w:p>
    <w:p>
      <w:pPr>
        <w:pStyle w:val="TextBody"/>
        <w:bidi w:val="0"/>
        <w:spacing w:lineRule="auto" w:line="264" w:before="107" w:after="0"/>
        <w:ind w:left="3983" w:right="1956" w:hanging="0"/>
        <w:jc w:val="left"/>
        <w:rPr>
          <w:rFonts w:ascii="Arial" w:hAnsi="Arial"/>
          <w:sz w:val="20"/>
        </w:rPr>
      </w:pPr>
      <w:r>
        <w:rPr>
          <w:rFonts w:ascii="Arial" w:hAnsi="Arial"/>
          <w:sz w:val="20"/>
        </w:rPr>
        <w:t>(f)</w:t>
      </w:r>
      <w:r>
        <w:rPr>
          <w:rFonts w:ascii="Arial" w:hAnsi="Arial"/>
          <w:b/>
          <w:sz w:val="20"/>
        </w:rPr>
        <w:t>loss</w:t>
      </w:r>
      <w:r>
        <w:rPr>
          <w:rFonts w:ascii="Arial" w:hAnsi="Arial"/>
          <w:sz w:val="20"/>
        </w:rPr>
        <w:t> </w:t>
      </w:r>
      <w:r>
        <w:rPr>
          <w:rFonts w:ascii="Arial" w:hAnsi="Arial"/>
          <w:b/>
          <w:sz w:val="20"/>
        </w:rPr>
        <w:t>of</w:t>
      </w:r>
      <w:r>
        <w:rPr>
          <w:rFonts w:ascii="Arial" w:hAnsi="Arial"/>
          <w:sz w:val="20"/>
        </w:rPr>
        <w:t> </w:t>
      </w:r>
      <w:r>
        <w:rPr>
          <w:rFonts w:ascii="Arial" w:hAnsi="Arial"/>
          <w:b/>
          <w:sz w:val="20"/>
        </w:rPr>
        <w:t>priority:</w:t>
      </w:r>
      <w:r>
        <w:rPr>
          <w:rFonts w:ascii="Arial" w:hAnsi="Arial"/>
          <w:sz w:val="20"/>
        </w:rPr>
        <w:t xml:space="preserve"> a Security Interest created by or purportedly created by a Collateral Security does not have or ceases to have the priority which it purports to have under the relevant Transaction Document or becomes ineffective to secure the payment of the money or compliance with the obligations which it purports to secure, otherwise than by any act of the Bank; </w:t>
      </w:r>
    </w:p>
    <w:p>
      <w:pPr>
        <w:pStyle w:val="TextBody"/>
        <w:bidi w:val="0"/>
        <w:spacing w:lineRule="auto" w:line="264" w:before="107" w:after="0"/>
        <w:ind w:left="3983" w:right="1956" w:hanging="0"/>
        <w:jc w:val="left"/>
        <w:rPr>
          <w:rFonts w:ascii="Arial" w:hAnsi="Arial"/>
          <w:sz w:val="20"/>
        </w:rPr>
      </w:pPr>
      <w:r>
        <w:rPr>
          <w:rFonts w:ascii="Arial" w:hAnsi="Arial"/>
          <w:sz w:val="20"/>
        </w:rPr>
        <w:t>(g)</w:t>
      </w:r>
      <w:r>
        <w:rPr>
          <w:rFonts w:ascii="Arial" w:hAnsi="Arial"/>
          <w:b/>
          <w:sz w:val="20"/>
        </w:rPr>
        <w:t>Insolvency</w:t>
      </w:r>
      <w:r>
        <w:rPr>
          <w:rFonts w:ascii="Arial" w:hAnsi="Arial"/>
          <w:sz w:val="20"/>
        </w:rPr>
        <w:t> </w:t>
      </w:r>
      <w:r>
        <w:rPr>
          <w:rFonts w:ascii="Arial" w:hAnsi="Arial"/>
          <w:b/>
          <w:sz w:val="20"/>
        </w:rPr>
        <w:t>Event:</w:t>
      </w:r>
      <w:r>
        <w:rPr>
          <w:rFonts w:ascii="Arial" w:hAnsi="Arial"/>
          <w:sz w:val="20"/>
        </w:rPr>
        <w:t xml:space="preserve"> an Insolvency Event occurs in relation to a Transaction Party; </w:t>
      </w:r>
    </w:p>
    <w:p>
      <w:pPr>
        <w:pStyle w:val="TextBody"/>
        <w:bidi w:val="0"/>
        <w:spacing w:lineRule="auto" w:line="264" w:before="107" w:after="0"/>
        <w:ind w:left="3983" w:right="1956" w:hanging="0"/>
        <w:jc w:val="left"/>
        <w:rPr>
          <w:rFonts w:ascii="Arial" w:hAnsi="Arial"/>
          <w:sz w:val="20"/>
        </w:rPr>
      </w:pPr>
      <w:r>
        <w:rPr>
          <w:rFonts w:ascii="Arial" w:hAnsi="Arial"/>
          <w:sz w:val="20"/>
        </w:rPr>
        <w:t>(h)</w:t>
      </w:r>
      <w:r>
        <w:rPr>
          <w:rFonts w:ascii="Arial" w:hAnsi="Arial"/>
          <w:b/>
          <w:sz w:val="20"/>
        </w:rPr>
        <w:t>authorisation</w:t>
      </w:r>
      <w:r>
        <w:rPr>
          <w:rFonts w:ascii="Arial" w:hAnsi="Arial"/>
          <w:sz w:val="20"/>
        </w:rPr>
        <w:t> </w:t>
      </w:r>
      <w:r>
        <w:rPr>
          <w:rFonts w:ascii="Arial" w:hAnsi="Arial"/>
          <w:b/>
          <w:sz w:val="20"/>
        </w:rPr>
        <w:t>ceasing:</w:t>
      </w:r>
      <w:r>
        <w:rPr>
          <w:rFonts w:ascii="Arial" w:hAnsi="Arial"/>
          <w:sz w:val="20"/>
        </w:rPr>
        <w:t xml:space="preserve"> an Authorisation from a Government Body necessary to enable: </w:t>
      </w:r>
    </w:p>
    <w:p>
      <w:pPr>
        <w:pStyle w:val="TextBody"/>
        <w:bidi w:val="0"/>
        <w:spacing w:lineRule="auto" w:line="264" w:before="111" w:after="0"/>
        <w:ind w:left="4540" w:right="1885" w:hanging="0"/>
        <w:jc w:val="left"/>
        <w:rPr>
          <w:rFonts w:ascii="Arial" w:hAnsi="Arial"/>
          <w:sz w:val="20"/>
        </w:rPr>
      </w:pPr>
      <w:r>
        <w:rPr>
          <w:rFonts w:ascii="Arial" w:hAnsi="Arial"/>
          <w:sz w:val="20"/>
        </w:rPr>
        <w:t xml:space="preserve">(i)a Transaction Party to comply with its obligations under a Transaction Document or carry on its principal business or activity; </w:t>
      </w:r>
    </w:p>
    <w:p>
      <w:pPr>
        <w:pStyle w:val="TextBody"/>
        <w:bidi w:val="0"/>
        <w:spacing w:before="109" w:after="0"/>
        <w:ind w:left="4539" w:right="360" w:hanging="0"/>
        <w:jc w:val="left"/>
        <w:rPr>
          <w:rFonts w:ascii="Arial" w:hAnsi="Arial"/>
          <w:sz w:val="20"/>
        </w:rPr>
      </w:pPr>
      <w:r>
        <w:rPr>
          <w:rFonts w:ascii="Arial" w:hAnsi="Arial"/>
          <w:sz w:val="20"/>
        </w:rPr>
        <w:t xml:space="preserve">(ii)a Transaction Party to carry on its principal business or activity; or </w:t>
      </w:r>
    </w:p>
    <w:p>
      <w:pPr>
        <w:pStyle w:val="TextBody"/>
        <w:bidi w:val="0"/>
        <w:spacing w:before="10" w:after="0"/>
        <w:ind w:left="3988" w:right="2292" w:hanging="0"/>
        <w:jc w:val="left"/>
        <w:rPr>
          <w:rFonts w:ascii="Arial" w:hAnsi="Arial"/>
          <w:sz w:val="22"/>
        </w:rPr>
      </w:pPr>
      <w:r>
        <w:rPr>
          <w:rFonts w:ascii="Arial" w:hAnsi="Arial"/>
          <w:sz w:val="20"/>
        </w:rPr>
        <w:t>(iii)the</w:t>
      </w:r>
      <w:r>
        <w:rPr>
          <w:rFonts w:ascii="Arial" w:hAnsi="Arial"/>
          <w:sz w:val="22"/>
        </w:rPr>
        <w:t> </w:t>
      </w:r>
      <w:r>
        <w:rPr>
          <w:rFonts w:ascii="Arial" w:hAnsi="Arial"/>
          <w:sz w:val="20"/>
        </w:rPr>
        <w:t>Bank</w:t>
      </w:r>
      <w:r>
        <w:rPr>
          <w:rFonts w:ascii="Arial" w:hAnsi="Arial"/>
          <w:sz w:val="22"/>
        </w:rPr>
        <w:t> </w:t>
      </w:r>
      <w:r>
        <w:rPr>
          <w:rFonts w:ascii="Arial" w:hAnsi="Arial"/>
          <w:sz w:val="20"/>
        </w:rPr>
        <w:t>to</w:t>
      </w:r>
      <w:r>
        <w:rPr>
          <w:rFonts w:ascii="Arial" w:hAnsi="Arial"/>
          <w:sz w:val="22"/>
        </w:rPr>
        <w:t> </w:t>
      </w:r>
      <w:r>
        <w:rPr>
          <w:rFonts w:ascii="Arial" w:hAnsi="Arial"/>
          <w:sz w:val="20"/>
        </w:rPr>
        <w:t>exercise</w:t>
      </w:r>
      <w:r>
        <w:rPr>
          <w:rFonts w:ascii="Arial" w:hAnsi="Arial"/>
          <w:sz w:val="22"/>
        </w:rPr>
        <w:t> </w:t>
      </w:r>
      <w:r>
        <w:rPr>
          <w:rFonts w:ascii="Arial" w:hAnsi="Arial"/>
          <w:sz w:val="20"/>
        </w:rPr>
        <w:t>its</w:t>
      </w:r>
      <w:r>
        <w:rPr>
          <w:rFonts w:ascii="Arial" w:hAnsi="Arial"/>
          <w:sz w:val="22"/>
        </w:rPr>
        <w:t> </w:t>
      </w:r>
      <w:r>
        <w:rPr>
          <w:rFonts w:ascii="Arial" w:hAnsi="Arial"/>
          <w:sz w:val="20"/>
        </w:rPr>
        <w:t>rights</w:t>
      </w:r>
      <w:r>
        <w:rPr>
          <w:rFonts w:ascii="Arial" w:hAnsi="Arial"/>
          <w:sz w:val="22"/>
        </w:rPr>
        <w:t> </w:t>
      </w:r>
      <w:r>
        <w:rPr>
          <w:rFonts w:ascii="Arial" w:hAnsi="Arial"/>
          <w:sz w:val="20"/>
        </w:rPr>
        <w:t>under</w:t>
      </w:r>
      <w:r>
        <w:rPr>
          <w:rFonts w:ascii="Arial" w:hAnsi="Arial"/>
          <w:sz w:val="22"/>
        </w:rPr>
        <w:t> </w:t>
      </w:r>
      <w:r>
        <w:rPr>
          <w:rFonts w:ascii="Arial" w:hAnsi="Arial"/>
          <w:sz w:val="20"/>
        </w:rPr>
        <w:t>a</w:t>
      </w:r>
      <w:r>
        <w:rPr>
          <w:rFonts w:ascii="Arial" w:hAnsi="Arial"/>
          <w:sz w:val="22"/>
        </w:rPr>
        <w:t> </w:t>
      </w:r>
      <w:r>
        <w:rPr>
          <w:rFonts w:ascii="Arial" w:hAnsi="Arial"/>
          <w:sz w:val="20"/>
        </w:rPr>
        <w:t>Transaction</w:t>
      </w:r>
      <w:r>
        <w:rPr>
          <w:rFonts w:ascii="Arial" w:hAnsi="Arial"/>
          <w:sz w:val="22"/>
        </w:rPr>
        <w:t> </w:t>
      </w:r>
      <w:r>
        <w:rPr>
          <w:rFonts w:ascii="Arial" w:hAnsi="Arial"/>
          <w:sz w:val="20"/>
        </w:rPr>
        <w:t>Document, is</w:t>
      </w:r>
      <w:r>
        <w:rPr>
          <w:rFonts w:ascii="Arial" w:hAnsi="Arial"/>
          <w:sz w:val="22"/>
        </w:rPr>
        <w:t> </w:t>
      </w:r>
      <w:r>
        <w:rPr>
          <w:rFonts w:ascii="Arial" w:hAnsi="Arial"/>
          <w:sz w:val="20"/>
        </w:rPr>
        <w:t>withheld</w:t>
      </w:r>
      <w:r>
        <w:rPr>
          <w:rFonts w:ascii="Arial" w:hAnsi="Arial"/>
          <w:sz w:val="22"/>
        </w:rPr>
        <w:t> </w:t>
      </w:r>
      <w:r>
        <w:rPr>
          <w:rFonts w:ascii="Arial" w:hAnsi="Arial"/>
          <w:sz w:val="20"/>
        </w:rPr>
        <w:t>or</w:t>
      </w:r>
      <w:r>
        <w:rPr>
          <w:rFonts w:ascii="Arial" w:hAnsi="Arial"/>
          <w:sz w:val="22"/>
        </w:rPr>
        <w:t> </w:t>
      </w:r>
      <w:r>
        <w:rPr>
          <w:rFonts w:ascii="Arial" w:hAnsi="Arial"/>
          <w:sz w:val="20"/>
        </w:rPr>
        <w:t>ceases</w:t>
      </w:r>
      <w:r>
        <w:rPr>
          <w:rFonts w:ascii="Arial" w:hAnsi="Arial"/>
          <w:sz w:val="22"/>
        </w:rPr>
        <w:t> </w:t>
      </w:r>
      <w:r>
        <w:rPr>
          <w:rFonts w:ascii="Arial" w:hAnsi="Arial"/>
          <w:sz w:val="20"/>
        </w:rPr>
        <w:t>to</w:t>
      </w:r>
      <w:r>
        <w:rPr>
          <w:rFonts w:ascii="Arial" w:hAnsi="Arial"/>
          <w:sz w:val="22"/>
        </w:rPr>
        <w:t> </w:t>
      </w:r>
      <w:r>
        <w:rPr>
          <w:rFonts w:ascii="Arial" w:hAnsi="Arial"/>
          <w:sz w:val="20"/>
        </w:rPr>
        <w:t>be</w:t>
      </w:r>
      <w:r>
        <w:rPr>
          <w:rFonts w:ascii="Arial" w:hAnsi="Arial"/>
          <w:sz w:val="22"/>
        </w:rPr>
        <w:t> </w:t>
      </w:r>
      <w:r>
        <w:rPr>
          <w:rFonts w:ascii="Arial" w:hAnsi="Arial"/>
          <w:sz w:val="20"/>
        </w:rPr>
        <w:t>in</w:t>
      </w:r>
      <w:r>
        <w:rPr>
          <w:rFonts w:ascii="Arial" w:hAnsi="Arial"/>
          <w:sz w:val="22"/>
        </w:rPr>
        <w:t> </w:t>
      </w:r>
      <w:r>
        <w:rPr>
          <w:rFonts w:ascii="Arial" w:hAnsi="Arial"/>
          <w:sz w:val="20"/>
        </w:rPr>
        <w:t>full</w:t>
      </w:r>
      <w:r>
        <w:rPr>
          <w:rFonts w:ascii="Arial" w:hAnsi="Arial"/>
          <w:sz w:val="22"/>
        </w:rPr>
        <w:t> </w:t>
      </w:r>
      <w:r>
        <w:rPr>
          <w:rFonts w:ascii="Arial" w:hAnsi="Arial"/>
          <w:sz w:val="20"/>
        </w:rPr>
        <w:t>force</w:t>
      </w:r>
      <w:r>
        <w:rPr>
          <w:rFonts w:ascii="Arial" w:hAnsi="Arial"/>
          <w:sz w:val="22"/>
        </w:rPr>
        <w:t> </w:t>
      </w:r>
      <w:r>
        <w:rPr>
          <w:rFonts w:ascii="Arial" w:hAnsi="Arial"/>
          <w:sz w:val="20"/>
        </w:rPr>
        <w:t>and</w:t>
      </w:r>
      <w:r>
        <w:rPr>
          <w:rFonts w:ascii="Arial" w:hAnsi="Arial"/>
          <w:sz w:val="22"/>
        </w:rPr>
        <w:t> </w:t>
      </w:r>
      <w:r>
        <w:rPr>
          <w:rFonts w:ascii="Arial" w:hAnsi="Arial"/>
          <w:sz w:val="20"/>
        </w:rPr>
        <w:t>effect</w:t>
      </w:r>
      <w:r>
        <w:rPr>
          <w:rFonts w:ascii="Arial" w:hAnsi="Arial"/>
          <w:sz w:val="22"/>
        </w:rPr>
        <w:t> </w:t>
      </w:r>
      <w:r>
        <w:rPr>
          <w:rFonts w:ascii="Arial" w:hAnsi="Arial"/>
          <w:sz w:val="20"/>
        </w:rPr>
        <w:t>and,</w:t>
      </w:r>
      <w:r>
        <w:rPr>
          <w:rFonts w:ascii="Arial" w:hAnsi="Arial"/>
          <w:sz w:val="22"/>
        </w:rPr>
        <w:t> </w:t>
      </w:r>
      <w:r>
        <w:rPr>
          <w:rFonts w:ascii="Arial" w:hAnsi="Arial"/>
          <w:sz w:val="20"/>
        </w:rPr>
        <w:t>in</w:t>
      </w:r>
      <w:r>
        <w:rPr>
          <w:rFonts w:ascii="Arial" w:hAnsi="Arial"/>
          <w:sz w:val="22"/>
        </w:rPr>
        <w:t> </w:t>
      </w:r>
      <w:r>
        <w:rPr>
          <w:rFonts w:ascii="Arial" w:hAnsi="Arial"/>
          <w:sz w:val="20"/>
        </w:rPr>
        <w:t>the</w:t>
      </w:r>
      <w:r>
        <w:rPr>
          <w:rFonts w:ascii="Arial" w:hAnsi="Arial"/>
          <w:sz w:val="22"/>
        </w:rPr>
        <w:t> </w:t>
      </w:r>
      <w:r>
        <w:rPr>
          <w:rFonts w:ascii="Arial" w:hAnsi="Arial"/>
          <w:sz w:val="20"/>
        </w:rPr>
        <w:t>case</w:t>
      </w:r>
      <w:r>
        <w:rPr>
          <w:rFonts w:ascii="Arial" w:hAnsi="Arial"/>
          <w:sz w:val="22"/>
        </w:rPr>
        <w:t> </w:t>
      </w:r>
      <w:r>
        <w:rPr>
          <w:rFonts w:ascii="Arial" w:hAnsi="Arial"/>
          <w:sz w:val="20"/>
        </w:rPr>
        <w:t>of</w:t>
      </w:r>
      <w:r>
        <w:rPr>
          <w:rFonts w:ascii="Arial" w:hAnsi="Arial"/>
          <w:sz w:val="22"/>
        </w:rPr>
        <w:t xml:space="preserve"> </w:t>
      </w:r>
    </w:p>
    <w:p>
      <w:pPr>
        <w:pStyle w:val="TextBody"/>
        <w:bidi w:val="0"/>
        <w:spacing w:before="29" w:after="0"/>
        <w:ind w:left="3988" w:right="360" w:hanging="0"/>
        <w:jc w:val="left"/>
        <w:rPr>
          <w:rFonts w:ascii="Arial" w:hAnsi="Arial"/>
          <w:sz w:val="20"/>
        </w:rPr>
      </w:pPr>
      <w:r>
        <w:rPr>
          <w:rFonts w:ascii="Arial" w:hAnsi="Arial"/>
          <w:b/>
          <w:sz w:val="20"/>
        </w:rPr>
        <w:t>clause</w:t>
      </w:r>
      <w:r>
        <w:rPr>
          <w:rFonts w:ascii="Arial" w:hAnsi="Arial"/>
          <w:sz w:val="20"/>
        </w:rPr>
        <w:t> </w:t>
      </w:r>
      <w:r>
        <w:rPr>
          <w:rFonts w:ascii="Arial" w:hAnsi="Arial"/>
          <w:b/>
          <w:color w:val="2D97D3"/>
          <w:sz w:val="20"/>
          <w:u w:val="single"/>
        </w:rPr>
        <w:t>10.1(h)(i)</w:t>
      </w:r>
      <w:r>
        <w:rPr>
          <w:rFonts w:ascii="Arial" w:hAnsi="Arial"/>
          <w:b/>
          <w:strike/>
          <w:color w:val="B5082D"/>
          <w:sz w:val="20"/>
        </w:rPr>
        <w:t>10.1(h)(i)</w:t>
      </w:r>
      <w:r>
        <w:rPr>
          <w:rFonts w:ascii="Arial" w:hAnsi="Arial"/>
          <w:sz w:val="20"/>
        </w:rPr>
        <w:t xml:space="preserve">, would have a Material Adverse Effect; </w:t>
      </w:r>
    </w:p>
    <w:p>
      <w:pPr>
        <w:pStyle w:val="TextBody"/>
        <w:bidi w:val="0"/>
        <w:spacing w:lineRule="auto" w:line="264" w:before="107" w:after="0"/>
        <w:ind w:left="3983" w:right="1956" w:hanging="0"/>
        <w:jc w:val="left"/>
        <w:rPr>
          <w:rFonts w:ascii="Arial" w:hAnsi="Arial"/>
          <w:sz w:val="20"/>
        </w:rPr>
      </w:pPr>
      <w:r>
        <w:rPr>
          <w:rFonts w:ascii="Arial" w:hAnsi="Arial"/>
          <w:sz w:val="20"/>
        </w:rPr>
        <w:t>(i)</w:t>
      </w:r>
      <w:r>
        <w:rPr>
          <w:rFonts w:ascii="Arial" w:hAnsi="Arial"/>
          <w:b/>
          <w:sz w:val="20"/>
        </w:rPr>
        <w:t>Material</w:t>
      </w:r>
      <w:r>
        <w:rPr>
          <w:rFonts w:ascii="Arial" w:hAnsi="Arial"/>
          <w:sz w:val="20"/>
        </w:rPr>
        <w:t> </w:t>
      </w:r>
      <w:r>
        <w:rPr>
          <w:rFonts w:ascii="Arial" w:hAnsi="Arial"/>
          <w:b/>
          <w:sz w:val="20"/>
        </w:rPr>
        <w:t>Adverse</w:t>
      </w:r>
      <w:r>
        <w:rPr>
          <w:rFonts w:ascii="Arial" w:hAnsi="Arial"/>
          <w:sz w:val="20"/>
        </w:rPr>
        <w:t> </w:t>
      </w:r>
      <w:r>
        <w:rPr>
          <w:rFonts w:ascii="Arial" w:hAnsi="Arial"/>
          <w:b/>
          <w:sz w:val="20"/>
        </w:rPr>
        <w:t>Effect:</w:t>
      </w:r>
      <w:r>
        <w:rPr>
          <w:rFonts w:ascii="Arial" w:hAnsi="Arial"/>
          <w:sz w:val="20"/>
        </w:rPr>
        <w:t xml:space="preserve"> an event or series of events whether related or not, including any material adverse change in the property or financial condition of a Transaction Party, occurs which has a Material Adverse Effect; </w:t>
      </w:r>
    </w:p>
    <w:p>
      <w:pPr>
        <w:pStyle w:val="TextBody"/>
        <w:bidi w:val="0"/>
        <w:spacing w:before="107" w:after="0"/>
        <w:ind w:left="3950" w:right="360" w:hanging="0"/>
        <w:jc w:val="left"/>
        <w:rPr>
          <w:rFonts w:ascii="Arial" w:hAnsi="Arial"/>
          <w:b/>
          <w:sz w:val="20"/>
        </w:rPr>
      </w:pPr>
      <w:r>
        <w:rPr>
          <w:rFonts w:ascii="Arial" w:hAnsi="Arial"/>
          <w:b w:val="false"/>
          <w:sz w:val="20"/>
        </w:rPr>
        <w:t>(j)</w:t>
      </w:r>
      <w:r>
        <w:rPr>
          <w:rFonts w:ascii="Arial" w:hAnsi="Arial"/>
          <w:b/>
          <w:sz w:val="20"/>
        </w:rPr>
        <w:t xml:space="preserve">cross default: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(i)Financial Indebtedness (other than Excluded Financial Indebtedness) of a Transaction Party in excess of $500,000 becomes due for payment before its stated maturity other than by the exercise of an option of the Transaction Party to pay it before its maturity; </w:t>
      </w:r>
    </w:p>
    <w:p>
      <w:pPr>
        <w:pStyle w:val="TextBody"/>
        <w:bidi w:val="0"/>
        <w:spacing w:lineRule="auto" w:line="264" w:before="106" w:after="0"/>
        <w:ind w:left="4540" w:right="2117" w:hanging="0"/>
        <w:jc w:val="left"/>
        <w:rPr>
          <w:rFonts w:ascii="Arial" w:hAnsi="Arial"/>
          <w:sz w:val="20"/>
        </w:rPr>
      </w:pPr>
      <w:r>
        <w:rPr>
          <w:rFonts w:ascii="Arial" w:hAnsi="Arial"/>
          <w:sz w:val="20"/>
        </w:rPr>
        <w:t xml:space="preserve">(ii)a Transaction Party fails to pay when due for payment (or within any applicable grace period) any Financial Indebtedness (other than Excluded Financial Indebtedness) in excess of $500,000; </w:t>
      </w:r>
    </w:p>
    <w:p>
      <w:pPr>
        <w:pStyle w:val="TextBody"/>
        <w:bidi w:val="0"/>
        <w:spacing w:lineRule="auto" w:line="264" w:before="108" w:after="0"/>
        <w:ind w:left="4540" w:right="1874" w:hanging="0"/>
        <w:jc w:val="left"/>
        <w:rPr>
          <w:rFonts w:ascii="Arial" w:hAnsi="Arial"/>
          <w:sz w:val="20"/>
        </w:rPr>
      </w:pPr>
      <w:r>
        <w:rPr>
          <w:rFonts w:ascii="Arial" w:hAnsi="Arial"/>
          <w:sz w:val="20"/>
        </w:rPr>
        <w:t xml:space="preserve">(iii)an obligation by a person to a Transaction Party to provide financial accommodation or to acquire or underwrite Financial Indebtedness (other than Excluded Financial Indebtedness) in excess of $500,000 ceases before its stated maturity other than by the exercise of an option of the Transaction Party to cancel that obligation; or </w:t>
      </w:r>
    </w:p>
    <w:p>
      <w:pPr>
        <w:pStyle w:val="TextBody"/>
        <w:bidi w:val="0"/>
        <w:spacing w:lineRule="auto" w:line="266" w:before="105" w:after="0"/>
        <w:ind w:left="4540" w:right="1971" w:hanging="0"/>
        <w:jc w:val="left"/>
        <w:rPr>
          <w:rFonts w:ascii="Arial" w:hAnsi="Arial"/>
          <w:sz w:val="20"/>
        </w:rPr>
      </w:pPr>
      <w:r>
        <w:rPr>
          <w:rFonts w:ascii="Arial" w:hAnsi="Arial"/>
          <w:sz w:val="20"/>
        </w:rPr>
        <w:t xml:space="preserve">(iv)a marketable security issued by a Transaction Party and having a face value over $500,000 is required to be redeemed or </w:t>
      </w:r>
    </w:p>
    <w:p>
      <w:pPr>
        <w:pStyle w:val="TextBody"/>
        <w:bidi w:val="0"/>
        <w:spacing w:lineRule="auto" w:line="266"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4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3" descr=""/>
                    <pic:cNvPicPr>
                      <a:picLocks noChangeAspect="1" noChangeArrowheads="1"/>
                    </pic:cNvPicPr>
                  </pic:nvPicPr>
                  <pic:blipFill>
                    <a:blip r:embed="rId14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4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4" descr=""/>
                    <pic:cNvPicPr>
                      <a:picLocks noChangeAspect="1" noChangeArrowheads="1"/>
                    </pic:cNvPicPr>
                  </pic:nvPicPr>
                  <pic:blipFill>
                    <a:blip r:embed="rId14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4540" w:right="1961" w:hanging="0"/>
        <w:jc w:val="left"/>
        <w:rPr>
          <w:rFonts w:ascii="Arial" w:hAnsi="Arial"/>
          <w:sz w:val="20"/>
        </w:rPr>
      </w:pPr>
      <w:r>
        <w:rPr>
          <w:rFonts w:ascii="Arial" w:hAnsi="Arial"/>
          <w:sz w:val="20"/>
        </w:rPr>
        <w:t xml:space="preserve">repurchased before its stated maturity other than by the exercise of an option of the issuer to redeem or repurchase; </w:t>
      </w:r>
    </w:p>
    <w:p>
      <w:pPr>
        <w:pStyle w:val="TextBody"/>
        <w:bidi w:val="0"/>
        <w:spacing w:lineRule="auto" w:line="264" w:before="107" w:after="0"/>
        <w:ind w:left="3983" w:right="1956" w:hanging="0"/>
        <w:jc w:val="left"/>
        <w:rPr>
          <w:rFonts w:ascii="Arial" w:hAnsi="Arial"/>
          <w:sz w:val="20"/>
        </w:rPr>
      </w:pPr>
      <w:r>
        <w:rPr>
          <w:rFonts w:ascii="Arial" w:hAnsi="Arial"/>
          <w:sz w:val="20"/>
        </w:rPr>
        <w:t>(k)</w:t>
      </w:r>
      <w:r>
        <w:rPr>
          <w:rFonts w:ascii="Arial" w:hAnsi="Arial"/>
          <w:b/>
          <w:sz w:val="20"/>
        </w:rPr>
        <w:t>cessation</w:t>
      </w:r>
      <w:r>
        <w:rPr>
          <w:rFonts w:ascii="Arial" w:hAnsi="Arial"/>
          <w:sz w:val="20"/>
        </w:rPr>
        <w:t> </w:t>
      </w:r>
      <w:r>
        <w:rPr>
          <w:rFonts w:ascii="Arial" w:hAnsi="Arial"/>
          <w:b/>
          <w:sz w:val="20"/>
        </w:rPr>
        <w:t>of</w:t>
      </w:r>
      <w:r>
        <w:rPr>
          <w:rFonts w:ascii="Arial" w:hAnsi="Arial"/>
          <w:sz w:val="20"/>
        </w:rPr>
        <w:t> </w:t>
      </w:r>
      <w:r>
        <w:rPr>
          <w:rFonts w:ascii="Arial" w:hAnsi="Arial"/>
          <w:b/>
          <w:sz w:val="20"/>
        </w:rPr>
        <w:t>business:</w:t>
      </w:r>
      <w:r>
        <w:rPr>
          <w:rFonts w:ascii="Arial" w:hAnsi="Arial"/>
          <w:sz w:val="20"/>
        </w:rPr>
        <w:t xml:space="preserve"> a Transaction Party ceases or threatens to cease to carry on its business or a substantial part of its business; </w:t>
      </w:r>
    </w:p>
    <w:p>
      <w:pPr>
        <w:pStyle w:val="TextBody"/>
        <w:bidi w:val="0"/>
        <w:spacing w:lineRule="auto" w:line="264" w:before="107" w:after="0"/>
        <w:ind w:left="3983" w:right="1956" w:hanging="0"/>
        <w:jc w:val="left"/>
        <w:rPr>
          <w:rFonts w:ascii="Arial" w:hAnsi="Arial"/>
          <w:sz w:val="20"/>
        </w:rPr>
      </w:pPr>
      <w:r>
        <w:rPr>
          <w:rFonts w:ascii="Arial" w:hAnsi="Arial"/>
          <w:sz w:val="20"/>
        </w:rPr>
        <w:t>(l)</w:t>
      </w:r>
      <w:r>
        <w:rPr>
          <w:rFonts w:ascii="Arial" w:hAnsi="Arial"/>
          <w:b/>
          <w:sz w:val="20"/>
        </w:rPr>
        <w:t>enforcement of other Security:</w:t>
      </w:r>
      <w:r>
        <w:rPr>
          <w:rFonts w:ascii="Arial" w:hAnsi="Arial"/>
          <w:sz w:val="20"/>
        </w:rPr>
        <w:t xml:space="preserve"> a person who holds a Security over property of a Transaction Party exercises a right under that Security against the property to recover any money the payment of which is secured by that Security or enforce any other obligation the compliance with which is secured by it; </w:t>
      </w:r>
    </w:p>
    <w:p>
      <w:pPr>
        <w:pStyle w:val="TextBody"/>
        <w:bidi w:val="0"/>
        <w:spacing w:lineRule="auto" w:line="264" w:before="107" w:after="0"/>
        <w:ind w:left="3983" w:right="1956" w:hanging="0"/>
        <w:jc w:val="left"/>
        <w:rPr>
          <w:rFonts w:ascii="Arial" w:hAnsi="Arial"/>
          <w:sz w:val="20"/>
        </w:rPr>
      </w:pPr>
      <w:r>
        <w:rPr>
          <w:rFonts w:ascii="Arial" w:hAnsi="Arial"/>
          <w:sz w:val="20"/>
        </w:rPr>
        <w:t>(m)</w:t>
      </w:r>
      <w:r>
        <w:rPr>
          <w:rFonts w:ascii="Arial" w:hAnsi="Arial"/>
          <w:b/>
          <w:sz w:val="20"/>
        </w:rPr>
        <w:t>undertaking:</w:t>
      </w:r>
      <w:r>
        <w:rPr>
          <w:rFonts w:ascii="Arial" w:hAnsi="Arial"/>
          <w:sz w:val="20"/>
        </w:rPr>
        <w:t xml:space="preserve"> an undertaking given to the Bank (or its lawyers) by or on behalf of a Transaction Party (or its lawyers) is not honoured in accordance with its terms and if capable of rectification, is not rectified within three Business Days (or any other longer period agreed by the Bank) after its occurrence; </w:t>
      </w:r>
    </w:p>
    <w:p>
      <w:pPr>
        <w:pStyle w:val="TextBody"/>
        <w:bidi w:val="0"/>
        <w:spacing w:lineRule="auto" w:line="264" w:before="107" w:after="0"/>
        <w:ind w:left="3983" w:right="1956" w:hanging="0"/>
        <w:jc w:val="left"/>
        <w:rPr>
          <w:rFonts w:ascii="Arial" w:hAnsi="Arial"/>
          <w:sz w:val="20"/>
        </w:rPr>
      </w:pPr>
      <w:r>
        <w:rPr>
          <w:rFonts w:ascii="Arial" w:hAnsi="Arial"/>
          <w:sz w:val="20"/>
        </w:rPr>
        <w:t>(n)</w:t>
      </w:r>
      <w:r>
        <w:rPr>
          <w:rFonts w:ascii="Arial" w:hAnsi="Arial"/>
          <w:b/>
          <w:sz w:val="20"/>
        </w:rPr>
        <w:t>reduction</w:t>
      </w:r>
      <w:r>
        <w:rPr>
          <w:rFonts w:ascii="Arial" w:hAnsi="Arial"/>
          <w:sz w:val="20"/>
        </w:rPr>
        <w:t> </w:t>
      </w:r>
      <w:r>
        <w:rPr>
          <w:rFonts w:ascii="Arial" w:hAnsi="Arial"/>
          <w:b/>
          <w:sz w:val="20"/>
        </w:rPr>
        <w:t>of</w:t>
      </w:r>
      <w:r>
        <w:rPr>
          <w:rFonts w:ascii="Arial" w:hAnsi="Arial"/>
          <w:sz w:val="20"/>
        </w:rPr>
        <w:t> </w:t>
      </w:r>
      <w:r>
        <w:rPr>
          <w:rFonts w:ascii="Arial" w:hAnsi="Arial"/>
          <w:b/>
          <w:sz w:val="20"/>
        </w:rPr>
        <w:t>capital:</w:t>
      </w:r>
      <w:r>
        <w:rPr>
          <w:rFonts w:ascii="Arial" w:hAnsi="Arial"/>
          <w:sz w:val="20"/>
        </w:rPr>
        <w:t xml:space="preserve"> if a Transaction Party is a corporation: </w:t>
      </w:r>
    </w:p>
    <w:p>
      <w:pPr>
        <w:pStyle w:val="TextBody"/>
        <w:bidi w:val="0"/>
        <w:spacing w:lineRule="auto" w:line="264" w:before="138" w:after="0"/>
        <w:ind w:left="4540" w:right="2162" w:hanging="0"/>
        <w:jc w:val="left"/>
        <w:rPr>
          <w:rFonts w:ascii="Arial" w:hAnsi="Arial"/>
          <w:sz w:val="20"/>
        </w:rPr>
      </w:pPr>
      <w:r>
        <w:rPr>
          <w:rFonts w:ascii="Arial" w:hAnsi="Arial"/>
          <w:sz w:val="20"/>
        </w:rPr>
        <w:t xml:space="preserve">(i)it reduces or takes any action to reduce its capital other than by the redemption of redeemable preference shares; </w:t>
      </w:r>
    </w:p>
    <w:p>
      <w:pPr>
        <w:pStyle w:val="TextBody"/>
        <w:bidi w:val="0"/>
        <w:spacing w:lineRule="auto" w:line="266" w:before="108" w:after="0"/>
        <w:ind w:left="4540" w:right="2458" w:hanging="0"/>
        <w:jc w:val="left"/>
        <w:rPr>
          <w:rFonts w:ascii="Arial" w:hAnsi="Arial"/>
          <w:sz w:val="20"/>
        </w:rPr>
      </w:pPr>
      <w:r>
        <w:rPr>
          <w:rFonts w:ascii="Arial" w:hAnsi="Arial"/>
          <w:sz w:val="20"/>
        </w:rPr>
        <w:t xml:space="preserve">(ii)it passes or takes any action to pass a resolution of the type referred to in section 254N of the Corporations Act; </w:t>
      </w:r>
    </w:p>
    <w:p>
      <w:pPr>
        <w:pStyle w:val="TextBody"/>
        <w:bidi w:val="0"/>
        <w:spacing w:before="107" w:after="0"/>
        <w:ind w:left="4539" w:right="360" w:hanging="0"/>
        <w:jc w:val="left"/>
        <w:rPr>
          <w:rFonts w:ascii="Arial" w:hAnsi="Arial"/>
          <w:sz w:val="20"/>
        </w:rPr>
      </w:pPr>
      <w:r>
        <w:rPr>
          <w:rFonts w:ascii="Arial" w:hAnsi="Arial"/>
          <w:sz w:val="20"/>
        </w:rPr>
        <w:t xml:space="preserve">(iii)it: </w:t>
      </w:r>
    </w:p>
    <w:p>
      <w:pPr>
        <w:pStyle w:val="TextBody"/>
        <w:bidi w:val="0"/>
        <w:spacing w:before="0" w:after="0"/>
        <w:ind w:left="5053" w:right="360" w:hanging="0"/>
        <w:jc w:val="left"/>
        <w:rPr>
          <w:rFonts w:ascii="Arial" w:hAnsi="Arial"/>
          <w:sz w:val="20"/>
        </w:rPr>
      </w:pPr>
      <w:r>
        <w:rPr>
          <w:rFonts w:ascii="Arial" w:hAnsi="Arial"/>
          <w:sz w:val="20"/>
        </w:rPr>
        <w:t xml:space="preserve">(A)buys or takes any action to buy, or </w:t>
      </w:r>
    </w:p>
    <w:p>
      <w:pPr>
        <w:pStyle w:val="TextBody"/>
        <w:bidi w:val="0"/>
        <w:spacing w:lineRule="auto" w:line="264" w:before="0" w:after="0"/>
        <w:ind w:left="5054" w:right="1859" w:hanging="0"/>
        <w:jc w:val="left"/>
        <w:rPr>
          <w:rFonts w:ascii="Arial" w:hAnsi="Arial"/>
          <w:sz w:val="20"/>
        </w:rPr>
      </w:pPr>
      <w:r>
        <w:rPr>
          <w:rFonts w:ascii="Arial" w:hAnsi="Arial"/>
          <w:sz w:val="20"/>
        </w:rPr>
        <w:t xml:space="preserve">(B)financially assists (within the meaning of section 260A of the Corporations Act) or takes any action to financially assist any person to acquire, </w:t>
      </w:r>
    </w:p>
    <w:p>
      <w:pPr>
        <w:pStyle w:val="TextBody"/>
        <w:bidi w:val="0"/>
        <w:spacing w:before="117" w:after="0"/>
        <w:ind w:left="4521" w:right="360" w:hanging="0"/>
        <w:jc w:val="left"/>
        <w:rPr>
          <w:rFonts w:ascii="Arial" w:hAnsi="Arial"/>
          <w:sz w:val="20"/>
        </w:rPr>
      </w:pPr>
      <w:r>
        <w:rPr>
          <w:rFonts w:ascii="Arial" w:hAnsi="Arial"/>
          <w:sz w:val="20"/>
        </w:rPr>
        <w:t xml:space="preserve">shares in itself or in a holding company of it, </w:t>
      </w:r>
    </w:p>
    <w:p>
      <w:pPr>
        <w:pStyle w:val="TextBody"/>
        <w:bidi w:val="0"/>
        <w:spacing w:lineRule="auto" w:line="264" w:before="107" w:after="0"/>
        <w:ind w:left="3983" w:right="1956" w:hanging="0"/>
        <w:jc w:val="left"/>
        <w:rPr>
          <w:rFonts w:ascii="Arial" w:hAnsi="Arial"/>
          <w:sz w:val="20"/>
        </w:rPr>
      </w:pPr>
      <w:r>
        <w:rPr>
          <w:rFonts w:ascii="Arial" w:hAnsi="Arial"/>
          <w:sz w:val="20"/>
        </w:rPr>
        <w:t>(o)</w:t>
      </w:r>
      <w:r>
        <w:rPr>
          <w:rFonts w:ascii="Arial" w:hAnsi="Arial"/>
          <w:b/>
          <w:sz w:val="20"/>
        </w:rPr>
        <w:t>investigation:</w:t>
      </w:r>
      <w:r>
        <w:rPr>
          <w:rFonts w:ascii="Arial" w:hAnsi="Arial"/>
          <w:sz w:val="20"/>
        </w:rPr>
        <w:t xml:space="preserve"> if a Transaction Party is a corporation, an investigation is instituted under the Corporations Act or other legislation into, or an inspector is appointed to investigate, its affairs, which would have a Material Adverse Effect; </w:t>
      </w:r>
    </w:p>
    <w:p>
      <w:pPr>
        <w:pStyle w:val="TextBody"/>
        <w:bidi w:val="0"/>
        <w:spacing w:lineRule="auto" w:line="264" w:before="107" w:after="0"/>
        <w:ind w:left="3983" w:right="1956" w:hanging="0"/>
        <w:jc w:val="left"/>
        <w:rPr>
          <w:rFonts w:ascii="Arial" w:hAnsi="Arial"/>
          <w:sz w:val="20"/>
        </w:rPr>
      </w:pPr>
      <w:r>
        <w:rPr>
          <w:rFonts w:ascii="Arial" w:hAnsi="Arial"/>
          <w:sz w:val="20"/>
        </w:rPr>
        <w:t>(p)</w:t>
      </w:r>
      <w:r>
        <w:rPr>
          <w:rFonts w:ascii="Arial" w:hAnsi="Arial"/>
          <w:b/>
          <w:sz w:val="20"/>
        </w:rPr>
        <w:t>environmental</w:t>
      </w:r>
      <w:r>
        <w:rPr>
          <w:rFonts w:ascii="Arial" w:hAnsi="Arial"/>
          <w:sz w:val="20"/>
        </w:rPr>
        <w:t> </w:t>
      </w:r>
      <w:r>
        <w:rPr>
          <w:rFonts w:ascii="Arial" w:hAnsi="Arial"/>
          <w:b/>
          <w:sz w:val="20"/>
        </w:rPr>
        <w:t>claim</w:t>
      </w:r>
      <w:r>
        <w:rPr>
          <w:rFonts w:ascii="Arial" w:hAnsi="Arial"/>
          <w:sz w:val="20"/>
        </w:rPr>
        <w:t xml:space="preserve">: a Government Body takes any action, there is a legally valid claim or there is a legally enforceable requirement for expenditure or for cessation or alteration of activity under an Environmental Law, which, in the reasonable opinion of the Bank, would have a Material Adverse Effect; </w:t>
      </w:r>
    </w:p>
    <w:p>
      <w:pPr>
        <w:pStyle w:val="TextBody"/>
        <w:bidi w:val="0"/>
        <w:spacing w:lineRule="auto" w:line="264" w:before="107" w:after="0"/>
        <w:ind w:left="3983" w:right="1956" w:hanging="0"/>
        <w:jc w:val="left"/>
        <w:rPr>
          <w:rFonts w:ascii="Arial" w:hAnsi="Arial"/>
          <w:sz w:val="20"/>
        </w:rPr>
      </w:pPr>
      <w:r>
        <w:rPr>
          <w:rFonts w:ascii="Arial" w:hAnsi="Arial"/>
          <w:sz w:val="20"/>
        </w:rPr>
        <w:t>(q)</w:t>
      </w:r>
      <w:r>
        <w:rPr>
          <w:rFonts w:ascii="Arial" w:hAnsi="Arial"/>
          <w:b/>
          <w:sz w:val="20"/>
        </w:rPr>
        <w:t>Trust:</w:t>
      </w:r>
      <w:r>
        <w:rPr>
          <w:rFonts w:ascii="Arial" w:hAnsi="Arial"/>
          <w:sz w:val="20"/>
        </w:rPr>
        <w:t xml:space="preserve"> if a Transaction Party is a Trustee: </w:t>
      </w:r>
    </w:p>
    <w:p>
      <w:pPr>
        <w:pStyle w:val="TextBody"/>
        <w:bidi w:val="0"/>
        <w:spacing w:lineRule="auto" w:line="264" w:before="0" w:after="0"/>
        <w:ind w:left="4540" w:right="2125" w:hanging="0"/>
        <w:jc w:val="left"/>
        <w:rPr>
          <w:rFonts w:ascii="Arial" w:hAnsi="Arial"/>
          <w:sz w:val="20"/>
        </w:rPr>
      </w:pPr>
      <w:r>
        <w:rPr>
          <w:rFonts w:ascii="Arial" w:hAnsi="Arial"/>
          <w:sz w:val="20"/>
        </w:rPr>
        <w:t xml:space="preserve">(i)the Trustee ceases to be the trustee or the only trustee of the Trust or any action is taken for the removal of the Trustee as trustee of the Trust, or for the appointment of another person as trustee in addition to the Trustee; </w:t>
      </w:r>
    </w:p>
    <w:p>
      <w:pPr>
        <w:pStyle w:val="TextBody"/>
        <w:bidi w:val="0"/>
        <w:spacing w:lineRule="auto" w:line="264" w:before="107" w:after="0"/>
        <w:ind w:left="4540" w:right="1883" w:hanging="0"/>
        <w:jc w:val="left"/>
        <w:rPr>
          <w:rFonts w:ascii="Arial" w:hAnsi="Arial"/>
          <w:sz w:val="20"/>
        </w:rPr>
      </w:pPr>
      <w:r>
        <w:rPr>
          <w:rFonts w:ascii="Arial" w:hAnsi="Arial"/>
          <w:sz w:val="20"/>
        </w:rPr>
        <w:t xml:space="preserve">(ii)an application or order is sought or made in any court, which is not withdrawn or dismissed within ten Business Days, for: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4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5" descr=""/>
                    <pic:cNvPicPr>
                      <a:picLocks noChangeAspect="1" noChangeArrowheads="1"/>
                    </pic:cNvPicPr>
                  </pic:nvPicPr>
                  <pic:blipFill>
                    <a:blip r:embed="rId14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4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6" descr=""/>
                    <pic:cNvPicPr>
                      <a:picLocks noChangeAspect="1" noChangeArrowheads="1"/>
                    </pic:cNvPicPr>
                  </pic:nvPicPr>
                  <pic:blipFill>
                    <a:blip r:embed="rId14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bidi w:val="0"/>
        <w:spacing w:before="1" w:after="0"/>
        <w:ind w:left="5053" w:right="360" w:hanging="0"/>
        <w:jc w:val="left"/>
        <w:rPr>
          <w:rFonts w:ascii="Arial" w:hAnsi="Arial"/>
          <w:sz w:val="20"/>
        </w:rPr>
      </w:pPr>
      <w:r>
        <w:rPr>
          <w:rFonts w:ascii="Arial" w:hAnsi="Arial"/>
          <w:sz w:val="20"/>
        </w:rPr>
        <w:t xml:space="preserve">(A)the property of the Trust to be administered by the court; or </w:t>
      </w:r>
    </w:p>
    <w:p>
      <w:pPr>
        <w:pStyle w:val="TextBody"/>
        <w:bidi w:val="0"/>
        <w:spacing w:before="0" w:after="0"/>
        <w:ind w:left="5053" w:right="360" w:hanging="0"/>
        <w:jc w:val="left"/>
        <w:rPr>
          <w:rFonts w:ascii="Arial" w:hAnsi="Arial"/>
          <w:sz w:val="20"/>
        </w:rPr>
      </w:pPr>
      <w:r>
        <w:rPr>
          <w:rFonts w:ascii="Arial" w:hAnsi="Arial"/>
          <w:sz w:val="20"/>
        </w:rPr>
        <w:t xml:space="preserve">(B)an account to be taken in relation to the Trust; or </w:t>
      </w:r>
    </w:p>
    <w:p>
      <w:pPr>
        <w:pStyle w:val="TextBody"/>
        <w:bidi w:val="0"/>
        <w:spacing w:lineRule="auto" w:line="264" w:before="135" w:after="0"/>
        <w:ind w:left="4540" w:right="2404" w:hanging="0"/>
        <w:jc w:val="left"/>
        <w:rPr>
          <w:rFonts w:ascii="Arial" w:hAnsi="Arial"/>
          <w:sz w:val="20"/>
        </w:rPr>
      </w:pPr>
      <w:r>
        <w:rPr>
          <w:rFonts w:ascii="Arial" w:hAnsi="Arial"/>
          <w:sz w:val="20"/>
        </w:rPr>
        <w:t xml:space="preserve">(iii)non-compliance by the Trustee with its obligations as trustee under the Trust Deed which has a Material Adverse Effect. </w:t>
      </w:r>
    </w:p>
    <w:tbl>
      <w:tblPr>
        <w:tblW w:w="3281" w:type="dxa"/>
        <w:jc w:val="left"/>
        <w:tblInd w:w="360" w:type="dxa"/>
        <w:tblLayout w:type="fixed"/>
        <w:tblCellMar>
          <w:top w:w="0" w:type="dxa"/>
          <w:left w:w="0" w:type="dxa"/>
          <w:bottom w:w="0" w:type="dxa"/>
          <w:right w:w="0" w:type="dxa"/>
        </w:tblCellMar>
      </w:tblPr>
      <w:tblGrid>
        <w:gridCol w:w="38"/>
        <w:gridCol w:w="560"/>
        <w:gridCol w:w="23"/>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16.2. </w:t>
            </w:r>
          </w:p>
        </w:tc>
        <w:tc>
          <w:tcPr>
            <w:tcW w:w="23" w:type="dxa"/>
            <w:tcBorders/>
            <w:vAlign w:val="center"/>
          </w:tcPr>
          <w:p>
            <w:pPr>
              <w:pStyle w:val="TableContents"/>
              <w:bidi w:val="0"/>
              <w:spacing w:before="0" w:after="283"/>
              <w:jc w:val="left"/>
              <w:rPr>
                <w:sz w:val="4"/>
                <w:szCs w:val="4"/>
              </w:rPr>
            </w:pPr>
            <w:r>
              <w:rPr>
                <w:sz w:val="4"/>
                <w:szCs w:val="4"/>
              </w:rPr>
            </w:r>
          </w:p>
        </w:tc>
        <w:tc>
          <w:tcPr>
            <w:tcW w:w="2660" w:type="dxa"/>
            <w:tcBorders/>
          </w:tcPr>
          <w:p>
            <w:pPr>
              <w:pStyle w:val="TableContents"/>
              <w:bidi w:val="0"/>
              <w:spacing w:before="174" w:after="0"/>
              <w:ind w:left="0" w:right="0" w:hanging="0"/>
              <w:jc w:val="left"/>
              <w:rPr>
                <w:rFonts w:ascii="Arial" w:hAnsi="Arial"/>
                <w:b/>
                <w:color w:val="000000"/>
                <w:sz w:val="22"/>
              </w:rPr>
            </w:pPr>
            <w:bookmarkStart w:id="236" w:name="Effect_of_Event_of_Default102"/>
            <w:bookmarkEnd w:id="236"/>
            <w:r>
              <w:rPr>
                <w:rFonts w:ascii="Arial" w:hAnsi="Arial"/>
                <w:b/>
                <w:color w:val="000000"/>
                <w:sz w:val="22"/>
              </w:rPr>
              <w:t>Effect of Event of Default</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(a)If an Event of Default subsists the Bank may at any time by notice to the Borrower do any or all of the following:</w:t>
      </w:r>
      <w:r>
        <w:rPr>
          <w:rFonts w:ascii="Arial" w:hAnsi="Arial"/>
          <w:sz w:val="20"/>
        </w:rPr>
        <w:t xml:space="preserve"> </w:t>
      </w:r>
    </w:p>
    <w:p>
      <w:pPr>
        <w:pStyle w:val="TextBody"/>
        <w:bidi w:val="0"/>
        <w:spacing w:lineRule="auto" w:line="266" w:before="106" w:after="0"/>
        <w:ind w:left="4540" w:right="2040" w:hanging="0"/>
        <w:jc w:val="left"/>
        <w:rPr>
          <w:rFonts w:ascii="Arial" w:hAnsi="Arial"/>
          <w:sz w:val="20"/>
        </w:rPr>
      </w:pPr>
      <w:r>
        <w:rPr>
          <w:rFonts w:ascii="Arial" w:hAnsi="Arial"/>
          <w:color w:val="000000"/>
          <w:sz w:val="20"/>
        </w:rPr>
        <w:t>(i)</w:t>
      </w:r>
      <w:r>
        <w:rPr>
          <w:rFonts w:ascii="Arial" w:hAnsi="Arial"/>
          <w:b/>
          <w:color w:val="000000"/>
          <w:sz w:val="20"/>
        </w:rPr>
        <w:t>cancel</w:t>
      </w:r>
      <w:r>
        <w:rPr>
          <w:rFonts w:ascii="Arial" w:hAnsi="Arial"/>
          <w:color w:val="000000"/>
          <w:sz w:val="20"/>
        </w:rPr>
        <w:t> </w:t>
      </w:r>
      <w:r>
        <w:rPr>
          <w:rFonts w:ascii="Arial" w:hAnsi="Arial"/>
          <w:b/>
          <w:color w:val="000000"/>
          <w:sz w:val="20"/>
        </w:rPr>
        <w:t>Facility:</w:t>
      </w:r>
      <w:r>
        <w:rPr>
          <w:rFonts w:ascii="Arial" w:hAnsi="Arial"/>
          <w:color w:val="000000"/>
          <w:sz w:val="20"/>
        </w:rPr>
        <w:t> cancel any or all of the Facilities or any part of a Facility, specified in the notice;</w:t>
      </w:r>
      <w:r>
        <w:rPr>
          <w:rFonts w:ascii="Arial" w:hAnsi="Arial"/>
          <w:sz w:val="20"/>
        </w:rPr>
        <w:t xml:space="preserve"> </w:t>
      </w:r>
    </w:p>
    <w:p>
      <w:pPr>
        <w:pStyle w:val="TextBody"/>
        <w:bidi w:val="0"/>
        <w:spacing w:lineRule="auto" w:line="264" w:before="107" w:after="0"/>
        <w:ind w:left="4540" w:right="2125" w:hanging="0"/>
        <w:jc w:val="left"/>
        <w:rPr>
          <w:rFonts w:ascii="Arial" w:hAnsi="Arial"/>
          <w:sz w:val="20"/>
        </w:rPr>
      </w:pPr>
      <w:r>
        <w:rPr>
          <w:rFonts w:ascii="Arial" w:hAnsi="Arial"/>
          <w:color w:val="000000"/>
          <w:sz w:val="20"/>
        </w:rPr>
        <w:t>(ii)</w:t>
      </w:r>
      <w:r>
        <w:rPr>
          <w:rFonts w:ascii="Arial" w:hAnsi="Arial"/>
          <w:b/>
          <w:color w:val="000000"/>
          <w:sz w:val="20"/>
        </w:rPr>
        <w:t>accelerate:</w:t>
      </w:r>
      <w:r>
        <w:rPr>
          <w:rFonts w:ascii="Arial" w:hAnsi="Arial"/>
          <w:color w:val="000000"/>
          <w:sz w:val="20"/>
        </w:rPr>
        <w:t> make so much of the Outstanding Accommodation which is not then immediately due and payable, any unpaid accrued interest or fees and any other money owing by the Borrower to the Bank in relation to the Transaction Documents either:</w:t>
      </w:r>
      <w:r>
        <w:rPr>
          <w:rFonts w:ascii="Arial" w:hAnsi="Arial"/>
          <w:sz w:val="20"/>
        </w:rPr>
        <w:t xml:space="preserve"> </w:t>
      </w:r>
    </w:p>
    <w:p>
      <w:pPr>
        <w:pStyle w:val="TextBody"/>
        <w:bidi w:val="0"/>
        <w:spacing w:before="117" w:after="0"/>
        <w:ind w:left="5053" w:right="360" w:hanging="0"/>
        <w:jc w:val="left"/>
        <w:rPr>
          <w:rFonts w:ascii="Arial" w:hAnsi="Arial"/>
          <w:sz w:val="20"/>
        </w:rPr>
      </w:pPr>
      <w:r>
        <w:rPr>
          <w:rFonts w:ascii="Arial" w:hAnsi="Arial"/>
          <w:color w:val="000000"/>
          <w:sz w:val="20"/>
        </w:rPr>
        <w:t>(A)payable on demand; or</w:t>
      </w:r>
      <w:r>
        <w:rPr>
          <w:rFonts w:ascii="Arial" w:hAnsi="Arial"/>
          <w:sz w:val="20"/>
        </w:rPr>
        <w:t xml:space="preserve"> </w:t>
      </w:r>
    </w:p>
    <w:p>
      <w:pPr>
        <w:pStyle w:val="TextBody"/>
        <w:bidi w:val="0"/>
        <w:spacing w:before="0" w:after="0"/>
        <w:ind w:left="5053" w:right="360" w:hanging="0"/>
        <w:jc w:val="left"/>
        <w:rPr>
          <w:rFonts w:ascii="Arial" w:hAnsi="Arial"/>
          <w:sz w:val="20"/>
        </w:rPr>
      </w:pPr>
      <w:r>
        <w:rPr>
          <w:rFonts w:ascii="Arial" w:hAnsi="Arial"/>
          <w:color w:val="000000"/>
          <w:sz w:val="20"/>
        </w:rPr>
        <w:t>(B)immediately due for payment;</w:t>
      </w:r>
      <w:r>
        <w:rPr>
          <w:rFonts w:ascii="Arial" w:hAnsi="Arial"/>
          <w:sz w:val="20"/>
        </w:rPr>
        <w:t xml:space="preserve"> </w:t>
      </w:r>
    </w:p>
    <w:p>
      <w:pPr>
        <w:pStyle w:val="TextBody"/>
        <w:pBdr/>
        <w:bidi w:val="0"/>
        <w:spacing w:before="137" w:after="0"/>
        <w:ind w:left="4540" w:right="360" w:hanging="0"/>
        <w:jc w:val="left"/>
        <w:rPr>
          <w:rFonts w:ascii="Arial" w:hAnsi="Arial"/>
          <w:b/>
          <w:sz w:val="20"/>
        </w:rPr>
      </w:pPr>
      <w:r>
        <w:rPr>
          <w:rFonts w:ascii="Arial" w:hAnsi="Arial"/>
          <w:b w:val="false"/>
          <w:color w:val="000000"/>
          <w:sz w:val="20"/>
        </w:rPr>
        <w:t>(iii)</w:t>
      </w:r>
      <w:r>
        <w:rPr>
          <w:rFonts w:ascii="Arial" w:hAnsi="Arial"/>
          <w:b/>
          <w:color w:val="000000"/>
          <w:sz w:val="20"/>
        </w:rPr>
        <w:t>Not used</w:t>
      </w:r>
      <w:r>
        <w:rPr>
          <w:rFonts w:ascii="Arial" w:hAnsi="Arial"/>
          <w:b/>
          <w:sz w:val="20"/>
        </w:rPr>
        <w:t xml:space="preserve"> </w:t>
      </w:r>
    </w:p>
    <w:p>
      <w:pPr>
        <w:pStyle w:val="TextBody"/>
        <w:pBdr/>
        <w:bidi w:val="0"/>
        <w:spacing w:before="138" w:after="0"/>
        <w:ind w:left="4540" w:right="360" w:hanging="0"/>
        <w:jc w:val="left"/>
        <w:rPr>
          <w:rFonts w:ascii="Arial" w:hAnsi="Arial"/>
          <w:b/>
          <w:sz w:val="20"/>
        </w:rPr>
      </w:pPr>
      <w:r>
        <w:rPr>
          <w:rFonts w:ascii="Arial" w:hAnsi="Arial"/>
          <w:b w:val="false"/>
          <w:color w:val="000000"/>
          <w:sz w:val="20"/>
        </w:rPr>
        <w:t>(iv)</w:t>
      </w:r>
      <w:r>
        <w:rPr>
          <w:rFonts w:ascii="Arial" w:hAnsi="Arial"/>
          <w:b/>
          <w:color w:val="000000"/>
          <w:sz w:val="20"/>
        </w:rPr>
        <w:t>Bank Guarantees:</w:t>
      </w:r>
      <w:r>
        <w:rPr>
          <w:rFonts w:ascii="Arial" w:hAnsi="Arial"/>
          <w:b/>
          <w:sz w:val="20"/>
        </w:rPr>
        <w:t xml:space="preserve"> </w:t>
      </w:r>
    </w:p>
    <w:p>
      <w:pPr>
        <w:pStyle w:val="TextBody"/>
        <w:bidi w:val="0"/>
        <w:spacing w:lineRule="auto" w:line="264" w:before="134" w:after="0"/>
        <w:ind w:left="5054" w:right="1953" w:hanging="0"/>
        <w:jc w:val="left"/>
        <w:rPr>
          <w:rFonts w:ascii="Arial" w:hAnsi="Arial"/>
          <w:sz w:val="20"/>
        </w:rPr>
      </w:pPr>
      <w:r>
        <w:rPr>
          <w:rFonts w:ascii="Arial" w:hAnsi="Arial"/>
          <w:color w:val="000000"/>
          <w:sz w:val="20"/>
        </w:rPr>
        <w:t>(A)by notice to the Borrower require the Borrower to pay immediately to the Bank the aggregate of the Face Values for all Current Bank Guarantees as at the date of the notice, together with any unpaid accrued interest or fees and any other money (including all Indemnity Amounts) owing by the Borrower to the Bank in relation to the Transaction Documents;</w:t>
      </w:r>
      <w:r>
        <w:rPr>
          <w:rFonts w:ascii="Arial" w:hAnsi="Arial"/>
          <w:sz w:val="20"/>
        </w:rPr>
        <w:t xml:space="preserve"> </w:t>
      </w:r>
    </w:p>
    <w:p>
      <w:pPr>
        <w:pStyle w:val="TextBody"/>
        <w:bidi w:val="0"/>
        <w:spacing w:lineRule="auto" w:line="264" w:before="134" w:after="0"/>
        <w:ind w:left="5054" w:right="1953" w:hanging="0"/>
        <w:jc w:val="left"/>
        <w:rPr>
          <w:rFonts w:ascii="Arial" w:hAnsi="Arial"/>
          <w:sz w:val="20"/>
        </w:rPr>
      </w:pPr>
      <w:r>
        <w:rPr>
          <w:rFonts w:ascii="Arial" w:hAnsi="Arial"/>
          <w:color w:val="000000"/>
          <w:sz w:val="20"/>
        </w:rPr>
        <w:t>(B)pay the Beneficiaries of any one or more of the Current Bank Guarantees the amount agreed between the Bank and the relevant Beneficiary sufficient to obtain from the Beneficiary an unconditional release of the Bank’s obligations under the relevant Bank Guarantee on terms satisfactory to the Bank (acting reasonably).</w:t>
      </w:r>
      <w:r>
        <w:rPr>
          <w:rFonts w:ascii="Arial" w:hAnsi="Arial"/>
          <w:sz w:val="20"/>
        </w:rPr>
        <w:t xml:space="preserve"> </w:t>
      </w:r>
    </w:p>
    <w:p>
      <w:pPr>
        <w:pStyle w:val="TextBody"/>
        <w:bidi w:val="0"/>
        <w:spacing w:lineRule="auto" w:line="264" w:before="116" w:after="0"/>
        <w:ind w:left="4540" w:right="1903" w:hanging="0"/>
        <w:jc w:val="left"/>
        <w:rPr>
          <w:rFonts w:ascii="Arial" w:hAnsi="Arial"/>
          <w:sz w:val="20"/>
        </w:rPr>
      </w:pPr>
      <w:r>
        <w:rPr>
          <w:rFonts w:ascii="Arial" w:hAnsi="Arial"/>
          <w:color w:val="000000"/>
          <w:sz w:val="20"/>
        </w:rPr>
        <w:t>(v)</w:t>
      </w:r>
      <w:r>
        <w:rPr>
          <w:rFonts w:ascii="Arial" w:hAnsi="Arial"/>
          <w:b/>
          <w:color w:val="000000"/>
          <w:sz w:val="20"/>
        </w:rPr>
        <w:t xml:space="preserve">engage consultants: </w:t>
      </w:r>
      <w:r>
        <w:rPr>
          <w:rFonts w:ascii="Arial" w:hAnsi="Arial"/>
          <w:color w:val="000000"/>
          <w:sz w:val="20"/>
        </w:rPr>
        <w:t>at the cost of the Borrower, appoint (or require the Borrower to appoint) such accountancy, financial management and other consultants as the Bank may nominate to investigate the business affairs and financial condition of any Transaction Party and whether each Transaction Party has complied with each Transaction Document to which it is a party and to make recommendations relating to the manner in which the Transaction Party carries on its business. Each Transaction Party agrees to provide all assistance and information required by the consultants (including making all financial records available and giving access to all premises and records) to enable the</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4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7" descr=""/>
                    <pic:cNvPicPr>
                      <a:picLocks noChangeAspect="1" noChangeArrowheads="1"/>
                    </pic:cNvPicPr>
                  </pic:nvPicPr>
                  <pic:blipFill>
                    <a:blip r:embed="rId14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5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8" descr=""/>
                    <pic:cNvPicPr>
                      <a:picLocks noChangeAspect="1" noChangeArrowheads="1"/>
                    </pic:cNvPicPr>
                  </pic:nvPicPr>
                  <pic:blipFill>
                    <a:blip r:embed="rId15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4" w:before="0" w:after="0"/>
        <w:ind w:left="4540" w:right="1854" w:hanging="0"/>
        <w:jc w:val="left"/>
        <w:rPr>
          <w:rFonts w:ascii="Arial" w:hAnsi="Arial"/>
          <w:sz w:val="20"/>
        </w:rPr>
      </w:pPr>
      <w:r>
        <w:rPr>
          <w:rFonts w:ascii="Arial" w:hAnsi="Arial"/>
          <w:sz w:val="20"/>
        </w:rPr>
        <w:t xml:space="preserve">consultants to conduct their examination promptly, completely and accurately. No Transaction Party is obliged to accept the recommendations of any consultant, and the Bank will assume no liability with respect to any actions a Transaction Party takes, or does not take, as a result of those recommendations; or </w:t>
      </w:r>
    </w:p>
    <w:p>
      <w:pPr>
        <w:pStyle w:val="TextBody"/>
        <w:bidi w:val="0"/>
        <w:spacing w:lineRule="auto" w:line="264" w:before="109" w:after="0"/>
        <w:ind w:left="4540" w:right="1887" w:hanging="0"/>
        <w:jc w:val="left"/>
        <w:rPr>
          <w:rFonts w:ascii="Arial" w:hAnsi="Arial"/>
          <w:sz w:val="20"/>
        </w:rPr>
      </w:pPr>
      <w:r>
        <w:rPr>
          <w:rFonts w:ascii="Arial" w:hAnsi="Arial"/>
          <w:sz w:val="20"/>
        </w:rPr>
        <w:t>(vi)</w:t>
      </w:r>
      <w:r>
        <w:rPr>
          <w:rFonts w:ascii="Arial" w:hAnsi="Arial"/>
          <w:b/>
          <w:sz w:val="20"/>
        </w:rPr>
        <w:t>treasury related transactions</w:t>
      </w:r>
      <w:r>
        <w:rPr>
          <w:rFonts w:ascii="Arial" w:hAnsi="Arial"/>
          <w:sz w:val="20"/>
        </w:rPr>
        <w:t>: if there are any Hedging Transactions or treasury related transactions in existence between the Bank and the Borrower (</w:t>
      </w:r>
      <w:r>
        <w:rPr>
          <w:rFonts w:ascii="Arial" w:hAnsi="Arial"/>
          <w:b/>
          <w:sz w:val="20"/>
        </w:rPr>
        <w:t>Open Positions</w:t>
      </w:r>
      <w:r>
        <w:rPr>
          <w:rFonts w:ascii="Arial" w:hAnsi="Arial"/>
          <w:sz w:val="20"/>
        </w:rPr>
        <w:t xml:space="preserve">) then: </w:t>
      </w:r>
    </w:p>
    <w:p>
      <w:pPr>
        <w:pStyle w:val="TextBody"/>
        <w:bidi w:val="0"/>
        <w:spacing w:lineRule="auto" w:line="264" w:before="107" w:after="0"/>
        <w:ind w:left="5054" w:right="1944" w:hanging="0"/>
        <w:jc w:val="left"/>
        <w:rPr>
          <w:rFonts w:ascii="Arial" w:hAnsi="Arial"/>
          <w:sz w:val="20"/>
        </w:rPr>
      </w:pPr>
      <w:r>
        <w:rPr>
          <w:rFonts w:ascii="Arial" w:hAnsi="Arial"/>
          <w:sz w:val="20"/>
        </w:rPr>
        <w:t xml:space="preserve">(A)the Bank may close out the Open Positions, by entering into opposite positions for the balance of the unexpired term, or by such other means as may be usual in the relevant market. Any such close out must be at market rates prevailing at the time; </w:t>
      </w:r>
    </w:p>
    <w:p>
      <w:pPr>
        <w:pStyle w:val="TextBody"/>
        <w:bidi w:val="0"/>
        <w:spacing w:lineRule="auto" w:line="264" w:before="109" w:after="0"/>
        <w:ind w:left="5054" w:right="1877" w:hanging="0"/>
        <w:jc w:val="left"/>
        <w:rPr>
          <w:rFonts w:ascii="Arial" w:hAnsi="Arial"/>
          <w:sz w:val="20"/>
        </w:rPr>
      </w:pPr>
      <w:r>
        <w:rPr>
          <w:rFonts w:ascii="Arial" w:hAnsi="Arial"/>
          <w:sz w:val="20"/>
        </w:rPr>
        <w:t xml:space="preserve">(B)any costs incurred by the Bank in closing out Open Positions must be paid by the Borrower to the Bank immediately upon demand by the Bank; </w:t>
      </w:r>
    </w:p>
    <w:p>
      <w:pPr>
        <w:pStyle w:val="TextBody"/>
        <w:bidi w:val="0"/>
        <w:spacing w:lineRule="auto" w:line="264" w:before="114" w:after="0"/>
        <w:ind w:left="5054" w:right="2007" w:hanging="0"/>
        <w:jc w:val="left"/>
        <w:rPr>
          <w:rFonts w:ascii="Arial" w:hAnsi="Arial"/>
          <w:sz w:val="20"/>
        </w:rPr>
      </w:pPr>
      <w:r>
        <w:rPr>
          <w:rFonts w:ascii="Arial" w:hAnsi="Arial"/>
          <w:sz w:val="20"/>
        </w:rPr>
        <w:t xml:space="preserve">(C)any gain derived from the closing out of the Open Positions will be credited to the Borrower and set off against the Amount Owing; and </w:t>
      </w:r>
    </w:p>
    <w:p>
      <w:pPr>
        <w:pStyle w:val="TextBody"/>
        <w:bidi w:val="0"/>
        <w:spacing w:lineRule="auto" w:line="264" w:before="111" w:after="0"/>
        <w:ind w:left="5054" w:right="1924" w:hanging="0"/>
        <w:jc w:val="left"/>
        <w:rPr>
          <w:rFonts w:ascii="Arial" w:hAnsi="Arial"/>
          <w:sz w:val="20"/>
        </w:rPr>
      </w:pPr>
      <w:r>
        <w:rPr>
          <w:rFonts w:ascii="Arial" w:hAnsi="Arial"/>
          <w:sz w:val="20"/>
        </w:rPr>
        <w:t xml:space="preserve">(D)the Bank will give the Borrower reasonable particulars of the manner of close out of the Open Positions and the basis of calculation of any amounts payable by or to the relevant Borrower arising from that close out. </w:t>
      </w:r>
    </w:p>
    <w:p>
      <w:pPr>
        <w:pStyle w:val="TextBody"/>
        <w:bidi w:val="0"/>
        <w:spacing w:lineRule="auto" w:line="264" w:before="107" w:after="0"/>
        <w:ind w:left="3983" w:right="1956" w:hanging="0"/>
        <w:jc w:val="left"/>
        <w:rPr>
          <w:rFonts w:ascii="Arial" w:hAnsi="Arial"/>
          <w:sz w:val="22"/>
        </w:rPr>
      </w:pPr>
      <w:r>
        <w:rPr>
          <w:rFonts w:ascii="Arial" w:hAnsi="Arial"/>
          <w:sz w:val="20"/>
        </w:rPr>
        <w:t xml:space="preserve">(b)On receipt of a notice under </w:t>
      </w:r>
      <w:r>
        <w:rPr>
          <w:rFonts w:ascii="Arial" w:hAnsi="Arial"/>
          <w:b/>
          <w:sz w:val="20"/>
        </w:rPr>
        <w:t xml:space="preserve">clause </w:t>
      </w:r>
      <w:r>
        <w:rPr>
          <w:rFonts w:ascii="Arial" w:hAnsi="Arial"/>
          <w:b/>
          <w:color w:val="2D97D3"/>
          <w:sz w:val="20"/>
          <w:u w:val="single"/>
        </w:rPr>
        <w:t>10.2</w:t>
      </w:r>
      <w:r>
        <w:rPr>
          <w:rFonts w:ascii="Arial" w:hAnsi="Arial"/>
          <w:b/>
          <w:strike/>
          <w:color w:val="B5082D"/>
          <w:sz w:val="20"/>
        </w:rPr>
        <w:t>10.2</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(ii)</w:t>
      </w:r>
      <w:r>
        <w:rPr>
          <w:rFonts w:ascii="Arial" w:hAnsi="Arial"/>
          <w:b/>
          <w:strike/>
          <w:color w:val="B5082D"/>
          <w:sz w:val="20"/>
        </w:rPr>
        <w:t>(ii)</w:t>
      </w:r>
      <w:r>
        <w:rPr>
          <w:rFonts w:ascii="Arial" w:hAnsi="Arial"/>
          <w:b/>
          <w:color w:val="2D97D3"/>
          <w:sz w:val="20"/>
          <w:u w:val="single"/>
        </w:rPr>
        <w:t>(A)</w:t>
      </w:r>
      <w:r>
        <w:rPr>
          <w:rFonts w:ascii="Arial" w:hAnsi="Arial"/>
          <w:b/>
          <w:strike/>
          <w:color w:val="B5082D"/>
          <w:sz w:val="20"/>
        </w:rPr>
        <w:t>(A)</w:t>
      </w:r>
      <w:r>
        <w:rPr>
          <w:rFonts w:ascii="Arial" w:hAnsi="Arial"/>
          <w:color w:val="B5082D"/>
          <w:sz w:val="22"/>
        </w:rPr>
        <w:t> </w:t>
      </w:r>
      <w:r>
        <w:rPr>
          <w:rFonts w:ascii="Arial" w:hAnsi="Arial"/>
          <w:sz w:val="20"/>
        </w:rPr>
        <w:t xml:space="preserve">or </w:t>
      </w:r>
      <w:r>
        <w:rPr>
          <w:rFonts w:ascii="Arial" w:hAnsi="Arial"/>
          <w:b/>
          <w:color w:val="2D97D3"/>
          <w:sz w:val="20"/>
          <w:u w:val="single"/>
        </w:rPr>
        <w:t>10.2</w:t>
      </w:r>
      <w:r>
        <w:rPr>
          <w:rFonts w:ascii="Arial" w:hAnsi="Arial"/>
          <w:b/>
          <w:strike/>
          <w:color w:val="B5082D"/>
          <w:sz w:val="20"/>
        </w:rPr>
        <w:t>10.2</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(ii)</w:t>
      </w:r>
      <w:r>
        <w:rPr>
          <w:rFonts w:ascii="Arial" w:hAnsi="Arial"/>
          <w:b/>
          <w:strike/>
          <w:color w:val="B5082D"/>
          <w:sz w:val="20"/>
        </w:rPr>
        <w:t>(ii)</w:t>
      </w:r>
      <w:r>
        <w:rPr>
          <w:rFonts w:ascii="Arial" w:hAnsi="Arial"/>
          <w:b/>
          <w:color w:val="2D97D3"/>
          <w:sz w:val="20"/>
          <w:u w:val="single"/>
        </w:rPr>
        <w:t>(B)</w:t>
      </w:r>
      <w:r>
        <w:rPr>
          <w:rFonts w:ascii="Arial" w:hAnsi="Arial"/>
          <w:b/>
          <w:strike/>
          <w:color w:val="B5082D"/>
          <w:sz w:val="20"/>
        </w:rPr>
        <w:t>(B)</w:t>
      </w:r>
      <w:r>
        <w:rPr>
          <w:rFonts w:ascii="Arial" w:hAnsi="Arial"/>
          <w:sz w:val="20"/>
        </w:rPr>
        <w:t>,</w:t>
      </w:r>
      <w:r>
        <w:rPr>
          <w:rFonts w:ascii="Arial" w:hAnsi="Arial"/>
          <w:sz w:val="22"/>
        </w:rPr>
        <w:t> </w:t>
      </w:r>
      <w:r>
        <w:rPr>
          <w:rFonts w:ascii="Arial" w:hAnsi="Arial"/>
          <w:sz w:val="20"/>
        </w:rPr>
        <w:t>the</w:t>
      </w:r>
      <w:r>
        <w:rPr>
          <w:rFonts w:ascii="Arial" w:hAnsi="Arial"/>
          <w:sz w:val="22"/>
        </w:rPr>
        <w:t> </w:t>
      </w:r>
      <w:r>
        <w:rPr>
          <w:rFonts w:ascii="Arial" w:hAnsi="Arial"/>
          <w:sz w:val="20"/>
        </w:rPr>
        <w:t>Borrower</w:t>
      </w:r>
      <w:r>
        <w:rPr>
          <w:rFonts w:ascii="Arial" w:hAnsi="Arial"/>
          <w:sz w:val="22"/>
        </w:rPr>
        <w:t> </w:t>
      </w:r>
      <w:r>
        <w:rPr>
          <w:rFonts w:ascii="Arial" w:hAnsi="Arial"/>
          <w:sz w:val="20"/>
        </w:rPr>
        <w:t>must</w:t>
      </w:r>
      <w:r>
        <w:rPr>
          <w:rFonts w:ascii="Arial" w:hAnsi="Arial"/>
          <w:sz w:val="22"/>
        </w:rPr>
        <w:t> </w:t>
      </w:r>
      <w:r>
        <w:rPr>
          <w:rFonts w:ascii="Arial" w:hAnsi="Arial"/>
          <w:sz w:val="20"/>
        </w:rPr>
        <w:t>immediately</w:t>
      </w:r>
      <w:r>
        <w:rPr>
          <w:rFonts w:ascii="Arial" w:hAnsi="Arial"/>
          <w:sz w:val="22"/>
        </w:rPr>
        <w:t> </w:t>
      </w:r>
      <w:r>
        <w:rPr>
          <w:rFonts w:ascii="Arial" w:hAnsi="Arial"/>
          <w:sz w:val="20"/>
        </w:rPr>
        <w:t>pay</w:t>
      </w:r>
      <w:r>
        <w:rPr>
          <w:rFonts w:ascii="Arial" w:hAnsi="Arial"/>
          <w:sz w:val="22"/>
        </w:rPr>
        <w:t> </w:t>
      </w:r>
      <w:r>
        <w:rPr>
          <w:rFonts w:ascii="Arial" w:hAnsi="Arial"/>
          <w:sz w:val="20"/>
        </w:rPr>
        <w:t>in</w:t>
      </w:r>
      <w:r>
        <w:rPr>
          <w:rFonts w:ascii="Arial" w:hAnsi="Arial"/>
          <w:sz w:val="22"/>
        </w:rPr>
        <w:t> </w:t>
      </w:r>
      <w:r>
        <w:rPr>
          <w:rFonts w:ascii="Arial" w:hAnsi="Arial"/>
          <w:sz w:val="20"/>
        </w:rPr>
        <w:t>full</w:t>
      </w:r>
      <w:r>
        <w:rPr>
          <w:rFonts w:ascii="Arial" w:hAnsi="Arial"/>
          <w:sz w:val="22"/>
        </w:rPr>
        <w:t> </w:t>
      </w:r>
      <w:r>
        <w:rPr>
          <w:rFonts w:ascii="Arial" w:hAnsi="Arial"/>
          <w:sz w:val="20"/>
        </w:rPr>
        <w:t>the amounts referred to in that notice.</w:t>
      </w:r>
      <w:r>
        <w:rPr>
          <w:rFonts w:ascii="Arial" w:hAnsi="Arial"/>
          <w:sz w:val="22"/>
        </w:rPr>
        <w:t xml:space="preserve"> </w:t>
      </w:r>
    </w:p>
    <w:tbl>
      <w:tblPr>
        <w:tblW w:w="5786" w:type="dxa"/>
        <w:jc w:val="left"/>
        <w:tblInd w:w="360" w:type="dxa"/>
        <w:tblLayout w:type="fixed"/>
        <w:tblCellMar>
          <w:top w:w="0" w:type="dxa"/>
          <w:left w:w="0" w:type="dxa"/>
          <w:bottom w:w="0" w:type="dxa"/>
          <w:right w:w="0" w:type="dxa"/>
        </w:tblCellMar>
      </w:tblPr>
      <w:tblGrid>
        <w:gridCol w:w="38"/>
        <w:gridCol w:w="560"/>
        <w:gridCol w:w="23"/>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16.3. </w:t>
            </w:r>
          </w:p>
        </w:tc>
        <w:tc>
          <w:tcPr>
            <w:tcW w:w="23" w:type="dxa"/>
            <w:tcBorders/>
            <w:vAlign w:val="center"/>
          </w:tcPr>
          <w:p>
            <w:pPr>
              <w:pStyle w:val="TableContents"/>
              <w:bidi w:val="0"/>
              <w:spacing w:before="0" w:after="283"/>
              <w:jc w:val="left"/>
              <w:rPr>
                <w:sz w:val="4"/>
                <w:szCs w:val="4"/>
              </w:rPr>
            </w:pPr>
            <w:r>
              <w:rPr>
                <w:sz w:val="4"/>
                <w:szCs w:val="4"/>
              </w:rPr>
            </w:r>
          </w:p>
        </w:tc>
        <w:tc>
          <w:tcPr>
            <w:tcW w:w="5165" w:type="dxa"/>
            <w:tcBorders/>
          </w:tcPr>
          <w:p>
            <w:pPr>
              <w:pStyle w:val="TableContents"/>
              <w:bidi w:val="0"/>
              <w:spacing w:before="174" w:after="0"/>
              <w:ind w:left="0" w:right="0" w:hanging="0"/>
              <w:jc w:val="left"/>
              <w:rPr>
                <w:rFonts w:ascii="Arial" w:hAnsi="Arial"/>
                <w:b/>
                <w:color w:val="000000"/>
                <w:sz w:val="22"/>
              </w:rPr>
            </w:pPr>
            <w:bookmarkStart w:id="237" w:name="Cash103"/>
            <w:bookmarkEnd w:id="237"/>
            <w:r>
              <w:rPr>
                <w:rFonts w:ascii="Arial" w:hAnsi="Arial"/>
                <w:b/>
                <w:color w:val="000000"/>
                <w:sz w:val="22"/>
              </w:rPr>
              <w:t>Cash Cover Account regarding Bank Guarantees</w:t>
            </w:r>
          </w:p>
        </w:tc>
      </w:tr>
    </w:tbl>
    <w:p>
      <w:pPr>
        <w:pStyle w:val="TextBody"/>
        <w:bidi w:val="0"/>
        <w:spacing w:lineRule="auto" w:line="264" w:before="107" w:after="0"/>
        <w:ind w:left="3983" w:right="1956" w:hanging="0"/>
        <w:jc w:val="left"/>
        <w:rPr>
          <w:rFonts w:ascii="Arial" w:hAnsi="Arial"/>
          <w:sz w:val="22"/>
        </w:rPr>
      </w:pPr>
      <w:r>
        <w:rPr>
          <w:rFonts w:ascii="Arial" w:hAnsi="Arial"/>
          <w:color w:val="000000"/>
          <w:sz w:val="20"/>
        </w:rPr>
        <w:t>(a)The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must</w:t>
      </w:r>
      <w:r>
        <w:rPr>
          <w:rFonts w:ascii="Arial" w:hAnsi="Arial"/>
          <w:color w:val="000000"/>
          <w:sz w:val="22"/>
        </w:rPr>
        <w:t> </w:t>
      </w:r>
      <w:r>
        <w:rPr>
          <w:rFonts w:ascii="Arial" w:hAnsi="Arial"/>
          <w:color w:val="000000"/>
          <w:sz w:val="20"/>
        </w:rPr>
        <w:t>credit</w:t>
      </w:r>
      <w:r>
        <w:rPr>
          <w:rFonts w:ascii="Arial" w:hAnsi="Arial"/>
          <w:color w:val="000000"/>
          <w:sz w:val="22"/>
        </w:rPr>
        <w:t> </w:t>
      </w:r>
      <w:r>
        <w:rPr>
          <w:rFonts w:ascii="Arial" w:hAnsi="Arial"/>
          <w:color w:val="000000"/>
          <w:sz w:val="20"/>
        </w:rPr>
        <w:t>so</w:t>
      </w:r>
      <w:r>
        <w:rPr>
          <w:rFonts w:ascii="Arial" w:hAnsi="Arial"/>
          <w:color w:val="000000"/>
          <w:sz w:val="22"/>
        </w:rPr>
        <w:t> </w:t>
      </w:r>
      <w:r>
        <w:rPr>
          <w:rFonts w:ascii="Arial" w:hAnsi="Arial"/>
          <w:color w:val="000000"/>
          <w:sz w:val="20"/>
        </w:rPr>
        <w:t>much</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money</w:t>
      </w:r>
      <w:r>
        <w:rPr>
          <w:rFonts w:ascii="Arial" w:hAnsi="Arial"/>
          <w:color w:val="000000"/>
          <w:sz w:val="22"/>
        </w:rPr>
        <w:t> </w:t>
      </w:r>
      <w:r>
        <w:rPr>
          <w:rFonts w:ascii="Arial" w:hAnsi="Arial"/>
          <w:color w:val="000000"/>
          <w:sz w:val="20"/>
        </w:rPr>
        <w:t>paid</w:t>
      </w:r>
      <w:r>
        <w:rPr>
          <w:rFonts w:ascii="Arial" w:hAnsi="Arial"/>
          <w:color w:val="000000"/>
          <w:sz w:val="22"/>
        </w:rPr>
        <w:t> </w:t>
      </w:r>
      <w:r>
        <w:rPr>
          <w:rFonts w:ascii="Arial" w:hAnsi="Arial"/>
          <w:color w:val="000000"/>
          <w:sz w:val="20"/>
        </w:rPr>
        <w:t>by</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Borrower</w:t>
      </w:r>
      <w:r>
        <w:rPr>
          <w:rFonts w:ascii="Arial" w:hAnsi="Arial"/>
          <w:color w:val="000000"/>
          <w:sz w:val="22"/>
        </w:rPr>
        <w:t> </w:t>
      </w:r>
      <w:r>
        <w:rPr>
          <w:rFonts w:ascii="Arial" w:hAnsi="Arial"/>
          <w:color w:val="000000"/>
          <w:sz w:val="20"/>
        </w:rPr>
        <w:t xml:space="preserve">under </w:t>
      </w:r>
      <w:r>
        <w:rPr>
          <w:rFonts w:ascii="Arial" w:hAnsi="Arial"/>
          <w:b/>
          <w:color w:val="000000"/>
          <w:sz w:val="20"/>
        </w:rPr>
        <w:t xml:space="preserve">clause </w:t>
      </w:r>
      <w:r>
        <w:rPr>
          <w:rFonts w:ascii="Arial" w:hAnsi="Arial"/>
          <w:b/>
          <w:color w:val="2D97D3"/>
          <w:sz w:val="20"/>
          <w:u w:val="single"/>
        </w:rPr>
        <w:t>10.2</w:t>
      </w:r>
      <w:r>
        <w:rPr>
          <w:rFonts w:ascii="Arial" w:hAnsi="Arial"/>
          <w:b/>
          <w:strike/>
          <w:color w:val="B5082D"/>
          <w:sz w:val="20"/>
        </w:rPr>
        <w:t>10.2</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(iv)</w:t>
      </w:r>
      <w:r>
        <w:rPr>
          <w:rFonts w:ascii="Arial" w:hAnsi="Arial"/>
          <w:b/>
          <w:strike/>
          <w:color w:val="B5082D"/>
          <w:sz w:val="20"/>
        </w:rPr>
        <w:t>(iv)</w:t>
      </w:r>
      <w:r>
        <w:rPr>
          <w:rFonts w:ascii="Arial" w:hAnsi="Arial"/>
          <w:b/>
          <w:color w:val="2D97D3"/>
          <w:sz w:val="20"/>
          <w:u w:val="single"/>
        </w:rPr>
        <w:t>(A)</w:t>
      </w:r>
      <w:r>
        <w:rPr>
          <w:rFonts w:ascii="Arial" w:hAnsi="Arial"/>
          <w:b/>
          <w:strike/>
          <w:color w:val="B5082D"/>
          <w:sz w:val="20"/>
        </w:rPr>
        <w:t>(A)</w:t>
      </w:r>
      <w:r>
        <w:rPr>
          <w:rFonts w:ascii="Arial" w:hAnsi="Arial"/>
          <w:color w:val="B5082D"/>
          <w:sz w:val="22"/>
        </w:rPr>
        <w:t> </w:t>
      </w:r>
      <w:r>
        <w:rPr>
          <w:rFonts w:ascii="Arial" w:hAnsi="Arial"/>
          <w:color w:val="000000"/>
          <w:sz w:val="20"/>
        </w:rPr>
        <w:t>which the Bank appropriates towards the Face Values of Current Bank Guarantees to an account</w:t>
      </w:r>
      <w:r>
        <w:rPr>
          <w:rFonts w:ascii="Arial" w:hAnsi="Arial"/>
          <w:color w:val="000000"/>
          <w:sz w:val="22"/>
        </w:rPr>
        <w:t> </w:t>
      </w:r>
      <w:r>
        <w:rPr>
          <w:rFonts w:ascii="Arial" w:hAnsi="Arial"/>
          <w:color w:val="000000"/>
          <w:sz w:val="20"/>
        </w:rPr>
        <w:t>maintained by the Bank for this purpose (</w:t>
      </w:r>
      <w:r>
        <w:rPr>
          <w:rFonts w:ascii="Arial" w:hAnsi="Arial"/>
          <w:b/>
          <w:color w:val="000000"/>
          <w:sz w:val="20"/>
        </w:rPr>
        <w:t>Cash Cover Account</w:t>
      </w:r>
      <w:r>
        <w:rPr>
          <w:rFonts w:ascii="Arial" w:hAnsi="Arial"/>
          <w:color w:val="000000"/>
          <w:sz w:val="20"/>
        </w:rPr>
        <w:t>).</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following provisions apply to the Cash Cover Account:</w:t>
      </w:r>
      <w:r>
        <w:rPr>
          <w:rFonts w:ascii="Arial" w:hAnsi="Arial"/>
          <w:sz w:val="20"/>
        </w:rPr>
        <w:t xml:space="preserve"> </w:t>
      </w:r>
    </w:p>
    <w:p>
      <w:pPr>
        <w:pStyle w:val="TextBody"/>
        <w:bidi w:val="0"/>
        <w:spacing w:before="140" w:after="0"/>
        <w:ind w:left="4539" w:right="360" w:hanging="0"/>
        <w:jc w:val="left"/>
        <w:rPr>
          <w:rFonts w:ascii="Arial" w:hAnsi="Arial"/>
          <w:sz w:val="20"/>
        </w:rPr>
      </w:pPr>
      <w:r>
        <w:rPr>
          <w:rFonts w:ascii="Arial" w:hAnsi="Arial"/>
          <w:color w:val="000000"/>
          <w:sz w:val="20"/>
        </w:rPr>
        <w:t>(i)the account will be in the name of the Borrower;</w:t>
      </w:r>
      <w:r>
        <w:rPr>
          <w:rFonts w:ascii="Arial" w:hAnsi="Arial"/>
          <w:sz w:val="20"/>
        </w:rPr>
        <w:t xml:space="preserve"> </w:t>
      </w:r>
    </w:p>
    <w:p>
      <w:pPr>
        <w:pStyle w:val="TextBody"/>
        <w:bidi w:val="0"/>
        <w:spacing w:lineRule="auto" w:line="264" w:before="135" w:after="0"/>
        <w:ind w:left="4540" w:right="1950" w:hanging="0"/>
        <w:jc w:val="left"/>
        <w:rPr>
          <w:rFonts w:ascii="Arial" w:hAnsi="Arial"/>
          <w:sz w:val="20"/>
        </w:rPr>
      </w:pPr>
      <w:r>
        <w:rPr>
          <w:rFonts w:ascii="Arial" w:hAnsi="Arial"/>
          <w:color w:val="000000"/>
          <w:sz w:val="20"/>
        </w:rPr>
        <w:t>(ii)despite the Cash Cover Account being in the name of the Borrower, until the Release Date the money held in the account is not owed by the Bank to the Borrower and the Borrower is not entitled to withdraw or be paid any of that money (including interest credited to the account);</w:t>
      </w:r>
      <w:r>
        <w:rPr>
          <w:rFonts w:ascii="Arial" w:hAnsi="Arial"/>
          <w:sz w:val="20"/>
        </w:rPr>
        <w:t xml:space="preserve"> </w:t>
      </w:r>
    </w:p>
    <w:p>
      <w:pPr>
        <w:pStyle w:val="TextBody"/>
        <w:bidi w:val="0"/>
        <w:spacing w:lineRule="auto" w:line="264" w:before="117" w:after="0"/>
        <w:ind w:left="4540" w:right="2249" w:hanging="0"/>
        <w:jc w:val="left"/>
        <w:rPr>
          <w:rFonts w:ascii="Arial" w:hAnsi="Arial"/>
          <w:sz w:val="20"/>
        </w:rPr>
      </w:pPr>
      <w:r>
        <w:rPr>
          <w:rFonts w:ascii="Arial" w:hAnsi="Arial"/>
          <w:color w:val="000000"/>
          <w:sz w:val="20"/>
        </w:rPr>
        <w:t>(iii)the Bank must credit to the account interest at the Cash Cover Rate from time to time and that interest will be credited to the account monthly and on the Release Date; and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5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9" descr=""/>
                    <pic:cNvPicPr>
                      <a:picLocks noChangeAspect="1" noChangeArrowheads="1"/>
                    </pic:cNvPicPr>
                  </pic:nvPicPr>
                  <pic:blipFill>
                    <a:blip r:embed="rId15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5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0" descr=""/>
                    <pic:cNvPicPr>
                      <a:picLocks noChangeAspect="1" noChangeArrowheads="1"/>
                    </pic:cNvPicPr>
                  </pic:nvPicPr>
                  <pic:blipFill>
                    <a:blip r:embed="rId15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0" w:after="0"/>
        <w:ind w:left="4540" w:right="1907" w:hanging="0"/>
        <w:jc w:val="left"/>
        <w:rPr>
          <w:rFonts w:ascii="Arial" w:hAnsi="Arial"/>
          <w:sz w:val="22"/>
        </w:rPr>
      </w:pPr>
      <w:r>
        <w:rPr>
          <w:rFonts w:ascii="Arial" w:hAnsi="Arial"/>
          <w:sz w:val="20"/>
        </w:rPr>
        <w:t xml:space="preserve">(iv)without limiting this </w:t>
      </w:r>
      <w:r>
        <w:rPr>
          <w:rFonts w:ascii="Arial" w:hAnsi="Arial"/>
          <w:b/>
          <w:sz w:val="20"/>
        </w:rPr>
        <w:t xml:space="preserve">clause </w:t>
      </w:r>
      <w:r>
        <w:rPr>
          <w:rFonts w:ascii="Arial" w:hAnsi="Arial"/>
          <w:b/>
          <w:color w:val="2D97D3"/>
          <w:sz w:val="20"/>
          <w:u w:val="single"/>
        </w:rPr>
        <w:t>10.3</w:t>
      </w:r>
      <w:r>
        <w:rPr>
          <w:rFonts w:ascii="Arial" w:hAnsi="Arial"/>
          <w:b/>
          <w:strike/>
          <w:color w:val="B5082D"/>
          <w:sz w:val="20"/>
        </w:rPr>
        <w:t>10.3</w:t>
      </w:r>
      <w:r>
        <w:rPr>
          <w:rFonts w:ascii="Arial" w:hAnsi="Arial"/>
          <w:sz w:val="20"/>
        </w:rPr>
        <w:t>, the Bank may apply any amounts</w:t>
      </w:r>
      <w:r>
        <w:rPr>
          <w:rFonts w:ascii="Arial" w:hAnsi="Arial"/>
          <w:sz w:val="22"/>
        </w:rPr>
        <w:t> </w:t>
      </w:r>
      <w:r>
        <w:rPr>
          <w:rFonts w:ascii="Arial" w:hAnsi="Arial"/>
          <w:sz w:val="20"/>
        </w:rPr>
        <w:t>from</w:t>
      </w:r>
      <w:r>
        <w:rPr>
          <w:rFonts w:ascii="Arial" w:hAnsi="Arial"/>
          <w:sz w:val="22"/>
        </w:rPr>
        <w:t> </w:t>
      </w:r>
      <w:r>
        <w:rPr>
          <w:rFonts w:ascii="Arial" w:hAnsi="Arial"/>
          <w:sz w:val="20"/>
        </w:rPr>
        <w:t>time</w:t>
      </w:r>
      <w:r>
        <w:rPr>
          <w:rFonts w:ascii="Arial" w:hAnsi="Arial"/>
          <w:sz w:val="22"/>
        </w:rPr>
        <w:t> </w:t>
      </w:r>
      <w:r>
        <w:rPr>
          <w:rFonts w:ascii="Arial" w:hAnsi="Arial"/>
          <w:sz w:val="20"/>
        </w:rPr>
        <w:t>to</w:t>
      </w:r>
      <w:r>
        <w:rPr>
          <w:rFonts w:ascii="Arial" w:hAnsi="Arial"/>
          <w:sz w:val="22"/>
        </w:rPr>
        <w:t> </w:t>
      </w:r>
      <w:r>
        <w:rPr>
          <w:rFonts w:ascii="Arial" w:hAnsi="Arial"/>
          <w:sz w:val="20"/>
        </w:rPr>
        <w:t>time</w:t>
      </w:r>
      <w:r>
        <w:rPr>
          <w:rFonts w:ascii="Arial" w:hAnsi="Arial"/>
          <w:sz w:val="22"/>
        </w:rPr>
        <w:t> </w:t>
      </w:r>
      <w:r>
        <w:rPr>
          <w:rFonts w:ascii="Arial" w:hAnsi="Arial"/>
          <w:sz w:val="20"/>
        </w:rPr>
        <w:t>held</w:t>
      </w:r>
      <w:r>
        <w:rPr>
          <w:rFonts w:ascii="Arial" w:hAnsi="Arial"/>
          <w:sz w:val="22"/>
        </w:rPr>
        <w:t> </w:t>
      </w:r>
      <w:r>
        <w:rPr>
          <w:rFonts w:ascii="Arial" w:hAnsi="Arial"/>
          <w:sz w:val="20"/>
        </w:rPr>
        <w:t>in</w:t>
      </w:r>
      <w:r>
        <w:rPr>
          <w:rFonts w:ascii="Arial" w:hAnsi="Arial"/>
          <w:sz w:val="22"/>
        </w:rPr>
        <w:t> </w:t>
      </w:r>
      <w:r>
        <w:rPr>
          <w:rFonts w:ascii="Arial" w:hAnsi="Arial"/>
          <w:sz w:val="20"/>
        </w:rPr>
        <w:t>the</w:t>
      </w:r>
      <w:r>
        <w:rPr>
          <w:rFonts w:ascii="Arial" w:hAnsi="Arial"/>
          <w:sz w:val="22"/>
        </w:rPr>
        <w:t> </w:t>
      </w:r>
      <w:r>
        <w:rPr>
          <w:rFonts w:ascii="Arial" w:hAnsi="Arial"/>
          <w:sz w:val="20"/>
        </w:rPr>
        <w:t>account</w:t>
      </w:r>
      <w:r>
        <w:rPr>
          <w:rFonts w:ascii="Arial" w:hAnsi="Arial"/>
          <w:sz w:val="22"/>
        </w:rPr>
        <w:t> </w:t>
      </w:r>
      <w:r>
        <w:rPr>
          <w:rFonts w:ascii="Arial" w:hAnsi="Arial"/>
          <w:sz w:val="20"/>
        </w:rPr>
        <w:t>towards</w:t>
      </w:r>
      <w:r>
        <w:rPr>
          <w:rFonts w:ascii="Arial" w:hAnsi="Arial"/>
          <w:sz w:val="22"/>
        </w:rPr>
        <w:t> </w:t>
      </w:r>
      <w:r>
        <w:rPr>
          <w:rFonts w:ascii="Arial" w:hAnsi="Arial"/>
          <w:sz w:val="20"/>
        </w:rPr>
        <w:t>payment</w:t>
      </w:r>
      <w:r>
        <w:rPr>
          <w:rFonts w:ascii="Arial" w:hAnsi="Arial"/>
          <w:sz w:val="22"/>
        </w:rPr>
        <w:t> </w:t>
      </w:r>
      <w:r>
        <w:rPr>
          <w:rFonts w:ascii="Arial" w:hAnsi="Arial"/>
          <w:sz w:val="20"/>
        </w:rPr>
        <w:t>of any</w:t>
      </w:r>
      <w:r>
        <w:rPr>
          <w:rFonts w:ascii="Arial" w:hAnsi="Arial"/>
          <w:sz w:val="22"/>
        </w:rPr>
        <w:t> </w:t>
      </w:r>
      <w:r>
        <w:rPr>
          <w:rFonts w:ascii="Arial" w:hAnsi="Arial"/>
          <w:sz w:val="20"/>
        </w:rPr>
        <w:t>amounts</w:t>
      </w:r>
      <w:r>
        <w:rPr>
          <w:rFonts w:ascii="Arial" w:hAnsi="Arial"/>
          <w:sz w:val="22"/>
        </w:rPr>
        <w:t> </w:t>
      </w:r>
      <w:r>
        <w:rPr>
          <w:rFonts w:ascii="Arial" w:hAnsi="Arial"/>
          <w:sz w:val="20"/>
        </w:rPr>
        <w:t>due</w:t>
      </w:r>
      <w:r>
        <w:rPr>
          <w:rFonts w:ascii="Arial" w:hAnsi="Arial"/>
          <w:sz w:val="22"/>
        </w:rPr>
        <w:t> </w:t>
      </w:r>
      <w:r>
        <w:rPr>
          <w:rFonts w:ascii="Arial" w:hAnsi="Arial"/>
          <w:sz w:val="20"/>
        </w:rPr>
        <w:t>and</w:t>
      </w:r>
      <w:r>
        <w:rPr>
          <w:rFonts w:ascii="Arial" w:hAnsi="Arial"/>
          <w:sz w:val="22"/>
        </w:rPr>
        <w:t> </w:t>
      </w:r>
      <w:r>
        <w:rPr>
          <w:rFonts w:ascii="Arial" w:hAnsi="Arial"/>
          <w:sz w:val="20"/>
        </w:rPr>
        <w:t>payable</w:t>
      </w:r>
      <w:r>
        <w:rPr>
          <w:rFonts w:ascii="Arial" w:hAnsi="Arial"/>
          <w:sz w:val="22"/>
        </w:rPr>
        <w:t> </w:t>
      </w:r>
      <w:r>
        <w:rPr>
          <w:rFonts w:ascii="Arial" w:hAnsi="Arial"/>
          <w:sz w:val="20"/>
        </w:rPr>
        <w:t>from</w:t>
      </w:r>
      <w:r>
        <w:rPr>
          <w:rFonts w:ascii="Arial" w:hAnsi="Arial"/>
          <w:sz w:val="22"/>
        </w:rPr>
        <w:t> </w:t>
      </w:r>
      <w:r>
        <w:rPr>
          <w:rFonts w:ascii="Arial" w:hAnsi="Arial"/>
          <w:sz w:val="20"/>
        </w:rPr>
        <w:t>time</w:t>
      </w:r>
      <w:r>
        <w:rPr>
          <w:rFonts w:ascii="Arial" w:hAnsi="Arial"/>
          <w:sz w:val="22"/>
        </w:rPr>
        <w:t> </w:t>
      </w:r>
      <w:r>
        <w:rPr>
          <w:rFonts w:ascii="Arial" w:hAnsi="Arial"/>
          <w:sz w:val="20"/>
        </w:rPr>
        <w:t>to</w:t>
      </w:r>
      <w:r>
        <w:rPr>
          <w:rFonts w:ascii="Arial" w:hAnsi="Arial"/>
          <w:sz w:val="22"/>
        </w:rPr>
        <w:t> </w:t>
      </w:r>
      <w:r>
        <w:rPr>
          <w:rFonts w:ascii="Arial" w:hAnsi="Arial"/>
          <w:sz w:val="20"/>
        </w:rPr>
        <w:t>time</w:t>
      </w:r>
      <w:r>
        <w:rPr>
          <w:rFonts w:ascii="Arial" w:hAnsi="Arial"/>
          <w:sz w:val="22"/>
        </w:rPr>
        <w:t> </w:t>
      </w:r>
      <w:r>
        <w:rPr>
          <w:rFonts w:ascii="Arial" w:hAnsi="Arial"/>
          <w:sz w:val="20"/>
        </w:rPr>
        <w:t>to</w:t>
      </w:r>
      <w:r>
        <w:rPr>
          <w:rFonts w:ascii="Arial" w:hAnsi="Arial"/>
          <w:sz w:val="22"/>
        </w:rPr>
        <w:t> </w:t>
      </w:r>
      <w:r>
        <w:rPr>
          <w:rFonts w:ascii="Arial" w:hAnsi="Arial"/>
          <w:sz w:val="20"/>
        </w:rPr>
        <w:t>the</w:t>
      </w:r>
      <w:r>
        <w:rPr>
          <w:rFonts w:ascii="Arial" w:hAnsi="Arial"/>
          <w:sz w:val="22"/>
        </w:rPr>
        <w:t> </w:t>
      </w:r>
      <w:r>
        <w:rPr>
          <w:rFonts w:ascii="Arial" w:hAnsi="Arial"/>
          <w:sz w:val="20"/>
        </w:rPr>
        <w:t>Bank</w:t>
      </w:r>
      <w:r>
        <w:rPr>
          <w:rFonts w:ascii="Arial" w:hAnsi="Arial"/>
          <w:sz w:val="22"/>
        </w:rPr>
        <w:t> </w:t>
      </w:r>
      <w:r>
        <w:rPr>
          <w:rFonts w:ascii="Arial" w:hAnsi="Arial"/>
          <w:sz w:val="20"/>
        </w:rPr>
        <w:t>under any Transaction Document.</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(c)On the Release Date, the Bank must pay to the Borrower the credit balance of the Cash Cover Account.</w:t>
      </w:r>
      <w:r>
        <w:rPr>
          <w:rFonts w:ascii="Arial" w:hAnsi="Arial"/>
          <w:sz w:val="20"/>
        </w:rPr>
        <w:t xml:space="preserve"> </w:t>
      </w:r>
    </w:p>
    <w:tbl>
      <w:tblPr>
        <w:tblW w:w="2201" w:type="dxa"/>
        <w:jc w:val="left"/>
        <w:tblInd w:w="360" w:type="dxa"/>
        <w:tblLayout w:type="fixed"/>
        <w:tblCellMar>
          <w:top w:w="0" w:type="dxa"/>
          <w:left w:w="0" w:type="dxa"/>
          <w:bottom w:w="0" w:type="dxa"/>
          <w:right w:w="0" w:type="dxa"/>
        </w:tblCellMar>
      </w:tblPr>
      <w:tblGrid>
        <w:gridCol w:w="38"/>
        <w:gridCol w:w="560"/>
        <w:gridCol w:w="23"/>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16.4. </w:t>
            </w:r>
          </w:p>
        </w:tc>
        <w:tc>
          <w:tcPr>
            <w:tcW w:w="23" w:type="dxa"/>
            <w:tcBorders/>
            <w:vAlign w:val="center"/>
          </w:tcPr>
          <w:p>
            <w:pPr>
              <w:pStyle w:val="TableContents"/>
              <w:bidi w:val="0"/>
              <w:spacing w:before="0" w:after="283"/>
              <w:jc w:val="left"/>
              <w:rPr>
                <w:sz w:val="4"/>
                <w:szCs w:val="4"/>
              </w:rPr>
            </w:pPr>
            <w:r>
              <w:rPr>
                <w:sz w:val="4"/>
                <w:szCs w:val="4"/>
              </w:rPr>
            </w:r>
          </w:p>
        </w:tc>
        <w:tc>
          <w:tcPr>
            <w:tcW w:w="1580" w:type="dxa"/>
            <w:tcBorders/>
          </w:tcPr>
          <w:p>
            <w:pPr>
              <w:pStyle w:val="TableContents"/>
              <w:bidi w:val="0"/>
              <w:spacing w:before="174" w:after="0"/>
              <w:ind w:left="0" w:right="0" w:hanging="0"/>
              <w:jc w:val="left"/>
              <w:rPr>
                <w:rFonts w:ascii="Arial" w:hAnsi="Arial"/>
                <w:b/>
                <w:color w:val="000000"/>
                <w:sz w:val="22"/>
              </w:rPr>
            </w:pPr>
            <w:bookmarkStart w:id="238" w:name="Review_Events104"/>
            <w:bookmarkEnd w:id="238"/>
            <w:r>
              <w:rPr>
                <w:rFonts w:ascii="Arial" w:hAnsi="Arial"/>
                <w:b/>
                <w:color w:val="000000"/>
                <w:sz w:val="22"/>
              </w:rPr>
              <w:t>Review Events</w:t>
            </w:r>
          </w:p>
        </w:tc>
      </w:tr>
    </w:tbl>
    <w:p>
      <w:pPr>
        <w:pStyle w:val="TextBody"/>
        <w:bidi w:val="0"/>
        <w:spacing w:lineRule="auto" w:line="264" w:before="87" w:after="0"/>
        <w:ind w:left="3456" w:right="1854" w:hanging="0"/>
        <w:jc w:val="left"/>
        <w:rPr>
          <w:rFonts w:ascii="Arial" w:hAnsi="Arial"/>
          <w:sz w:val="20"/>
        </w:rPr>
      </w:pPr>
      <w:r>
        <w:rPr>
          <w:rFonts w:ascii="Arial" w:hAnsi="Arial"/>
          <w:color w:val="000000"/>
          <w:sz w:val="20"/>
        </w:rPr>
        <w:t>Each of the following is a Review Event (whether or not caused by anything outside the control of any Transaction Party):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(a)there is an Insolvency Event in respect of Reading International Inc;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 Change of Control occurs in relation to any Transaction Party.</w:t>
      </w:r>
      <w:r>
        <w:rPr>
          <w:rFonts w:ascii="Arial" w:hAnsi="Arial"/>
          <w:sz w:val="20"/>
        </w:rPr>
        <w:t xml:space="preserve"> </w:t>
      </w:r>
    </w:p>
    <w:tbl>
      <w:tblPr>
        <w:tblW w:w="1541" w:type="dxa"/>
        <w:jc w:val="left"/>
        <w:tblInd w:w="360" w:type="dxa"/>
        <w:tblLayout w:type="fixed"/>
        <w:tblCellMar>
          <w:top w:w="0" w:type="dxa"/>
          <w:left w:w="0" w:type="dxa"/>
          <w:bottom w:w="0" w:type="dxa"/>
          <w:right w:w="0" w:type="dxa"/>
        </w:tblCellMar>
      </w:tblPr>
      <w:tblGrid>
        <w:gridCol w:w="38"/>
        <w:gridCol w:w="56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16.5.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bidi w:val="0"/>
              <w:spacing w:before="174" w:after="0"/>
              <w:ind w:left="0" w:right="0" w:hanging="0"/>
              <w:jc w:val="left"/>
              <w:rPr>
                <w:rFonts w:ascii="Arial" w:hAnsi="Arial"/>
                <w:b/>
                <w:color w:val="000000"/>
                <w:sz w:val="22"/>
              </w:rPr>
            </w:pPr>
            <w:bookmarkStart w:id="239" w:name="Reviews105"/>
            <w:bookmarkEnd w:id="239"/>
            <w:r>
              <w:rPr>
                <w:rFonts w:ascii="Arial" w:hAnsi="Arial"/>
                <w:b/>
                <w:color w:val="000000"/>
                <w:sz w:val="22"/>
              </w:rPr>
              <w:t>Reviews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(a)In addition to any other review rights the Bank has under this document, the Bank may conduct a review of any Facility following a Review Event.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(b)If a Review Event has occurred, then, at any time or from time to time:</w:t>
      </w:r>
      <w:r>
        <w:rPr>
          <w:rFonts w:ascii="Arial" w:hAnsi="Arial"/>
          <w:sz w:val="20"/>
        </w:rPr>
        <w:t xml:space="preserve"> </w:t>
      </w:r>
    </w:p>
    <w:p>
      <w:pPr>
        <w:pStyle w:val="TextBody"/>
        <w:bidi w:val="0"/>
        <w:spacing w:lineRule="auto" w:line="264" w:before="135" w:after="0"/>
        <w:ind w:left="4540" w:right="1907" w:hanging="0"/>
        <w:jc w:val="left"/>
        <w:rPr>
          <w:rFonts w:ascii="Arial" w:hAnsi="Arial"/>
          <w:sz w:val="20"/>
        </w:rPr>
      </w:pPr>
      <w:r>
        <w:rPr>
          <w:rFonts w:ascii="Arial" w:hAnsi="Arial"/>
          <w:color w:val="000000"/>
          <w:sz w:val="20"/>
        </w:rPr>
        <w:t>(i)the Bank may change any of the conditions applying to the Facility including, but not limited to, increasing or otherwise varying the fees payable in connection with the Facility; and/or</w:t>
      </w:r>
      <w:r>
        <w:rPr>
          <w:rFonts w:ascii="Arial" w:hAnsi="Arial"/>
          <w:sz w:val="20"/>
        </w:rPr>
        <w:t xml:space="preserve"> </w:t>
      </w:r>
    </w:p>
    <w:p>
      <w:pPr>
        <w:pStyle w:val="TextBody"/>
        <w:bidi w:val="0"/>
        <w:spacing w:lineRule="auto" w:line="264" w:before="108" w:after="0"/>
        <w:ind w:left="4540" w:right="1923" w:hanging="0"/>
        <w:jc w:val="left"/>
        <w:rPr>
          <w:rFonts w:ascii="Arial" w:hAnsi="Arial"/>
          <w:sz w:val="20"/>
        </w:rPr>
      </w:pPr>
      <w:r>
        <w:rPr>
          <w:rFonts w:ascii="Arial" w:hAnsi="Arial"/>
          <w:color w:val="000000"/>
          <w:sz w:val="20"/>
        </w:rPr>
        <w:t>(ii)the Bank may terminate the Facility. If the Bank terminates the Facility, the Termination Date occurs on the date 30 days after the date the Bank notifies the Borrower that it wishes to terminate the Facility.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Bank may not change any of the conditions applying to the Facility unless it has first given 30 days prior notice to the Borrower of the intended change.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(d)If the Bank gives notice of any change to the conditions of any Facility and the Borrower refuses to accept the changes before the end of the period of notice, then at the end of that period, the Facility will become repayable within 30 days of any demand by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(e)Nothing in this clause affects the Bank’s rights if any Event of Default</w:t>
      </w:r>
      <w:r>
        <w:rPr>
          <w:rFonts w:ascii="Arial" w:hAnsi="Arial"/>
          <w:sz w:val="20"/>
        </w:rPr>
        <w:t xml:space="preserve"> </w:t>
      </w:r>
    </w:p>
    <w:p>
      <w:pPr>
        <w:pStyle w:val="TextBody"/>
        <w:bidi w:val="0"/>
        <w:spacing w:lineRule="auto" w:line="264" w:before="110" w:after="0"/>
        <w:ind w:left="3988" w:right="2120" w:hanging="536"/>
        <w:jc w:val="both"/>
        <w:rPr>
          <w:rFonts w:ascii="Arial" w:hAnsi="Arial"/>
          <w:sz w:val="20"/>
        </w:rPr>
      </w:pPr>
      <w:r>
        <w:rPr>
          <w:rFonts w:ascii="Arial" w:hAnsi="Arial"/>
          <w:color w:val="000000"/>
          <w:sz w:val="20"/>
        </w:rPr>
        <w:t>occurs.</w:t>
      </w:r>
      <w:r>
        <w:rPr>
          <w:rFonts w:ascii="Arial" w:hAnsi="Arial"/>
          <w:sz w:val="20"/>
        </w:rPr>
        <w:t xml:space="preserve"> </w:t>
      </w:r>
    </w:p>
    <w:tbl>
      <w:tblPr>
        <w:tblW w:w="1901" w:type="dxa"/>
        <w:jc w:val="left"/>
        <w:tblInd w:w="360" w:type="dxa"/>
        <w:tblLayout w:type="fixed"/>
        <w:tblCellMar>
          <w:top w:w="0" w:type="dxa"/>
          <w:left w:w="0" w:type="dxa"/>
          <w:bottom w:w="0" w:type="dxa"/>
          <w:right w:w="0" w:type="dxa"/>
        </w:tblCellMar>
      </w:tblPr>
      <w:tblGrid>
        <w:gridCol w:w="38"/>
        <w:gridCol w:w="560"/>
        <w:gridCol w:w="23"/>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16.6. </w:t>
            </w:r>
          </w:p>
        </w:tc>
        <w:tc>
          <w:tcPr>
            <w:tcW w:w="23" w:type="dxa"/>
            <w:tcBorders/>
            <w:vAlign w:val="center"/>
          </w:tcPr>
          <w:p>
            <w:pPr>
              <w:pStyle w:val="TableContents"/>
              <w:bidi w:val="0"/>
              <w:spacing w:before="0" w:after="283"/>
              <w:jc w:val="left"/>
              <w:rPr>
                <w:sz w:val="4"/>
                <w:szCs w:val="4"/>
              </w:rPr>
            </w:pPr>
            <w:r>
              <w:rPr>
                <w:sz w:val="4"/>
                <w:szCs w:val="4"/>
              </w:rPr>
            </w:r>
          </w:p>
        </w:tc>
        <w:tc>
          <w:tcPr>
            <w:tcW w:w="1280" w:type="dxa"/>
            <w:tcBorders/>
          </w:tcPr>
          <w:p>
            <w:pPr>
              <w:pStyle w:val="TableContents"/>
              <w:bidi w:val="0"/>
              <w:spacing w:before="174" w:after="0"/>
              <w:ind w:left="0" w:right="0" w:hanging="0"/>
              <w:jc w:val="left"/>
              <w:rPr>
                <w:rFonts w:ascii="Arial" w:hAnsi="Arial"/>
                <w:b/>
                <w:color w:val="000000"/>
                <w:sz w:val="22"/>
              </w:rPr>
            </w:pPr>
            <w:bookmarkStart w:id="240" w:name="Equity_Cure106"/>
            <w:bookmarkEnd w:id="240"/>
            <w:r>
              <w:rPr>
                <w:rFonts w:ascii="Arial" w:hAnsi="Arial"/>
                <w:b/>
                <w:color w:val="000000"/>
                <w:sz w:val="22"/>
              </w:rPr>
              <w:t>Equity Cure</w:t>
            </w:r>
          </w:p>
        </w:tc>
      </w:tr>
    </w:tbl>
    <w:p>
      <w:pPr>
        <w:pStyle w:val="TextBody"/>
        <w:bidi w:val="0"/>
        <w:spacing w:lineRule="auto" w:line="264" w:before="107" w:after="0"/>
        <w:ind w:left="3983" w:right="1956" w:hanging="0"/>
        <w:jc w:val="left"/>
        <w:rPr>
          <w:rFonts w:ascii="Arial" w:hAnsi="Arial"/>
          <w:sz w:val="22"/>
        </w:rPr>
      </w:pPr>
      <w:r>
        <w:rPr>
          <w:rFonts w:ascii="Arial" w:hAnsi="Arial"/>
          <w:color w:val="000000"/>
          <w:sz w:val="20"/>
        </w:rPr>
        <w:t xml:space="preserve">(a)If a breach of a Financial Ratio (other than the Fixed Charges Cover Ratio) occurs, the Borrower will have the right subject to </w:t>
      </w:r>
      <w:r>
        <w:rPr>
          <w:rFonts w:ascii="Arial" w:hAnsi="Arial"/>
          <w:b/>
          <w:color w:val="000000"/>
          <w:sz w:val="20"/>
        </w:rPr>
        <w:t xml:space="preserve">clause </w:t>
      </w:r>
      <w:r>
        <w:rPr>
          <w:rFonts w:ascii="Arial" w:hAnsi="Arial"/>
          <w:b/>
          <w:color w:val="2D97D3"/>
          <w:sz w:val="20"/>
          <w:u w:val="single"/>
        </w:rPr>
        <w:t>10.6(b)</w:t>
      </w:r>
      <w:r>
        <w:rPr>
          <w:rFonts w:ascii="Arial" w:hAnsi="Arial"/>
          <w:b/>
          <w:strike/>
          <w:color w:val="B5082D"/>
          <w:sz w:val="20"/>
        </w:rPr>
        <w:t>10.6(b)</w:t>
      </w:r>
      <w:r>
        <w:rPr>
          <w:rFonts w:ascii="Arial" w:hAnsi="Arial"/>
          <w:color w:val="B5082D"/>
          <w:sz w:val="22"/>
        </w:rPr>
        <w:t> </w:t>
      </w:r>
      <w:r>
        <w:rPr>
          <w:rFonts w:ascii="Arial" w:hAnsi="Arial"/>
          <w:color w:val="000000"/>
          <w:sz w:val="20"/>
        </w:rPr>
        <w:t>to</w:t>
      </w:r>
      <w:r>
        <w:rPr>
          <w:rFonts w:ascii="Arial" w:hAnsi="Arial"/>
          <w:color w:val="000000"/>
          <w:sz w:val="22"/>
        </w:rPr>
        <w:t> </w:t>
      </w:r>
      <w:r>
        <w:rPr>
          <w:rFonts w:ascii="Arial" w:hAnsi="Arial"/>
          <w:color w:val="000000"/>
          <w:sz w:val="20"/>
        </w:rPr>
        <w:t>cure</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breach</w:t>
      </w:r>
      <w:r>
        <w:rPr>
          <w:rFonts w:ascii="Arial" w:hAnsi="Arial"/>
          <w:color w:val="000000"/>
          <w:sz w:val="22"/>
        </w:rPr>
        <w:t> </w:t>
      </w:r>
      <w:r>
        <w:rPr>
          <w:rFonts w:ascii="Arial" w:hAnsi="Arial"/>
          <w:color w:val="000000"/>
          <w:sz w:val="20"/>
        </w:rPr>
        <w:t>by</w:t>
      </w:r>
      <w:r>
        <w:rPr>
          <w:rFonts w:ascii="Arial" w:hAnsi="Arial"/>
          <w:color w:val="000000"/>
          <w:sz w:val="22"/>
        </w:rPr>
        <w:t> </w:t>
      </w:r>
      <w:r>
        <w:rPr>
          <w:rFonts w:ascii="Arial" w:hAnsi="Arial"/>
          <w:color w:val="000000"/>
          <w:sz w:val="20"/>
        </w:rPr>
        <w:t>procuring</w:t>
      </w:r>
      <w:r>
        <w:rPr>
          <w:rFonts w:ascii="Arial" w:hAnsi="Arial"/>
          <w:color w:val="000000"/>
          <w:sz w:val="22"/>
        </w:rPr>
        <w:t> </w:t>
      </w:r>
      <w:r>
        <w:rPr>
          <w:rFonts w:ascii="Arial" w:hAnsi="Arial"/>
          <w:color w:val="000000"/>
          <w:sz w:val="20"/>
        </w:rPr>
        <w:t>additional</w:t>
      </w:r>
      <w:r>
        <w:rPr>
          <w:rFonts w:ascii="Arial" w:hAnsi="Arial"/>
          <w:color w:val="000000"/>
          <w:sz w:val="22"/>
        </w:rPr>
        <w:t> </w:t>
      </w:r>
      <w:r>
        <w:rPr>
          <w:rFonts w:ascii="Arial" w:hAnsi="Arial"/>
          <w:color w:val="000000"/>
          <w:sz w:val="20"/>
        </w:rPr>
        <w:t>Subordinated Debt</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an</w:t>
      </w:r>
      <w:r>
        <w:rPr>
          <w:rFonts w:ascii="Arial" w:hAnsi="Arial"/>
          <w:color w:val="000000"/>
          <w:sz w:val="22"/>
        </w:rPr>
        <w:t> </w:t>
      </w:r>
      <w:r>
        <w:rPr>
          <w:rFonts w:ascii="Arial" w:hAnsi="Arial"/>
          <w:color w:val="000000"/>
          <w:sz w:val="20"/>
        </w:rPr>
        <w:t>equity</w:t>
      </w:r>
      <w:r>
        <w:rPr>
          <w:rFonts w:ascii="Arial" w:hAnsi="Arial"/>
          <w:color w:val="000000"/>
          <w:sz w:val="22"/>
        </w:rPr>
        <w:t> </w:t>
      </w:r>
      <w:r>
        <w:rPr>
          <w:rFonts w:ascii="Arial" w:hAnsi="Arial"/>
          <w:color w:val="000000"/>
          <w:sz w:val="20"/>
        </w:rPr>
        <w:t>contribution</w:t>
      </w:r>
      <w:r>
        <w:rPr>
          <w:rFonts w:ascii="Arial" w:hAnsi="Arial"/>
          <w:color w:val="000000"/>
          <w:sz w:val="22"/>
        </w:rPr>
        <w:t> </w:t>
      </w:r>
      <w:r>
        <w:rPr>
          <w:rFonts w:ascii="Arial" w:hAnsi="Arial"/>
          <w:color w:val="000000"/>
          <w:sz w:val="20"/>
        </w:rPr>
        <w:t>by</w:t>
      </w:r>
      <w:r>
        <w:rPr>
          <w:rFonts w:ascii="Arial" w:hAnsi="Arial"/>
          <w:color w:val="000000"/>
          <w:sz w:val="22"/>
        </w:rPr>
        <w:t> </w:t>
      </w:r>
      <w:r>
        <w:rPr>
          <w:rFonts w:ascii="Arial" w:hAnsi="Arial"/>
          <w:color w:val="000000"/>
          <w:sz w:val="20"/>
        </w:rPr>
        <w:t>way</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subscription</w:t>
      </w:r>
      <w:r>
        <w:rPr>
          <w:rFonts w:ascii="Arial" w:hAnsi="Arial"/>
          <w:color w:val="000000"/>
          <w:sz w:val="22"/>
        </w:rPr>
        <w:t> </w:t>
      </w:r>
      <w:r>
        <w:rPr>
          <w:rFonts w:ascii="Arial" w:hAnsi="Arial"/>
          <w:color w:val="000000"/>
          <w:sz w:val="20"/>
        </w:rPr>
        <w:t>for</w:t>
      </w:r>
      <w:r>
        <w:rPr>
          <w:rFonts w:ascii="Arial" w:hAnsi="Arial"/>
          <w:color w:val="000000"/>
          <w:sz w:val="22"/>
        </w:rPr>
        <w:t> </w:t>
      </w:r>
      <w:r>
        <w:rPr>
          <w:rFonts w:ascii="Arial" w:hAnsi="Arial"/>
          <w:color w:val="000000"/>
          <w:sz w:val="20"/>
        </w:rPr>
        <w:t>new</w:t>
      </w:r>
      <w:r>
        <w:rPr>
          <w:rFonts w:ascii="Arial" w:hAnsi="Arial"/>
          <w:color w:val="000000"/>
          <w:sz w:val="22"/>
        </w:rPr>
        <w:t> </w:t>
      </w:r>
      <w:r>
        <w:rPr>
          <w:rFonts w:ascii="Arial" w:hAnsi="Arial"/>
          <w:color w:val="000000"/>
          <w:sz w:val="20"/>
        </w:rPr>
        <w:t>shares</w:t>
      </w:r>
      <w:r>
        <w:rPr>
          <w:rFonts w:ascii="Arial" w:hAnsi="Arial"/>
          <w:color w:val="000000"/>
          <w:sz w:val="22"/>
        </w:rPr>
        <w:t> </w:t>
      </w:r>
      <w:r>
        <w:rPr>
          <w:rFonts w:ascii="Arial" w:hAnsi="Arial"/>
          <w:color w:val="000000"/>
          <w:sz w:val="20"/>
        </w:rPr>
        <w:t>in the</w:t>
      </w:r>
      <w:r>
        <w:rPr>
          <w:rFonts w:ascii="Arial" w:hAnsi="Arial"/>
          <w:color w:val="000000"/>
          <w:sz w:val="22"/>
        </w:rPr>
        <w:t> </w:t>
      </w:r>
      <w:r>
        <w:rPr>
          <w:rFonts w:ascii="Arial" w:hAnsi="Arial"/>
          <w:color w:val="000000"/>
          <w:sz w:val="20"/>
        </w:rPr>
        <w:t>Borrower</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combination</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both)</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an</w:t>
      </w:r>
      <w:r>
        <w:rPr>
          <w:rFonts w:ascii="Arial" w:hAnsi="Arial"/>
          <w:color w:val="000000"/>
          <w:sz w:val="22"/>
        </w:rPr>
        <w:t> </w:t>
      </w:r>
      <w:r>
        <w:rPr>
          <w:rFonts w:ascii="Arial" w:hAnsi="Arial"/>
          <w:color w:val="000000"/>
          <w:sz w:val="20"/>
        </w:rPr>
        <w:t>amount</w:t>
      </w:r>
      <w:r>
        <w:rPr>
          <w:rFonts w:ascii="Arial" w:hAnsi="Arial"/>
          <w:color w:val="000000"/>
          <w:sz w:val="22"/>
        </w:rPr>
        <w:t> </w:t>
      </w:r>
      <w:r>
        <w:rPr>
          <w:rFonts w:ascii="Arial" w:hAnsi="Arial"/>
          <w:color w:val="000000"/>
          <w:sz w:val="20"/>
        </w:rPr>
        <w:t>sufficient</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cure the breach when applied in prepayment of the Outstanding Accommodation (Equity Cure).</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(b)Equity Cure may not be used:</w:t>
      </w:r>
      <w:r>
        <w:rPr>
          <w:rFonts w:ascii="Arial" w:hAnsi="Arial"/>
          <w:sz w:val="20"/>
        </w:rPr>
        <w:t xml:space="preserve"> </w:t>
      </w:r>
    </w:p>
    <w:p>
      <w:pPr>
        <w:pStyle w:val="TextBody"/>
        <w:bidi w:val="0"/>
        <w:spacing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5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1" descr=""/>
                    <pic:cNvPicPr>
                      <a:picLocks noChangeAspect="1" noChangeArrowheads="1"/>
                    </pic:cNvPicPr>
                  </pic:nvPicPr>
                  <pic:blipFill>
                    <a:blip r:embed="rId15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5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2" descr=""/>
                    <pic:cNvPicPr>
                      <a:picLocks noChangeAspect="1" noChangeArrowheads="1"/>
                    </pic:cNvPicPr>
                  </pic:nvPicPr>
                  <pic:blipFill>
                    <a:blip r:embed="rId15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bidi w:val="0"/>
        <w:spacing w:before="1" w:after="0"/>
        <w:ind w:left="4521" w:right="360" w:hanging="0"/>
        <w:jc w:val="left"/>
        <w:rPr>
          <w:rFonts w:ascii="Arial" w:hAnsi="Arial"/>
          <w:sz w:val="20"/>
        </w:rPr>
      </w:pPr>
      <w:r>
        <w:rPr>
          <w:rFonts w:ascii="Arial" w:hAnsi="Arial"/>
          <w:sz w:val="20"/>
        </w:rPr>
        <w:t xml:space="preserve">(i)more than 3 times during the term of the Facilities; or </w:t>
      </w:r>
    </w:p>
    <w:p>
      <w:pPr>
        <w:pStyle w:val="TextBody"/>
        <w:bidi w:val="0"/>
        <w:spacing w:lineRule="auto" w:line="264" w:before="0" w:after="0"/>
        <w:ind w:left="4540" w:right="2234" w:hanging="0"/>
        <w:jc w:val="left"/>
        <w:rPr>
          <w:rFonts w:ascii="Arial" w:hAnsi="Arial"/>
          <w:sz w:val="20"/>
        </w:rPr>
      </w:pPr>
      <w:r>
        <w:rPr>
          <w:rFonts w:ascii="Arial" w:hAnsi="Arial"/>
          <w:sz w:val="20"/>
        </w:rPr>
        <w:t xml:space="preserve">(ii)in respect of breach of a Financial Ratio on a Calculation Date, where Equity Cure has been used to cure a breach on the preceding Calculation Date.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(c)The Borrower must notify the Bank of its intention to provide an Equity Cure and effect the Equity Cure, within 10 Business Days of the delivery of the Compliance Certificate that identified the breach.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(d)The amount of an Equity Cure will be deemed to be applied as of the first day of the relevant test period in prepayment of the Outstanding Accommodation. The breach of the Financial Ratio will be taken to have been cured immediately upon the requisite proceeds being applied in prepayment and the Borrower confirming to the Bank that the amount prepaid when the Financial Ratio is recalculated is sufficient to ensure that the relevant Financial Ratio is met.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(e)Notwithstanding </w:t>
      </w:r>
      <w:r>
        <w:rPr>
          <w:rFonts w:ascii="Arial" w:hAnsi="Arial"/>
          <w:b/>
          <w:sz w:val="20"/>
        </w:rPr>
        <w:t>clause 10.6(d)</w:t>
      </w:r>
      <w:r>
        <w:rPr>
          <w:rFonts w:ascii="Arial" w:hAnsi="Arial"/>
          <w:sz w:val="20"/>
        </w:rPr>
        <w:t xml:space="preserve">, any Equity Cure will be disregarded when calculating the Leverage Ratio for the purposes of determining the Margin.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80" w:after="0"/>
        <w:ind w:left="360" w:right="360" w:hanging="0"/>
        <w:jc w:val="left"/>
        <w:rPr>
          <w:rFonts w:cs="Arial"/>
          <w:szCs w:val="20"/>
        </w:rPr>
      </w:pPr>
      <w:r>
        <w:rPr>
          <w:rFonts w:cs="Arial"/>
          <w:szCs w:val="20"/>
        </w:rPr>
        <w:t xml:space="preserve">﻿ </w:t>
      </w:r>
    </w:p>
    <w:tbl>
      <w:tblPr>
        <w:tblW w:w="3341" w:type="dxa"/>
        <w:jc w:val="left"/>
        <w:tblInd w:w="360" w:type="dxa"/>
        <w:tblLayout w:type="fixed"/>
        <w:tblCellMar>
          <w:top w:w="0" w:type="dxa"/>
          <w:left w:w="0" w:type="dxa"/>
          <w:bottom w:w="0" w:type="dxa"/>
          <w:right w:w="0" w:type="dxa"/>
        </w:tblCellMar>
      </w:tblPr>
      <w:tblGrid>
        <w:gridCol w:w="38"/>
        <w:gridCol w:w="530"/>
        <w:gridCol w:w="23"/>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17. </w:t>
            </w:r>
          </w:p>
        </w:tc>
        <w:tc>
          <w:tcPr>
            <w:tcW w:w="23" w:type="dxa"/>
            <w:tcBorders/>
            <w:vAlign w:val="center"/>
          </w:tcPr>
          <w:p>
            <w:pPr>
              <w:pStyle w:val="TableContents"/>
              <w:bidi w:val="0"/>
              <w:spacing w:before="0" w:after="283"/>
              <w:jc w:val="left"/>
              <w:rPr>
                <w:sz w:val="4"/>
                <w:szCs w:val="4"/>
              </w:rPr>
            </w:pPr>
            <w:r>
              <w:rPr>
                <w:sz w:val="4"/>
                <w:szCs w:val="4"/>
              </w:rPr>
            </w:r>
          </w:p>
        </w:tc>
        <w:tc>
          <w:tcPr>
            <w:tcW w:w="2750" w:type="dxa"/>
            <w:tcBorders/>
          </w:tcPr>
          <w:p>
            <w:pPr>
              <w:pStyle w:val="TableContents"/>
              <w:bidi w:val="0"/>
              <w:spacing w:before="0" w:after="0"/>
              <w:ind w:left="0" w:right="0" w:hanging="0"/>
              <w:jc w:val="left"/>
              <w:rPr>
                <w:rFonts w:ascii="Arial" w:hAnsi="Arial"/>
                <w:color w:val="000000"/>
                <w:sz w:val="30"/>
              </w:rPr>
            </w:pPr>
            <w:bookmarkStart w:id="241" w:name="Costs_and_expenses11"/>
            <w:bookmarkEnd w:id="241"/>
            <w:r>
              <w:rPr>
                <w:rFonts w:ascii="Arial" w:hAnsi="Arial"/>
                <w:color w:val="000000"/>
                <w:sz w:val="30"/>
              </w:rPr>
              <w:t>Costs and expenses</w:t>
            </w:r>
          </w:p>
        </w:tc>
      </w:tr>
    </w:tbl>
    <w:tbl>
      <w:tblPr>
        <w:tblW w:w="2081" w:type="dxa"/>
        <w:jc w:val="left"/>
        <w:tblInd w:w="360" w:type="dxa"/>
        <w:tblLayout w:type="fixed"/>
        <w:tblCellMar>
          <w:top w:w="0" w:type="dxa"/>
          <w:left w:w="0" w:type="dxa"/>
          <w:bottom w:w="0" w:type="dxa"/>
          <w:right w:w="0" w:type="dxa"/>
        </w:tblCellMar>
      </w:tblPr>
      <w:tblGrid>
        <w:gridCol w:w="38"/>
        <w:gridCol w:w="560"/>
        <w:gridCol w:w="23"/>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17.1. </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tcPr>
          <w:p>
            <w:pPr>
              <w:pStyle w:val="TableContents"/>
              <w:bidi w:val="0"/>
              <w:spacing w:before="174" w:after="0"/>
              <w:ind w:left="0" w:right="0" w:hanging="0"/>
              <w:jc w:val="left"/>
              <w:rPr>
                <w:rFonts w:ascii="Arial" w:hAnsi="Arial"/>
                <w:b/>
                <w:color w:val="000000"/>
                <w:sz w:val="22"/>
              </w:rPr>
            </w:pPr>
            <w:bookmarkStart w:id="242" w:name="Interpretation111"/>
            <w:bookmarkEnd w:id="242"/>
            <w:r>
              <w:rPr>
                <w:rFonts w:ascii="Arial" w:hAnsi="Arial"/>
                <w:b/>
                <w:color w:val="000000"/>
                <w:sz w:val="22"/>
              </w:rPr>
              <w:t>Interpretation</w:t>
            </w:r>
          </w:p>
        </w:tc>
      </w:tr>
    </w:tbl>
    <w:p>
      <w:pPr>
        <w:pStyle w:val="TextBody"/>
        <w:pBdr/>
        <w:bidi w:val="0"/>
        <w:spacing w:before="10" w:after="0"/>
        <w:ind w:left="360" w:right="360" w:hanging="0"/>
        <w:jc w:val="left"/>
        <w:rPr>
          <w:rFonts w:cs="Arial"/>
          <w:szCs w:val="8"/>
        </w:rPr>
      </w:pPr>
      <w:r>
        <w:rPr>
          <w:rFonts w:cs="Arial"/>
          <w:bCs/>
          <w:color w:val="000000"/>
          <w:szCs w:val="8"/>
        </w:rPr>
        <w:t>﻿</w:t>
      </w:r>
      <w:r>
        <w:rPr>
          <w:rFonts w:cs="Arial"/>
          <w:szCs w:val="8"/>
        </w:rPr>
        <w:t xml:space="preserve"> </w:t>
      </w:r>
    </w:p>
    <w:p>
      <w:pPr>
        <w:pStyle w:val="TextBody"/>
        <w:pBdr/>
        <w:bidi w:val="0"/>
        <w:spacing w:before="25" w:after="0"/>
        <w:ind w:left="3456" w:right="360" w:hanging="0"/>
        <w:jc w:val="left"/>
        <w:rPr>
          <w:rFonts w:ascii="Arial" w:hAnsi="Arial"/>
          <w:sz w:val="20"/>
        </w:rPr>
      </w:pPr>
      <w:r>
        <w:rPr>
          <w:rFonts w:ascii="Arial" w:hAnsi="Arial"/>
          <w:color w:val="000000"/>
          <w:sz w:val="20"/>
        </w:rPr>
        <w:t>A reference to “costs and expenses” in a Transaction Document includes legal costs and expenses on a full indemnity basis.</w:t>
      </w:r>
      <w:r>
        <w:rPr>
          <w:rFonts w:ascii="Arial" w:hAnsi="Arial"/>
          <w:sz w:val="20"/>
        </w:rPr>
        <w:t xml:space="preserve"> </w:t>
      </w:r>
    </w:p>
    <w:tbl>
      <w:tblPr>
        <w:tblW w:w="1361" w:type="dxa"/>
        <w:jc w:val="left"/>
        <w:tblInd w:w="360" w:type="dxa"/>
        <w:tblLayout w:type="fixed"/>
        <w:tblCellMar>
          <w:top w:w="0" w:type="dxa"/>
          <w:left w:w="0" w:type="dxa"/>
          <w:bottom w:w="0" w:type="dxa"/>
          <w:right w:w="0" w:type="dxa"/>
        </w:tblCellMar>
      </w:tblPr>
      <w:tblGrid>
        <w:gridCol w:w="38"/>
        <w:gridCol w:w="560"/>
        <w:gridCol w:w="23"/>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17.2. </w:t>
            </w:r>
          </w:p>
        </w:tc>
        <w:tc>
          <w:tcPr>
            <w:tcW w:w="23" w:type="dxa"/>
            <w:tcBorders/>
            <w:vAlign w:val="center"/>
          </w:tcPr>
          <w:p>
            <w:pPr>
              <w:pStyle w:val="TableContents"/>
              <w:bidi w:val="0"/>
              <w:spacing w:before="0" w:after="283"/>
              <w:jc w:val="left"/>
              <w:rPr>
                <w:sz w:val="4"/>
                <w:szCs w:val="4"/>
              </w:rPr>
            </w:pPr>
            <w:r>
              <w:rPr>
                <w:sz w:val="4"/>
                <w:szCs w:val="4"/>
              </w:rPr>
            </w:r>
          </w:p>
        </w:tc>
        <w:tc>
          <w:tcPr>
            <w:tcW w:w="740" w:type="dxa"/>
            <w:tcBorders/>
          </w:tcPr>
          <w:p>
            <w:pPr>
              <w:pStyle w:val="TableContents"/>
              <w:bidi w:val="0"/>
              <w:spacing w:before="174" w:after="0"/>
              <w:ind w:left="0" w:right="0" w:hanging="0"/>
              <w:jc w:val="left"/>
              <w:rPr>
                <w:rFonts w:ascii="Arial" w:hAnsi="Arial"/>
                <w:b/>
                <w:color w:val="000000"/>
                <w:sz w:val="22"/>
              </w:rPr>
            </w:pPr>
            <w:bookmarkStart w:id="243" w:name="Nature112"/>
            <w:bookmarkEnd w:id="243"/>
            <w:r>
              <w:rPr>
                <w:rFonts w:ascii="Arial" w:hAnsi="Arial"/>
                <w:b/>
                <w:color w:val="000000"/>
                <w:sz w:val="22"/>
              </w:rPr>
              <w:t>Nature</w:t>
            </w:r>
          </w:p>
        </w:tc>
      </w:tr>
    </w:tbl>
    <w:p>
      <w:pPr>
        <w:pStyle w:val="TextBody"/>
        <w:bidi w:val="0"/>
        <w:spacing w:lineRule="auto" w:line="264" w:before="87" w:after="0"/>
        <w:ind w:left="3453" w:right="1854" w:hanging="0"/>
        <w:jc w:val="left"/>
        <w:rPr>
          <w:rFonts w:ascii="Arial" w:hAnsi="Arial"/>
          <w:sz w:val="20"/>
        </w:rPr>
      </w:pPr>
      <w:r>
        <w:rPr>
          <w:rFonts w:ascii="Arial" w:hAnsi="Arial"/>
          <w:color w:val="000000"/>
          <w:sz w:val="20"/>
        </w:rPr>
        <w:t>The Borrower must on demand pay and if paid by the Bank reimburse to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Bank’s reasonable costs and expenses relating to:</w:t>
      </w:r>
      <w:r>
        <w:rPr>
          <w:rFonts w:ascii="Arial" w:hAnsi="Arial"/>
          <w:sz w:val="20"/>
        </w:rPr>
        <w:t xml:space="preserve"> </w:t>
      </w:r>
    </w:p>
    <w:p>
      <w:pPr>
        <w:pStyle w:val="TextBody"/>
        <w:bidi w:val="0"/>
        <w:spacing w:lineRule="auto" w:line="264" w:before="134" w:after="0"/>
        <w:ind w:left="4540" w:right="2525" w:hanging="0"/>
        <w:jc w:val="both"/>
        <w:rPr>
          <w:rFonts w:ascii="Arial" w:hAnsi="Arial"/>
          <w:sz w:val="20"/>
        </w:rPr>
      </w:pPr>
      <w:r>
        <w:rPr>
          <w:rFonts w:ascii="Arial" w:hAnsi="Arial"/>
          <w:color w:val="000000"/>
          <w:sz w:val="20"/>
        </w:rPr>
        <w:t>(i)any Valuation obtained for the purposes of any Transaction Document;</w:t>
      </w:r>
      <w:r>
        <w:rPr>
          <w:rFonts w:ascii="Arial" w:hAnsi="Arial"/>
          <w:sz w:val="20"/>
        </w:rPr>
        <w:t xml:space="preserve"> </w:t>
      </w:r>
    </w:p>
    <w:p>
      <w:pPr>
        <w:pStyle w:val="TextBody"/>
        <w:bidi w:val="0"/>
        <w:spacing w:lineRule="auto" w:line="264" w:before="111" w:after="0"/>
        <w:ind w:left="4540" w:right="2005" w:hanging="0"/>
        <w:jc w:val="both"/>
        <w:rPr>
          <w:rFonts w:ascii="Arial" w:hAnsi="Arial"/>
          <w:sz w:val="20"/>
        </w:rPr>
      </w:pPr>
      <w:r>
        <w:rPr>
          <w:rFonts w:ascii="Arial" w:hAnsi="Arial"/>
          <w:color w:val="000000"/>
          <w:sz w:val="20"/>
        </w:rPr>
        <w:t>(ii)the negotiation, preparation, execution, stamping and registration of the Transaction Documents or any document contemplated by them;</w:t>
      </w:r>
      <w:r>
        <w:rPr>
          <w:rFonts w:ascii="Arial" w:hAnsi="Arial"/>
          <w:sz w:val="20"/>
        </w:rPr>
        <w:t xml:space="preserve"> </w:t>
      </w:r>
    </w:p>
    <w:p>
      <w:pPr>
        <w:pStyle w:val="TextBody"/>
        <w:bidi w:val="0"/>
        <w:spacing w:lineRule="auto" w:line="264" w:before="115" w:after="0"/>
        <w:ind w:left="4540" w:right="1865" w:hanging="0"/>
        <w:jc w:val="left"/>
        <w:rPr>
          <w:rFonts w:ascii="Arial" w:hAnsi="Arial"/>
          <w:sz w:val="20"/>
        </w:rPr>
      </w:pPr>
      <w:r>
        <w:rPr>
          <w:rFonts w:ascii="Arial" w:hAnsi="Arial"/>
          <w:color w:val="000000"/>
          <w:sz w:val="20"/>
        </w:rPr>
        <w:t>(iii)any consent, request for consent (whether or not given), communication or waiver of any right, or the variation, replacement or discharge of any Transaction Document or any document contemplated by it;</w:t>
      </w:r>
      <w:r>
        <w:rPr>
          <w:rFonts w:ascii="Arial" w:hAnsi="Arial"/>
          <w:sz w:val="20"/>
        </w:rPr>
        <w:t xml:space="preserve"> </w:t>
      </w:r>
    </w:p>
    <w:p>
      <w:pPr>
        <w:pStyle w:val="TextBody"/>
        <w:bidi w:val="0"/>
        <w:spacing w:lineRule="auto" w:line="264" w:before="116" w:after="0"/>
        <w:ind w:left="4540" w:right="2025" w:hanging="0"/>
        <w:jc w:val="left"/>
        <w:rPr>
          <w:rFonts w:ascii="Arial" w:hAnsi="Arial"/>
          <w:sz w:val="20"/>
        </w:rPr>
      </w:pPr>
      <w:r>
        <w:rPr>
          <w:rFonts w:ascii="Arial" w:hAnsi="Arial"/>
          <w:color w:val="000000"/>
          <w:sz w:val="20"/>
        </w:rPr>
        <w:t>(iv)the enforcement or attempted enforcement or the preservation of any rights of the Bank under the Transaction Documents;</w:t>
      </w:r>
      <w:r>
        <w:rPr>
          <w:rFonts w:ascii="Arial" w:hAnsi="Arial"/>
          <w:sz w:val="20"/>
        </w:rPr>
        <w:t xml:space="preserve"> </w:t>
      </w:r>
    </w:p>
    <w:p>
      <w:pPr>
        <w:pStyle w:val="TextBody"/>
        <w:bidi w:val="0"/>
        <w:spacing w:lineRule="auto" w:line="264" w:before="111" w:after="0"/>
        <w:ind w:left="4540" w:right="2503" w:hanging="0"/>
        <w:jc w:val="left"/>
        <w:rPr>
          <w:rFonts w:ascii="Arial" w:hAnsi="Arial"/>
          <w:sz w:val="20"/>
        </w:rPr>
      </w:pPr>
      <w:r>
        <w:rPr>
          <w:rFonts w:ascii="Arial" w:hAnsi="Arial"/>
          <w:color w:val="000000"/>
          <w:sz w:val="20"/>
        </w:rPr>
        <w:t>(v)the occurrence of any Event of Default or Potential Event of Default; and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5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3" descr=""/>
                    <pic:cNvPicPr>
                      <a:picLocks noChangeAspect="1" noChangeArrowheads="1"/>
                    </pic:cNvPicPr>
                  </pic:nvPicPr>
                  <pic:blipFill>
                    <a:blip r:embed="rId15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5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4" descr=""/>
                    <pic:cNvPicPr>
                      <a:picLocks noChangeAspect="1" noChangeArrowheads="1"/>
                    </pic:cNvPicPr>
                  </pic:nvPicPr>
                  <pic:blipFill>
                    <a:blip r:embed="rId15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6" w:before="0" w:after="0"/>
        <w:ind w:left="4540" w:right="2298" w:hanging="0"/>
        <w:jc w:val="left"/>
        <w:rPr>
          <w:rFonts w:ascii="Arial" w:hAnsi="Arial"/>
          <w:sz w:val="20"/>
        </w:rPr>
      </w:pPr>
      <w:r>
        <w:rPr>
          <w:rFonts w:ascii="Arial" w:hAnsi="Arial"/>
          <w:sz w:val="20"/>
        </w:rPr>
        <w:t xml:space="preserve">(vi)the lodgment or removal of any Encumbrance on the Secured Property by any person; and </w:t>
      </w:r>
    </w:p>
    <w:p>
      <w:pPr>
        <w:pStyle w:val="TextBody"/>
        <w:bidi w:val="0"/>
        <w:spacing w:lineRule="auto" w:line="264" w:before="107" w:after="0"/>
        <w:ind w:left="3983" w:right="1956" w:hanging="0"/>
        <w:jc w:val="left"/>
        <w:rPr>
          <w:rFonts w:ascii="Arial" w:hAnsi="Arial"/>
          <w:sz w:val="22"/>
        </w:rPr>
      </w:pPr>
      <w:r>
        <w:rPr>
          <w:rFonts w:ascii="Arial" w:hAnsi="Arial"/>
          <w:sz w:val="20"/>
        </w:rPr>
        <w:t>(b)subject</w:t>
      </w:r>
      <w:r>
        <w:rPr>
          <w:rFonts w:ascii="Arial" w:hAnsi="Arial"/>
          <w:sz w:val="22"/>
        </w:rPr>
        <w:t> </w:t>
      </w:r>
      <w:r>
        <w:rPr>
          <w:rFonts w:ascii="Arial" w:hAnsi="Arial"/>
          <w:sz w:val="20"/>
        </w:rPr>
        <w:t>to</w:t>
      </w:r>
      <w:r>
        <w:rPr>
          <w:rFonts w:ascii="Arial" w:hAnsi="Arial"/>
          <w:sz w:val="22"/>
        </w:rPr>
        <w:t> </w:t>
      </w:r>
      <w:r>
        <w:rPr>
          <w:rFonts w:ascii="Arial" w:hAnsi="Arial"/>
          <w:b/>
          <w:sz w:val="20"/>
        </w:rPr>
        <w:t>clause</w:t>
      </w:r>
      <w:r>
        <w:rPr>
          <w:rFonts w:ascii="Arial" w:hAnsi="Arial"/>
          <w:sz w:val="22"/>
        </w:rPr>
        <w:t> </w:t>
      </w:r>
      <w:r>
        <w:rPr>
          <w:rFonts w:ascii="Arial" w:hAnsi="Arial"/>
          <w:b/>
          <w:color w:val="2D97D3"/>
          <w:sz w:val="20"/>
          <w:u w:val="single"/>
        </w:rPr>
        <w:t>18.14</w:t>
      </w:r>
      <w:r>
        <w:rPr>
          <w:rFonts w:ascii="Arial" w:hAnsi="Arial"/>
          <w:b/>
          <w:strike/>
          <w:color w:val="B5082D"/>
          <w:sz w:val="20"/>
        </w:rPr>
        <w:t>18.14</w:t>
      </w:r>
      <w:r>
        <w:rPr>
          <w:rFonts w:ascii="Arial" w:hAnsi="Arial"/>
          <w:b/>
          <w:color w:val="2D97D3"/>
          <w:sz w:val="20"/>
          <w:u w:val="single"/>
        </w:rPr>
        <w:t>(d)</w:t>
      </w:r>
      <w:r>
        <w:rPr>
          <w:rFonts w:ascii="Arial" w:hAnsi="Arial"/>
          <w:b/>
          <w:strike/>
          <w:color w:val="B5082D"/>
          <w:sz w:val="20"/>
        </w:rPr>
        <w:t>(d)</w:t>
      </w:r>
      <w:r>
        <w:rPr>
          <w:rFonts w:ascii="Arial" w:hAnsi="Arial"/>
          <w:sz w:val="20"/>
        </w:rPr>
        <w:t>,</w:t>
      </w:r>
      <w:r>
        <w:rPr>
          <w:rFonts w:ascii="Arial" w:hAnsi="Arial"/>
          <w:sz w:val="22"/>
        </w:rPr>
        <w:t> </w:t>
      </w:r>
      <w:r>
        <w:rPr>
          <w:rFonts w:ascii="Arial" w:hAnsi="Arial"/>
          <w:sz w:val="20"/>
        </w:rPr>
        <w:t>any</w:t>
      </w:r>
      <w:r>
        <w:rPr>
          <w:rFonts w:ascii="Arial" w:hAnsi="Arial"/>
          <w:sz w:val="22"/>
        </w:rPr>
        <w:t> </w:t>
      </w:r>
      <w:r>
        <w:rPr>
          <w:rFonts w:ascii="Arial" w:hAnsi="Arial"/>
          <w:sz w:val="20"/>
        </w:rPr>
        <w:t>Taxes</w:t>
      </w:r>
      <w:r>
        <w:rPr>
          <w:rFonts w:ascii="Arial" w:hAnsi="Arial"/>
          <w:sz w:val="22"/>
        </w:rPr>
        <w:t> </w:t>
      </w:r>
      <w:r>
        <w:rPr>
          <w:rFonts w:ascii="Arial" w:hAnsi="Arial"/>
          <w:sz w:val="20"/>
        </w:rPr>
        <w:t>and</w:t>
      </w:r>
      <w:r>
        <w:rPr>
          <w:rFonts w:ascii="Arial" w:hAnsi="Arial"/>
          <w:sz w:val="22"/>
        </w:rPr>
        <w:t> </w:t>
      </w:r>
      <w:r>
        <w:rPr>
          <w:rFonts w:ascii="Arial" w:hAnsi="Arial"/>
          <w:sz w:val="20"/>
        </w:rPr>
        <w:t>registration</w:t>
      </w:r>
      <w:r>
        <w:rPr>
          <w:rFonts w:ascii="Arial" w:hAnsi="Arial"/>
          <w:sz w:val="22"/>
        </w:rPr>
        <w:t> </w:t>
      </w:r>
      <w:r>
        <w:rPr>
          <w:rFonts w:ascii="Arial" w:hAnsi="Arial"/>
          <w:sz w:val="20"/>
        </w:rPr>
        <w:t>or</w:t>
      </w:r>
      <w:r>
        <w:rPr>
          <w:rFonts w:ascii="Arial" w:hAnsi="Arial"/>
          <w:sz w:val="22"/>
        </w:rPr>
        <w:t> </w:t>
      </w:r>
      <w:r>
        <w:rPr>
          <w:rFonts w:ascii="Arial" w:hAnsi="Arial"/>
          <w:sz w:val="20"/>
        </w:rPr>
        <w:t>other fees</w:t>
      </w:r>
      <w:r>
        <w:rPr>
          <w:rFonts w:ascii="Arial" w:hAnsi="Arial"/>
          <w:sz w:val="22"/>
        </w:rPr>
        <w:t> </w:t>
      </w:r>
      <w:r>
        <w:rPr>
          <w:rFonts w:ascii="Arial" w:hAnsi="Arial"/>
          <w:sz w:val="20"/>
        </w:rPr>
        <w:t>(including</w:t>
      </w:r>
      <w:r>
        <w:rPr>
          <w:rFonts w:ascii="Arial" w:hAnsi="Arial"/>
          <w:sz w:val="22"/>
        </w:rPr>
        <w:t> </w:t>
      </w:r>
      <w:r>
        <w:rPr>
          <w:rFonts w:ascii="Arial" w:hAnsi="Arial"/>
          <w:sz w:val="20"/>
        </w:rPr>
        <w:t>fines</w:t>
      </w:r>
      <w:r>
        <w:rPr>
          <w:rFonts w:ascii="Arial" w:hAnsi="Arial"/>
          <w:sz w:val="22"/>
        </w:rPr>
        <w:t> </w:t>
      </w:r>
      <w:r>
        <w:rPr>
          <w:rFonts w:ascii="Arial" w:hAnsi="Arial"/>
          <w:sz w:val="20"/>
        </w:rPr>
        <w:t>and</w:t>
      </w:r>
      <w:r>
        <w:rPr>
          <w:rFonts w:ascii="Arial" w:hAnsi="Arial"/>
          <w:sz w:val="22"/>
        </w:rPr>
        <w:t> </w:t>
      </w:r>
      <w:r>
        <w:rPr>
          <w:rFonts w:ascii="Arial" w:hAnsi="Arial"/>
          <w:sz w:val="20"/>
        </w:rPr>
        <w:t>penalties</w:t>
      </w:r>
      <w:r>
        <w:rPr>
          <w:rFonts w:ascii="Arial" w:hAnsi="Arial"/>
          <w:sz w:val="22"/>
        </w:rPr>
        <w:t> </w:t>
      </w:r>
      <w:r>
        <w:rPr>
          <w:rFonts w:ascii="Arial" w:hAnsi="Arial"/>
          <w:sz w:val="20"/>
        </w:rPr>
        <w:t>relating</w:t>
      </w:r>
      <w:r>
        <w:rPr>
          <w:rFonts w:ascii="Arial" w:hAnsi="Arial"/>
          <w:sz w:val="22"/>
        </w:rPr>
        <w:t> </w:t>
      </w:r>
      <w:r>
        <w:rPr>
          <w:rFonts w:ascii="Arial" w:hAnsi="Arial"/>
          <w:sz w:val="20"/>
        </w:rPr>
        <w:t>to</w:t>
      </w:r>
      <w:r>
        <w:rPr>
          <w:rFonts w:ascii="Arial" w:hAnsi="Arial"/>
          <w:sz w:val="22"/>
        </w:rPr>
        <w:t> </w:t>
      </w:r>
      <w:r>
        <w:rPr>
          <w:rFonts w:ascii="Arial" w:hAnsi="Arial"/>
          <w:sz w:val="20"/>
        </w:rPr>
        <w:t>the</w:t>
      </w:r>
      <w:r>
        <w:rPr>
          <w:rFonts w:ascii="Arial" w:hAnsi="Arial"/>
          <w:sz w:val="22"/>
        </w:rPr>
        <w:t> </w:t>
      </w:r>
      <w:r>
        <w:rPr>
          <w:rFonts w:ascii="Arial" w:hAnsi="Arial"/>
          <w:sz w:val="20"/>
        </w:rPr>
        <w:t>Taxes</w:t>
      </w:r>
      <w:r>
        <w:rPr>
          <w:rFonts w:ascii="Arial" w:hAnsi="Arial"/>
          <w:sz w:val="22"/>
        </w:rPr>
        <w:t> </w:t>
      </w:r>
      <w:r>
        <w:rPr>
          <w:rFonts w:ascii="Arial" w:hAnsi="Arial"/>
          <w:sz w:val="20"/>
        </w:rPr>
        <w:t>and</w:t>
      </w:r>
      <w:r>
        <w:rPr>
          <w:rFonts w:ascii="Arial" w:hAnsi="Arial"/>
          <w:sz w:val="22"/>
        </w:rPr>
        <w:t> </w:t>
      </w:r>
      <w:r>
        <w:rPr>
          <w:rFonts w:ascii="Arial" w:hAnsi="Arial"/>
          <w:sz w:val="20"/>
        </w:rPr>
        <w:t>fees)</w:t>
      </w:r>
      <w:r>
        <w:rPr>
          <w:rFonts w:ascii="Arial" w:hAnsi="Arial"/>
          <w:sz w:val="22"/>
        </w:rPr>
        <w:t> </w:t>
      </w:r>
      <w:r>
        <w:rPr>
          <w:rFonts w:ascii="Arial" w:hAnsi="Arial"/>
          <w:sz w:val="20"/>
        </w:rPr>
        <w:t>which are payable or are assessed by a relevant Government Body or other person to be payable in relation to the Transaction Documents or any document or transaction contemplated by them.</w:t>
      </w:r>
      <w:r>
        <w:rPr>
          <w:rFonts w:ascii="Arial" w:hAnsi="Arial"/>
          <w:sz w:val="22"/>
        </w:rPr>
        <w:t xml:space="preserve"> </w:t>
      </w:r>
    </w:p>
    <w:tbl>
      <w:tblPr>
        <w:tblW w:w="2141" w:type="dxa"/>
        <w:jc w:val="left"/>
        <w:tblInd w:w="360" w:type="dxa"/>
        <w:tblLayout w:type="fixed"/>
        <w:tblCellMar>
          <w:top w:w="0" w:type="dxa"/>
          <w:left w:w="0" w:type="dxa"/>
          <w:bottom w:w="0" w:type="dxa"/>
          <w:right w:w="0" w:type="dxa"/>
        </w:tblCellMar>
      </w:tblPr>
      <w:tblGrid>
        <w:gridCol w:w="38"/>
        <w:gridCol w:w="560"/>
        <w:gridCol w:w="23"/>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17.3. </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tcPr>
          <w:p>
            <w:pPr>
              <w:pStyle w:val="TableContents"/>
              <w:bidi w:val="0"/>
              <w:spacing w:before="174" w:after="0"/>
              <w:ind w:left="0" w:right="0" w:hanging="0"/>
              <w:jc w:val="left"/>
              <w:rPr>
                <w:rFonts w:ascii="Arial" w:hAnsi="Arial"/>
                <w:b/>
                <w:color w:val="000000"/>
                <w:sz w:val="22"/>
              </w:rPr>
            </w:pPr>
            <w:bookmarkStart w:id="244" w:name="Remuneration113"/>
            <w:bookmarkEnd w:id="244"/>
            <w:r>
              <w:rPr>
                <w:rFonts w:ascii="Arial" w:hAnsi="Arial"/>
                <w:b/>
                <w:color w:val="000000"/>
                <w:sz w:val="22"/>
              </w:rPr>
              <w:t>Remuneration</w:t>
            </w:r>
          </w:p>
        </w:tc>
      </w:tr>
    </w:tbl>
    <w:p>
      <w:pPr>
        <w:pStyle w:val="TextBody"/>
        <w:pBdr/>
        <w:bidi w:val="0"/>
        <w:spacing w:lineRule="auto" w:line="264" w:before="87" w:after="0"/>
        <w:ind w:left="3456" w:right="1854" w:hanging="0"/>
        <w:jc w:val="left"/>
        <w:rPr>
          <w:rFonts w:ascii="Arial" w:hAnsi="Arial"/>
          <w:sz w:val="20"/>
        </w:rPr>
      </w:pPr>
      <w:r>
        <w:rPr>
          <w:rFonts w:ascii="Arial" w:hAnsi="Arial"/>
          <w:color w:val="000000"/>
          <w:sz w:val="20"/>
        </w:rPr>
        <w:t>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85" w:after="0"/>
        <w:ind w:left="360" w:right="360" w:hanging="0"/>
        <w:jc w:val="left"/>
        <w:rPr>
          <w:rFonts w:cs="Arial"/>
          <w:szCs w:val="20"/>
        </w:rPr>
      </w:pPr>
      <w:r>
        <w:rPr>
          <w:rFonts w:cs="Arial"/>
          <w:color w:val="000000"/>
          <w:szCs w:val="20"/>
        </w:rPr>
        <w:t>﻿</w:t>
      </w:r>
      <w:r>
        <w:rPr>
          <w:rFonts w:cs="Arial"/>
          <w:szCs w:val="20"/>
        </w:rPr>
        <w:t xml:space="preserve"> </w:t>
      </w:r>
    </w:p>
    <w:tbl>
      <w:tblPr>
        <w:tblW w:w="2156" w:type="dxa"/>
        <w:jc w:val="left"/>
        <w:tblInd w:w="360" w:type="dxa"/>
        <w:tblLayout w:type="fixed"/>
        <w:tblCellMar>
          <w:top w:w="0" w:type="dxa"/>
          <w:left w:w="0" w:type="dxa"/>
          <w:bottom w:w="0" w:type="dxa"/>
          <w:right w:w="0" w:type="dxa"/>
        </w:tblCellMar>
      </w:tblPr>
      <w:tblGrid>
        <w:gridCol w:w="38"/>
        <w:gridCol w:w="530"/>
        <w:gridCol w:w="23"/>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18. </w:t>
            </w:r>
          </w:p>
        </w:tc>
        <w:tc>
          <w:tcPr>
            <w:tcW w:w="23" w:type="dxa"/>
            <w:tcBorders/>
            <w:vAlign w:val="center"/>
          </w:tcPr>
          <w:p>
            <w:pPr>
              <w:pStyle w:val="TableContents"/>
              <w:bidi w:val="0"/>
              <w:spacing w:before="0" w:after="283"/>
              <w:jc w:val="left"/>
              <w:rPr>
                <w:sz w:val="4"/>
                <w:szCs w:val="4"/>
              </w:rPr>
            </w:pPr>
            <w:r>
              <w:rPr>
                <w:sz w:val="4"/>
                <w:szCs w:val="4"/>
              </w:rPr>
            </w:r>
          </w:p>
        </w:tc>
        <w:tc>
          <w:tcPr>
            <w:tcW w:w="1565" w:type="dxa"/>
            <w:tcBorders/>
          </w:tcPr>
          <w:p>
            <w:pPr>
              <w:pStyle w:val="TableContents"/>
              <w:bidi w:val="0"/>
              <w:spacing w:before="0" w:after="0"/>
              <w:ind w:left="0" w:right="0" w:hanging="0"/>
              <w:jc w:val="left"/>
              <w:rPr>
                <w:rFonts w:ascii="Arial" w:hAnsi="Arial"/>
                <w:color w:val="000000"/>
                <w:sz w:val="30"/>
              </w:rPr>
            </w:pPr>
            <w:bookmarkStart w:id="245" w:name="Indemnities12"/>
            <w:bookmarkEnd w:id="245"/>
            <w:r>
              <w:rPr>
                <w:rFonts w:ascii="Arial" w:hAnsi="Arial"/>
                <w:color w:val="000000"/>
                <w:sz w:val="30"/>
              </w:rPr>
              <w:t>Indemnities</w:t>
            </w:r>
          </w:p>
        </w:tc>
      </w:tr>
    </w:tbl>
    <w:tbl>
      <w:tblPr>
        <w:tblW w:w="1361" w:type="dxa"/>
        <w:jc w:val="left"/>
        <w:tblInd w:w="360" w:type="dxa"/>
        <w:tblLayout w:type="fixed"/>
        <w:tblCellMar>
          <w:top w:w="0" w:type="dxa"/>
          <w:left w:w="0" w:type="dxa"/>
          <w:bottom w:w="0" w:type="dxa"/>
          <w:right w:w="0" w:type="dxa"/>
        </w:tblCellMar>
      </w:tblPr>
      <w:tblGrid>
        <w:gridCol w:w="38"/>
        <w:gridCol w:w="560"/>
        <w:gridCol w:w="23"/>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18.1. </w:t>
            </w:r>
          </w:p>
        </w:tc>
        <w:tc>
          <w:tcPr>
            <w:tcW w:w="23" w:type="dxa"/>
            <w:tcBorders/>
            <w:vAlign w:val="center"/>
          </w:tcPr>
          <w:p>
            <w:pPr>
              <w:pStyle w:val="TableContents"/>
              <w:bidi w:val="0"/>
              <w:spacing w:before="0" w:after="283"/>
              <w:jc w:val="left"/>
              <w:rPr>
                <w:sz w:val="4"/>
                <w:szCs w:val="4"/>
              </w:rPr>
            </w:pPr>
            <w:r>
              <w:rPr>
                <w:sz w:val="4"/>
                <w:szCs w:val="4"/>
              </w:rPr>
            </w:r>
          </w:p>
        </w:tc>
        <w:tc>
          <w:tcPr>
            <w:tcW w:w="740" w:type="dxa"/>
            <w:tcBorders/>
          </w:tcPr>
          <w:p>
            <w:pPr>
              <w:pStyle w:val="TableContents"/>
              <w:bidi w:val="0"/>
              <w:spacing w:before="174" w:after="0"/>
              <w:ind w:left="0" w:right="0" w:hanging="0"/>
              <w:jc w:val="left"/>
              <w:rPr>
                <w:rFonts w:ascii="Arial" w:hAnsi="Arial"/>
                <w:b/>
                <w:color w:val="000000"/>
                <w:sz w:val="22"/>
              </w:rPr>
            </w:pPr>
            <w:bookmarkStart w:id="246" w:name="Nature121"/>
            <w:bookmarkEnd w:id="246"/>
            <w:r>
              <w:rPr>
                <w:rFonts w:ascii="Arial" w:hAnsi="Arial"/>
                <w:b/>
                <w:color w:val="000000"/>
                <w:sz w:val="22"/>
              </w:rPr>
              <w:t>Nature</w:t>
            </w:r>
          </w:p>
        </w:tc>
      </w:tr>
    </w:tbl>
    <w:p>
      <w:pPr>
        <w:pStyle w:val="TextBody"/>
        <w:bidi w:val="0"/>
        <w:spacing w:lineRule="auto" w:line="264" w:before="88" w:after="0"/>
        <w:ind w:left="3456" w:right="1940" w:hanging="0"/>
        <w:jc w:val="left"/>
        <w:rPr>
          <w:rFonts w:ascii="Arial" w:hAnsi="Arial"/>
          <w:sz w:val="20"/>
        </w:rPr>
      </w:pPr>
      <w:r>
        <w:rPr>
          <w:rFonts w:ascii="Arial" w:hAnsi="Arial"/>
          <w:color w:val="000000"/>
          <w:sz w:val="20"/>
        </w:rPr>
        <w:t>The Borrower indemnifies the Bank on demand against any liability, loss, cost or expense (including Break Costs) caused or contributed to by: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(a)any failure by any Transaction Party to comply with any obligation under any Transaction Document;</w:t>
      </w:r>
      <w:r>
        <w:rPr>
          <w:rFonts w:ascii="Arial" w:hAnsi="Arial"/>
          <w:sz w:val="20"/>
        </w:rPr>
        <w:t xml:space="preserve"> </w:t>
      </w:r>
    </w:p>
    <w:p>
      <w:pPr>
        <w:pStyle w:val="TextBody"/>
        <w:bidi w:val="0"/>
        <w:spacing w:before="111" w:after="0"/>
        <w:ind w:left="3949" w:right="360" w:hanging="0"/>
        <w:jc w:val="left"/>
        <w:rPr>
          <w:rFonts w:ascii="Arial" w:hAnsi="Arial"/>
          <w:sz w:val="20"/>
        </w:rPr>
      </w:pPr>
      <w:r>
        <w:rPr>
          <w:rFonts w:ascii="Arial" w:hAnsi="Arial"/>
          <w:color w:val="000000"/>
          <w:sz w:val="20"/>
        </w:rPr>
        <w:t>(b)any Event of Default or Potential Event of Default;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enforcement or attempted enforcement of any right by the Bank, any Receiver or any Attorney under the Transaction Documents;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(d)any Drawing requested by the Borrower not being granted by the Bank for any reason other than a default by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(e)any payment not being made by the Borrower in accordance with any Transaction Document;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(f)any act by the Bank in reliance on any communication purporting to be from the Borrower or to be given on behalf of the Borrower.</w:t>
      </w:r>
      <w:r>
        <w:rPr>
          <w:rFonts w:ascii="Arial" w:hAnsi="Arial"/>
          <w:sz w:val="20"/>
        </w:rPr>
        <w:t xml:space="preserve"> </w:t>
      </w:r>
    </w:p>
    <w:tbl>
      <w:tblPr>
        <w:tblW w:w="2351" w:type="dxa"/>
        <w:jc w:val="left"/>
        <w:tblInd w:w="360" w:type="dxa"/>
        <w:tblLayout w:type="fixed"/>
        <w:tblCellMar>
          <w:top w:w="0" w:type="dxa"/>
          <w:left w:w="0" w:type="dxa"/>
          <w:bottom w:w="0" w:type="dxa"/>
          <w:right w:w="0" w:type="dxa"/>
        </w:tblCellMar>
      </w:tblPr>
      <w:tblGrid>
        <w:gridCol w:w="38"/>
        <w:gridCol w:w="560"/>
        <w:gridCol w:w="23"/>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18.2. </w:t>
            </w:r>
          </w:p>
        </w:tc>
        <w:tc>
          <w:tcPr>
            <w:tcW w:w="23" w:type="dxa"/>
            <w:tcBorders/>
            <w:vAlign w:val="center"/>
          </w:tcPr>
          <w:p>
            <w:pPr>
              <w:pStyle w:val="TableContents"/>
              <w:bidi w:val="0"/>
              <w:spacing w:before="0" w:after="283"/>
              <w:jc w:val="left"/>
              <w:rPr>
                <w:sz w:val="4"/>
                <w:szCs w:val="4"/>
              </w:rPr>
            </w:pPr>
            <w:r>
              <w:rPr>
                <w:sz w:val="4"/>
                <w:szCs w:val="4"/>
              </w:rPr>
            </w:r>
          </w:p>
        </w:tc>
        <w:tc>
          <w:tcPr>
            <w:tcW w:w="1730" w:type="dxa"/>
            <w:tcBorders/>
          </w:tcPr>
          <w:p>
            <w:pPr>
              <w:pStyle w:val="TableContents"/>
              <w:bidi w:val="0"/>
              <w:spacing w:before="174" w:after="0"/>
              <w:ind w:left="0" w:right="0" w:hanging="0"/>
              <w:jc w:val="left"/>
              <w:rPr>
                <w:rFonts w:ascii="Arial" w:hAnsi="Arial"/>
                <w:b/>
                <w:color w:val="000000"/>
                <w:sz w:val="22"/>
              </w:rPr>
            </w:pPr>
            <w:bookmarkStart w:id="247" w:name="Representatives122"/>
            <w:bookmarkEnd w:id="247"/>
            <w:r>
              <w:rPr>
                <w:rFonts w:ascii="Arial" w:hAnsi="Arial"/>
                <w:b/>
                <w:color w:val="000000"/>
                <w:sz w:val="22"/>
              </w:rPr>
              <w:t>Representatives</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 xml:space="preserve">The Borrower indemnifies each Receiver and Attorney and their respective Representatives and the Representatives of the Bank against any liability, loss, cost and expense caused by anything the Bank is indemnified against under </w:t>
      </w:r>
      <w:r>
        <w:rPr>
          <w:rFonts w:ascii="Arial" w:hAnsi="Arial"/>
          <w:b/>
          <w:color w:val="000000"/>
          <w:sz w:val="20"/>
        </w:rPr>
        <w:t xml:space="preserve">clause </w:t>
      </w:r>
      <w:r>
        <w:rPr>
          <w:rFonts w:ascii="Arial" w:hAnsi="Arial"/>
          <w:b/>
          <w:color w:val="2D97D3"/>
          <w:sz w:val="20"/>
          <w:u w:val="single"/>
        </w:rPr>
        <w:t>12.1</w:t>
      </w:r>
      <w:r>
        <w:rPr>
          <w:rFonts w:ascii="Arial" w:hAnsi="Arial"/>
          <w:b/>
          <w:strike/>
          <w:color w:val="B5082D"/>
          <w:sz w:val="20"/>
        </w:rPr>
        <w:t>12.1</w:t>
      </w:r>
      <w:r>
        <w:rPr>
          <w:rFonts w:ascii="Arial" w:hAnsi="Arial"/>
          <w:color w:val="B5082D"/>
          <w:sz w:val="20"/>
        </w:rPr>
        <w:t> </w:t>
      </w:r>
      <w:r>
        <w:rPr>
          <w:rFonts w:ascii="Arial" w:hAnsi="Arial"/>
          <w:color w:val="000000"/>
          <w:sz w:val="20"/>
        </w:rPr>
        <w:t xml:space="preserve">and the Bank holds the benefit of this </w:t>
      </w:r>
      <w:r>
        <w:rPr>
          <w:rFonts w:ascii="Arial" w:hAnsi="Arial"/>
          <w:b/>
          <w:color w:val="000000"/>
          <w:sz w:val="20"/>
        </w:rPr>
        <w:t xml:space="preserve">clause </w:t>
      </w:r>
      <w:r>
        <w:rPr>
          <w:rFonts w:ascii="Arial" w:hAnsi="Arial"/>
          <w:b/>
          <w:color w:val="2D97D3"/>
          <w:sz w:val="20"/>
          <w:u w:val="single"/>
        </w:rPr>
        <w:t>12.2</w:t>
      </w:r>
      <w:r>
        <w:rPr>
          <w:rFonts w:ascii="Arial" w:hAnsi="Arial"/>
          <w:b/>
          <w:strike/>
          <w:color w:val="B5082D"/>
          <w:sz w:val="20"/>
        </w:rPr>
        <w:t>12.2</w:t>
      </w:r>
      <w:r>
        <w:rPr>
          <w:rFonts w:ascii="Arial" w:hAnsi="Arial"/>
          <w:color w:val="B5082D"/>
          <w:sz w:val="20"/>
        </w:rPr>
        <w:t> </w:t>
      </w:r>
      <w:r>
        <w:rPr>
          <w:rFonts w:ascii="Arial" w:hAnsi="Arial"/>
          <w:color w:val="000000"/>
          <w:sz w:val="20"/>
        </w:rPr>
        <w:t>on trust for those persons.</w:t>
      </w:r>
      <w:r>
        <w:rPr>
          <w:rFonts w:ascii="Arial" w:hAnsi="Arial"/>
          <w:sz w:val="20"/>
        </w:rPr>
        <w:t xml:space="preserve"> </w:t>
      </w:r>
    </w:p>
    <w:tbl>
      <w:tblPr>
        <w:tblW w:w="2756" w:type="dxa"/>
        <w:jc w:val="left"/>
        <w:tblInd w:w="360" w:type="dxa"/>
        <w:tblLayout w:type="fixed"/>
        <w:tblCellMar>
          <w:top w:w="0" w:type="dxa"/>
          <w:left w:w="0" w:type="dxa"/>
          <w:bottom w:w="0" w:type="dxa"/>
          <w:right w:w="0" w:type="dxa"/>
        </w:tblCellMar>
      </w:tblPr>
      <w:tblGrid>
        <w:gridCol w:w="38"/>
        <w:gridCol w:w="560"/>
        <w:gridCol w:w="23"/>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18.3. </w:t>
            </w:r>
          </w:p>
        </w:tc>
        <w:tc>
          <w:tcPr>
            <w:tcW w:w="23" w:type="dxa"/>
            <w:tcBorders/>
            <w:vAlign w:val="center"/>
          </w:tcPr>
          <w:p>
            <w:pPr>
              <w:pStyle w:val="TableContents"/>
              <w:bidi w:val="0"/>
              <w:spacing w:before="0" w:after="283"/>
              <w:jc w:val="left"/>
              <w:rPr>
                <w:sz w:val="4"/>
                <w:szCs w:val="4"/>
              </w:rPr>
            </w:pPr>
            <w:r>
              <w:rPr>
                <w:sz w:val="4"/>
                <w:szCs w:val="4"/>
              </w:rPr>
            </w:r>
          </w:p>
        </w:tc>
        <w:tc>
          <w:tcPr>
            <w:tcW w:w="2135" w:type="dxa"/>
            <w:tcBorders/>
          </w:tcPr>
          <w:p>
            <w:pPr>
              <w:pStyle w:val="TableContents"/>
              <w:bidi w:val="0"/>
              <w:spacing w:before="174" w:after="0"/>
              <w:ind w:left="0" w:right="0" w:hanging="0"/>
              <w:jc w:val="left"/>
              <w:rPr>
                <w:rFonts w:ascii="Arial" w:hAnsi="Arial"/>
                <w:b/>
                <w:color w:val="000000"/>
                <w:sz w:val="22"/>
              </w:rPr>
            </w:pPr>
            <w:bookmarkStart w:id="248" w:name="Currency_deficiency123"/>
            <w:bookmarkEnd w:id="248"/>
            <w:r>
              <w:rPr>
                <w:rFonts w:ascii="Arial" w:hAnsi="Arial"/>
                <w:b/>
                <w:color w:val="000000"/>
                <w:sz w:val="22"/>
              </w:rPr>
              <w:t>Currency deficiency</w:t>
            </w:r>
          </w:p>
        </w:tc>
      </w:tr>
    </w:tbl>
    <w:p>
      <w:pPr>
        <w:pStyle w:val="TextBody"/>
        <w:bidi w:val="0"/>
        <w:spacing w:before="85" w:after="0"/>
        <w:ind w:left="3456" w:right="360" w:hanging="0"/>
        <w:jc w:val="left"/>
        <w:rPr>
          <w:rFonts w:ascii="Arial" w:hAnsi="Arial"/>
          <w:sz w:val="20"/>
        </w:rPr>
      </w:pPr>
      <w:r>
        <w:rPr>
          <w:rFonts w:ascii="Arial" w:hAnsi="Arial"/>
          <w:color w:val="000000"/>
          <w:sz w:val="20"/>
        </w:rPr>
        <w:t>If there is any deficiency between: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(a)an amount payable by a Transaction Party under a Transaction Document which is received by the Bank in a currency other than the</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5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5" descr=""/>
                    <pic:cNvPicPr>
                      <a:picLocks noChangeAspect="1" noChangeArrowheads="1"/>
                    </pic:cNvPicPr>
                  </pic:nvPicPr>
                  <pic:blipFill>
                    <a:blip r:embed="rId15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5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6" descr=""/>
                    <pic:cNvPicPr>
                      <a:picLocks noChangeAspect="1" noChangeArrowheads="1"/>
                    </pic:cNvPicPr>
                  </pic:nvPicPr>
                  <pic:blipFill>
                    <a:blip r:embed="rId15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3988" w:right="1854" w:hanging="0"/>
        <w:jc w:val="left"/>
        <w:rPr>
          <w:rFonts w:ascii="Arial" w:hAnsi="Arial"/>
          <w:sz w:val="20"/>
        </w:rPr>
      </w:pPr>
      <w:r>
        <w:rPr>
          <w:rFonts w:ascii="Arial" w:hAnsi="Arial"/>
          <w:sz w:val="20"/>
        </w:rPr>
        <w:t xml:space="preserve">currency payable under the Transaction Document because of a judgment, order or otherwise; and </w:t>
      </w:r>
    </w:p>
    <w:p>
      <w:pPr>
        <w:pStyle w:val="TextBody"/>
        <w:bidi w:val="0"/>
        <w:spacing w:lineRule="auto" w:line="264" w:before="107" w:after="0"/>
        <w:ind w:left="3983" w:right="1956" w:hanging="0"/>
        <w:jc w:val="left"/>
        <w:rPr>
          <w:rFonts w:ascii="Arial" w:hAnsi="Arial"/>
          <w:sz w:val="20"/>
        </w:rPr>
      </w:pPr>
      <w:r>
        <w:rPr>
          <w:rFonts w:ascii="Arial" w:hAnsi="Arial"/>
          <w:sz w:val="20"/>
        </w:rPr>
        <w:t>(b)the amount produced by converting the payment received from the currency in which it was paid into the currency in which it was agreed to be paid either directly or through a currency other than that in which it was agreed to be paid,</w:t>
      </w:r>
      <w:r>
        <w:rPr>
          <w:rFonts w:ascii="Arial" w:hAnsi="Arial"/>
          <w:sz w:val="20"/>
        </w:rPr>
        <w:t xml:space="preserve"> </w:t>
      </w:r>
    </w:p>
    <w:p>
      <w:pPr>
        <w:pStyle w:val="TextBody"/>
        <w:bidi w:val="0"/>
        <w:spacing w:lineRule="auto" w:line="266" w:before="106" w:after="0"/>
        <w:ind w:left="3456" w:right="1854" w:hanging="0"/>
        <w:jc w:val="left"/>
        <w:rPr>
          <w:rFonts w:ascii="Arial" w:hAnsi="Arial"/>
          <w:sz w:val="20"/>
        </w:rPr>
      </w:pPr>
      <w:r>
        <w:rPr>
          <w:rFonts w:ascii="Arial" w:hAnsi="Arial"/>
          <w:sz w:val="20"/>
        </w:rPr>
        <w:t xml:space="preserve">the Borrower must pay to the Bank the deficiency and any loss, costs or expenses resulting from it. </w:t>
      </w:r>
    </w:p>
    <w:tbl>
      <w:tblPr>
        <w:tblW w:w="3461" w:type="dxa"/>
        <w:jc w:val="left"/>
        <w:tblInd w:w="360" w:type="dxa"/>
        <w:tblLayout w:type="fixed"/>
        <w:tblCellMar>
          <w:top w:w="0" w:type="dxa"/>
          <w:left w:w="0" w:type="dxa"/>
          <w:bottom w:w="0" w:type="dxa"/>
          <w:right w:w="0" w:type="dxa"/>
        </w:tblCellMar>
      </w:tblPr>
      <w:tblGrid>
        <w:gridCol w:w="38"/>
        <w:gridCol w:w="560"/>
        <w:gridCol w:w="23"/>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18.4. </w:t>
            </w:r>
          </w:p>
        </w:tc>
        <w:tc>
          <w:tcPr>
            <w:tcW w:w="23" w:type="dxa"/>
            <w:tcBorders/>
            <w:vAlign w:val="center"/>
          </w:tcPr>
          <w:p>
            <w:pPr>
              <w:pStyle w:val="TableContents"/>
              <w:bidi w:val="0"/>
              <w:spacing w:before="0" w:after="283"/>
              <w:jc w:val="left"/>
              <w:rPr>
                <w:sz w:val="4"/>
                <w:szCs w:val="4"/>
              </w:rPr>
            </w:pPr>
            <w:r>
              <w:rPr>
                <w:sz w:val="4"/>
                <w:szCs w:val="4"/>
              </w:rPr>
            </w:r>
          </w:p>
        </w:tc>
        <w:tc>
          <w:tcPr>
            <w:tcW w:w="2840" w:type="dxa"/>
            <w:tcBorders/>
          </w:tcPr>
          <w:p>
            <w:pPr>
              <w:pStyle w:val="TableContents"/>
              <w:bidi w:val="0"/>
              <w:spacing w:before="174" w:after="0"/>
              <w:ind w:left="0" w:right="0" w:hanging="0"/>
              <w:jc w:val="left"/>
              <w:rPr>
                <w:rFonts w:ascii="Arial" w:hAnsi="Arial"/>
                <w:b/>
                <w:color w:val="000000"/>
                <w:sz w:val="22"/>
              </w:rPr>
            </w:pPr>
            <w:bookmarkStart w:id="249" w:name="Independence_and_survival124"/>
            <w:bookmarkEnd w:id="249"/>
            <w:r>
              <w:rPr>
                <w:rFonts w:ascii="Arial" w:hAnsi="Arial"/>
                <w:b/>
                <w:color w:val="000000"/>
                <w:sz w:val="22"/>
              </w:rPr>
              <w:t>Independence and survival</w:t>
            </w:r>
          </w:p>
        </w:tc>
      </w:tr>
    </w:tbl>
    <w:p>
      <w:pPr>
        <w:pStyle w:val="TextBody"/>
        <w:bidi w:val="0"/>
        <w:spacing w:lineRule="auto" w:line="264" w:before="87" w:after="0"/>
        <w:ind w:left="3456" w:right="1854" w:hanging="0"/>
        <w:jc w:val="left"/>
        <w:rPr>
          <w:rFonts w:ascii="Arial" w:hAnsi="Arial"/>
          <w:sz w:val="20"/>
        </w:rPr>
      </w:pPr>
      <w:r>
        <w:rPr>
          <w:rFonts w:ascii="Arial" w:hAnsi="Arial"/>
          <w:color w:val="000000"/>
          <w:sz w:val="20"/>
        </w:rPr>
        <w:t>Each indemnity in a Transaction Document is a continuing obligation, separate and independent from the other obligations of the Borrower and survives the termination of that Transaction Document.</w:t>
      </w:r>
      <w:r>
        <w:rPr>
          <w:rFonts w:ascii="Arial" w:hAnsi="Arial"/>
          <w:sz w:val="20"/>
        </w:rPr>
        <w:t xml:space="preserve"> </w:t>
      </w:r>
    </w:p>
    <w:tbl>
      <w:tblPr>
        <w:tblW w:w="3596" w:type="dxa"/>
        <w:jc w:val="left"/>
        <w:tblInd w:w="360" w:type="dxa"/>
        <w:tblLayout w:type="fixed"/>
        <w:tblCellMar>
          <w:top w:w="0" w:type="dxa"/>
          <w:left w:w="0" w:type="dxa"/>
          <w:bottom w:w="0" w:type="dxa"/>
          <w:right w:w="0" w:type="dxa"/>
        </w:tblCellMar>
      </w:tblPr>
      <w:tblGrid>
        <w:gridCol w:w="38"/>
        <w:gridCol w:w="560"/>
        <w:gridCol w:w="23"/>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18.5. </w:t>
            </w:r>
          </w:p>
        </w:tc>
        <w:tc>
          <w:tcPr>
            <w:tcW w:w="23" w:type="dxa"/>
            <w:tcBorders/>
            <w:vAlign w:val="center"/>
          </w:tcPr>
          <w:p>
            <w:pPr>
              <w:pStyle w:val="TableContents"/>
              <w:bidi w:val="0"/>
              <w:spacing w:before="0" w:after="283"/>
              <w:jc w:val="left"/>
              <w:rPr>
                <w:sz w:val="4"/>
                <w:szCs w:val="4"/>
              </w:rPr>
            </w:pPr>
            <w:r>
              <w:rPr>
                <w:sz w:val="4"/>
                <w:szCs w:val="4"/>
              </w:rPr>
            </w:r>
          </w:p>
        </w:tc>
        <w:tc>
          <w:tcPr>
            <w:tcW w:w="2975" w:type="dxa"/>
            <w:tcBorders/>
          </w:tcPr>
          <w:p>
            <w:pPr>
              <w:pStyle w:val="TableContents"/>
              <w:bidi w:val="0"/>
              <w:spacing w:before="174" w:after="0"/>
              <w:ind w:left="0" w:right="0" w:hanging="0"/>
              <w:jc w:val="left"/>
              <w:rPr>
                <w:rFonts w:ascii="Arial" w:hAnsi="Arial"/>
                <w:b/>
                <w:color w:val="000000"/>
                <w:sz w:val="22"/>
              </w:rPr>
            </w:pPr>
            <w:bookmarkStart w:id="250" w:name="Accounting_for_transactions125"/>
            <w:bookmarkEnd w:id="250"/>
            <w:r>
              <w:rPr>
                <w:rFonts w:ascii="Arial" w:hAnsi="Arial"/>
                <w:b/>
                <w:color w:val="000000"/>
                <w:sz w:val="22"/>
              </w:rPr>
              <w:t>Accounting for transactions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Borrower irrevocably authorises the Bank to open such accounts as the Bank requires in connection with a Facility.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Borrower irrevocably authorises the Bank to debit from any account in the name of the Borrower (including an account the Bank opens in the Borrower’s name)    any amounts payable by the Borrower in relation to that Facility or account, including interest, costs, Taxes, enforcement expenses and any amount payable under an indemnity.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(c)If the Borrower authorises the Bank to debit any amount from an 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 </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(d)Where the Bank debits an account in the name of the Borrower, opened by:</w:t>
      </w:r>
      <w:r>
        <w:rPr>
          <w:rFonts w:ascii="Arial" w:hAnsi="Arial"/>
          <w:sz w:val="20"/>
        </w:rPr>
        <w:t xml:space="preserve"> </w:t>
      </w:r>
    </w:p>
    <w:p>
      <w:pPr>
        <w:pStyle w:val="TextBody"/>
        <w:bidi w:val="0"/>
        <w:spacing w:lineRule="auto" w:line="264" w:before="111" w:after="0"/>
        <w:ind w:left="4540" w:right="2029" w:hanging="0"/>
        <w:jc w:val="both"/>
        <w:rPr>
          <w:rFonts w:ascii="Arial" w:hAnsi="Arial"/>
          <w:sz w:val="20"/>
        </w:rPr>
      </w:pPr>
      <w:r>
        <w:rPr>
          <w:rFonts w:ascii="Arial" w:hAnsi="Arial"/>
          <w:color w:val="000000"/>
          <w:sz w:val="20"/>
        </w:rPr>
        <w:t>(i)the Borrower, the Borrower must pay the Bank interest (including default interest if applicable) on any debit balance in accordance with the terms of that account;</w:t>
      </w:r>
      <w:r>
        <w:rPr>
          <w:rFonts w:ascii="Arial" w:hAnsi="Arial"/>
          <w:sz w:val="20"/>
        </w:rPr>
        <w:t xml:space="preserve"> </w:t>
      </w:r>
    </w:p>
    <w:p>
      <w:pPr>
        <w:pStyle w:val="TextBody"/>
        <w:bidi w:val="0"/>
        <w:spacing w:lineRule="auto" w:line="264" w:before="110" w:after="0"/>
        <w:ind w:left="4540" w:right="2050" w:hanging="0"/>
        <w:jc w:val="left"/>
        <w:rPr>
          <w:rFonts w:ascii="Arial" w:hAnsi="Arial"/>
          <w:sz w:val="20"/>
        </w:rPr>
      </w:pPr>
      <w:r>
        <w:rPr>
          <w:rFonts w:ascii="Arial" w:hAnsi="Arial"/>
          <w:color w:val="000000"/>
          <w:sz w:val="20"/>
        </w:rPr>
        <w:t>(ii)the Bank, the Borrower must pay the Bank interest on the overdrawn balance of that account at the Overdue Rate applying to the relevant Facility or, if there is none, in accordance with the terms normally applied by the Bank to accounts of that type; or</w:t>
      </w:r>
      <w:r>
        <w:rPr>
          <w:rFonts w:ascii="Arial" w:hAnsi="Arial"/>
          <w:sz w:val="20"/>
        </w:rPr>
        <w:t xml:space="preserve"> </w:t>
      </w:r>
    </w:p>
    <w:p>
      <w:pPr>
        <w:pStyle w:val="TextBody"/>
        <w:bidi w:val="0"/>
        <w:spacing w:lineRule="auto" w:line="264" w:before="107" w:after="0"/>
        <w:ind w:left="4540" w:right="2185" w:hanging="0"/>
        <w:jc w:val="left"/>
        <w:rPr>
          <w:rFonts w:ascii="Arial" w:hAnsi="Arial"/>
          <w:sz w:val="20"/>
        </w:rPr>
      </w:pPr>
      <w:r>
        <w:rPr>
          <w:rFonts w:ascii="Arial" w:hAnsi="Arial"/>
          <w:color w:val="000000"/>
          <w:sz w:val="20"/>
        </w:rPr>
        <w:t>(iii)either the Borrower or the Bank, the overdrawn balance of the account in excess of the applicable Facility Limit is immediately payable without further notice.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(e)Unless otherwise provided, the Bank may apply any payment under or in connection with this document towards satisfying obligations under this document as the Bank sees fit.</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59"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7" descr=""/>
                    <pic:cNvPicPr>
                      <a:picLocks noChangeAspect="1" noChangeArrowheads="1"/>
                    </pic:cNvPicPr>
                  </pic:nvPicPr>
                  <pic:blipFill>
                    <a:blip r:embed="rId15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6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8" descr=""/>
                    <pic:cNvPicPr>
                      <a:picLocks noChangeAspect="1" noChangeArrowheads="1"/>
                    </pic:cNvPicPr>
                  </pic:nvPicPr>
                  <pic:blipFill>
                    <a:blip r:embed="rId16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(f)Where the Bank is authorised to debit an amount from an account under this document, it can do so without prior notice. </w:t>
      </w:r>
    </w:p>
    <w:tbl>
      <w:tblPr>
        <w:tblW w:w="3836" w:type="dxa"/>
        <w:jc w:val="left"/>
        <w:tblInd w:w="360" w:type="dxa"/>
        <w:tblLayout w:type="fixed"/>
        <w:tblCellMar>
          <w:top w:w="0" w:type="dxa"/>
          <w:left w:w="0" w:type="dxa"/>
          <w:bottom w:w="0" w:type="dxa"/>
          <w:right w:w="0" w:type="dxa"/>
        </w:tblCellMar>
      </w:tblPr>
      <w:tblGrid>
        <w:gridCol w:w="38"/>
        <w:gridCol w:w="560"/>
        <w:gridCol w:w="23"/>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18.6. </w:t>
            </w:r>
          </w:p>
        </w:tc>
        <w:tc>
          <w:tcPr>
            <w:tcW w:w="23" w:type="dxa"/>
            <w:tcBorders/>
            <w:vAlign w:val="center"/>
          </w:tcPr>
          <w:p>
            <w:pPr>
              <w:pStyle w:val="TableContents"/>
              <w:bidi w:val="0"/>
              <w:spacing w:before="0" w:after="283"/>
              <w:jc w:val="left"/>
              <w:rPr>
                <w:sz w:val="4"/>
                <w:szCs w:val="4"/>
              </w:rPr>
            </w:pPr>
            <w:r>
              <w:rPr>
                <w:sz w:val="4"/>
                <w:szCs w:val="4"/>
              </w:rPr>
            </w:r>
          </w:p>
        </w:tc>
        <w:tc>
          <w:tcPr>
            <w:tcW w:w="3215" w:type="dxa"/>
            <w:tcBorders/>
          </w:tcPr>
          <w:p>
            <w:pPr>
              <w:pStyle w:val="TableContents"/>
              <w:bidi w:val="0"/>
              <w:spacing w:before="174" w:after="0"/>
              <w:ind w:left="0" w:right="0" w:hanging="0"/>
              <w:jc w:val="left"/>
              <w:rPr>
                <w:rFonts w:ascii="Arial" w:hAnsi="Arial"/>
                <w:b/>
                <w:color w:val="000000"/>
                <w:sz w:val="22"/>
              </w:rPr>
            </w:pPr>
            <w:bookmarkStart w:id="251" w:name="Liability_for_Regulatory_Events126"/>
            <w:bookmarkEnd w:id="251"/>
            <w:r>
              <w:rPr>
                <w:rFonts w:ascii="Arial" w:hAnsi="Arial"/>
                <w:b/>
                <w:color w:val="000000"/>
                <w:sz w:val="22"/>
              </w:rPr>
              <w:t>Liability for Regulatory Events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Borrower acknowledges that the Services may be interrupted, prevented, delayed or otherwise adversely affected by a Regulatory Event.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(b)To the extent permitted by Law:</w:t>
      </w:r>
      <w:r>
        <w:rPr>
          <w:rFonts w:ascii="Arial" w:hAnsi="Arial"/>
          <w:sz w:val="20"/>
        </w:rPr>
        <w:t xml:space="preserve"> </w:t>
      </w:r>
    </w:p>
    <w:p>
      <w:pPr>
        <w:pStyle w:val="TextBody"/>
        <w:bidi w:val="0"/>
        <w:spacing w:lineRule="auto" w:line="264" w:before="135" w:after="0"/>
        <w:ind w:left="4540" w:right="2150" w:hanging="0"/>
        <w:jc w:val="left"/>
        <w:rPr>
          <w:rFonts w:ascii="Arial" w:hAnsi="Arial"/>
          <w:sz w:val="22"/>
        </w:rPr>
      </w:pPr>
      <w:r>
        <w:rPr>
          <w:rFonts w:ascii="Arial" w:hAnsi="Arial"/>
          <w:color w:val="000000"/>
          <w:sz w:val="20"/>
        </w:rPr>
        <w:t>(i)the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is</w:t>
      </w:r>
      <w:r>
        <w:rPr>
          <w:rFonts w:ascii="Arial" w:hAnsi="Arial"/>
          <w:color w:val="000000"/>
          <w:sz w:val="22"/>
        </w:rPr>
        <w:t> </w:t>
      </w:r>
      <w:r>
        <w:rPr>
          <w:rFonts w:ascii="Arial" w:hAnsi="Arial"/>
          <w:color w:val="000000"/>
          <w:sz w:val="20"/>
        </w:rPr>
        <w:t>not</w:t>
      </w:r>
      <w:r>
        <w:rPr>
          <w:rFonts w:ascii="Arial" w:hAnsi="Arial"/>
          <w:color w:val="000000"/>
          <w:sz w:val="22"/>
        </w:rPr>
        <w:t> </w:t>
      </w:r>
      <w:r>
        <w:rPr>
          <w:rFonts w:ascii="Arial" w:hAnsi="Arial"/>
          <w:color w:val="000000"/>
          <w:sz w:val="20"/>
        </w:rPr>
        <w:t>liable</w:t>
      </w:r>
      <w:r>
        <w:rPr>
          <w:rFonts w:ascii="Arial" w:hAnsi="Arial"/>
          <w:color w:val="000000"/>
          <w:sz w:val="22"/>
        </w:rPr>
        <w:t> </w:t>
      </w:r>
      <w:r>
        <w:rPr>
          <w:rFonts w:ascii="Arial" w:hAnsi="Arial"/>
          <w:color w:val="000000"/>
          <w:sz w:val="20"/>
        </w:rPr>
        <w:t>for</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loss</w:t>
      </w:r>
      <w:r>
        <w:rPr>
          <w:rFonts w:ascii="Arial" w:hAnsi="Arial"/>
          <w:color w:val="000000"/>
          <w:sz w:val="22"/>
        </w:rPr>
        <w:t> </w:t>
      </w:r>
      <w:r>
        <w:rPr>
          <w:rFonts w:ascii="Arial" w:hAnsi="Arial"/>
          <w:color w:val="000000"/>
          <w:sz w:val="20"/>
        </w:rPr>
        <w:t>incurred</w:t>
      </w:r>
      <w:r>
        <w:rPr>
          <w:rFonts w:ascii="Arial" w:hAnsi="Arial"/>
          <w:color w:val="000000"/>
          <w:sz w:val="22"/>
        </w:rPr>
        <w:t> </w:t>
      </w:r>
      <w:r>
        <w:rPr>
          <w:rFonts w:ascii="Arial" w:hAnsi="Arial"/>
          <w:color w:val="000000"/>
          <w:sz w:val="20"/>
        </w:rPr>
        <w:t>by</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Borrower</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 xml:space="preserve">any other person if an event described in </w:t>
      </w:r>
      <w:r>
        <w:rPr>
          <w:rFonts w:ascii="Arial" w:hAnsi="Arial"/>
          <w:b/>
          <w:color w:val="000000"/>
          <w:sz w:val="20"/>
        </w:rPr>
        <w:t xml:space="preserve">clause </w:t>
      </w:r>
      <w:r>
        <w:rPr>
          <w:rFonts w:ascii="Arial" w:hAnsi="Arial"/>
          <w:b/>
          <w:color w:val="2D97D3"/>
          <w:sz w:val="20"/>
          <w:u w:val="single"/>
        </w:rPr>
        <w:t>12.6</w:t>
      </w:r>
      <w:r>
        <w:rPr>
          <w:rFonts w:ascii="Arial" w:hAnsi="Arial"/>
          <w:b/>
          <w:strike/>
          <w:color w:val="B5082D"/>
          <w:sz w:val="20"/>
        </w:rPr>
        <w:t>12.6</w:t>
      </w:r>
      <w:r>
        <w:rPr>
          <w:rFonts w:ascii="Arial" w:hAnsi="Arial"/>
          <w:b/>
          <w:color w:val="2D97D3"/>
          <w:sz w:val="20"/>
          <w:u w:val="single"/>
        </w:rPr>
        <w:t>(a)</w:t>
      </w:r>
      <w:r>
        <w:rPr>
          <w:rFonts w:ascii="Arial" w:hAnsi="Arial"/>
          <w:b/>
          <w:strike/>
          <w:color w:val="B5082D"/>
          <w:sz w:val="20"/>
        </w:rPr>
        <w:t>(a)</w:t>
      </w:r>
      <w:r>
        <w:rPr>
          <w:rFonts w:ascii="Arial" w:hAnsi="Arial"/>
          <w:color w:val="B5082D"/>
          <w:sz w:val="22"/>
        </w:rPr>
        <w:t> </w:t>
      </w:r>
      <w:r>
        <w:rPr>
          <w:rFonts w:ascii="Arial" w:hAnsi="Arial"/>
          <w:color w:val="000000"/>
          <w:sz w:val="20"/>
        </w:rPr>
        <w:t>occurs,</w:t>
      </w:r>
      <w:r>
        <w:rPr>
          <w:rFonts w:ascii="Arial" w:hAnsi="Arial"/>
          <w:color w:val="000000"/>
          <w:sz w:val="22"/>
        </w:rPr>
        <w:t> </w:t>
      </w:r>
      <w:r>
        <w:rPr>
          <w:rFonts w:ascii="Arial" w:hAnsi="Arial"/>
          <w:color w:val="000000"/>
          <w:sz w:val="20"/>
        </w:rPr>
        <w:t>irrespective</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nature</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cause</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that</w:t>
      </w:r>
      <w:r>
        <w:rPr>
          <w:rFonts w:ascii="Arial" w:hAnsi="Arial"/>
          <w:color w:val="000000"/>
          <w:sz w:val="22"/>
        </w:rPr>
        <w:t> </w:t>
      </w:r>
      <w:r>
        <w:rPr>
          <w:rFonts w:ascii="Arial" w:hAnsi="Arial"/>
          <w:color w:val="000000"/>
          <w:sz w:val="20"/>
        </w:rPr>
        <w:t>loss,</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the Bank has no obligation to contest any Regulatory Event or to mitigate its impact on the Borrower or the Bank; and</w:t>
      </w:r>
      <w:r>
        <w:rPr>
          <w:rFonts w:ascii="Arial" w:hAnsi="Arial"/>
          <w:sz w:val="22"/>
        </w:rPr>
        <w:t xml:space="preserve"> </w:t>
      </w:r>
    </w:p>
    <w:p>
      <w:pPr>
        <w:pStyle w:val="TextBody"/>
        <w:bidi w:val="0"/>
        <w:spacing w:lineRule="auto" w:line="264" w:before="117" w:after="0"/>
        <w:ind w:left="4540" w:right="1954" w:hanging="0"/>
        <w:jc w:val="left"/>
        <w:rPr>
          <w:rFonts w:ascii="Arial" w:hAnsi="Arial"/>
          <w:sz w:val="22"/>
        </w:rPr>
      </w:pPr>
      <w:r>
        <w:rPr>
          <w:rFonts w:ascii="Arial" w:hAnsi="Arial"/>
          <w:color w:val="000000"/>
          <w:sz w:val="20"/>
        </w:rPr>
        <w:t>(ii)the</w:t>
      </w:r>
      <w:r>
        <w:rPr>
          <w:rFonts w:ascii="Arial" w:hAnsi="Arial"/>
          <w:color w:val="000000"/>
          <w:sz w:val="22"/>
        </w:rPr>
        <w:t> </w:t>
      </w:r>
      <w:r>
        <w:rPr>
          <w:rFonts w:ascii="Arial" w:hAnsi="Arial"/>
          <w:color w:val="000000"/>
          <w:sz w:val="20"/>
        </w:rPr>
        <w:t>Borrower</w:t>
      </w:r>
      <w:r>
        <w:rPr>
          <w:rFonts w:ascii="Arial" w:hAnsi="Arial"/>
          <w:color w:val="000000"/>
          <w:sz w:val="22"/>
        </w:rPr>
        <w:t> </w:t>
      </w:r>
      <w:r>
        <w:rPr>
          <w:rFonts w:ascii="Arial" w:hAnsi="Arial"/>
          <w:color w:val="000000"/>
          <w:sz w:val="20"/>
        </w:rPr>
        <w:t>releases</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from</w:t>
      </w:r>
      <w:r>
        <w:rPr>
          <w:rFonts w:ascii="Arial" w:hAnsi="Arial"/>
          <w:color w:val="000000"/>
          <w:sz w:val="22"/>
        </w:rPr>
        <w:t> </w:t>
      </w:r>
      <w:r>
        <w:rPr>
          <w:rFonts w:ascii="Arial" w:hAnsi="Arial"/>
          <w:color w:val="000000"/>
          <w:sz w:val="20"/>
        </w:rPr>
        <w:t>all</w:t>
      </w:r>
      <w:r>
        <w:rPr>
          <w:rFonts w:ascii="Arial" w:hAnsi="Arial"/>
          <w:color w:val="000000"/>
          <w:sz w:val="22"/>
        </w:rPr>
        <w:t> </w:t>
      </w:r>
      <w:r>
        <w:rPr>
          <w:rFonts w:ascii="Arial" w:hAnsi="Arial"/>
          <w:color w:val="000000"/>
          <w:sz w:val="20"/>
        </w:rPr>
        <w:t>liability</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connection</w:t>
      </w:r>
      <w:r>
        <w:rPr>
          <w:rFonts w:ascii="Arial" w:hAnsi="Arial"/>
          <w:color w:val="000000"/>
          <w:sz w:val="22"/>
        </w:rPr>
        <w:t> </w:t>
      </w:r>
      <w:r>
        <w:rPr>
          <w:rFonts w:ascii="Arial" w:hAnsi="Arial"/>
          <w:color w:val="000000"/>
          <w:sz w:val="20"/>
        </w:rPr>
        <w:t xml:space="preserve">with any loss incurred by a Borrower or any other person if an event described in </w:t>
      </w:r>
      <w:r>
        <w:rPr>
          <w:rFonts w:ascii="Arial" w:hAnsi="Arial"/>
          <w:b/>
          <w:color w:val="000000"/>
          <w:sz w:val="20"/>
        </w:rPr>
        <w:t xml:space="preserve">clause </w:t>
      </w:r>
      <w:r>
        <w:rPr>
          <w:rFonts w:ascii="Arial" w:hAnsi="Arial"/>
          <w:b/>
          <w:color w:val="2D97D3"/>
          <w:sz w:val="20"/>
          <w:u w:val="single"/>
        </w:rPr>
        <w:t>12.6</w:t>
      </w:r>
      <w:r>
        <w:rPr>
          <w:rFonts w:ascii="Arial" w:hAnsi="Arial"/>
          <w:b/>
          <w:strike/>
          <w:color w:val="B5082D"/>
          <w:sz w:val="20"/>
        </w:rPr>
        <w:t>12.6</w:t>
      </w:r>
      <w:r>
        <w:rPr>
          <w:rFonts w:ascii="Arial" w:hAnsi="Arial"/>
          <w:b/>
          <w:color w:val="2D97D3"/>
          <w:sz w:val="20"/>
          <w:u w:val="single"/>
        </w:rPr>
        <w:t>(a)</w:t>
      </w:r>
      <w:r>
        <w:rPr>
          <w:rFonts w:ascii="Arial" w:hAnsi="Arial"/>
          <w:b/>
          <w:strike/>
          <w:color w:val="B5082D"/>
          <w:sz w:val="20"/>
        </w:rPr>
        <w:t>(a)</w:t>
      </w:r>
      <w:r>
        <w:rPr>
          <w:rFonts w:ascii="Arial" w:hAnsi="Arial"/>
          <w:color w:val="B5082D"/>
          <w:sz w:val="22"/>
        </w:rPr>
        <w:t> </w:t>
      </w:r>
      <w:r>
        <w:rPr>
          <w:rFonts w:ascii="Arial" w:hAnsi="Arial"/>
          <w:color w:val="000000"/>
          <w:sz w:val="20"/>
        </w:rPr>
        <w:t>occurs.</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(c)To the extent that the Bank’s liability cannot be excluded, the Bank’s liability is limited to the cost of having the Service supplied again.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(d)The Bank may use and disclose to any other financial institution or agency, any information about any Borrower, the Services or any person connected with it or the Services, for any purpose which the Bank, or any other financial institution, considers appropriate or necessary in connection with any Regulatory Event or the Services and this may result in information being transmitted overseas.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 xml:space="preserve">(e)The Borrower agrees to provide information to the Bank about it, the Services or any person connected with it or the Services on request, and to promptly procure any consents the Bank requires to give effect to </w:t>
      </w:r>
      <w:r>
        <w:rPr>
          <w:rFonts w:ascii="Arial" w:hAnsi="Arial"/>
          <w:b/>
          <w:color w:val="000000"/>
          <w:sz w:val="20"/>
        </w:rPr>
        <w:t xml:space="preserve">clause </w:t>
      </w:r>
      <w:r>
        <w:rPr>
          <w:rFonts w:ascii="Arial" w:hAnsi="Arial"/>
          <w:b/>
          <w:color w:val="2D97D3"/>
          <w:sz w:val="20"/>
          <w:u w:val="single"/>
        </w:rPr>
        <w:t>12.6</w:t>
      </w:r>
      <w:r>
        <w:rPr>
          <w:rFonts w:ascii="Arial" w:hAnsi="Arial"/>
          <w:b/>
          <w:strike/>
          <w:color w:val="B5082D"/>
          <w:sz w:val="20"/>
        </w:rPr>
        <w:t>12.6</w:t>
      </w:r>
      <w:r>
        <w:rPr>
          <w:rFonts w:ascii="Arial" w:hAnsi="Arial"/>
          <w:b/>
          <w:color w:val="2D97D3"/>
          <w:sz w:val="20"/>
          <w:u w:val="single"/>
        </w:rPr>
        <w:t>(d)</w:t>
      </w:r>
      <w:r>
        <w:rPr>
          <w:rFonts w:ascii="Arial" w:hAnsi="Arial"/>
          <w:b/>
          <w:strike/>
          <w:color w:val="B5082D"/>
          <w:sz w:val="20"/>
        </w:rPr>
        <w:t>(d)</w:t>
      </w:r>
      <w:r>
        <w:rPr>
          <w:rFonts w:ascii="Arial" w:hAnsi="Arial"/>
          <w:color w:val="000000"/>
          <w:sz w:val="20"/>
        </w:rPr>
        <w:t>.</w:t>
      </w:r>
      <w:r>
        <w:rPr>
          <w:rFonts w:ascii="Arial" w:hAnsi="Arial"/>
          <w:sz w:val="20"/>
        </w:rPr>
        <w:t xml:space="preserve"> </w:t>
      </w:r>
    </w:p>
    <w:p>
      <w:pPr>
        <w:pStyle w:val="TextBody"/>
        <w:bidi w:val="0"/>
        <w:spacing w:before="198" w:after="0"/>
        <w:ind w:left="360" w:right="360" w:hanging="0"/>
        <w:jc w:val="left"/>
        <w:rPr>
          <w:rFonts w:cs="Arial"/>
          <w:szCs w:val="30"/>
        </w:rPr>
      </w:pPr>
      <w:r>
        <w:rPr>
          <w:rFonts w:cs="Arial"/>
          <w:color w:val="000000"/>
          <w:szCs w:val="30"/>
        </w:rPr>
        <w:t>﻿</w:t>
      </w:r>
      <w:r>
        <w:rPr>
          <w:rFonts w:cs="Arial"/>
          <w:szCs w:val="30"/>
        </w:rPr>
        <w:t xml:space="preserve"> </w:t>
      </w:r>
    </w:p>
    <w:tbl>
      <w:tblPr>
        <w:tblW w:w="3911" w:type="dxa"/>
        <w:jc w:val="left"/>
        <w:tblInd w:w="360" w:type="dxa"/>
        <w:tblLayout w:type="fixed"/>
        <w:tblCellMar>
          <w:top w:w="0" w:type="dxa"/>
          <w:left w:w="0" w:type="dxa"/>
          <w:bottom w:w="0" w:type="dxa"/>
          <w:right w:w="0" w:type="dxa"/>
        </w:tblCellMar>
      </w:tblPr>
      <w:tblGrid>
        <w:gridCol w:w="38"/>
        <w:gridCol w:w="530"/>
        <w:gridCol w:w="23"/>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19. </w:t>
            </w:r>
          </w:p>
        </w:tc>
        <w:tc>
          <w:tcPr>
            <w:tcW w:w="23" w:type="dxa"/>
            <w:tcBorders/>
            <w:vAlign w:val="center"/>
          </w:tcPr>
          <w:p>
            <w:pPr>
              <w:pStyle w:val="TableContents"/>
              <w:bidi w:val="0"/>
              <w:spacing w:before="0" w:after="283"/>
              <w:jc w:val="left"/>
              <w:rPr>
                <w:sz w:val="4"/>
                <w:szCs w:val="4"/>
              </w:rPr>
            </w:pPr>
            <w:r>
              <w:rPr>
                <w:sz w:val="4"/>
                <w:szCs w:val="4"/>
              </w:rPr>
            </w:r>
          </w:p>
        </w:tc>
        <w:tc>
          <w:tcPr>
            <w:tcW w:w="3320" w:type="dxa"/>
            <w:tcBorders/>
          </w:tcPr>
          <w:p>
            <w:pPr>
              <w:pStyle w:val="TableContents"/>
              <w:bidi w:val="0"/>
              <w:spacing w:before="0" w:after="0"/>
              <w:ind w:left="0" w:right="0" w:hanging="0"/>
              <w:jc w:val="left"/>
              <w:rPr>
                <w:rFonts w:ascii="Arial" w:hAnsi="Arial"/>
                <w:color w:val="000000"/>
                <w:sz w:val="30"/>
              </w:rPr>
            </w:pPr>
            <w:bookmarkStart w:id="252" w:name="Goods_and_Services_Tax13"/>
            <w:bookmarkEnd w:id="252"/>
            <w:r>
              <w:rPr>
                <w:rFonts w:ascii="Arial" w:hAnsi="Arial"/>
                <w:color w:val="000000"/>
                <w:sz w:val="30"/>
              </w:rPr>
              <w:t>Goods and Services Tax</w:t>
            </w:r>
          </w:p>
        </w:tc>
      </w:tr>
    </w:tbl>
    <w:tbl>
      <w:tblPr>
        <w:tblW w:w="2231" w:type="dxa"/>
        <w:jc w:val="left"/>
        <w:tblInd w:w="360" w:type="dxa"/>
        <w:tblLayout w:type="fixed"/>
        <w:tblCellMar>
          <w:top w:w="0" w:type="dxa"/>
          <w:left w:w="0" w:type="dxa"/>
          <w:bottom w:w="0" w:type="dxa"/>
          <w:right w:w="0" w:type="dxa"/>
        </w:tblCellMar>
      </w:tblPr>
      <w:tblGrid>
        <w:gridCol w:w="38"/>
        <w:gridCol w:w="560"/>
        <w:gridCol w:w="23"/>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19.1. </w:t>
            </w:r>
          </w:p>
        </w:tc>
        <w:tc>
          <w:tcPr>
            <w:tcW w:w="23" w:type="dxa"/>
            <w:tcBorders/>
            <w:vAlign w:val="center"/>
          </w:tcPr>
          <w:p>
            <w:pPr>
              <w:pStyle w:val="TableContents"/>
              <w:bidi w:val="0"/>
              <w:spacing w:before="0" w:after="283"/>
              <w:jc w:val="left"/>
              <w:rPr>
                <w:sz w:val="4"/>
                <w:szCs w:val="4"/>
              </w:rPr>
            </w:pPr>
            <w:r>
              <w:rPr>
                <w:sz w:val="4"/>
                <w:szCs w:val="4"/>
              </w:rPr>
            </w:r>
          </w:p>
        </w:tc>
        <w:tc>
          <w:tcPr>
            <w:tcW w:w="1610" w:type="dxa"/>
            <w:tcBorders/>
          </w:tcPr>
          <w:p>
            <w:pPr>
              <w:pStyle w:val="TableContents"/>
              <w:bidi w:val="0"/>
              <w:spacing w:before="174" w:after="0"/>
              <w:ind w:left="0" w:right="0" w:hanging="0"/>
              <w:jc w:val="left"/>
              <w:rPr>
                <w:rFonts w:ascii="Arial" w:hAnsi="Arial"/>
                <w:b/>
                <w:sz w:val="22"/>
              </w:rPr>
            </w:pPr>
            <w:r>
              <w:rPr>
                <w:rFonts w:ascii="Arial" w:hAnsi="Arial"/>
                <w:b/>
                <w:color w:val="000000"/>
                <w:sz w:val="22"/>
              </w:rPr>
              <w:t>T</w:t>
            </w:r>
            <w:bookmarkStart w:id="253" w:name="Taxable_supply131"/>
            <w:bookmarkEnd w:id="253"/>
            <w:r>
              <w:rPr>
                <w:rFonts w:ascii="Arial" w:hAnsi="Arial"/>
                <w:b/>
                <w:color w:val="000000"/>
                <w:sz w:val="22"/>
              </w:rPr>
              <w:t>axable supply</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(a)If GST is payable by the Bank on any supply made under a Transaction Document, the Borrower must pay to the Bank an amount equal to the GST payable on the supply.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(b)That amount must be paid at the same time that the consideration for the supply is to be provided under the Transaction Document and must be paid in addition to the consideration expressed elsewhere in the Transaction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(c)On receiving that amount from the Borrower, the Bank must provide the Borrower with a tax invoice for the supply.</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6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9" descr=""/>
                    <pic:cNvPicPr>
                      <a:picLocks noChangeAspect="1" noChangeArrowheads="1"/>
                    </pic:cNvPicPr>
                  </pic:nvPicPr>
                  <pic:blipFill>
                    <a:blip r:embed="rId16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62"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0" descr=""/>
                    <pic:cNvPicPr>
                      <a:picLocks noChangeAspect="1" noChangeArrowheads="1"/>
                    </pic:cNvPicPr>
                  </pic:nvPicPr>
                  <pic:blipFill>
                    <a:blip r:embed="rId16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72" w:after="0"/>
        <w:ind w:left="360" w:right="360" w:hanging="0"/>
        <w:jc w:val="left"/>
        <w:rPr>
          <w:rFonts w:cs="Arial"/>
          <w:szCs w:val="22"/>
        </w:rPr>
      </w:pPr>
      <w:r>
        <w:rPr>
          <w:rFonts w:cs="Arial"/>
          <w:szCs w:val="22"/>
        </w:rPr>
        <w:t xml:space="preserve">﻿ </w:t>
      </w:r>
    </w:p>
    <w:tbl>
      <w:tblPr>
        <w:tblW w:w="2621" w:type="dxa"/>
        <w:jc w:val="left"/>
        <w:tblInd w:w="360" w:type="dxa"/>
        <w:tblLayout w:type="fixed"/>
        <w:tblCellMar>
          <w:top w:w="0" w:type="dxa"/>
          <w:left w:w="0" w:type="dxa"/>
          <w:bottom w:w="0" w:type="dxa"/>
          <w:right w:w="0" w:type="dxa"/>
        </w:tblCellMar>
      </w:tblPr>
      <w:tblGrid>
        <w:gridCol w:w="38"/>
        <w:gridCol w:w="560"/>
        <w:gridCol w:w="23"/>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19.2. </w:t>
            </w:r>
          </w:p>
        </w:tc>
        <w:tc>
          <w:tcPr>
            <w:tcW w:w="23" w:type="dxa"/>
            <w:tcBorders/>
            <w:vAlign w:val="center"/>
          </w:tcPr>
          <w:p>
            <w:pPr>
              <w:pStyle w:val="TableContents"/>
              <w:bidi w:val="0"/>
              <w:spacing w:before="0" w:after="283"/>
              <w:jc w:val="left"/>
              <w:rPr>
                <w:sz w:val="4"/>
                <w:szCs w:val="4"/>
              </w:rPr>
            </w:pPr>
            <w:r>
              <w:rPr>
                <w:sz w:val="4"/>
                <w:szCs w:val="4"/>
              </w:rPr>
            </w:r>
          </w:p>
        </w:tc>
        <w:tc>
          <w:tcPr>
            <w:tcW w:w="2000" w:type="dxa"/>
            <w:tcBorders/>
          </w:tcPr>
          <w:p>
            <w:pPr>
              <w:pStyle w:val="TableContents"/>
              <w:bidi w:val="0"/>
              <w:spacing w:before="174" w:after="0"/>
              <w:ind w:left="0" w:right="0" w:hanging="0"/>
              <w:jc w:val="left"/>
              <w:rPr>
                <w:rFonts w:ascii="Arial" w:hAnsi="Arial"/>
                <w:b/>
                <w:color w:val="000000"/>
                <w:sz w:val="22"/>
              </w:rPr>
            </w:pPr>
            <w:bookmarkStart w:id="254" w:name="Adjustment_events132"/>
            <w:bookmarkEnd w:id="254"/>
            <w:r>
              <w:rPr>
                <w:rFonts w:ascii="Arial" w:hAnsi="Arial"/>
                <w:b/>
                <w:color w:val="000000"/>
                <w:sz w:val="22"/>
              </w:rPr>
              <w:t>Adjustment events</w:t>
            </w:r>
          </w:p>
        </w:tc>
      </w:tr>
    </w:tbl>
    <w:p>
      <w:pPr>
        <w:pStyle w:val="TextBody"/>
        <w:bidi w:val="0"/>
        <w:spacing w:lineRule="auto" w:line="264" w:before="87" w:after="0"/>
        <w:ind w:left="3456" w:right="1854" w:hanging="0"/>
        <w:jc w:val="left"/>
        <w:rPr>
          <w:rFonts w:ascii="Arial" w:hAnsi="Arial"/>
          <w:sz w:val="20"/>
        </w:rPr>
      </w:pPr>
      <w:r>
        <w:rPr>
          <w:rFonts w:ascii="Arial" w:hAnsi="Arial"/>
          <w:color w:val="000000"/>
          <w:sz w:val="20"/>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w:t>
      </w:r>
      <w:r>
        <w:rPr>
          <w:rFonts w:ascii="Arial" w:hAnsi="Arial"/>
          <w:b/>
          <w:color w:val="000000"/>
          <w:sz w:val="20"/>
        </w:rPr>
        <w:t xml:space="preserve">clause </w:t>
      </w:r>
      <w:r>
        <w:rPr>
          <w:rFonts w:ascii="Arial" w:hAnsi="Arial"/>
          <w:b/>
          <w:color w:val="2D97D3"/>
          <w:sz w:val="20"/>
          <w:u w:val="single"/>
        </w:rPr>
        <w:t>13.1</w:t>
      </w:r>
      <w:r>
        <w:rPr>
          <w:rFonts w:ascii="Arial" w:hAnsi="Arial"/>
          <w:b/>
          <w:strike/>
          <w:color w:val="B5082D"/>
          <w:sz w:val="20"/>
        </w:rPr>
        <w:t>13.1</w:t>
      </w:r>
      <w:r>
        <w:rPr>
          <w:rFonts w:ascii="Arial" w:hAnsi="Arial"/>
          <w:color w:val="B5082D"/>
          <w:sz w:val="20"/>
        </w:rPr>
        <w:t> </w:t>
      </w:r>
      <w:r>
        <w:rPr>
          <w:rFonts w:ascii="Arial" w:hAnsi="Arial"/>
          <w:color w:val="000000"/>
          <w:sz w:val="20"/>
        </w:rPr>
        <w:t>and payments to give effect to the adjustment must be made.</w:t>
      </w:r>
      <w:r>
        <w:rPr>
          <w:rFonts w:ascii="Arial" w:hAnsi="Arial"/>
          <w:sz w:val="20"/>
        </w:rPr>
        <w:t xml:space="preserve"> </w:t>
      </w:r>
    </w:p>
    <w:tbl>
      <w:tblPr>
        <w:tblW w:w="1691" w:type="dxa"/>
        <w:jc w:val="left"/>
        <w:tblInd w:w="360" w:type="dxa"/>
        <w:tblLayout w:type="fixed"/>
        <w:tblCellMar>
          <w:top w:w="0" w:type="dxa"/>
          <w:left w:w="0" w:type="dxa"/>
          <w:bottom w:w="0" w:type="dxa"/>
          <w:right w:w="0" w:type="dxa"/>
        </w:tblCellMar>
      </w:tblPr>
      <w:tblGrid>
        <w:gridCol w:w="38"/>
        <w:gridCol w:w="56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19.3.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bidi w:val="0"/>
              <w:spacing w:before="174" w:after="0"/>
              <w:ind w:left="0" w:right="0" w:hanging="0"/>
              <w:jc w:val="left"/>
              <w:rPr>
                <w:rFonts w:ascii="Arial" w:hAnsi="Arial"/>
                <w:b/>
                <w:color w:val="000000"/>
                <w:sz w:val="22"/>
              </w:rPr>
            </w:pPr>
            <w:bookmarkStart w:id="255" w:name="Payments133"/>
            <w:bookmarkEnd w:id="255"/>
            <w:r>
              <w:rPr>
                <w:rFonts w:ascii="Arial" w:hAnsi="Arial"/>
                <w:b/>
                <w:color w:val="000000"/>
                <w:sz w:val="22"/>
              </w:rPr>
              <w:t>Payments</w:t>
            </w:r>
          </w:p>
        </w:tc>
      </w:tr>
    </w:tbl>
    <w:p>
      <w:pPr>
        <w:pStyle w:val="TextBody"/>
        <w:bidi w:val="0"/>
        <w:spacing w:lineRule="auto" w:line="264" w:before="82" w:after="0"/>
        <w:ind w:left="3456" w:right="1854" w:hanging="0"/>
        <w:jc w:val="left"/>
        <w:rPr>
          <w:rFonts w:ascii="Arial" w:hAnsi="Arial"/>
          <w:sz w:val="20"/>
        </w:rPr>
      </w:pPr>
      <w:r>
        <w:rPr>
          <w:rFonts w:ascii="Arial" w:hAnsi="Arial"/>
          <w:color w:val="000000"/>
          <w:sz w:val="20"/>
        </w:rPr>
        <w:t>If the Borrower is required under a Transaction Document to pay for or reimburse an expense or outgoing of the Bank or is required to make a payment under an indemnity in relation to an expense or outgoing of the Bank, the amount to be paid by the Borrower is the sum of:</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amount of the expense or outgoing less any input tax credit in relation to that expense or outgoing that the Bank is entitled to;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(b)if the Bank recovery from the Borrower is in relation to a taxable supply, an amount equal to the GST payable by the Bank in relation to that recovery.</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9" w:after="0"/>
        <w:ind w:left="360" w:right="360" w:hanging="0"/>
        <w:jc w:val="left"/>
        <w:rPr>
          <w:rFonts w:cs="Arial"/>
          <w:szCs w:val="20"/>
        </w:rPr>
      </w:pPr>
      <w:r>
        <w:rPr>
          <w:rFonts w:cs="Arial"/>
          <w:color w:val="000000"/>
          <w:szCs w:val="20"/>
        </w:rPr>
        <w:t>﻿</w:t>
      </w:r>
      <w:r>
        <w:rPr>
          <w:rFonts w:cs="Arial"/>
          <w:szCs w:val="20"/>
        </w:rPr>
        <w:t xml:space="preserve"> </w:t>
      </w:r>
    </w:p>
    <w:tbl>
      <w:tblPr>
        <w:tblW w:w="2741" w:type="dxa"/>
        <w:jc w:val="left"/>
        <w:tblInd w:w="360" w:type="dxa"/>
        <w:tblLayout w:type="fixed"/>
        <w:tblCellMar>
          <w:top w:w="0" w:type="dxa"/>
          <w:left w:w="0" w:type="dxa"/>
          <w:bottom w:w="0" w:type="dxa"/>
          <w:right w:w="0" w:type="dxa"/>
        </w:tblCellMar>
      </w:tblPr>
      <w:tblGrid>
        <w:gridCol w:w="38"/>
        <w:gridCol w:w="530"/>
        <w:gridCol w:w="23"/>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20. </w:t>
            </w:r>
          </w:p>
        </w:tc>
        <w:tc>
          <w:tcPr>
            <w:tcW w:w="23" w:type="dxa"/>
            <w:tcBorders/>
            <w:vAlign w:val="center"/>
          </w:tcPr>
          <w:p>
            <w:pPr>
              <w:pStyle w:val="TableContents"/>
              <w:bidi w:val="0"/>
              <w:spacing w:before="0" w:after="283"/>
              <w:jc w:val="left"/>
              <w:rPr>
                <w:sz w:val="4"/>
                <w:szCs w:val="4"/>
              </w:rPr>
            </w:pPr>
            <w:r>
              <w:rPr>
                <w:sz w:val="4"/>
                <w:szCs w:val="4"/>
              </w:rPr>
            </w:r>
          </w:p>
        </w:tc>
        <w:tc>
          <w:tcPr>
            <w:tcW w:w="2150" w:type="dxa"/>
            <w:tcBorders/>
          </w:tcPr>
          <w:p>
            <w:pPr>
              <w:pStyle w:val="TableContents"/>
              <w:bidi w:val="0"/>
              <w:spacing w:before="0" w:after="0"/>
              <w:ind w:left="0" w:right="0" w:hanging="0"/>
              <w:jc w:val="left"/>
              <w:rPr>
                <w:rFonts w:ascii="Arial" w:hAnsi="Arial"/>
                <w:color w:val="000000"/>
                <w:sz w:val="30"/>
              </w:rPr>
            </w:pPr>
            <w:bookmarkStart w:id="256" w:name="Increased_costs14"/>
            <w:bookmarkEnd w:id="256"/>
            <w:r>
              <w:rPr>
                <w:rFonts w:ascii="Arial" w:hAnsi="Arial"/>
                <w:color w:val="000000"/>
                <w:sz w:val="30"/>
              </w:rPr>
              <w:t>Increased costs</w:t>
            </w:r>
          </w:p>
        </w:tc>
      </w:tr>
    </w:tbl>
    <w:p>
      <w:pPr>
        <w:pStyle w:val="TextBody"/>
        <w:bidi w:val="0"/>
        <w:spacing w:before="82" w:after="0"/>
        <w:ind w:left="3456" w:right="360" w:hanging="0"/>
        <w:jc w:val="left"/>
        <w:rPr>
          <w:rFonts w:ascii="Arial" w:hAnsi="Arial"/>
          <w:sz w:val="20"/>
        </w:rPr>
      </w:pPr>
      <w:r>
        <w:rPr>
          <w:rFonts w:ascii="Arial" w:hAnsi="Arial"/>
          <w:color w:val="000000"/>
          <w:sz w:val="20"/>
        </w:rPr>
        <w:t>If the Bank determines that: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cost to it of providing, funding or maintaining the Facility is increased;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(b)an amount payable to the Bank or the effective return to the Bank under a Transaction Document is reduced;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effective return to the Bank under any Transaction Document as a proportion of the capital of the Bank is reduced;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(d)the Bank must make a payment or forego any interest or other return calculated by reference to any amount received or receivable by it from any Transaction Party under a Transaction Document,</w:t>
      </w:r>
      <w:r>
        <w:rPr>
          <w:rFonts w:ascii="Arial" w:hAnsi="Arial"/>
          <w:sz w:val="20"/>
        </w:rPr>
        <w:t xml:space="preserve"> </w:t>
      </w:r>
    </w:p>
    <w:p>
      <w:pPr>
        <w:pStyle w:val="TextBody"/>
        <w:bidi w:val="0"/>
        <w:spacing w:before="111" w:after="0"/>
        <w:ind w:left="3456" w:right="360" w:hanging="0"/>
        <w:jc w:val="left"/>
        <w:rPr>
          <w:rFonts w:ascii="Arial" w:hAnsi="Arial"/>
          <w:sz w:val="20"/>
        </w:rPr>
      </w:pPr>
      <w:r>
        <w:rPr>
          <w:rFonts w:ascii="Arial" w:hAnsi="Arial"/>
          <w:color w:val="000000"/>
          <w:sz w:val="20"/>
        </w:rPr>
        <w:t>because of:</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(e)any law, regulation or Government Body directive or request (whether or not having the force of law) introduced or made after the date of this document, including those relating to taxation, capital adequacy or reserve requirements or banking or monetary controls;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(f)any change in the interpretation or application of any of them,</w:t>
      </w:r>
      <w:r>
        <w:rPr>
          <w:rFonts w:ascii="Arial" w:hAnsi="Arial"/>
          <w:sz w:val="20"/>
        </w:rPr>
        <w:t xml:space="preserve"> </w:t>
      </w:r>
    </w:p>
    <w:p>
      <w:pPr>
        <w:pStyle w:val="TextBody"/>
        <w:pBdr/>
        <w:bidi w:val="0"/>
        <w:spacing w:lineRule="auto" w:line="264" w:before="135" w:after="0"/>
        <w:ind w:left="3456" w:right="1854" w:hanging="0"/>
        <w:jc w:val="left"/>
        <w:rPr>
          <w:rFonts w:ascii="Arial" w:hAnsi="Arial"/>
          <w:sz w:val="20"/>
        </w:rPr>
      </w:pPr>
      <w:r>
        <w:rPr>
          <w:rFonts w:ascii="Arial" w:hAnsi="Arial"/>
          <w:color w:val="000000"/>
          <w:sz w:val="20"/>
        </w:rPr>
        <w:t>the Borrower must, within two Business Days after a demand by the Bank, pay to the Bank the amount which, in the Bank reasonable opinion, will</w:t>
      </w:r>
      <w:r>
        <w:rPr>
          <w:rFonts w:ascii="Arial" w:hAnsi="Arial"/>
          <w:sz w:val="20"/>
        </w:rPr>
        <w:t xml:space="preserve"> </w:t>
      </w:r>
    </w:p>
    <w:p>
      <w:pPr>
        <w:pStyle w:val="TextBody"/>
        <w:pBdr/>
        <w:bidi w:val="0"/>
        <w:spacing w:lineRule="auto" w:line="264" w:before="0" w:after="0"/>
        <w:ind w:left="3456" w:right="1854" w:hanging="0"/>
        <w:jc w:val="left"/>
        <w:rPr>
          <w:rFonts w:ascii="Arial" w:hAnsi="Arial"/>
          <w:sz w:val="20"/>
        </w:rPr>
      </w:pPr>
      <w:r>
        <w:rPr>
          <w:rFonts w:ascii="Arial" w:hAnsi="Arial"/>
          <w:color w:val="000000"/>
          <w:sz w:val="20"/>
        </w:rPr>
        <w:t>compensate the Bank for the increased cost, reduction, payment or foregone interest or other return.</w:t>
      </w:r>
      <w:r>
        <w:rPr>
          <w:rFonts w:ascii="Arial" w:hAnsi="Arial"/>
          <w:sz w:val="20"/>
        </w:rPr>
        <w:t xml:space="preserve"> </w:t>
      </w:r>
    </w:p>
    <w:p>
      <w:pPr>
        <w:pStyle w:val="TextBody"/>
        <w:pBdr/>
        <w:bidi w:val="0"/>
        <w:spacing w:lineRule="auto" w:line="264"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59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6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1" descr=""/>
                    <pic:cNvPicPr>
                      <a:picLocks noChangeAspect="1" noChangeArrowheads="1"/>
                    </pic:cNvPicPr>
                  </pic:nvPicPr>
                  <pic:blipFill>
                    <a:blip r:embed="rId16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6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2" descr=""/>
                    <pic:cNvPicPr>
                      <a:picLocks noChangeAspect="1" noChangeArrowheads="1"/>
                    </pic:cNvPicPr>
                  </pic:nvPicPr>
                  <pic:blipFill>
                    <a:blip r:embed="rId16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46" w:after="0"/>
        <w:ind w:left="360" w:right="360" w:hanging="0"/>
        <w:jc w:val="left"/>
        <w:rPr>
          <w:rFonts w:cs="Arial"/>
          <w:szCs w:val="30"/>
        </w:rPr>
      </w:pPr>
      <w:r>
        <w:rPr>
          <w:rFonts w:cs="Arial"/>
          <w:szCs w:val="30"/>
        </w:rPr>
        <w:t xml:space="preserve">﻿ </w:t>
      </w:r>
    </w:p>
    <w:tbl>
      <w:tblPr>
        <w:tblW w:w="1691" w:type="dxa"/>
        <w:jc w:val="left"/>
        <w:tblInd w:w="360" w:type="dxa"/>
        <w:tblLayout w:type="fixed"/>
        <w:tblCellMar>
          <w:top w:w="0" w:type="dxa"/>
          <w:left w:w="0" w:type="dxa"/>
          <w:bottom w:w="0" w:type="dxa"/>
          <w:right w:w="0" w:type="dxa"/>
        </w:tblCellMar>
      </w:tblPr>
      <w:tblGrid>
        <w:gridCol w:w="38"/>
        <w:gridCol w:w="530"/>
        <w:gridCol w:w="23"/>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21. </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tcPr>
          <w:p>
            <w:pPr>
              <w:pStyle w:val="TableContents"/>
              <w:bidi w:val="0"/>
              <w:spacing w:before="0" w:after="0"/>
              <w:ind w:left="0" w:right="0" w:hanging="0"/>
              <w:jc w:val="left"/>
              <w:rPr>
                <w:rFonts w:ascii="Arial" w:hAnsi="Arial"/>
                <w:color w:val="000000"/>
                <w:sz w:val="30"/>
              </w:rPr>
            </w:pPr>
            <w:bookmarkStart w:id="257" w:name="Illegality15"/>
            <w:bookmarkStart w:id="258" w:name="_TOC_250049"/>
            <w:bookmarkEnd w:id="257"/>
            <w:bookmarkEnd w:id="258"/>
            <w:r>
              <w:rPr>
                <w:rFonts w:ascii="Arial" w:hAnsi="Arial"/>
                <w:color w:val="000000"/>
                <w:sz w:val="30"/>
              </w:rPr>
              <w:t>Illegality</w:t>
            </w:r>
          </w:p>
        </w:tc>
      </w:tr>
    </w:tbl>
    <w:tbl>
      <w:tblPr>
        <w:tblW w:w="1916" w:type="dxa"/>
        <w:jc w:val="left"/>
        <w:tblInd w:w="360" w:type="dxa"/>
        <w:tblLayout w:type="fixed"/>
        <w:tblCellMar>
          <w:top w:w="0" w:type="dxa"/>
          <w:left w:w="0" w:type="dxa"/>
          <w:bottom w:w="0" w:type="dxa"/>
          <w:right w:w="0" w:type="dxa"/>
        </w:tblCellMar>
      </w:tblPr>
      <w:tblGrid>
        <w:gridCol w:w="38"/>
        <w:gridCol w:w="560"/>
        <w:gridCol w:w="23"/>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21.1. </w:t>
            </w:r>
          </w:p>
        </w:tc>
        <w:tc>
          <w:tcPr>
            <w:tcW w:w="23" w:type="dxa"/>
            <w:tcBorders/>
            <w:vAlign w:val="center"/>
          </w:tcPr>
          <w:p>
            <w:pPr>
              <w:pStyle w:val="TableContents"/>
              <w:bidi w:val="0"/>
              <w:spacing w:before="0" w:after="283"/>
              <w:jc w:val="left"/>
              <w:rPr>
                <w:sz w:val="4"/>
                <w:szCs w:val="4"/>
              </w:rPr>
            </w:pPr>
            <w:r>
              <w:rPr>
                <w:sz w:val="4"/>
                <w:szCs w:val="4"/>
              </w:rPr>
            </w:r>
          </w:p>
        </w:tc>
        <w:tc>
          <w:tcPr>
            <w:tcW w:w="1295" w:type="dxa"/>
            <w:tcBorders/>
          </w:tcPr>
          <w:p>
            <w:pPr>
              <w:pStyle w:val="TableContents"/>
              <w:bidi w:val="0"/>
              <w:spacing w:before="174" w:after="0"/>
              <w:ind w:left="0" w:right="0" w:hanging="0"/>
              <w:jc w:val="left"/>
              <w:rPr>
                <w:rFonts w:ascii="Arial" w:hAnsi="Arial"/>
                <w:b/>
                <w:color w:val="000000"/>
                <w:sz w:val="22"/>
              </w:rPr>
            </w:pPr>
            <w:bookmarkStart w:id="259" w:name="Prepayment151"/>
            <w:bookmarkStart w:id="260" w:name="_TOC_250048"/>
            <w:bookmarkEnd w:id="259"/>
            <w:bookmarkEnd w:id="260"/>
            <w:r>
              <w:rPr>
                <w:rFonts w:ascii="Arial" w:hAnsi="Arial"/>
                <w:b/>
                <w:color w:val="000000"/>
                <w:sz w:val="22"/>
              </w:rPr>
              <w:t>Prepayment</w:t>
            </w:r>
          </w:p>
        </w:tc>
      </w:tr>
    </w:tbl>
    <w:p>
      <w:pPr>
        <w:pStyle w:val="TextBody"/>
        <w:bidi w:val="0"/>
        <w:spacing w:before="88" w:after="0"/>
        <w:ind w:left="3456" w:right="360" w:hanging="0"/>
        <w:jc w:val="left"/>
        <w:rPr>
          <w:rFonts w:ascii="Arial" w:hAnsi="Arial"/>
          <w:sz w:val="20"/>
        </w:rPr>
      </w:pPr>
      <w:r>
        <w:rPr>
          <w:rFonts w:ascii="Arial" w:hAnsi="Arial"/>
          <w:color w:val="000000"/>
          <w:sz w:val="20"/>
        </w:rPr>
        <w:t>If because of any change after the date of this document in: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(a)a law, regulation or a Government Body directive or request which is legally enforceable or compliance with which is in accordance with the practice of responsible Banks in the relevant jurisdiction;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interpretation or application of any of them,</w:t>
      </w:r>
      <w:r>
        <w:rPr>
          <w:rFonts w:ascii="Arial" w:hAnsi="Arial"/>
          <w:sz w:val="20"/>
        </w:rPr>
        <w:t xml:space="preserve"> </w:t>
      </w:r>
    </w:p>
    <w:p>
      <w:pPr>
        <w:pStyle w:val="TextBody"/>
        <w:bidi w:val="0"/>
        <w:spacing w:lineRule="auto" w:line="266" w:before="135" w:after="0"/>
        <w:ind w:left="3456" w:right="1940" w:hanging="0"/>
        <w:jc w:val="left"/>
        <w:rPr>
          <w:rFonts w:ascii="Arial" w:hAnsi="Arial"/>
          <w:sz w:val="20"/>
        </w:rPr>
      </w:pPr>
      <w:r>
        <w:rPr>
          <w:rFonts w:ascii="Arial" w:hAnsi="Arial"/>
          <w:color w:val="000000"/>
          <w:sz w:val="20"/>
        </w:rPr>
        <w:t>the Bank determines that it is or it will become impossible or illegal or contrary to that Government Body directive or request for: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Bank to fund, provide or maintain the Facility or otherwise comply with its obligations under the Transaction Documents;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(d)a person from whom the Bank has raised or proposes to raise money in relation to the Facility to fund, provide or maintain that money,</w:t>
      </w:r>
      <w:r>
        <w:rPr>
          <w:rFonts w:ascii="Arial" w:hAnsi="Arial"/>
          <w:sz w:val="20"/>
        </w:rPr>
        <w:t xml:space="preserve"> </w:t>
      </w:r>
    </w:p>
    <w:p>
      <w:pPr>
        <w:pStyle w:val="TextBody"/>
        <w:bidi w:val="0"/>
        <w:spacing w:lineRule="auto" w:line="264" w:before="109" w:after="0"/>
        <w:ind w:left="3456" w:right="1854" w:hanging="0"/>
        <w:jc w:val="left"/>
        <w:rPr>
          <w:rFonts w:ascii="Arial" w:hAnsi="Arial"/>
          <w:sz w:val="20"/>
        </w:rPr>
      </w:pPr>
      <w:r>
        <w:rPr>
          <w:rFonts w:ascii="Arial" w:hAnsi="Arial"/>
          <w:color w:val="000000"/>
          <w:sz w:val="20"/>
        </w:rPr>
        <w:t>the Borrower must, within five Business Days after receipt of a notice from the Bank to do so, pay the amount referred to in </w:t>
      </w:r>
      <w:r>
        <w:rPr>
          <w:rFonts w:ascii="Arial" w:hAnsi="Arial"/>
          <w:b/>
          <w:color w:val="000000"/>
          <w:sz w:val="20"/>
        </w:rPr>
        <w:t>clause</w:t>
      </w:r>
      <w:r>
        <w:rPr>
          <w:rFonts w:ascii="Arial" w:hAnsi="Arial"/>
          <w:color w:val="000000"/>
          <w:sz w:val="20"/>
        </w:rPr>
        <w:t> </w:t>
      </w:r>
      <w:r>
        <w:rPr>
          <w:rFonts w:ascii="Arial" w:hAnsi="Arial"/>
          <w:b/>
          <w:color w:val="2D97D3"/>
          <w:sz w:val="20"/>
          <w:u w:val="single"/>
        </w:rPr>
        <w:t>10.2(a)(ii)(A)</w:t>
      </w:r>
      <w:r>
        <w:rPr>
          <w:rFonts w:ascii="Arial" w:hAnsi="Arial"/>
          <w:b/>
          <w:strike/>
          <w:color w:val="B5082D"/>
          <w:sz w:val="20"/>
        </w:rPr>
        <w:t>10.2(a)(ii)(A)</w:t>
      </w:r>
      <w:r>
        <w:rPr>
          <w:rFonts w:ascii="Arial" w:hAnsi="Arial"/>
          <w:color w:val="B5082D"/>
          <w:sz w:val="20"/>
        </w:rPr>
        <w:t> </w:t>
      </w:r>
      <w:r>
        <w:rPr>
          <w:rFonts w:ascii="Arial" w:hAnsi="Arial"/>
          <w:color w:val="000000"/>
          <w:sz w:val="20"/>
        </w:rPr>
        <w:t xml:space="preserve">or </w:t>
      </w:r>
      <w:r>
        <w:rPr>
          <w:rFonts w:ascii="Arial" w:hAnsi="Arial"/>
          <w:b/>
          <w:color w:val="2D97D3"/>
          <w:sz w:val="20"/>
          <w:u w:val="single"/>
        </w:rPr>
        <w:t>10.2(a)(ii)(B)</w:t>
      </w:r>
      <w:r>
        <w:rPr>
          <w:rFonts w:ascii="Arial" w:hAnsi="Arial"/>
          <w:b/>
          <w:strike/>
          <w:color w:val="B5082D"/>
          <w:sz w:val="20"/>
        </w:rPr>
        <w:t>10.2(a)(ii)(B)</w:t>
      </w:r>
      <w:r>
        <w:rPr>
          <w:rFonts w:ascii="Arial" w:hAnsi="Arial"/>
          <w:color w:val="B5082D"/>
          <w:sz w:val="20"/>
        </w:rPr>
        <w:t> </w:t>
      </w:r>
      <w:r>
        <w:rPr>
          <w:rFonts w:ascii="Arial" w:hAnsi="Arial"/>
          <w:color w:val="000000"/>
          <w:sz w:val="20"/>
        </w:rPr>
        <w:t>as if that notice were a notice under</w:t>
      </w:r>
      <w:r>
        <w:rPr>
          <w:rFonts w:ascii="Arial" w:hAnsi="Arial"/>
          <w:sz w:val="20"/>
        </w:rPr>
        <w:t xml:space="preserve"> </w:t>
      </w:r>
    </w:p>
    <w:p>
      <w:pPr>
        <w:pStyle w:val="TextBody"/>
        <w:bidi w:val="0"/>
        <w:spacing w:lineRule="atLeast" w:line="227" w:before="0" w:after="0"/>
        <w:ind w:left="3456" w:right="360" w:hanging="0"/>
        <w:jc w:val="left"/>
        <w:rPr>
          <w:rFonts w:ascii="Arial" w:hAnsi="Arial"/>
          <w:b/>
          <w:sz w:val="20"/>
        </w:rPr>
      </w:pPr>
      <w:r>
        <w:rPr>
          <w:rFonts w:ascii="Arial" w:hAnsi="Arial"/>
          <w:b/>
          <w:color w:val="000000"/>
          <w:sz w:val="20"/>
        </w:rPr>
        <w:t>clause </w:t>
      </w:r>
      <w:r>
        <w:rPr>
          <w:rFonts w:ascii="Arial" w:hAnsi="Arial"/>
          <w:b/>
          <w:color w:val="2D97D3"/>
          <w:sz w:val="20"/>
          <w:u w:val="single"/>
        </w:rPr>
        <w:t>10.2(a)(ii)(A)</w:t>
      </w:r>
      <w:r>
        <w:rPr>
          <w:rFonts w:ascii="Arial" w:hAnsi="Arial"/>
          <w:b/>
          <w:strike/>
          <w:color w:val="B5082D"/>
          <w:sz w:val="20"/>
        </w:rPr>
        <w:t>10.2(a)(ii)(A)</w:t>
      </w:r>
      <w:r>
        <w:rPr>
          <w:rFonts w:ascii="Arial" w:hAnsi="Arial"/>
          <w:b/>
          <w:color w:val="B5082D"/>
          <w:sz w:val="20"/>
        </w:rPr>
        <w:t> </w:t>
      </w:r>
      <w:r>
        <w:rPr>
          <w:rFonts w:ascii="Arial" w:hAnsi="Arial"/>
          <w:b w:val="false"/>
          <w:color w:val="000000"/>
          <w:sz w:val="20"/>
        </w:rPr>
        <w:t>or</w:t>
      </w:r>
      <w:r>
        <w:rPr>
          <w:rFonts w:ascii="Arial" w:hAnsi="Arial"/>
          <w:b/>
          <w:color w:val="000000"/>
          <w:sz w:val="20"/>
        </w:rPr>
        <w:t> </w:t>
      </w:r>
      <w:r>
        <w:rPr>
          <w:rFonts w:ascii="Arial" w:hAnsi="Arial"/>
          <w:b/>
          <w:color w:val="2D97D3"/>
          <w:sz w:val="20"/>
          <w:u w:val="single"/>
        </w:rPr>
        <w:t>10.2(a)(ii)(B)</w:t>
      </w:r>
      <w:r>
        <w:rPr>
          <w:rFonts w:ascii="Arial" w:hAnsi="Arial"/>
          <w:b/>
          <w:strike/>
          <w:color w:val="B5082D"/>
          <w:sz w:val="20"/>
        </w:rPr>
        <w:t>10.2(a)(ii)(B)</w:t>
      </w:r>
      <w:r>
        <w:rPr>
          <w:rFonts w:ascii="Arial" w:hAnsi="Arial"/>
          <w:b w:val="false"/>
          <w:color w:val="000000"/>
          <w:sz w:val="20"/>
        </w:rPr>
        <w:t>.</w:t>
      </w:r>
      <w:r>
        <w:rPr>
          <w:rFonts w:ascii="Arial" w:hAnsi="Arial"/>
          <w:b/>
          <w:sz w:val="20"/>
        </w:rPr>
        <w:t xml:space="preserve"> </w:t>
      </w:r>
    </w:p>
    <w:tbl>
      <w:tblPr>
        <w:tblW w:w="2591" w:type="dxa"/>
        <w:jc w:val="left"/>
        <w:tblInd w:w="360" w:type="dxa"/>
        <w:tblLayout w:type="fixed"/>
        <w:tblCellMar>
          <w:top w:w="0" w:type="dxa"/>
          <w:left w:w="0" w:type="dxa"/>
          <w:bottom w:w="0" w:type="dxa"/>
          <w:right w:w="0" w:type="dxa"/>
        </w:tblCellMar>
      </w:tblPr>
      <w:tblGrid>
        <w:gridCol w:w="38"/>
        <w:gridCol w:w="560"/>
        <w:gridCol w:w="23"/>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21.2.</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970" w:type="dxa"/>
            <w:tcBorders/>
          </w:tcPr>
          <w:p>
            <w:pPr>
              <w:pStyle w:val="TableContents"/>
              <w:pBdr/>
              <w:bidi w:val="0"/>
              <w:spacing w:before="174" w:after="0"/>
              <w:ind w:left="0" w:right="0" w:hanging="0"/>
              <w:jc w:val="left"/>
              <w:rPr>
                <w:rFonts w:ascii="Arial" w:hAnsi="Arial"/>
                <w:b/>
                <w:color w:val="000000"/>
                <w:sz w:val="22"/>
              </w:rPr>
            </w:pPr>
            <w:bookmarkStart w:id="261" w:name="Facility_terminated152"/>
            <w:bookmarkStart w:id="262" w:name="_TOC_250047"/>
            <w:bookmarkEnd w:id="261"/>
            <w:bookmarkEnd w:id="262"/>
            <w:r>
              <w:rPr>
                <w:rFonts w:ascii="Arial" w:hAnsi="Arial"/>
                <w:b/>
                <w:color w:val="000000"/>
                <w:sz w:val="22"/>
              </w:rPr>
              <w:t>Facility terminated</w:t>
            </w:r>
          </w:p>
        </w:tc>
      </w:tr>
    </w:tbl>
    <w:tbl>
      <w:tblPr>
        <w:tblW w:w="9485" w:type="dxa"/>
        <w:jc w:val="left"/>
        <w:tblInd w:w="360" w:type="dxa"/>
        <w:tblLayout w:type="fixed"/>
        <w:tblCellMar>
          <w:top w:w="0" w:type="dxa"/>
          <w:left w:w="0" w:type="dxa"/>
          <w:bottom w:w="0" w:type="dxa"/>
          <w:right w:w="0" w:type="dxa"/>
        </w:tblCellMar>
      </w:tblPr>
      <w:tblGrid>
        <w:gridCol w:w="38"/>
        <w:gridCol w:w="512"/>
        <w:gridCol w:w="23"/>
        <w:gridCol w:w="8912"/>
      </w:tblGrid>
      <w:tr>
        <w:trPr/>
        <w:tc>
          <w:tcPr>
            <w:tcW w:w="38" w:type="dxa"/>
            <w:tcBorders/>
            <w:vAlign w:val="center"/>
          </w:tcPr>
          <w:p>
            <w:pPr>
              <w:pStyle w:val="TableContents"/>
              <w:bidi w:val="0"/>
              <w:spacing w:before="0" w:after="283"/>
              <w:jc w:val="left"/>
              <w:rPr>
                <w:sz w:val="4"/>
                <w:szCs w:val="4"/>
              </w:rPr>
            </w:pPr>
            <w:r>
              <w:rPr>
                <w:sz w:val="4"/>
                <w:szCs w:val="4"/>
              </w:rPr>
            </w:r>
          </w:p>
        </w:tc>
        <w:tc>
          <w:tcPr>
            <w:tcW w:w="512" w:type="dxa"/>
            <w:tcBorders/>
          </w:tcPr>
          <w:p>
            <w:pPr>
              <w:pStyle w:val="TableContents"/>
              <w:pBdr/>
              <w:bidi w:val="0"/>
              <w:spacing w:before="174" w:after="0"/>
              <w:ind w:left="0" w:right="0" w:hanging="0"/>
              <w:jc w:val="left"/>
              <w:rPr>
                <w:rFonts w:ascii="Arial" w:hAnsi="Arial"/>
                <w:b/>
                <w:sz w:val="22"/>
              </w:rPr>
            </w:pPr>
            <w:r>
              <w:rPr>
                <w:rFonts w:ascii="Arial" w:hAnsi="Arial"/>
                <w:b/>
                <w:sz w:val="22"/>
              </w:rPr>
              <w:t>21.3.</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912" w:type="dxa"/>
            <w:tcBorders/>
          </w:tcPr>
          <w:p>
            <w:pPr>
              <w:pStyle w:val="TableContents"/>
              <w:pBdr/>
              <w:bidi w:val="0"/>
              <w:spacing w:before="174" w:after="0"/>
              <w:ind w:left="0" w:right="0" w:hanging="0"/>
              <w:jc w:val="left"/>
              <w:rPr>
                <w:rFonts w:ascii="Arial" w:hAnsi="Arial"/>
                <w:b/>
                <w:sz w:val="22"/>
              </w:rPr>
            </w:pPr>
            <w:r>
              <w:rPr>
                <w:rFonts w:ascii="Arial" w:hAnsi="Arial"/>
                <w:b/>
                <w:color w:val="000000"/>
                <w:sz w:val="22"/>
              </w:rPr>
              <w:t xml:space="preserve">The Bank ‘s obligation to make Advances or Drawings under this document terminates on the giving of a notice under clause </w:t>
            </w:r>
            <w:r>
              <w:rPr>
                <w:rFonts w:ascii="Arial" w:hAnsi="Arial"/>
                <w:b/>
                <w:color w:val="2D97D3"/>
                <w:sz w:val="22"/>
                <w:u w:val="single"/>
              </w:rPr>
              <w:t>15.1</w:t>
            </w:r>
            <w:r>
              <w:rPr>
                <w:rFonts w:ascii="Arial" w:hAnsi="Arial"/>
                <w:b/>
                <w:strike/>
                <w:color w:val="B5082D"/>
                <w:sz w:val="22"/>
              </w:rPr>
              <w:t>15.1</w:t>
            </w:r>
            <w:r>
              <w:rPr>
                <w:rFonts w:ascii="Arial" w:hAnsi="Arial"/>
                <w:b/>
                <w:color w:val="000000"/>
                <w:sz w:val="22"/>
              </w:rPr>
              <w:t>.</w:t>
            </w:r>
          </w:p>
        </w:tc>
      </w:tr>
    </w:tbl>
    <w:p>
      <w:pPr>
        <w:pStyle w:val="TextBody"/>
        <w:bidi w:val="0"/>
        <w:spacing w:before="193" w:after="0"/>
        <w:ind w:left="360" w:right="360" w:hanging="0"/>
        <w:jc w:val="left"/>
        <w:rPr>
          <w:rFonts w:cs="Arial"/>
          <w:szCs w:val="30"/>
        </w:rPr>
      </w:pPr>
      <w:r>
        <w:rPr>
          <w:rFonts w:cs="Arial"/>
          <w:color w:val="000000"/>
          <w:szCs w:val="30"/>
        </w:rPr>
        <w:t>﻿</w:t>
      </w:r>
      <w:r>
        <w:rPr>
          <w:rFonts w:cs="Arial"/>
          <w:szCs w:val="30"/>
        </w:rPr>
        <w:t xml:space="preserve"> </w:t>
      </w:r>
    </w:p>
    <w:tbl>
      <w:tblPr>
        <w:tblW w:w="4001" w:type="dxa"/>
        <w:jc w:val="left"/>
        <w:tblInd w:w="360" w:type="dxa"/>
        <w:tblLayout w:type="fixed"/>
        <w:tblCellMar>
          <w:top w:w="0" w:type="dxa"/>
          <w:left w:w="0" w:type="dxa"/>
          <w:bottom w:w="0" w:type="dxa"/>
          <w:right w:w="0" w:type="dxa"/>
        </w:tblCellMar>
      </w:tblPr>
      <w:tblGrid>
        <w:gridCol w:w="38"/>
        <w:gridCol w:w="530"/>
        <w:gridCol w:w="23"/>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22. </w:t>
            </w:r>
          </w:p>
        </w:tc>
        <w:tc>
          <w:tcPr>
            <w:tcW w:w="23" w:type="dxa"/>
            <w:tcBorders/>
            <w:vAlign w:val="center"/>
          </w:tcPr>
          <w:p>
            <w:pPr>
              <w:pStyle w:val="TableContents"/>
              <w:bidi w:val="0"/>
              <w:spacing w:before="0" w:after="283"/>
              <w:jc w:val="left"/>
              <w:rPr>
                <w:sz w:val="4"/>
                <w:szCs w:val="4"/>
              </w:rPr>
            </w:pPr>
            <w:r>
              <w:rPr>
                <w:sz w:val="4"/>
                <w:szCs w:val="4"/>
              </w:rPr>
            </w:r>
          </w:p>
        </w:tc>
        <w:tc>
          <w:tcPr>
            <w:tcW w:w="3410" w:type="dxa"/>
            <w:tcBorders/>
          </w:tcPr>
          <w:p>
            <w:pPr>
              <w:pStyle w:val="TableContents"/>
              <w:bidi w:val="0"/>
              <w:spacing w:before="0" w:after="0"/>
              <w:ind w:left="0" w:right="0" w:hanging="0"/>
              <w:jc w:val="left"/>
              <w:rPr>
                <w:rFonts w:ascii="Arial" w:hAnsi="Arial"/>
                <w:color w:val="000000"/>
                <w:sz w:val="30"/>
              </w:rPr>
            </w:pPr>
            <w:bookmarkStart w:id="263" w:name="Guarantee_and_indemnity16"/>
            <w:bookmarkStart w:id="264" w:name="_TOC_250046"/>
            <w:bookmarkEnd w:id="263"/>
            <w:bookmarkEnd w:id="264"/>
            <w:r>
              <w:rPr>
                <w:rFonts w:ascii="Arial" w:hAnsi="Arial"/>
                <w:color w:val="000000"/>
                <w:sz w:val="30"/>
              </w:rPr>
              <w:t>Guarantee and indemnity</w:t>
            </w:r>
          </w:p>
        </w:tc>
      </w:tr>
    </w:tbl>
    <w:tbl>
      <w:tblPr>
        <w:tblW w:w="1751" w:type="dxa"/>
        <w:jc w:val="left"/>
        <w:tblInd w:w="360" w:type="dxa"/>
        <w:tblLayout w:type="fixed"/>
        <w:tblCellMar>
          <w:top w:w="0" w:type="dxa"/>
          <w:left w:w="0" w:type="dxa"/>
          <w:bottom w:w="0" w:type="dxa"/>
          <w:right w:w="0" w:type="dxa"/>
        </w:tblCellMar>
      </w:tblPr>
      <w:tblGrid>
        <w:gridCol w:w="38"/>
        <w:gridCol w:w="560"/>
        <w:gridCol w:w="23"/>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22.1. </w:t>
            </w:r>
          </w:p>
        </w:tc>
        <w:tc>
          <w:tcPr>
            <w:tcW w:w="23" w:type="dxa"/>
            <w:tcBorders/>
            <w:vAlign w:val="center"/>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174" w:after="0"/>
              <w:ind w:left="0" w:right="0" w:hanging="0"/>
              <w:jc w:val="left"/>
              <w:rPr>
                <w:rFonts w:ascii="Arial" w:hAnsi="Arial"/>
                <w:b/>
                <w:color w:val="000000"/>
                <w:sz w:val="22"/>
              </w:rPr>
            </w:pPr>
            <w:bookmarkStart w:id="265" w:name="Guarantee161"/>
            <w:bookmarkStart w:id="266" w:name="_TOC_250045"/>
            <w:bookmarkEnd w:id="265"/>
            <w:bookmarkEnd w:id="266"/>
            <w:r>
              <w:rPr>
                <w:rFonts w:ascii="Arial" w:hAnsi="Arial"/>
                <w:b/>
                <w:color w:val="000000"/>
                <w:sz w:val="22"/>
              </w:rPr>
              <w:t>Guarantee</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(a)Each Guarantor unconditionally and irrevocably guarantees the payment to the Bank of the Guaranteed Money.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(b)If the Borrower does not pay the Guaranteed Money on time and in accordance with the Transaction Documents, then the Guarantors agree to pay the Guaranteed Money on demand from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(c)A demand may be made at any time and from time to time and whether or not the Bank or the Bank has made demand on the Borrower or any other Transaction Party.</w:t>
      </w:r>
      <w:r>
        <w:rPr>
          <w:rFonts w:ascii="Arial" w:hAnsi="Arial"/>
          <w:sz w:val="20"/>
        </w:rPr>
        <w:t xml:space="preserve"> </w:t>
      </w:r>
    </w:p>
    <w:tbl>
      <w:tblPr>
        <w:tblW w:w="2741" w:type="dxa"/>
        <w:jc w:val="left"/>
        <w:tblInd w:w="360" w:type="dxa"/>
        <w:tblLayout w:type="fixed"/>
        <w:tblCellMar>
          <w:top w:w="0" w:type="dxa"/>
          <w:left w:w="0" w:type="dxa"/>
          <w:bottom w:w="0" w:type="dxa"/>
          <w:right w:w="0" w:type="dxa"/>
        </w:tblCellMar>
      </w:tblPr>
      <w:tblGrid>
        <w:gridCol w:w="38"/>
        <w:gridCol w:w="560"/>
        <w:gridCol w:w="23"/>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22.2. </w:t>
            </w:r>
          </w:p>
        </w:tc>
        <w:tc>
          <w:tcPr>
            <w:tcW w:w="23" w:type="dxa"/>
            <w:tcBorders/>
            <w:vAlign w:val="center"/>
          </w:tcPr>
          <w:p>
            <w:pPr>
              <w:pStyle w:val="TableContents"/>
              <w:bidi w:val="0"/>
              <w:spacing w:before="0" w:after="283"/>
              <w:jc w:val="left"/>
              <w:rPr>
                <w:sz w:val="4"/>
                <w:szCs w:val="4"/>
              </w:rPr>
            </w:pPr>
            <w:r>
              <w:rPr>
                <w:sz w:val="4"/>
                <w:szCs w:val="4"/>
              </w:rPr>
            </w:r>
          </w:p>
        </w:tc>
        <w:tc>
          <w:tcPr>
            <w:tcW w:w="2120" w:type="dxa"/>
            <w:tcBorders/>
          </w:tcPr>
          <w:p>
            <w:pPr>
              <w:pStyle w:val="TableContents"/>
              <w:bidi w:val="0"/>
              <w:spacing w:before="174" w:after="0"/>
              <w:ind w:left="0" w:right="0" w:hanging="0"/>
              <w:jc w:val="left"/>
              <w:rPr>
                <w:rFonts w:ascii="Arial" w:hAnsi="Arial"/>
                <w:b/>
                <w:color w:val="000000"/>
                <w:sz w:val="22"/>
              </w:rPr>
            </w:pPr>
            <w:bookmarkStart w:id="267" w:name="Nature_of_guarantee162"/>
            <w:bookmarkStart w:id="268" w:name="_TOC_250044"/>
            <w:bookmarkEnd w:id="267"/>
            <w:bookmarkEnd w:id="268"/>
            <w:r>
              <w:rPr>
                <w:rFonts w:ascii="Arial" w:hAnsi="Arial"/>
                <w:b/>
                <w:color w:val="000000"/>
                <w:sz w:val="22"/>
              </w:rPr>
              <w:t>Nature of guarantee</w:t>
            </w:r>
          </w:p>
        </w:tc>
      </w:tr>
    </w:tbl>
    <w:p>
      <w:pPr>
        <w:pStyle w:val="TextBody"/>
        <w:bidi w:val="0"/>
        <w:spacing w:lineRule="auto" w:line="264" w:before="107" w:after="0"/>
        <w:ind w:left="3983" w:right="1956" w:hanging="0"/>
        <w:jc w:val="left"/>
        <w:rPr>
          <w:rFonts w:ascii="Arial" w:hAnsi="Arial"/>
          <w:sz w:val="22"/>
        </w:rPr>
      </w:pPr>
      <w:r>
        <w:rPr>
          <w:rFonts w:ascii="Arial" w:hAnsi="Arial"/>
          <w:color w:val="000000"/>
          <w:sz w:val="20"/>
        </w:rPr>
        <w:t>(a)The</w:t>
      </w:r>
      <w:r>
        <w:rPr>
          <w:rFonts w:ascii="Arial" w:hAnsi="Arial"/>
          <w:color w:val="000000"/>
          <w:sz w:val="22"/>
        </w:rPr>
        <w:t> </w:t>
      </w:r>
      <w:r>
        <w:rPr>
          <w:rFonts w:ascii="Arial" w:hAnsi="Arial"/>
          <w:color w:val="000000"/>
          <w:sz w:val="20"/>
        </w:rPr>
        <w:t>guarantee</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16.1</w:t>
      </w:r>
      <w:r>
        <w:rPr>
          <w:rFonts w:ascii="Arial" w:hAnsi="Arial"/>
          <w:b/>
          <w:strike/>
          <w:color w:val="B5082D"/>
          <w:sz w:val="20"/>
        </w:rPr>
        <w:t>16.1</w:t>
      </w:r>
      <w:r>
        <w:rPr>
          <w:rFonts w:ascii="Arial" w:hAnsi="Arial"/>
          <w:color w:val="B5082D"/>
          <w:sz w:val="22"/>
        </w:rPr>
        <w:t> </w:t>
      </w:r>
      <w:r>
        <w:rPr>
          <w:rFonts w:ascii="Arial" w:hAnsi="Arial"/>
          <w:color w:val="000000"/>
          <w:sz w:val="20"/>
        </w:rPr>
        <w:t>is</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continuing</w:t>
      </w:r>
      <w:r>
        <w:rPr>
          <w:rFonts w:ascii="Arial" w:hAnsi="Arial"/>
          <w:color w:val="000000"/>
          <w:sz w:val="22"/>
        </w:rPr>
        <w:t> </w:t>
      </w:r>
      <w:r>
        <w:rPr>
          <w:rFonts w:ascii="Arial" w:hAnsi="Arial"/>
          <w:color w:val="000000"/>
          <w:sz w:val="20"/>
        </w:rPr>
        <w:t>obligation</w:t>
      </w:r>
      <w:r>
        <w:rPr>
          <w:rFonts w:ascii="Arial" w:hAnsi="Arial"/>
          <w:color w:val="000000"/>
          <w:sz w:val="22"/>
        </w:rPr>
        <w:t> </w:t>
      </w:r>
      <w:r>
        <w:rPr>
          <w:rFonts w:ascii="Arial" w:hAnsi="Arial"/>
          <w:color w:val="000000"/>
          <w:sz w:val="20"/>
        </w:rPr>
        <w:t>despite</w:t>
      </w:r>
      <w:r>
        <w:rPr>
          <w:rFonts w:ascii="Arial" w:hAnsi="Arial"/>
          <w:color w:val="000000"/>
          <w:sz w:val="22"/>
        </w:rPr>
        <w:t> </w:t>
      </w:r>
      <w:r>
        <w:rPr>
          <w:rFonts w:ascii="Arial" w:hAnsi="Arial"/>
          <w:color w:val="000000"/>
          <w:sz w:val="20"/>
        </w:rPr>
        <w:t>any intervening</w:t>
      </w:r>
      <w:r>
        <w:rPr>
          <w:rFonts w:ascii="Arial" w:hAnsi="Arial"/>
          <w:color w:val="000000"/>
          <w:sz w:val="22"/>
        </w:rPr>
        <w:t> </w:t>
      </w:r>
      <w:r>
        <w:rPr>
          <w:rFonts w:ascii="Arial" w:hAnsi="Arial"/>
          <w:color w:val="000000"/>
          <w:sz w:val="20"/>
        </w:rPr>
        <w:t>payment,</w:t>
      </w:r>
      <w:r>
        <w:rPr>
          <w:rFonts w:ascii="Arial" w:hAnsi="Arial"/>
          <w:color w:val="000000"/>
          <w:sz w:val="22"/>
        </w:rPr>
        <w:t> </w:t>
      </w:r>
      <w:r>
        <w:rPr>
          <w:rFonts w:ascii="Arial" w:hAnsi="Arial"/>
          <w:color w:val="000000"/>
          <w:sz w:val="20"/>
        </w:rPr>
        <w:t>settlement</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other</w:t>
      </w:r>
      <w:r>
        <w:rPr>
          <w:rFonts w:ascii="Arial" w:hAnsi="Arial"/>
          <w:color w:val="000000"/>
          <w:sz w:val="22"/>
        </w:rPr>
        <w:t> </w:t>
      </w:r>
      <w:r>
        <w:rPr>
          <w:rFonts w:ascii="Arial" w:hAnsi="Arial"/>
          <w:color w:val="000000"/>
          <w:sz w:val="20"/>
        </w:rPr>
        <w:t>thing</w:t>
      </w:r>
      <w:r>
        <w:rPr>
          <w:rFonts w:ascii="Arial" w:hAnsi="Arial"/>
          <w:color w:val="000000"/>
          <w:sz w:val="22"/>
        </w:rPr>
        <w:t> </w:t>
      </w:r>
      <w:r>
        <w:rPr>
          <w:rFonts w:ascii="Arial" w:hAnsi="Arial"/>
          <w:color w:val="000000"/>
          <w:sz w:val="20"/>
        </w:rPr>
        <w:t>and extends</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all of</w:t>
      </w:r>
      <w:r>
        <w:rPr>
          <w:rFonts w:ascii="Arial" w:hAnsi="Arial"/>
          <w:color w:val="000000"/>
          <w:sz w:val="22"/>
        </w:rPr>
        <w:t> </w:t>
      </w:r>
      <w:r>
        <w:rPr>
          <w:rFonts w:ascii="Arial" w:hAnsi="Arial"/>
          <w:color w:val="000000"/>
          <w:sz w:val="20"/>
        </w:rPr>
        <w:t>the Guaranteed Money.</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(b)As between each Guarantor and the Bank (but without affecting the obligations of any other Transaction Party) each Guarantor is liable under this document in relation to the Guaranteed Money as a sole and principal debtor and not as surety.</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65"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3" descr=""/>
                    <pic:cNvPicPr>
                      <a:picLocks noChangeAspect="1" noChangeArrowheads="1"/>
                    </pic:cNvPicPr>
                  </pic:nvPicPr>
                  <pic:blipFill>
                    <a:blip r:embed="rId16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6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4" descr=""/>
                    <pic:cNvPicPr>
                      <a:picLocks noChangeAspect="1" noChangeArrowheads="1"/>
                    </pic:cNvPicPr>
                  </pic:nvPicPr>
                  <pic:blipFill>
                    <a:blip r:embed="rId16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72" w:after="0"/>
        <w:ind w:left="360" w:right="360" w:hanging="0"/>
        <w:jc w:val="left"/>
        <w:rPr>
          <w:rFonts w:cs="Arial"/>
          <w:szCs w:val="22"/>
        </w:rPr>
      </w:pPr>
      <w:r>
        <w:rPr>
          <w:rFonts w:cs="Arial"/>
          <w:szCs w:val="22"/>
        </w:rPr>
        <w:t xml:space="preserve">﻿ </w:t>
      </w:r>
    </w:p>
    <w:tbl>
      <w:tblPr>
        <w:tblW w:w="1691" w:type="dxa"/>
        <w:jc w:val="left"/>
        <w:tblInd w:w="360" w:type="dxa"/>
        <w:tblLayout w:type="fixed"/>
        <w:tblCellMar>
          <w:top w:w="0" w:type="dxa"/>
          <w:left w:w="0" w:type="dxa"/>
          <w:bottom w:w="0" w:type="dxa"/>
          <w:right w:w="0" w:type="dxa"/>
        </w:tblCellMar>
      </w:tblPr>
      <w:tblGrid>
        <w:gridCol w:w="38"/>
        <w:gridCol w:w="56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22.3.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bidi w:val="0"/>
              <w:spacing w:before="174" w:after="0"/>
              <w:ind w:left="0" w:right="0" w:hanging="0"/>
              <w:jc w:val="left"/>
              <w:rPr>
                <w:rFonts w:ascii="Arial" w:hAnsi="Arial"/>
                <w:b/>
                <w:color w:val="000000"/>
                <w:sz w:val="22"/>
              </w:rPr>
            </w:pPr>
            <w:bookmarkStart w:id="269" w:name="Indemnity163"/>
            <w:bookmarkStart w:id="270" w:name="_TOC_250043"/>
            <w:bookmarkEnd w:id="269"/>
            <w:bookmarkEnd w:id="270"/>
            <w:r>
              <w:rPr>
                <w:rFonts w:ascii="Arial" w:hAnsi="Arial"/>
                <w:b/>
                <w:color w:val="000000"/>
                <w:sz w:val="22"/>
              </w:rPr>
              <w:t>Indemnity</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(a)Each Guarantor indemnifies the Bank against any liability or loss arising and any costs it suffers or incurs:</w:t>
      </w:r>
      <w:r>
        <w:rPr>
          <w:rFonts w:ascii="Arial" w:hAnsi="Arial"/>
          <w:sz w:val="20"/>
        </w:rPr>
        <w:t xml:space="preserve"> </w:t>
      </w:r>
    </w:p>
    <w:p>
      <w:pPr>
        <w:pStyle w:val="TextBody"/>
        <w:bidi w:val="0"/>
        <w:spacing w:lineRule="auto" w:line="264" w:before="111" w:after="0"/>
        <w:ind w:left="4540" w:right="1853" w:hanging="0"/>
        <w:jc w:val="left"/>
        <w:rPr>
          <w:rFonts w:ascii="Arial" w:hAnsi="Arial"/>
          <w:sz w:val="20"/>
        </w:rPr>
      </w:pPr>
      <w:r>
        <w:rPr>
          <w:rFonts w:ascii="Arial" w:hAnsi="Arial"/>
          <w:color w:val="000000"/>
          <w:sz w:val="20"/>
        </w:rPr>
        <w:t>(i)if a Transaction Party does not, is not obliged to or is unable to pay the Guaranteed Money in accordance with the Transaction Documents;</w:t>
      </w:r>
      <w:r>
        <w:rPr>
          <w:rFonts w:ascii="Arial" w:hAnsi="Arial"/>
          <w:sz w:val="20"/>
        </w:rPr>
        <w:t xml:space="preserve"> </w:t>
      </w:r>
    </w:p>
    <w:p>
      <w:pPr>
        <w:pStyle w:val="TextBody"/>
        <w:bidi w:val="0"/>
        <w:spacing w:before="115" w:after="0"/>
        <w:ind w:left="4539" w:right="360" w:hanging="0"/>
        <w:jc w:val="left"/>
        <w:rPr>
          <w:rFonts w:ascii="Arial" w:hAnsi="Arial"/>
          <w:sz w:val="22"/>
        </w:rPr>
      </w:pPr>
      <w:r>
        <w:rPr>
          <w:rFonts w:ascii="Arial" w:hAnsi="Arial"/>
          <w:color w:val="000000"/>
          <w:sz w:val="20"/>
        </w:rPr>
        <w:t>(ii)if</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Guarantor</w:t>
      </w:r>
      <w:r>
        <w:rPr>
          <w:rFonts w:ascii="Arial" w:hAnsi="Arial"/>
          <w:color w:val="000000"/>
          <w:sz w:val="22"/>
        </w:rPr>
        <w:t> </w:t>
      </w:r>
      <w:r>
        <w:rPr>
          <w:rFonts w:ascii="Arial" w:hAnsi="Arial"/>
          <w:color w:val="000000"/>
          <w:sz w:val="20"/>
        </w:rPr>
        <w:t>is</w:t>
      </w:r>
      <w:r>
        <w:rPr>
          <w:rFonts w:ascii="Arial" w:hAnsi="Arial"/>
          <w:color w:val="000000"/>
          <w:sz w:val="22"/>
        </w:rPr>
        <w:t> </w:t>
      </w:r>
      <w:r>
        <w:rPr>
          <w:rFonts w:ascii="Arial" w:hAnsi="Arial"/>
          <w:color w:val="000000"/>
          <w:sz w:val="20"/>
        </w:rPr>
        <w:t>not</w:t>
      </w:r>
      <w:r>
        <w:rPr>
          <w:rFonts w:ascii="Arial" w:hAnsi="Arial"/>
          <w:color w:val="000000"/>
          <w:sz w:val="22"/>
        </w:rPr>
        <w:t> </w:t>
      </w:r>
      <w:r>
        <w:rPr>
          <w:rFonts w:ascii="Arial" w:hAnsi="Arial"/>
          <w:color w:val="000000"/>
          <w:sz w:val="20"/>
        </w:rPr>
        <w:t>obliged</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pay</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an</w:t>
      </w:r>
      <w:r>
        <w:rPr>
          <w:rFonts w:ascii="Arial" w:hAnsi="Arial"/>
          <w:color w:val="000000"/>
          <w:sz w:val="22"/>
        </w:rPr>
        <w:t> </w:t>
      </w:r>
      <w:r>
        <w:rPr>
          <w:rFonts w:ascii="Arial" w:hAnsi="Arial"/>
          <w:color w:val="000000"/>
          <w:sz w:val="20"/>
        </w:rPr>
        <w:t>amount</w:t>
      </w:r>
      <w:r>
        <w:rPr>
          <w:rFonts w:ascii="Arial" w:hAnsi="Arial"/>
          <w:color w:val="000000"/>
          <w:sz w:val="22"/>
        </w:rPr>
        <w:t> </w:t>
      </w:r>
      <w:r>
        <w:rPr>
          <w:rFonts w:ascii="Arial" w:hAnsi="Arial"/>
          <w:color w:val="000000"/>
          <w:sz w:val="20"/>
        </w:rPr>
        <w:t>under</w:t>
      </w:r>
      <w:r>
        <w:rPr>
          <w:rFonts w:ascii="Arial" w:hAnsi="Arial"/>
          <w:sz w:val="22"/>
        </w:rPr>
        <w:t xml:space="preserve"> </w:t>
      </w:r>
    </w:p>
    <w:p>
      <w:pPr>
        <w:pStyle w:val="TextBody"/>
        <w:bidi w:val="0"/>
        <w:spacing w:before="22" w:after="0"/>
        <w:ind w:left="4540" w:right="360" w:hanging="0"/>
        <w:jc w:val="left"/>
        <w:rPr>
          <w:rFonts w:ascii="Arial" w:hAnsi="Arial"/>
          <w:b/>
          <w:sz w:val="20"/>
        </w:rPr>
      </w:pPr>
      <w:r>
        <w:rPr>
          <w:rFonts w:ascii="Arial" w:hAnsi="Arial"/>
          <w:b/>
          <w:color w:val="000000"/>
          <w:sz w:val="20"/>
        </w:rPr>
        <w:t>clause </w:t>
      </w:r>
      <w:r>
        <w:rPr>
          <w:rFonts w:ascii="Arial" w:hAnsi="Arial"/>
          <w:b/>
          <w:color w:val="2D97D3"/>
          <w:sz w:val="20"/>
          <w:u w:val="single"/>
        </w:rPr>
        <w:t>16</w:t>
      </w:r>
      <w:r>
        <w:rPr>
          <w:rFonts w:ascii="Arial" w:hAnsi="Arial"/>
          <w:b/>
          <w:strike/>
          <w:color w:val="B5082D"/>
          <w:sz w:val="20"/>
        </w:rPr>
        <w:t>16</w:t>
      </w:r>
      <w:r>
        <w:rPr>
          <w:rFonts w:ascii="Arial" w:hAnsi="Arial"/>
          <w:b w:val="false"/>
          <w:color w:val="000000"/>
          <w:sz w:val="20"/>
        </w:rPr>
        <w:t>;</w:t>
      </w:r>
      <w:r>
        <w:rPr>
          <w:rFonts w:ascii="Arial" w:hAnsi="Arial"/>
          <w:b/>
          <w:sz w:val="20"/>
        </w:rPr>
        <w:t xml:space="preserve"> </w:t>
      </w:r>
    </w:p>
    <w:p>
      <w:pPr>
        <w:pStyle w:val="TextBody"/>
        <w:bidi w:val="0"/>
        <w:spacing w:lineRule="auto" w:line="264" w:before="140" w:after="0"/>
        <w:ind w:left="4540" w:right="1899" w:hanging="0"/>
        <w:jc w:val="left"/>
        <w:rPr>
          <w:rFonts w:ascii="Arial" w:hAnsi="Arial"/>
          <w:sz w:val="20"/>
        </w:rPr>
      </w:pPr>
      <w:r>
        <w:rPr>
          <w:rFonts w:ascii="Arial" w:hAnsi="Arial"/>
          <w:color w:val="000000"/>
          <w:sz w:val="20"/>
        </w:rPr>
        <w:t>(iii)if the Bank is obliged, or agrees, to pay an amount to a trustee in bankruptcy or liquidator (of an insolvent person) in connection with a payment by a Transaction Party under or in connection with a Transaction Document;</w:t>
      </w:r>
      <w:r>
        <w:rPr>
          <w:rFonts w:ascii="Arial" w:hAnsi="Arial"/>
          <w:sz w:val="20"/>
        </w:rPr>
        <w:t xml:space="preserve"> </w:t>
      </w:r>
    </w:p>
    <w:p>
      <w:pPr>
        <w:pStyle w:val="TextBody"/>
        <w:bidi w:val="0"/>
        <w:spacing w:before="116" w:after="0"/>
        <w:ind w:left="4539" w:right="360" w:hanging="0"/>
        <w:jc w:val="left"/>
        <w:rPr>
          <w:rFonts w:ascii="Arial" w:hAnsi="Arial"/>
          <w:sz w:val="22"/>
        </w:rPr>
      </w:pPr>
      <w:r>
        <w:rPr>
          <w:rFonts w:ascii="Arial" w:hAnsi="Arial"/>
          <w:color w:val="000000"/>
          <w:sz w:val="20"/>
        </w:rPr>
        <w:t>(iv)if</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Guarantor</w:t>
      </w:r>
      <w:r>
        <w:rPr>
          <w:rFonts w:ascii="Arial" w:hAnsi="Arial"/>
          <w:color w:val="000000"/>
          <w:sz w:val="22"/>
        </w:rPr>
        <w:t> </w:t>
      </w:r>
      <w:r>
        <w:rPr>
          <w:rFonts w:ascii="Arial" w:hAnsi="Arial"/>
          <w:color w:val="000000"/>
          <w:sz w:val="20"/>
        </w:rPr>
        <w:t>defaults</w:t>
      </w:r>
      <w:r>
        <w:rPr>
          <w:rFonts w:ascii="Arial" w:hAnsi="Arial"/>
          <w:color w:val="000000"/>
          <w:sz w:val="22"/>
        </w:rPr>
        <w:t> </w:t>
      </w:r>
      <w:r>
        <w:rPr>
          <w:rFonts w:ascii="Arial" w:hAnsi="Arial"/>
          <w:color w:val="000000"/>
          <w:sz w:val="20"/>
        </w:rPr>
        <w:t>under</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Guarantee</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16.1</w:t>
      </w:r>
      <w:r>
        <w:rPr>
          <w:rFonts w:ascii="Arial" w:hAnsi="Arial"/>
          <w:b/>
          <w:strike/>
          <w:color w:val="B5082D"/>
          <w:sz w:val="20"/>
        </w:rPr>
        <w:t>16.1</w:t>
      </w:r>
      <w:r>
        <w:rPr>
          <w:rFonts w:ascii="Arial" w:hAnsi="Arial"/>
          <w:color w:val="000000"/>
          <w:sz w:val="20"/>
        </w:rPr>
        <w:t>;</w:t>
      </w:r>
      <w:r>
        <w:rPr>
          <w:rFonts w:ascii="Arial" w:hAnsi="Arial"/>
          <w:color w:val="000000"/>
          <w:sz w:val="22"/>
        </w:rPr>
        <w:t> </w:t>
      </w:r>
      <w:r>
        <w:rPr>
          <w:rFonts w:ascii="Arial" w:hAnsi="Arial"/>
          <w:color w:val="000000"/>
          <w:sz w:val="20"/>
        </w:rPr>
        <w:t>or</w:t>
      </w:r>
      <w:r>
        <w:rPr>
          <w:rFonts w:ascii="Arial" w:hAnsi="Arial"/>
          <w:sz w:val="22"/>
        </w:rPr>
        <w:t xml:space="preserve"> </w:t>
      </w:r>
    </w:p>
    <w:p>
      <w:pPr>
        <w:pStyle w:val="TextBody"/>
        <w:bidi w:val="0"/>
        <w:spacing w:lineRule="auto" w:line="264" w:before="0" w:after="0"/>
        <w:ind w:left="4540" w:right="1999" w:hanging="0"/>
        <w:jc w:val="left"/>
        <w:rPr>
          <w:rFonts w:ascii="Arial" w:hAnsi="Arial"/>
          <w:sz w:val="22"/>
        </w:rPr>
      </w:pPr>
      <w:r>
        <w:rPr>
          <w:rFonts w:ascii="Arial" w:hAnsi="Arial"/>
          <w:color w:val="000000"/>
          <w:sz w:val="20"/>
        </w:rPr>
        <w:t>(v)in</w:t>
      </w:r>
      <w:r>
        <w:rPr>
          <w:rFonts w:ascii="Arial" w:hAnsi="Arial"/>
          <w:color w:val="000000"/>
          <w:sz w:val="22"/>
        </w:rPr>
        <w:t> </w:t>
      </w:r>
      <w:r>
        <w:rPr>
          <w:rFonts w:ascii="Arial" w:hAnsi="Arial"/>
          <w:color w:val="000000"/>
          <w:sz w:val="20"/>
        </w:rPr>
        <w:t>connection</w:t>
      </w:r>
      <w:r>
        <w:rPr>
          <w:rFonts w:ascii="Arial" w:hAnsi="Arial"/>
          <w:color w:val="000000"/>
          <w:sz w:val="22"/>
        </w:rPr>
        <w:t> </w:t>
      </w:r>
      <w:r>
        <w:rPr>
          <w:rFonts w:ascii="Arial" w:hAnsi="Arial"/>
          <w:color w:val="000000"/>
          <w:sz w:val="20"/>
        </w:rPr>
        <w:t>with</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person</w:t>
      </w:r>
      <w:r>
        <w:rPr>
          <w:rFonts w:ascii="Arial" w:hAnsi="Arial"/>
          <w:color w:val="000000"/>
          <w:sz w:val="22"/>
        </w:rPr>
        <w:t> </w:t>
      </w:r>
      <w:r>
        <w:rPr>
          <w:rFonts w:ascii="Arial" w:hAnsi="Arial"/>
          <w:color w:val="000000"/>
          <w:sz w:val="20"/>
        </w:rPr>
        <w:t>exercising,</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not</w:t>
      </w:r>
      <w:r>
        <w:rPr>
          <w:rFonts w:ascii="Arial" w:hAnsi="Arial"/>
          <w:color w:val="000000"/>
          <w:sz w:val="22"/>
        </w:rPr>
        <w:t> </w:t>
      </w:r>
      <w:r>
        <w:rPr>
          <w:rFonts w:ascii="Arial" w:hAnsi="Arial"/>
          <w:color w:val="000000"/>
          <w:sz w:val="20"/>
        </w:rPr>
        <w:t>exercising,</w:t>
      </w:r>
      <w:r>
        <w:rPr>
          <w:rFonts w:ascii="Arial" w:hAnsi="Arial"/>
          <w:color w:val="000000"/>
          <w:sz w:val="22"/>
        </w:rPr>
        <w:t> </w:t>
      </w:r>
      <w:r>
        <w:rPr>
          <w:rFonts w:ascii="Arial" w:hAnsi="Arial"/>
          <w:color w:val="000000"/>
          <w:sz w:val="20"/>
        </w:rPr>
        <w:t xml:space="preserve">rights under the Guarantee in </w:t>
      </w:r>
      <w:r>
        <w:rPr>
          <w:rFonts w:ascii="Arial" w:hAnsi="Arial"/>
          <w:b/>
          <w:color w:val="000000"/>
          <w:sz w:val="20"/>
        </w:rPr>
        <w:t xml:space="preserve">clause </w:t>
      </w:r>
      <w:r>
        <w:rPr>
          <w:rFonts w:ascii="Arial" w:hAnsi="Arial"/>
          <w:b/>
          <w:color w:val="2D97D3"/>
          <w:sz w:val="20"/>
          <w:u w:val="single"/>
        </w:rPr>
        <w:t>16.1</w:t>
      </w:r>
      <w:r>
        <w:rPr>
          <w:rFonts w:ascii="Arial" w:hAnsi="Arial"/>
          <w:b/>
          <w:strike/>
          <w:color w:val="B5082D"/>
          <w:sz w:val="20"/>
        </w:rPr>
        <w:t>16.1</w:t>
      </w:r>
      <w:r>
        <w:rPr>
          <w:rFonts w:ascii="Arial" w:hAnsi="Arial"/>
          <w:color w:val="000000"/>
          <w:sz w:val="20"/>
        </w:rPr>
        <w:t>.</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(b)Each Guarantor agrees to pay amounts due under this indemnity immediately on demand from the Bank.</w:t>
      </w:r>
      <w:r>
        <w:rPr>
          <w:rFonts w:ascii="Arial" w:hAnsi="Arial"/>
          <w:sz w:val="20"/>
        </w:rPr>
        <w:t xml:space="preserve"> </w:t>
      </w:r>
    </w:p>
    <w:tbl>
      <w:tblPr>
        <w:tblW w:w="3116" w:type="dxa"/>
        <w:jc w:val="left"/>
        <w:tblInd w:w="360" w:type="dxa"/>
        <w:tblLayout w:type="fixed"/>
        <w:tblCellMar>
          <w:top w:w="0" w:type="dxa"/>
          <w:left w:w="0" w:type="dxa"/>
          <w:bottom w:w="0" w:type="dxa"/>
          <w:right w:w="0" w:type="dxa"/>
        </w:tblCellMar>
      </w:tblPr>
      <w:tblGrid>
        <w:gridCol w:w="38"/>
        <w:gridCol w:w="560"/>
        <w:gridCol w:w="23"/>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22.4. </w:t>
            </w:r>
          </w:p>
        </w:tc>
        <w:tc>
          <w:tcPr>
            <w:tcW w:w="23" w:type="dxa"/>
            <w:tcBorders/>
            <w:vAlign w:val="center"/>
          </w:tcPr>
          <w:p>
            <w:pPr>
              <w:pStyle w:val="TableContents"/>
              <w:bidi w:val="0"/>
              <w:spacing w:before="0" w:after="283"/>
              <w:jc w:val="left"/>
              <w:rPr>
                <w:sz w:val="4"/>
                <w:szCs w:val="4"/>
              </w:rPr>
            </w:pPr>
            <w:r>
              <w:rPr>
                <w:sz w:val="4"/>
                <w:szCs w:val="4"/>
              </w:rPr>
            </w:r>
          </w:p>
        </w:tc>
        <w:tc>
          <w:tcPr>
            <w:tcW w:w="2495" w:type="dxa"/>
            <w:tcBorders/>
          </w:tcPr>
          <w:p>
            <w:pPr>
              <w:pStyle w:val="TableContents"/>
              <w:bidi w:val="0"/>
              <w:spacing w:before="174" w:after="0"/>
              <w:ind w:left="0" w:right="0" w:hanging="0"/>
              <w:jc w:val="left"/>
              <w:rPr>
                <w:rFonts w:ascii="Arial" w:hAnsi="Arial"/>
                <w:b/>
                <w:color w:val="000000"/>
                <w:sz w:val="22"/>
              </w:rPr>
            </w:pPr>
            <w:bookmarkStart w:id="271" w:name="Reinstatement_of_rights164"/>
            <w:bookmarkStart w:id="272" w:name="_TOC_250042"/>
            <w:bookmarkEnd w:id="271"/>
            <w:bookmarkEnd w:id="272"/>
            <w:r>
              <w:rPr>
                <w:rFonts w:ascii="Arial" w:hAnsi="Arial"/>
                <w:b/>
                <w:color w:val="000000"/>
                <w:sz w:val="22"/>
              </w:rPr>
              <w:t>Reinstatement of rights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(a)Following an Insolvency Event in respect of a Transaction Party, a person may claim that a transaction (including a payment) in connection with this Guarantee or the Guaranteed Money is void or voidable.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(b)If a claim is made and upheld, conceded or comprised:</w:t>
      </w:r>
      <w:r>
        <w:rPr>
          <w:rFonts w:ascii="Arial" w:hAnsi="Arial"/>
          <w:sz w:val="20"/>
        </w:rPr>
        <w:t xml:space="preserve"> </w:t>
      </w:r>
    </w:p>
    <w:p>
      <w:pPr>
        <w:pStyle w:val="TextBody"/>
        <w:bidi w:val="0"/>
        <w:spacing w:lineRule="auto" w:line="264" w:before="0" w:after="0"/>
        <w:ind w:left="4540" w:right="1976" w:hanging="0"/>
        <w:jc w:val="left"/>
        <w:rPr>
          <w:rFonts w:ascii="Arial" w:hAnsi="Arial"/>
          <w:sz w:val="20"/>
        </w:rPr>
      </w:pPr>
      <w:r>
        <w:rPr>
          <w:rFonts w:ascii="Arial" w:hAnsi="Arial"/>
          <w:color w:val="000000"/>
          <w:sz w:val="20"/>
        </w:rPr>
        <w:t>(i)the Bank is immediately entitled as against the Guarantors to the rights in respect of the Guaranteed Money to which it was entitled immediately before the transaction; and</w:t>
      </w:r>
      <w:r>
        <w:rPr>
          <w:rFonts w:ascii="Arial" w:hAnsi="Arial"/>
          <w:sz w:val="20"/>
        </w:rPr>
        <w:t xml:space="preserve"> </w:t>
      </w:r>
    </w:p>
    <w:p>
      <w:pPr>
        <w:pStyle w:val="TextBody"/>
        <w:bidi w:val="0"/>
        <w:spacing w:lineRule="auto" w:line="264" w:before="115" w:after="0"/>
        <w:ind w:left="4540" w:right="2037" w:hanging="0"/>
        <w:jc w:val="left"/>
        <w:rPr>
          <w:rFonts w:ascii="Arial" w:hAnsi="Arial"/>
          <w:sz w:val="20"/>
        </w:rPr>
      </w:pPr>
      <w:r>
        <w:rPr>
          <w:rFonts w:ascii="Arial" w:hAnsi="Arial"/>
          <w:color w:val="000000"/>
          <w:sz w:val="20"/>
        </w:rPr>
        <w:t>(ii)on request from the Bank, each Guarantor agrees to do anything (including signing any document) to restore to the Bank any Security Interest (including this Guarantee) held by it from the Guarantors immediately before the transaction.</w:t>
      </w:r>
      <w:r>
        <w:rPr>
          <w:rFonts w:ascii="Arial" w:hAnsi="Arial"/>
          <w:sz w:val="20"/>
        </w:rPr>
        <w:t xml:space="preserve"> </w:t>
      </w:r>
    </w:p>
    <w:tbl>
      <w:tblPr>
        <w:tblW w:w="4061" w:type="dxa"/>
        <w:jc w:val="left"/>
        <w:tblInd w:w="360" w:type="dxa"/>
        <w:tblLayout w:type="fixed"/>
        <w:tblCellMar>
          <w:top w:w="0" w:type="dxa"/>
          <w:left w:w="0" w:type="dxa"/>
          <w:bottom w:w="0" w:type="dxa"/>
          <w:right w:w="0" w:type="dxa"/>
        </w:tblCellMar>
      </w:tblPr>
      <w:tblGrid>
        <w:gridCol w:w="38"/>
        <w:gridCol w:w="560"/>
        <w:gridCol w:w="23"/>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22.5. </w:t>
            </w:r>
          </w:p>
        </w:tc>
        <w:tc>
          <w:tcPr>
            <w:tcW w:w="23" w:type="dxa"/>
            <w:tcBorders/>
            <w:vAlign w:val="center"/>
          </w:tcPr>
          <w:p>
            <w:pPr>
              <w:pStyle w:val="TableContents"/>
              <w:bidi w:val="0"/>
              <w:spacing w:before="0" w:after="283"/>
              <w:jc w:val="left"/>
              <w:rPr>
                <w:sz w:val="4"/>
                <w:szCs w:val="4"/>
              </w:rPr>
            </w:pPr>
            <w:r>
              <w:rPr>
                <w:sz w:val="4"/>
                <w:szCs w:val="4"/>
              </w:rPr>
            </w:r>
          </w:p>
        </w:tc>
        <w:tc>
          <w:tcPr>
            <w:tcW w:w="3440" w:type="dxa"/>
            <w:tcBorders/>
          </w:tcPr>
          <w:p>
            <w:pPr>
              <w:pStyle w:val="TableContents"/>
              <w:bidi w:val="0"/>
              <w:spacing w:before="174" w:after="0"/>
              <w:ind w:left="0" w:right="0" w:hanging="0"/>
              <w:jc w:val="left"/>
              <w:rPr>
                <w:rFonts w:ascii="Arial" w:hAnsi="Arial"/>
                <w:b/>
                <w:color w:val="000000"/>
                <w:sz w:val="22"/>
              </w:rPr>
            </w:pPr>
            <w:bookmarkStart w:id="273" w:name="Rights_of_the_Bank165"/>
            <w:bookmarkStart w:id="274" w:name="_TOC_250041"/>
            <w:bookmarkEnd w:id="273"/>
            <w:bookmarkEnd w:id="274"/>
            <w:r>
              <w:rPr>
                <w:rFonts w:ascii="Arial" w:hAnsi="Arial"/>
                <w:b/>
                <w:color w:val="000000"/>
                <w:sz w:val="22"/>
              </w:rPr>
              <w:t>Rights of the Bank are protected</w:t>
            </w:r>
          </w:p>
        </w:tc>
      </w:tr>
    </w:tbl>
    <w:p>
      <w:pPr>
        <w:pStyle w:val="TextBody"/>
        <w:bidi w:val="0"/>
        <w:spacing w:lineRule="auto" w:line="264" w:before="90" w:after="0"/>
        <w:ind w:left="3453" w:right="1854" w:hanging="0"/>
        <w:jc w:val="left"/>
        <w:rPr>
          <w:rFonts w:ascii="Arial" w:hAnsi="Arial"/>
          <w:sz w:val="20"/>
        </w:rPr>
      </w:pPr>
      <w:r>
        <w:rPr>
          <w:rFonts w:ascii="Arial" w:hAnsi="Arial"/>
          <w:color w:val="000000"/>
          <w:sz w:val="20"/>
        </w:rPr>
        <w:t>Rights given to the Bank under this Guarantee (and each Guarantor’s liabilities under it) are not affected by any act or omission by the Bank or by anything else that might otherwise affect them under law or otherwise, including:</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fact that it varies or novates any agreement under which the Guaranteed Money is expressed to be owing, such as by increasing the Facility Limit or extending the term;</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fact that it releases any Transaction Party or gives it a concession, such as more time to pay;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fact that a Transaction Party opens an account with it;</w:t>
      </w:r>
      <w:r>
        <w:rPr>
          <w:rFonts w:ascii="Arial" w:hAnsi="Arial"/>
          <w:sz w:val="20"/>
        </w:rPr>
        <w:t xml:space="preserve"> </w:t>
      </w:r>
    </w:p>
    <w:p>
      <w:pPr>
        <w:pStyle w:val="TextBody"/>
        <w:bidi w:val="0"/>
        <w:spacing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67"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5" descr=""/>
                    <pic:cNvPicPr>
                      <a:picLocks noChangeAspect="1" noChangeArrowheads="1"/>
                    </pic:cNvPicPr>
                  </pic:nvPicPr>
                  <pic:blipFill>
                    <a:blip r:embed="rId16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68"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6" descr=""/>
                    <pic:cNvPicPr>
                      <a:picLocks noChangeAspect="1" noChangeArrowheads="1"/>
                    </pic:cNvPicPr>
                  </pic:nvPicPr>
                  <pic:blipFill>
                    <a:blip r:embed="rId16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(d)the fact that it releases, loses the benefit of or does not obtain any Security Interest;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(e)the fact that it does not register any Security Interest which could be registered;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(f)the fact that it releases any person who gives a guarantee or indemnity in  </w:t>
      </w:r>
    </w:p>
    <w:p>
      <w:pPr>
        <w:pStyle w:val="TextBody"/>
        <w:bidi w:val="0"/>
        <w:spacing w:before="111" w:after="0"/>
        <w:ind w:left="3417" w:right="360" w:hanging="0"/>
        <w:jc w:val="left"/>
        <w:rPr>
          <w:rFonts w:ascii="Arial" w:hAnsi="Arial"/>
          <w:sz w:val="20"/>
        </w:rPr>
      </w:pPr>
      <w:r>
        <w:rPr>
          <w:rFonts w:ascii="Arial" w:hAnsi="Arial"/>
          <w:sz w:val="20"/>
        </w:rPr>
        <w:t xml:space="preserve">connection with any Transaction Party’s obligations(including under </w:t>
      </w:r>
    </w:p>
    <w:p>
      <w:pPr>
        <w:pStyle w:val="TextBody"/>
        <w:bidi w:val="0"/>
        <w:spacing w:before="21" w:after="0"/>
        <w:ind w:left="3950" w:right="360" w:hanging="0"/>
        <w:jc w:val="left"/>
        <w:rPr>
          <w:rFonts w:ascii="Arial" w:hAnsi="Arial"/>
          <w:b/>
          <w:sz w:val="20"/>
        </w:rPr>
      </w:pPr>
      <w:r>
        <w:rPr>
          <w:rFonts w:ascii="Arial" w:hAnsi="Arial"/>
          <w:b/>
          <w:sz w:val="20"/>
        </w:rPr>
        <w:t>clause </w:t>
      </w:r>
      <w:r>
        <w:rPr>
          <w:rFonts w:ascii="Arial" w:hAnsi="Arial"/>
          <w:b/>
          <w:color w:val="2D97D3"/>
          <w:sz w:val="20"/>
          <w:u w:val="single"/>
        </w:rPr>
        <w:t>16.13</w:t>
      </w:r>
      <w:r>
        <w:rPr>
          <w:rFonts w:ascii="Arial" w:hAnsi="Arial"/>
          <w:b/>
          <w:strike/>
          <w:color w:val="B5082D"/>
          <w:sz w:val="20"/>
        </w:rPr>
        <w:t>16.13</w:t>
      </w:r>
      <w:r>
        <w:rPr>
          <w:rFonts w:ascii="Arial" w:hAnsi="Arial"/>
          <w:b w:val="false"/>
          <w:sz w:val="20"/>
        </w:rPr>
        <w:t>);</w:t>
      </w:r>
      <w:r>
        <w:rPr>
          <w:rFonts w:ascii="Arial" w:hAnsi="Arial"/>
          <w:b/>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sz w:val="20"/>
        </w:rPr>
        <w:t>(g)the</w:t>
      </w:r>
      <w:r>
        <w:rPr>
          <w:rFonts w:ascii="Arial" w:hAnsi="Arial"/>
          <w:sz w:val="22"/>
        </w:rPr>
        <w:t> </w:t>
      </w:r>
      <w:r>
        <w:rPr>
          <w:rFonts w:ascii="Arial" w:hAnsi="Arial"/>
          <w:sz w:val="20"/>
        </w:rPr>
        <w:t>fact</w:t>
      </w:r>
      <w:r>
        <w:rPr>
          <w:rFonts w:ascii="Arial" w:hAnsi="Arial"/>
          <w:sz w:val="22"/>
        </w:rPr>
        <w:t> </w:t>
      </w:r>
      <w:r>
        <w:rPr>
          <w:rFonts w:ascii="Arial" w:hAnsi="Arial"/>
          <w:sz w:val="20"/>
        </w:rPr>
        <w:t>that</w:t>
      </w:r>
      <w:r>
        <w:rPr>
          <w:rFonts w:ascii="Arial" w:hAnsi="Arial"/>
          <w:sz w:val="22"/>
        </w:rPr>
        <w:t> </w:t>
      </w:r>
      <w:r>
        <w:rPr>
          <w:rFonts w:ascii="Arial" w:hAnsi="Arial"/>
          <w:sz w:val="20"/>
        </w:rPr>
        <w:t>a</w:t>
      </w:r>
      <w:r>
        <w:rPr>
          <w:rFonts w:ascii="Arial" w:hAnsi="Arial"/>
          <w:sz w:val="22"/>
        </w:rPr>
        <w:t> </w:t>
      </w:r>
      <w:r>
        <w:rPr>
          <w:rFonts w:ascii="Arial" w:hAnsi="Arial"/>
          <w:sz w:val="20"/>
        </w:rPr>
        <w:t>person</w:t>
      </w:r>
      <w:r>
        <w:rPr>
          <w:rFonts w:ascii="Arial" w:hAnsi="Arial"/>
          <w:sz w:val="22"/>
        </w:rPr>
        <w:t> </w:t>
      </w:r>
      <w:r>
        <w:rPr>
          <w:rFonts w:ascii="Arial" w:hAnsi="Arial"/>
          <w:sz w:val="20"/>
        </w:rPr>
        <w:t>becomes</w:t>
      </w:r>
      <w:r>
        <w:rPr>
          <w:rFonts w:ascii="Arial" w:hAnsi="Arial"/>
          <w:sz w:val="22"/>
        </w:rPr>
        <w:t> </w:t>
      </w:r>
      <w:r>
        <w:rPr>
          <w:rFonts w:ascii="Arial" w:hAnsi="Arial"/>
          <w:sz w:val="20"/>
        </w:rPr>
        <w:t>a</w:t>
      </w:r>
      <w:r>
        <w:rPr>
          <w:rFonts w:ascii="Arial" w:hAnsi="Arial"/>
          <w:sz w:val="22"/>
        </w:rPr>
        <w:t> </w:t>
      </w:r>
      <w:r>
        <w:rPr>
          <w:rFonts w:ascii="Arial" w:hAnsi="Arial"/>
          <w:sz w:val="20"/>
        </w:rPr>
        <w:t>Guarantor</w:t>
      </w:r>
      <w:r>
        <w:rPr>
          <w:rFonts w:ascii="Arial" w:hAnsi="Arial"/>
          <w:sz w:val="22"/>
        </w:rPr>
        <w:t> </w:t>
      </w:r>
      <w:r>
        <w:rPr>
          <w:rFonts w:ascii="Arial" w:hAnsi="Arial"/>
          <w:sz w:val="20"/>
        </w:rPr>
        <w:t>after</w:t>
      </w:r>
      <w:r>
        <w:rPr>
          <w:rFonts w:ascii="Arial" w:hAnsi="Arial"/>
          <w:sz w:val="22"/>
        </w:rPr>
        <w:t> </w:t>
      </w:r>
      <w:r>
        <w:rPr>
          <w:rFonts w:ascii="Arial" w:hAnsi="Arial"/>
          <w:sz w:val="20"/>
        </w:rPr>
        <w:t>the</w:t>
      </w:r>
      <w:r>
        <w:rPr>
          <w:rFonts w:ascii="Arial" w:hAnsi="Arial"/>
          <w:sz w:val="22"/>
        </w:rPr>
        <w:t> </w:t>
      </w:r>
      <w:r>
        <w:rPr>
          <w:rFonts w:ascii="Arial" w:hAnsi="Arial"/>
          <w:sz w:val="20"/>
        </w:rPr>
        <w:t>date</w:t>
      </w:r>
      <w:r>
        <w:rPr>
          <w:rFonts w:ascii="Arial" w:hAnsi="Arial"/>
          <w:sz w:val="22"/>
        </w:rPr>
        <w:t> </w:t>
      </w:r>
      <w:r>
        <w:rPr>
          <w:rFonts w:ascii="Arial" w:hAnsi="Arial"/>
          <w:sz w:val="20"/>
        </w:rPr>
        <w:t>of</w:t>
      </w:r>
      <w:r>
        <w:rPr>
          <w:rFonts w:ascii="Arial" w:hAnsi="Arial"/>
          <w:sz w:val="22"/>
        </w:rPr>
        <w:t> </w:t>
      </w:r>
      <w:r>
        <w:rPr>
          <w:rFonts w:ascii="Arial" w:hAnsi="Arial"/>
          <w:sz w:val="20"/>
        </w:rPr>
        <w:t xml:space="preserve">this document (including under </w:t>
      </w:r>
      <w:r>
        <w:rPr>
          <w:rFonts w:ascii="Arial" w:hAnsi="Arial"/>
          <w:b/>
          <w:sz w:val="20"/>
        </w:rPr>
        <w:t xml:space="preserve">clause </w:t>
      </w:r>
      <w:r>
        <w:rPr>
          <w:rFonts w:ascii="Arial" w:hAnsi="Arial"/>
          <w:b/>
          <w:color w:val="2D97D3"/>
          <w:sz w:val="20"/>
          <w:u w:val="single"/>
        </w:rPr>
        <w:t>16.14</w:t>
      </w:r>
      <w:r>
        <w:rPr>
          <w:rFonts w:ascii="Arial" w:hAnsi="Arial"/>
          <w:b/>
          <w:strike/>
          <w:color w:val="B5082D"/>
          <w:sz w:val="20"/>
        </w:rPr>
        <w:t>16.14</w:t>
      </w:r>
      <w:r>
        <w:rPr>
          <w:rFonts w:ascii="Arial" w:hAnsi="Arial"/>
          <w:sz w:val="20"/>
        </w:rPr>
        <w:t>);</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(h)the fact the obligations of any person who guarantees any Transaction Party’s obligations (including under this Guarantee) may not be enforceable. </w:t>
      </w:r>
    </w:p>
    <w:p>
      <w:pPr>
        <w:pStyle w:val="TextBody"/>
        <w:pBdr/>
        <w:bidi w:val="0"/>
        <w:spacing w:before="7" w:after="0"/>
        <w:ind w:left="360" w:right="360" w:hanging="0"/>
        <w:jc w:val="left"/>
        <w:rPr>
          <w:rFonts w:cs="Arial"/>
          <w:szCs w:val="2"/>
        </w:rPr>
      </w:pPr>
      <w:r>
        <w:rPr>
          <w:rFonts w:cs="Arial"/>
          <w:szCs w:val="3"/>
        </w:rPr>
        <w:t>﻿</w:t>
      </w:r>
      <w:r>
        <w:rPr>
          <w:rFonts w:cs="Arial"/>
          <w:szCs w:val="2"/>
        </w:rPr>
        <w:t xml:space="preserve"> </w:t>
      </w:r>
    </w:p>
    <w:p>
      <w:pPr>
        <w:pStyle w:val="TextBody"/>
        <w:pBdr/>
        <w:bidi w:val="0"/>
        <w:spacing w:before="22" w:after="0"/>
        <w:ind w:left="3950" w:right="360" w:hanging="0"/>
        <w:jc w:val="left"/>
        <w:rPr>
          <w:rFonts w:cs="Arial"/>
          <w:szCs w:val="20"/>
        </w:rPr>
      </w:pPr>
      <w:r>
        <w:rPr>
          <w:rFonts w:cs="Arial"/>
          <w:szCs w:val="20"/>
        </w:rPr>
        <w:t xml:space="preserve">﻿ </w:t>
      </w:r>
    </w:p>
    <w:p>
      <w:pPr>
        <w:pStyle w:val="TextBody"/>
        <w:bidi w:val="0"/>
        <w:spacing w:lineRule="auto" w:line="264" w:before="107" w:after="0"/>
        <w:ind w:left="3456" w:right="1958" w:hanging="0"/>
        <w:jc w:val="left"/>
        <w:rPr>
          <w:rFonts w:ascii="Arial" w:hAnsi="Arial"/>
          <w:sz w:val="20"/>
        </w:rPr>
      </w:pPr>
      <w:r>
        <w:rPr>
          <w:rFonts w:ascii="Arial" w:hAnsi="Arial"/>
          <w:sz w:val="20"/>
        </w:rPr>
        <w:t xml:space="preserve">the fact that any person who was intended to guarantee any Transaction Party’s obligations does not do so or does not do so effectively;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(j)changes in the membership, name or business of any person; or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(k)the fact that a person who is a co-surety or co-indemnifier for payment of the Guaranteed Money is discharged under an agreement or by operation of law. </w:t>
      </w:r>
    </w:p>
    <w:tbl>
      <w:tblPr>
        <w:tblW w:w="1766" w:type="dxa"/>
        <w:jc w:val="left"/>
        <w:tblInd w:w="360" w:type="dxa"/>
        <w:tblLayout w:type="fixed"/>
        <w:tblCellMar>
          <w:top w:w="0" w:type="dxa"/>
          <w:left w:w="0" w:type="dxa"/>
          <w:bottom w:w="0" w:type="dxa"/>
          <w:right w:w="0" w:type="dxa"/>
        </w:tblCellMar>
      </w:tblPr>
      <w:tblGrid>
        <w:gridCol w:w="38"/>
        <w:gridCol w:w="560"/>
        <w:gridCol w:w="23"/>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22.6. </w:t>
            </w:r>
          </w:p>
        </w:tc>
        <w:tc>
          <w:tcPr>
            <w:tcW w:w="23" w:type="dxa"/>
            <w:tcBorders/>
            <w:vAlign w:val="center"/>
          </w:tcPr>
          <w:p>
            <w:pPr>
              <w:pStyle w:val="TableContents"/>
              <w:bidi w:val="0"/>
              <w:spacing w:before="0" w:after="283"/>
              <w:jc w:val="left"/>
              <w:rPr>
                <w:sz w:val="4"/>
                <w:szCs w:val="4"/>
              </w:rPr>
            </w:pPr>
            <w:r>
              <w:rPr>
                <w:sz w:val="4"/>
                <w:szCs w:val="4"/>
              </w:rPr>
            </w:r>
          </w:p>
        </w:tc>
        <w:tc>
          <w:tcPr>
            <w:tcW w:w="1145" w:type="dxa"/>
            <w:tcBorders/>
          </w:tcPr>
          <w:p>
            <w:pPr>
              <w:pStyle w:val="TableContents"/>
              <w:bidi w:val="0"/>
              <w:spacing w:before="174" w:after="0"/>
              <w:ind w:left="0" w:right="0" w:hanging="0"/>
              <w:jc w:val="left"/>
              <w:rPr>
                <w:rFonts w:ascii="Arial" w:hAnsi="Arial"/>
                <w:b/>
                <w:color w:val="000000"/>
                <w:sz w:val="22"/>
              </w:rPr>
            </w:pPr>
            <w:bookmarkStart w:id="275" w:name="No_merger166"/>
            <w:bookmarkStart w:id="276" w:name="_TOC_250040"/>
            <w:bookmarkEnd w:id="275"/>
            <w:bookmarkEnd w:id="276"/>
            <w:r>
              <w:rPr>
                <w:rFonts w:ascii="Arial" w:hAnsi="Arial"/>
                <w:b/>
                <w:color w:val="000000"/>
                <w:sz w:val="22"/>
              </w:rPr>
              <w:t>No merger</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(a)This Guarantee does not merge with or adversely affect, and is not adversely affected by, any of the following:</w:t>
      </w:r>
      <w:r>
        <w:rPr>
          <w:rFonts w:ascii="Arial" w:hAnsi="Arial"/>
          <w:sz w:val="20"/>
        </w:rPr>
        <w:t xml:space="preserve"> </w:t>
      </w:r>
    </w:p>
    <w:p>
      <w:pPr>
        <w:pStyle w:val="TextBody"/>
        <w:bidi w:val="0"/>
        <w:spacing w:lineRule="auto" w:line="264" w:before="107" w:after="0"/>
        <w:ind w:left="4540" w:right="1977" w:hanging="0"/>
        <w:jc w:val="left"/>
        <w:rPr>
          <w:rFonts w:ascii="Arial" w:hAnsi="Arial"/>
          <w:sz w:val="20"/>
        </w:rPr>
      </w:pPr>
      <w:r>
        <w:rPr>
          <w:rFonts w:ascii="Arial" w:hAnsi="Arial"/>
          <w:color w:val="000000"/>
          <w:sz w:val="20"/>
        </w:rPr>
        <w:t>(i)any other guarantee, indemnity, or Security Interest, or other right or remedy to which the Bank is entitled; or</w:t>
      </w:r>
      <w:r>
        <w:rPr>
          <w:rFonts w:ascii="Arial" w:hAnsi="Arial"/>
          <w:sz w:val="20"/>
        </w:rPr>
        <w:t xml:space="preserve"> </w:t>
      </w:r>
    </w:p>
    <w:p>
      <w:pPr>
        <w:pStyle w:val="TextBody"/>
        <w:bidi w:val="0"/>
        <w:spacing w:lineRule="auto" w:line="264" w:before="111" w:after="0"/>
        <w:ind w:left="4540" w:right="2354" w:hanging="0"/>
        <w:jc w:val="left"/>
        <w:rPr>
          <w:rFonts w:ascii="Arial" w:hAnsi="Arial"/>
          <w:sz w:val="20"/>
        </w:rPr>
      </w:pPr>
      <w:r>
        <w:rPr>
          <w:rFonts w:ascii="Arial" w:hAnsi="Arial"/>
          <w:color w:val="000000"/>
          <w:sz w:val="20"/>
        </w:rPr>
        <w:t>(ii)a judgment which the Bank obtains against the Guarantors in connection with the Guaranteed Money or any other amount payable under this Guarantee.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Bank may still exercise rights under this Guarantee as well as under the judgment, other guarantee, indemnity, Security Interest, or other right or remedy.</w:t>
      </w:r>
      <w:r>
        <w:rPr>
          <w:rFonts w:ascii="Arial" w:hAnsi="Arial"/>
          <w:sz w:val="20"/>
        </w:rPr>
        <w:t xml:space="preserve"> </w:t>
      </w:r>
    </w:p>
    <w:tbl>
      <w:tblPr>
        <w:tblW w:w="4151" w:type="dxa"/>
        <w:jc w:val="left"/>
        <w:tblInd w:w="360" w:type="dxa"/>
        <w:tblLayout w:type="fixed"/>
        <w:tblCellMar>
          <w:top w:w="0" w:type="dxa"/>
          <w:left w:w="0" w:type="dxa"/>
          <w:bottom w:w="0" w:type="dxa"/>
          <w:right w:w="0" w:type="dxa"/>
        </w:tblCellMar>
      </w:tblPr>
      <w:tblGrid>
        <w:gridCol w:w="38"/>
        <w:gridCol w:w="560"/>
        <w:gridCol w:w="23"/>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22.7. </w:t>
            </w:r>
          </w:p>
        </w:tc>
        <w:tc>
          <w:tcPr>
            <w:tcW w:w="23" w:type="dxa"/>
            <w:tcBorders/>
            <w:vAlign w:val="center"/>
          </w:tcPr>
          <w:p>
            <w:pPr>
              <w:pStyle w:val="TableContents"/>
              <w:bidi w:val="0"/>
              <w:spacing w:before="0" w:after="283"/>
              <w:jc w:val="left"/>
              <w:rPr>
                <w:sz w:val="4"/>
                <w:szCs w:val="4"/>
              </w:rPr>
            </w:pPr>
            <w:r>
              <w:rPr>
                <w:sz w:val="4"/>
                <w:szCs w:val="4"/>
              </w:rPr>
            </w:r>
          </w:p>
        </w:tc>
        <w:tc>
          <w:tcPr>
            <w:tcW w:w="3530" w:type="dxa"/>
            <w:tcBorders/>
          </w:tcPr>
          <w:p>
            <w:pPr>
              <w:pStyle w:val="TableContents"/>
              <w:bidi w:val="0"/>
              <w:spacing w:before="174" w:after="0"/>
              <w:ind w:left="0" w:right="0" w:hanging="0"/>
              <w:jc w:val="left"/>
              <w:rPr>
                <w:rFonts w:ascii="Arial" w:hAnsi="Arial"/>
                <w:b/>
                <w:color w:val="000000"/>
                <w:sz w:val="22"/>
              </w:rPr>
            </w:pPr>
            <w:bookmarkStart w:id="277" w:name="Extent_of_Guarantors_obligations167"/>
            <w:bookmarkEnd w:id="277"/>
            <w:r>
              <w:rPr>
                <w:rFonts w:ascii="Arial" w:hAnsi="Arial"/>
                <w:b/>
                <w:color w:val="000000"/>
                <w:sz w:val="22"/>
              </w:rPr>
              <w:t>Extent of Guarantor’s obligations</w:t>
            </w:r>
          </w:p>
        </w:tc>
      </w:tr>
    </w:tbl>
    <w:p>
      <w:pPr>
        <w:pStyle w:val="TextBody"/>
        <w:pBdr/>
        <w:bidi w:val="0"/>
        <w:spacing w:before="10" w:after="0"/>
        <w:ind w:left="360" w:right="360" w:hanging="0"/>
        <w:jc w:val="left"/>
        <w:rPr>
          <w:rFonts w:cs="Arial"/>
          <w:szCs w:val="8"/>
        </w:rPr>
      </w:pPr>
      <w:r>
        <w:rPr>
          <w:rFonts w:cs="Arial"/>
          <w:bCs/>
          <w:color w:val="000000"/>
          <w:szCs w:val="8"/>
        </w:rPr>
        <w:t>﻿</w:t>
      </w:r>
      <w:r>
        <w:rPr>
          <w:rFonts w:cs="Arial"/>
          <w:szCs w:val="8"/>
        </w:rPr>
        <w:t xml:space="preserve"> </w:t>
      </w:r>
    </w:p>
    <w:p>
      <w:pPr>
        <w:pStyle w:val="TextBody"/>
        <w:pBdr/>
        <w:bidi w:val="0"/>
        <w:spacing w:before="28" w:after="0"/>
        <w:ind w:left="3456" w:right="360" w:hanging="0"/>
        <w:jc w:val="left"/>
        <w:rPr>
          <w:rFonts w:ascii="Arial" w:hAnsi="Arial"/>
          <w:sz w:val="20"/>
        </w:rPr>
      </w:pPr>
      <w:r>
        <w:rPr>
          <w:rFonts w:ascii="Arial" w:hAnsi="Arial"/>
          <w:color w:val="000000"/>
          <w:sz w:val="20"/>
        </w:rPr>
        <w:t>If more than one person is named as “Guarantor” each of them is liable for all the obligations under this Guarantee both individually and jointly with any one or more other persons named as “Guarantor”.</w:t>
      </w:r>
      <w:r>
        <w:rPr>
          <w:rFonts w:ascii="Arial" w:hAnsi="Arial"/>
          <w:sz w:val="20"/>
        </w:rPr>
        <w:t xml:space="preserve"> </w:t>
      </w:r>
    </w:p>
    <w:p>
      <w:pPr>
        <w:pStyle w:val="TextBody"/>
        <w:pBdr/>
        <w:bidi w:val="0"/>
        <w:spacing w:before="7" w:after="0"/>
        <w:ind w:left="360" w:right="360" w:hanging="0"/>
        <w:jc w:val="left"/>
        <w:rPr>
          <w:rFonts w:cs="Arial"/>
          <w:szCs w:val="2"/>
        </w:rPr>
      </w:pPr>
      <w:r>
        <w:rPr>
          <w:rFonts w:cs="Arial"/>
          <w:color w:val="000000"/>
          <w:szCs w:val="3"/>
        </w:rPr>
        <w:t>﻿</w:t>
      </w:r>
      <w:r>
        <w:rPr>
          <w:rFonts w:cs="Arial"/>
          <w:szCs w:val="2"/>
        </w:rPr>
        <w:t xml:space="preserve"> </w:t>
      </w:r>
    </w:p>
    <w:tbl>
      <w:tblPr>
        <w:tblW w:w="4196" w:type="dxa"/>
        <w:jc w:val="left"/>
        <w:tblInd w:w="360" w:type="dxa"/>
        <w:tblLayout w:type="fixed"/>
        <w:tblCellMar>
          <w:top w:w="0" w:type="dxa"/>
          <w:left w:w="0" w:type="dxa"/>
          <w:bottom w:w="0" w:type="dxa"/>
          <w:right w:w="0" w:type="dxa"/>
        </w:tblCellMar>
      </w:tblPr>
      <w:tblGrid>
        <w:gridCol w:w="38"/>
        <w:gridCol w:w="560"/>
        <w:gridCol w:w="23"/>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22.8. </w:t>
            </w:r>
          </w:p>
        </w:tc>
        <w:tc>
          <w:tcPr>
            <w:tcW w:w="23" w:type="dxa"/>
            <w:tcBorders/>
            <w:vAlign w:val="center"/>
          </w:tcPr>
          <w:p>
            <w:pPr>
              <w:pStyle w:val="TableContents"/>
              <w:bidi w:val="0"/>
              <w:spacing w:before="0" w:after="283"/>
              <w:jc w:val="left"/>
              <w:rPr>
                <w:sz w:val="4"/>
                <w:szCs w:val="4"/>
              </w:rPr>
            </w:pPr>
            <w:r>
              <w:rPr>
                <w:sz w:val="4"/>
                <w:szCs w:val="4"/>
              </w:rPr>
            </w:r>
          </w:p>
        </w:tc>
        <w:tc>
          <w:tcPr>
            <w:tcW w:w="3575" w:type="dxa"/>
            <w:tcBorders/>
          </w:tcPr>
          <w:p>
            <w:pPr>
              <w:pStyle w:val="TableContents"/>
              <w:bidi w:val="0"/>
              <w:spacing w:before="174" w:after="0"/>
              <w:ind w:left="0" w:right="0" w:hanging="0"/>
              <w:jc w:val="left"/>
              <w:rPr>
                <w:rFonts w:ascii="Arial" w:hAnsi="Arial"/>
                <w:b/>
                <w:color w:val="000000"/>
                <w:sz w:val="22"/>
              </w:rPr>
            </w:pPr>
            <w:bookmarkStart w:id="278" w:name="Guarantors_rights_are_suspended168"/>
            <w:bookmarkEnd w:id="278"/>
            <w:r>
              <w:rPr>
                <w:rFonts w:ascii="Arial" w:hAnsi="Arial"/>
                <w:b/>
                <w:color w:val="000000"/>
                <w:sz w:val="22"/>
              </w:rPr>
              <w:t>Guarantor’s rights are suspended</w:t>
            </w:r>
          </w:p>
        </w:tc>
      </w:tr>
    </w:tbl>
    <w:p>
      <w:pPr>
        <w:pStyle w:val="TextBody"/>
        <w:bidi w:val="0"/>
        <w:spacing w:lineRule="auto" w:line="266" w:before="85" w:after="0"/>
        <w:ind w:left="3456" w:right="1854" w:hanging="0"/>
        <w:jc w:val="left"/>
        <w:rPr>
          <w:rFonts w:ascii="Arial" w:hAnsi="Arial"/>
          <w:sz w:val="20"/>
        </w:rPr>
      </w:pPr>
      <w:r>
        <w:rPr>
          <w:rFonts w:ascii="Arial" w:hAnsi="Arial"/>
          <w:color w:val="000000"/>
          <w:sz w:val="20"/>
        </w:rPr>
        <w:t>As long as any of the Guaranteed Money remains unpaid, the Guarantor may not, without the Bank consent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(a)reduce its liability under this Guarantee by claiming that it or any other Transaction Party or any other person has a right of set-off or counterclaim against the Bank;</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69"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7" descr=""/>
                    <pic:cNvPicPr>
                      <a:picLocks noChangeAspect="1" noChangeArrowheads="1"/>
                    </pic:cNvPicPr>
                  </pic:nvPicPr>
                  <pic:blipFill>
                    <a:blip r:embed="rId16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7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8" descr=""/>
                    <pic:cNvPicPr>
                      <a:picLocks noChangeAspect="1" noChangeArrowheads="1"/>
                    </pic:cNvPicPr>
                  </pic:nvPicPr>
                  <pic:blipFill>
                    <a:blip r:embed="rId17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(b)exercise any legal right to claim to be entitled to the benefit of another guarantee, indemnity, or Security Interest given in connection with the Guaranteed Money or any other amount payable under this Guarantee;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(c)claim an amount from another Transaction Party, or another guarantor of the Guaranteed Money (including a person who has signed this document as a “Guarantor”), under a right of indemnity in respect of this guarantee; or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(d)claim an amount in the insolvency of a Transaction Party or of another guarantor of the Guaranteed Money (including a person who has signed this document as a “Guarantor”). </w:t>
      </w:r>
    </w:p>
    <w:tbl>
      <w:tblPr>
        <w:tblW w:w="4136" w:type="dxa"/>
        <w:jc w:val="left"/>
        <w:tblInd w:w="360" w:type="dxa"/>
        <w:tblLayout w:type="fixed"/>
        <w:tblCellMar>
          <w:top w:w="0" w:type="dxa"/>
          <w:left w:w="0" w:type="dxa"/>
          <w:bottom w:w="0" w:type="dxa"/>
          <w:right w:w="0" w:type="dxa"/>
        </w:tblCellMar>
      </w:tblPr>
      <w:tblGrid>
        <w:gridCol w:w="38"/>
        <w:gridCol w:w="560"/>
        <w:gridCol w:w="23"/>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22.9. </w:t>
            </w:r>
          </w:p>
        </w:tc>
        <w:tc>
          <w:tcPr>
            <w:tcW w:w="23" w:type="dxa"/>
            <w:tcBorders/>
            <w:vAlign w:val="center"/>
          </w:tcPr>
          <w:p>
            <w:pPr>
              <w:pStyle w:val="TableContents"/>
              <w:bidi w:val="0"/>
              <w:spacing w:before="0" w:after="283"/>
              <w:jc w:val="left"/>
              <w:rPr>
                <w:sz w:val="4"/>
                <w:szCs w:val="4"/>
              </w:rPr>
            </w:pPr>
            <w:r>
              <w:rPr>
                <w:sz w:val="4"/>
                <w:szCs w:val="4"/>
              </w:rPr>
            </w:r>
          </w:p>
        </w:tc>
        <w:tc>
          <w:tcPr>
            <w:tcW w:w="3515" w:type="dxa"/>
            <w:tcBorders/>
          </w:tcPr>
          <w:p>
            <w:pPr>
              <w:pStyle w:val="TableContents"/>
              <w:bidi w:val="0"/>
              <w:spacing w:before="174" w:after="0"/>
              <w:ind w:left="0" w:right="0" w:hanging="0"/>
              <w:jc w:val="left"/>
              <w:rPr>
                <w:rFonts w:ascii="Arial" w:hAnsi="Arial"/>
                <w:b/>
                <w:color w:val="000000"/>
                <w:sz w:val="22"/>
              </w:rPr>
            </w:pPr>
            <w:bookmarkStart w:id="279" w:name="Guarantors_right_of_proof_limited169"/>
            <w:bookmarkEnd w:id="279"/>
            <w:r>
              <w:rPr>
                <w:rFonts w:ascii="Arial" w:hAnsi="Arial"/>
                <w:b/>
                <w:color w:val="000000"/>
                <w:sz w:val="22"/>
              </w:rPr>
              <w:t>Guarantor’s right of proof limited</w:t>
            </w:r>
          </w:p>
        </w:tc>
      </w:tr>
    </w:tbl>
    <w:p>
      <w:pPr>
        <w:pStyle w:val="TextBody"/>
        <w:bidi w:val="0"/>
        <w:spacing w:lineRule="auto" w:line="264" w:before="84" w:after="0"/>
        <w:ind w:left="3456" w:right="2158" w:hanging="0"/>
        <w:jc w:val="both"/>
        <w:rPr>
          <w:rFonts w:ascii="Arial" w:hAnsi="Arial"/>
          <w:sz w:val="20"/>
        </w:rPr>
      </w:pPr>
      <w:r>
        <w:rPr>
          <w:rFonts w:ascii="Arial" w:hAnsi="Arial"/>
          <w:color w:val="000000"/>
          <w:sz w:val="20"/>
        </w:rPr>
        <w:t>Each Guarantor agrees not to exercise a right of proof after an event occurs relating to the insolvency of a Transaction Party or another guarantor of the Guaranteed Money (including a person who has signed this document as a</w:t>
      </w:r>
      <w:r>
        <w:rPr>
          <w:rFonts w:ascii="Arial" w:hAnsi="Arial"/>
          <w:sz w:val="20"/>
        </w:rPr>
        <w:t xml:space="preserve"> </w:t>
      </w:r>
    </w:p>
    <w:p>
      <w:pPr>
        <w:pStyle w:val="TextBody"/>
        <w:bidi w:val="0"/>
        <w:spacing w:lineRule="atLeast" w:line="227" w:before="0" w:after="0"/>
        <w:ind w:left="2869" w:right="360" w:firstLine="586"/>
        <w:jc w:val="both"/>
        <w:rPr/>
      </w:pPr>
      <w:r>
        <w:rPr>
          <w:color w:val="000000"/>
        </w:rPr>
        <w:t>“</w:t>
      </w:r>
      <w:r>
        <w:rPr>
          <w:rFonts w:ascii="Arial" w:hAnsi="Arial"/>
          <w:b w:val="false"/>
          <w:color w:val="000000"/>
          <w:sz w:val="20"/>
        </w:rPr>
        <w:t>Guarantor”) independently of an attorney appointed under</w:t>
      </w:r>
      <w:r>
        <w:rPr>
          <w:rFonts w:ascii="Arial" w:hAnsi="Arial"/>
          <w:b/>
          <w:color w:val="000000"/>
          <w:sz w:val="20"/>
        </w:rPr>
        <w:t>clause </w:t>
      </w:r>
      <w:r>
        <w:rPr>
          <w:rFonts w:ascii="Arial" w:hAnsi="Arial"/>
          <w:b/>
          <w:color w:val="2D97D3"/>
          <w:sz w:val="20"/>
          <w:u w:val="single"/>
        </w:rPr>
        <w:t>16.12</w:t>
      </w:r>
      <w:r>
        <w:rPr>
          <w:rFonts w:ascii="Arial" w:hAnsi="Arial"/>
          <w:b/>
          <w:strike/>
          <w:color w:val="B5082D"/>
          <w:sz w:val="20"/>
        </w:rPr>
        <w:t>16.12</w:t>
      </w:r>
      <w:r>
        <w:rPr>
          <w:rFonts w:ascii="Arial" w:hAnsi="Arial"/>
          <w:b w:val="false"/>
          <w:color w:val="000000"/>
          <w:sz w:val="20"/>
        </w:rPr>
        <w:t>.</w:t>
      </w:r>
      <w:r>
        <w:rPr>
          <w:rFonts w:ascii="Arial" w:hAnsi="Arial"/>
          <w:b/>
          <w:sz w:val="20"/>
        </w:rPr>
        <w:t xml:space="preserve"> </w:t>
      </w:r>
    </w:p>
    <w:tbl>
      <w:tblPr>
        <w:tblW w:w="3746" w:type="dxa"/>
        <w:jc w:val="left"/>
        <w:tblInd w:w="360" w:type="dxa"/>
        <w:tblLayout w:type="fixed"/>
        <w:tblCellMar>
          <w:top w:w="0" w:type="dxa"/>
          <w:left w:w="0" w:type="dxa"/>
          <w:bottom w:w="0" w:type="dxa"/>
          <w:right w:w="0" w:type="dxa"/>
        </w:tblCellMar>
      </w:tblPr>
      <w:tblGrid>
        <w:gridCol w:w="38"/>
        <w:gridCol w:w="680"/>
        <w:gridCol w:w="23"/>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22.10. </w:t>
            </w:r>
          </w:p>
        </w:tc>
        <w:tc>
          <w:tcPr>
            <w:tcW w:w="23" w:type="dxa"/>
            <w:tcBorders/>
            <w:vAlign w:val="center"/>
          </w:tcPr>
          <w:p>
            <w:pPr>
              <w:pStyle w:val="TableContents"/>
              <w:bidi w:val="0"/>
              <w:spacing w:before="0" w:after="283"/>
              <w:jc w:val="left"/>
              <w:rPr>
                <w:sz w:val="4"/>
                <w:szCs w:val="4"/>
              </w:rPr>
            </w:pPr>
            <w:r>
              <w:rPr>
                <w:sz w:val="4"/>
                <w:szCs w:val="4"/>
              </w:rPr>
            </w:r>
          </w:p>
        </w:tc>
        <w:tc>
          <w:tcPr>
            <w:tcW w:w="3005" w:type="dxa"/>
            <w:tcBorders/>
          </w:tcPr>
          <w:p>
            <w:pPr>
              <w:pStyle w:val="TableContents"/>
              <w:bidi w:val="0"/>
              <w:spacing w:before="174" w:after="0"/>
              <w:ind w:left="0" w:right="0" w:hanging="0"/>
              <w:jc w:val="left"/>
              <w:rPr>
                <w:rFonts w:ascii="Arial" w:hAnsi="Arial"/>
                <w:b/>
                <w:color w:val="000000"/>
                <w:sz w:val="22"/>
              </w:rPr>
            </w:pPr>
            <w:bookmarkStart w:id="280" w:name="Nosetoff_against_assignees1610"/>
            <w:bookmarkStart w:id="281" w:name="_TOC_250039"/>
            <w:bookmarkEnd w:id="280"/>
            <w:bookmarkEnd w:id="281"/>
            <w:r>
              <w:rPr>
                <w:rFonts w:ascii="Arial" w:hAnsi="Arial"/>
                <w:b/>
                <w:color w:val="000000"/>
                <w:sz w:val="22"/>
              </w:rPr>
              <w:t>No set-off against assignees</w:t>
            </w:r>
          </w:p>
        </w:tc>
      </w:tr>
    </w:tbl>
    <w:p>
      <w:pPr>
        <w:pStyle w:val="TextBody"/>
        <w:bidi w:val="0"/>
        <w:spacing w:lineRule="auto" w:line="264" w:before="88" w:after="0"/>
        <w:ind w:left="3456" w:right="1854" w:hanging="0"/>
        <w:jc w:val="left"/>
        <w:rPr>
          <w:rFonts w:ascii="Arial" w:hAnsi="Arial"/>
          <w:sz w:val="20"/>
        </w:rPr>
      </w:pPr>
      <w:r>
        <w:rPr>
          <w:rFonts w:ascii="Arial" w:hAnsi="Arial"/>
          <w:color w:val="000000"/>
          <w:sz w:val="20"/>
        </w:rPr>
        <w:t>If the Bank assigns or otherwise deals with its rights under this Guarantee, the Guarantors may not claim against any assignee (or any other person who has an interest in this Guarantee) any right of set-off or other right the Guarantors have against the Bank.</w:t>
      </w:r>
      <w:r>
        <w:rPr>
          <w:rFonts w:ascii="Arial" w:hAnsi="Arial"/>
          <w:sz w:val="20"/>
        </w:rPr>
        <w:t xml:space="preserve"> </w:t>
      </w:r>
    </w:p>
    <w:tbl>
      <w:tblPr>
        <w:tblW w:w="2711" w:type="dxa"/>
        <w:jc w:val="left"/>
        <w:tblInd w:w="360" w:type="dxa"/>
        <w:tblLayout w:type="fixed"/>
        <w:tblCellMar>
          <w:top w:w="0" w:type="dxa"/>
          <w:left w:w="0" w:type="dxa"/>
          <w:bottom w:w="0" w:type="dxa"/>
          <w:right w:w="0" w:type="dxa"/>
        </w:tblCellMar>
      </w:tblPr>
      <w:tblGrid>
        <w:gridCol w:w="38"/>
        <w:gridCol w:w="680"/>
        <w:gridCol w:w="23"/>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22.11. </w:t>
            </w:r>
          </w:p>
        </w:tc>
        <w:tc>
          <w:tcPr>
            <w:tcW w:w="23" w:type="dxa"/>
            <w:tcBorders/>
            <w:vAlign w:val="center"/>
          </w:tcPr>
          <w:p>
            <w:pPr>
              <w:pStyle w:val="TableContents"/>
              <w:bidi w:val="0"/>
              <w:spacing w:before="0" w:after="283"/>
              <w:jc w:val="left"/>
              <w:rPr>
                <w:sz w:val="4"/>
                <w:szCs w:val="4"/>
              </w:rPr>
            </w:pPr>
            <w:r>
              <w:rPr>
                <w:sz w:val="4"/>
                <w:szCs w:val="4"/>
              </w:rPr>
            </w:r>
          </w:p>
        </w:tc>
        <w:tc>
          <w:tcPr>
            <w:tcW w:w="1970" w:type="dxa"/>
            <w:tcBorders/>
          </w:tcPr>
          <w:p>
            <w:pPr>
              <w:pStyle w:val="TableContents"/>
              <w:bidi w:val="0"/>
              <w:spacing w:before="174" w:after="0"/>
              <w:ind w:left="0" w:right="0" w:hanging="0"/>
              <w:jc w:val="left"/>
              <w:rPr>
                <w:rFonts w:ascii="Arial" w:hAnsi="Arial"/>
                <w:b/>
                <w:color w:val="000000"/>
                <w:sz w:val="22"/>
              </w:rPr>
            </w:pPr>
            <w:bookmarkStart w:id="282" w:name="Suspense_account1611"/>
            <w:bookmarkStart w:id="283" w:name="_TOC_250038"/>
            <w:bookmarkEnd w:id="282"/>
            <w:bookmarkEnd w:id="283"/>
            <w:r>
              <w:rPr>
                <w:rFonts w:ascii="Arial" w:hAnsi="Arial"/>
                <w:b/>
                <w:color w:val="000000"/>
                <w:sz w:val="22"/>
              </w:rPr>
              <w:t>Suspense account</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w:t>
      </w:r>
      <w:r>
        <w:rPr>
          <w:rFonts w:ascii="Arial" w:hAnsi="Arial"/>
          <w:sz w:val="20"/>
        </w:rPr>
        <w:t xml:space="preserve"> </w:t>
      </w:r>
    </w:p>
    <w:tbl>
      <w:tblPr>
        <w:tblW w:w="2276" w:type="dxa"/>
        <w:jc w:val="left"/>
        <w:tblInd w:w="360" w:type="dxa"/>
        <w:tblLayout w:type="fixed"/>
        <w:tblCellMar>
          <w:top w:w="0" w:type="dxa"/>
          <w:left w:w="0" w:type="dxa"/>
          <w:bottom w:w="0" w:type="dxa"/>
          <w:right w:w="0" w:type="dxa"/>
        </w:tblCellMar>
      </w:tblPr>
      <w:tblGrid>
        <w:gridCol w:w="38"/>
        <w:gridCol w:w="680"/>
        <w:gridCol w:w="23"/>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22.12. </w:t>
            </w:r>
          </w:p>
        </w:tc>
        <w:tc>
          <w:tcPr>
            <w:tcW w:w="23" w:type="dxa"/>
            <w:tcBorders/>
            <w:vAlign w:val="center"/>
          </w:tcPr>
          <w:p>
            <w:pPr>
              <w:pStyle w:val="TableContents"/>
              <w:bidi w:val="0"/>
              <w:spacing w:before="0" w:after="283"/>
              <w:jc w:val="left"/>
              <w:rPr>
                <w:sz w:val="4"/>
                <w:szCs w:val="4"/>
              </w:rPr>
            </w:pPr>
            <w:r>
              <w:rPr>
                <w:sz w:val="4"/>
                <w:szCs w:val="4"/>
              </w:rPr>
            </w:r>
          </w:p>
        </w:tc>
        <w:tc>
          <w:tcPr>
            <w:tcW w:w="1535" w:type="dxa"/>
            <w:tcBorders/>
          </w:tcPr>
          <w:p>
            <w:pPr>
              <w:pStyle w:val="TableContents"/>
              <w:bidi w:val="0"/>
              <w:spacing w:before="174" w:after="0"/>
              <w:ind w:left="0" w:right="0" w:hanging="0"/>
              <w:jc w:val="left"/>
              <w:rPr>
                <w:rFonts w:ascii="Arial" w:hAnsi="Arial"/>
                <w:b/>
                <w:color w:val="000000"/>
                <w:sz w:val="22"/>
              </w:rPr>
            </w:pPr>
            <w:bookmarkStart w:id="284" w:name="Right_to_prove1612"/>
            <w:bookmarkStart w:id="285" w:name="_TOC_250037"/>
            <w:bookmarkEnd w:id="284"/>
            <w:bookmarkEnd w:id="285"/>
            <w:r>
              <w:rPr>
                <w:rFonts w:ascii="Arial" w:hAnsi="Arial"/>
                <w:b/>
                <w:color w:val="000000"/>
                <w:sz w:val="22"/>
              </w:rPr>
              <w:t>Right to prove</w:t>
            </w:r>
          </w:p>
        </w:tc>
      </w:tr>
    </w:tbl>
    <w:p>
      <w:pPr>
        <w:pStyle w:val="TextBody"/>
        <w:bidi w:val="0"/>
        <w:spacing w:lineRule="auto" w:line="264" w:before="107" w:after="0"/>
        <w:ind w:left="3983" w:right="1956" w:hanging="0"/>
        <w:jc w:val="left"/>
        <w:rPr>
          <w:rFonts w:ascii="Arial" w:hAnsi="Arial"/>
          <w:sz w:val="22"/>
        </w:rPr>
      </w:pPr>
      <w:r>
        <w:rPr>
          <w:rFonts w:ascii="Arial" w:hAnsi="Arial"/>
          <w:color w:val="000000"/>
          <w:sz w:val="20"/>
        </w:rPr>
        <w:t>(a)The</w:t>
      </w:r>
      <w:r>
        <w:rPr>
          <w:rFonts w:ascii="Arial" w:hAnsi="Arial"/>
          <w:color w:val="000000"/>
          <w:sz w:val="22"/>
        </w:rPr>
        <w:t> </w:t>
      </w:r>
      <w:r>
        <w:rPr>
          <w:rFonts w:ascii="Arial" w:hAnsi="Arial"/>
          <w:color w:val="000000"/>
          <w:sz w:val="20"/>
        </w:rPr>
        <w:t>Guarantor</w:t>
      </w:r>
      <w:r>
        <w:rPr>
          <w:rFonts w:ascii="Arial" w:hAnsi="Arial"/>
          <w:color w:val="000000"/>
          <w:sz w:val="22"/>
        </w:rPr>
        <w:t> </w:t>
      </w:r>
      <w:r>
        <w:rPr>
          <w:rFonts w:ascii="Arial" w:hAnsi="Arial"/>
          <w:color w:val="000000"/>
          <w:sz w:val="20"/>
        </w:rPr>
        <w:t>irrevocably</w:t>
      </w:r>
      <w:r>
        <w:rPr>
          <w:rFonts w:ascii="Arial" w:hAnsi="Arial"/>
          <w:color w:val="000000"/>
          <w:sz w:val="22"/>
        </w:rPr>
        <w:t> </w:t>
      </w:r>
      <w:r>
        <w:rPr>
          <w:rFonts w:ascii="Arial" w:hAnsi="Arial"/>
          <w:color w:val="000000"/>
          <w:sz w:val="20"/>
        </w:rPr>
        <w:t>appoints</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each</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its</w:t>
      </w:r>
      <w:r>
        <w:rPr>
          <w:rFonts w:ascii="Arial" w:hAnsi="Arial"/>
          <w:color w:val="000000"/>
          <w:sz w:val="22"/>
        </w:rPr>
        <w:t> </w:t>
      </w:r>
      <w:r>
        <w:rPr>
          <w:rFonts w:ascii="Arial" w:hAnsi="Arial"/>
          <w:color w:val="000000"/>
          <w:sz w:val="20"/>
        </w:rPr>
        <w:t>Authorised Representatives individually as its attorney and agrees to formally approve all action taken by an attorney under this clause 1616.</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(b)Each attorney may, at any time while any Guaranteed Money is outstanding:</w:t>
      </w:r>
      <w:r>
        <w:rPr>
          <w:rFonts w:ascii="Arial" w:hAnsi="Arial"/>
          <w:sz w:val="20"/>
        </w:rPr>
        <w:t xml:space="preserve"> </w:t>
      </w:r>
    </w:p>
    <w:p>
      <w:pPr>
        <w:pStyle w:val="TextBody"/>
        <w:bidi w:val="0"/>
        <w:spacing w:lineRule="auto" w:line="264" w:before="109" w:after="0"/>
        <w:ind w:left="4540" w:right="1974" w:hanging="0"/>
        <w:jc w:val="left"/>
        <w:rPr>
          <w:rFonts w:ascii="Arial" w:hAnsi="Arial"/>
          <w:sz w:val="20"/>
        </w:rPr>
      </w:pPr>
      <w:r>
        <w:rPr>
          <w:rFonts w:ascii="Arial" w:hAnsi="Arial"/>
          <w:color w:val="000000"/>
          <w:sz w:val="20"/>
        </w:rPr>
        <w:t>(i)do anything which a Guarantor may lawfully do to exercise their right of proof in respect of a Transaction Party after an Insolvency Event occurs in respect of such Transaction Party. These things may be done in the Guarantor’s name or the attorney’s name and they include signing and delivering documents, taking part in legal proceedings and receiving any dividends arising out of the right of proof;</w:t>
      </w:r>
      <w:r>
        <w:rPr>
          <w:rFonts w:ascii="Arial" w:hAnsi="Arial"/>
          <w:sz w:val="20"/>
        </w:rPr>
        <w:t xml:space="preserve"> </w:t>
      </w:r>
    </w:p>
    <w:p>
      <w:pPr>
        <w:pStyle w:val="TextBody"/>
        <w:bidi w:val="0"/>
        <w:spacing w:lineRule="auto" w:line="264" w:before="110" w:after="0"/>
        <w:ind w:left="4540" w:right="2346" w:hanging="0"/>
        <w:jc w:val="both"/>
        <w:rPr>
          <w:rFonts w:ascii="Arial" w:hAnsi="Arial"/>
          <w:sz w:val="20"/>
        </w:rPr>
      </w:pPr>
      <w:r>
        <w:rPr>
          <w:rFonts w:ascii="Arial" w:hAnsi="Arial"/>
          <w:color w:val="000000"/>
          <w:sz w:val="20"/>
        </w:rPr>
        <w:t>(ii)delegates its powers (including this power) and may revoke a delegation; and</w:t>
      </w:r>
      <w:r>
        <w:rPr>
          <w:rFonts w:ascii="Arial" w:hAnsi="Arial"/>
          <w:sz w:val="20"/>
        </w:rPr>
        <w:t xml:space="preserve"> </w:t>
      </w:r>
    </w:p>
    <w:p>
      <w:pPr>
        <w:pStyle w:val="TextBody"/>
        <w:bidi w:val="0"/>
        <w:spacing w:lineRule="auto" w:line="264" w:before="137" w:after="0"/>
        <w:ind w:left="3950" w:right="360" w:hanging="533"/>
        <w:jc w:val="both"/>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71"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9" descr=""/>
                    <pic:cNvPicPr>
                      <a:picLocks noChangeAspect="1" noChangeArrowheads="1"/>
                    </pic:cNvPicPr>
                  </pic:nvPicPr>
                  <pic:blipFill>
                    <a:blip r:embed="rId17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72"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0" descr=""/>
                    <pic:cNvPicPr>
                      <a:picLocks noChangeAspect="1" noChangeArrowheads="1"/>
                    </pic:cNvPicPr>
                  </pic:nvPicPr>
                  <pic:blipFill>
                    <a:blip r:embed="rId17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6" w:before="0" w:after="0"/>
        <w:ind w:left="4540" w:right="1896" w:hanging="0"/>
        <w:jc w:val="left"/>
        <w:rPr>
          <w:rFonts w:ascii="Arial" w:hAnsi="Arial"/>
          <w:sz w:val="20"/>
        </w:rPr>
      </w:pPr>
      <w:r>
        <w:rPr>
          <w:rFonts w:ascii="Arial" w:hAnsi="Arial"/>
          <w:sz w:val="20"/>
        </w:rPr>
        <w:t xml:space="preserve">(iii)exercise its powers even if this involves a conflict of duty and even if it has a personal interest in doing so. </w:t>
      </w:r>
    </w:p>
    <w:p>
      <w:pPr>
        <w:pStyle w:val="TextBody"/>
        <w:bidi w:val="0"/>
        <w:spacing w:lineRule="auto" w:line="264" w:before="107" w:after="0"/>
        <w:ind w:left="3983" w:right="1956" w:hanging="0"/>
        <w:jc w:val="left"/>
        <w:rPr>
          <w:rFonts w:ascii="Arial" w:hAnsi="Arial"/>
          <w:sz w:val="22"/>
        </w:rPr>
      </w:pPr>
      <w:r>
        <w:rPr>
          <w:rFonts w:ascii="Arial" w:hAnsi="Arial"/>
          <w:sz w:val="20"/>
        </w:rPr>
        <w:t xml:space="preserve">(c)The attorney need not account to a Guarantor for any dividend received on exercising the right of proof under </w:t>
      </w:r>
      <w:r>
        <w:rPr>
          <w:rFonts w:ascii="Arial" w:hAnsi="Arial"/>
          <w:b/>
          <w:sz w:val="20"/>
        </w:rPr>
        <w:t xml:space="preserve">clause </w:t>
      </w:r>
      <w:r>
        <w:rPr>
          <w:rFonts w:ascii="Arial" w:hAnsi="Arial"/>
          <w:b/>
          <w:color w:val="2D97D3"/>
          <w:sz w:val="20"/>
          <w:u w:val="single"/>
        </w:rPr>
        <w:t>16.12</w:t>
      </w:r>
      <w:r>
        <w:rPr>
          <w:rFonts w:ascii="Arial" w:hAnsi="Arial"/>
          <w:b/>
          <w:strike/>
          <w:color w:val="B5082D"/>
          <w:sz w:val="20"/>
        </w:rPr>
        <w:t>16.12</w:t>
      </w:r>
      <w:r>
        <w:rPr>
          <w:rFonts w:ascii="Arial" w:hAnsi="Arial"/>
          <w:b/>
          <w:color w:val="2D97D3"/>
          <w:sz w:val="20"/>
          <w:u w:val="single"/>
        </w:rPr>
        <w:t>(i)</w:t>
      </w:r>
      <w:r>
        <w:rPr>
          <w:rFonts w:ascii="Arial" w:hAnsi="Arial"/>
          <w:b/>
          <w:strike/>
          <w:color w:val="B5082D"/>
          <w:sz w:val="20"/>
        </w:rPr>
        <w:t>(i)</w:t>
      </w:r>
      <w:r>
        <w:rPr>
          <w:rFonts w:ascii="Arial" w:hAnsi="Arial"/>
          <w:color w:val="B5082D"/>
          <w:sz w:val="22"/>
        </w:rPr>
        <w:t> </w:t>
      </w:r>
      <w:r>
        <w:rPr>
          <w:rFonts w:ascii="Arial" w:hAnsi="Arial"/>
          <w:sz w:val="20"/>
        </w:rPr>
        <w:t>except to the</w:t>
      </w:r>
      <w:r>
        <w:rPr>
          <w:rFonts w:ascii="Arial" w:hAnsi="Arial"/>
          <w:sz w:val="22"/>
        </w:rPr>
        <w:t> </w:t>
      </w:r>
      <w:r>
        <w:rPr>
          <w:rFonts w:ascii="Arial" w:hAnsi="Arial"/>
          <w:sz w:val="20"/>
        </w:rPr>
        <w:t>extent</w:t>
      </w:r>
      <w:r>
        <w:rPr>
          <w:rFonts w:ascii="Arial" w:hAnsi="Arial"/>
          <w:sz w:val="22"/>
        </w:rPr>
        <w:t> </w:t>
      </w:r>
      <w:r>
        <w:rPr>
          <w:rFonts w:ascii="Arial" w:hAnsi="Arial"/>
          <w:sz w:val="20"/>
        </w:rPr>
        <w:t>that</w:t>
      </w:r>
      <w:r>
        <w:rPr>
          <w:rFonts w:ascii="Arial" w:hAnsi="Arial"/>
          <w:sz w:val="22"/>
        </w:rPr>
        <w:t> </w:t>
      </w:r>
      <w:r>
        <w:rPr>
          <w:rFonts w:ascii="Arial" w:hAnsi="Arial"/>
          <w:sz w:val="20"/>
        </w:rPr>
        <w:t>any</w:t>
      </w:r>
      <w:r>
        <w:rPr>
          <w:rFonts w:ascii="Arial" w:hAnsi="Arial"/>
          <w:sz w:val="22"/>
        </w:rPr>
        <w:t> </w:t>
      </w:r>
      <w:r>
        <w:rPr>
          <w:rFonts w:ascii="Arial" w:hAnsi="Arial"/>
          <w:sz w:val="20"/>
        </w:rPr>
        <w:t>dividend</w:t>
      </w:r>
      <w:r>
        <w:rPr>
          <w:rFonts w:ascii="Arial" w:hAnsi="Arial"/>
          <w:sz w:val="22"/>
        </w:rPr>
        <w:t> </w:t>
      </w:r>
      <w:r>
        <w:rPr>
          <w:rFonts w:ascii="Arial" w:hAnsi="Arial"/>
          <w:sz w:val="20"/>
        </w:rPr>
        <w:t>remains</w:t>
      </w:r>
      <w:r>
        <w:rPr>
          <w:rFonts w:ascii="Arial" w:hAnsi="Arial"/>
          <w:sz w:val="22"/>
        </w:rPr>
        <w:t> </w:t>
      </w:r>
      <w:r>
        <w:rPr>
          <w:rFonts w:ascii="Arial" w:hAnsi="Arial"/>
          <w:sz w:val="20"/>
        </w:rPr>
        <w:t>after</w:t>
      </w:r>
      <w:r>
        <w:rPr>
          <w:rFonts w:ascii="Arial" w:hAnsi="Arial"/>
          <w:sz w:val="22"/>
        </w:rPr>
        <w:t> </w:t>
      </w:r>
      <w:r>
        <w:rPr>
          <w:rFonts w:ascii="Arial" w:hAnsi="Arial"/>
          <w:sz w:val="20"/>
        </w:rPr>
        <w:t>the</w:t>
      </w:r>
      <w:r>
        <w:rPr>
          <w:rFonts w:ascii="Arial" w:hAnsi="Arial"/>
          <w:sz w:val="22"/>
        </w:rPr>
        <w:t> </w:t>
      </w:r>
      <w:r>
        <w:rPr>
          <w:rFonts w:ascii="Arial" w:hAnsi="Arial"/>
          <w:sz w:val="20"/>
        </w:rPr>
        <w:t>Bank</w:t>
      </w:r>
      <w:r>
        <w:rPr>
          <w:rFonts w:ascii="Arial" w:hAnsi="Arial"/>
          <w:sz w:val="22"/>
        </w:rPr>
        <w:t> </w:t>
      </w:r>
      <w:r>
        <w:rPr>
          <w:rFonts w:ascii="Arial" w:hAnsi="Arial"/>
          <w:sz w:val="20"/>
        </w:rPr>
        <w:t>has</w:t>
      </w:r>
      <w:r>
        <w:rPr>
          <w:rFonts w:ascii="Arial" w:hAnsi="Arial"/>
          <w:sz w:val="22"/>
        </w:rPr>
        <w:t> </w:t>
      </w:r>
      <w:r>
        <w:rPr>
          <w:rFonts w:ascii="Arial" w:hAnsi="Arial"/>
          <w:sz w:val="20"/>
        </w:rPr>
        <w:t>received</w:t>
      </w:r>
      <w:r>
        <w:rPr>
          <w:rFonts w:ascii="Arial" w:hAnsi="Arial"/>
          <w:sz w:val="22"/>
        </w:rPr>
        <w:t> </w:t>
      </w:r>
      <w:r>
        <w:rPr>
          <w:rFonts w:ascii="Arial" w:hAnsi="Arial"/>
          <w:sz w:val="20"/>
        </w:rPr>
        <w:t>all</w:t>
      </w:r>
      <w:r>
        <w:rPr>
          <w:rFonts w:ascii="Arial" w:hAnsi="Arial"/>
          <w:sz w:val="22"/>
        </w:rPr>
        <w:t> </w:t>
      </w:r>
      <w:r>
        <w:rPr>
          <w:rFonts w:ascii="Arial" w:hAnsi="Arial"/>
          <w:sz w:val="20"/>
        </w:rPr>
        <w:t>of</w:t>
      </w:r>
      <w:r>
        <w:rPr>
          <w:rFonts w:ascii="Arial" w:hAnsi="Arial"/>
          <w:sz w:val="22"/>
        </w:rPr>
        <w:t> </w:t>
      </w:r>
      <w:r>
        <w:rPr>
          <w:rFonts w:ascii="Arial" w:hAnsi="Arial"/>
          <w:sz w:val="20"/>
        </w:rPr>
        <w:t>the Guaranteed</w:t>
      </w:r>
      <w:r>
        <w:rPr>
          <w:rFonts w:ascii="Arial" w:hAnsi="Arial"/>
          <w:sz w:val="22"/>
        </w:rPr>
        <w:t> </w:t>
      </w:r>
      <w:r>
        <w:rPr>
          <w:rFonts w:ascii="Arial" w:hAnsi="Arial"/>
          <w:sz w:val="20"/>
        </w:rPr>
        <w:t>Money</w:t>
      </w:r>
      <w:r>
        <w:rPr>
          <w:rFonts w:ascii="Arial" w:hAnsi="Arial"/>
          <w:sz w:val="22"/>
        </w:rPr>
        <w:t> </w:t>
      </w:r>
      <w:r>
        <w:rPr>
          <w:rFonts w:ascii="Arial" w:hAnsi="Arial"/>
          <w:sz w:val="20"/>
        </w:rPr>
        <w:t>and</w:t>
      </w:r>
      <w:r>
        <w:rPr>
          <w:rFonts w:ascii="Arial" w:hAnsi="Arial"/>
          <w:sz w:val="22"/>
        </w:rPr>
        <w:t> </w:t>
      </w:r>
      <w:r>
        <w:rPr>
          <w:rFonts w:ascii="Arial" w:hAnsi="Arial"/>
          <w:sz w:val="20"/>
        </w:rPr>
        <w:t>all</w:t>
      </w:r>
      <w:r>
        <w:rPr>
          <w:rFonts w:ascii="Arial" w:hAnsi="Arial"/>
          <w:sz w:val="22"/>
        </w:rPr>
        <w:t> </w:t>
      </w:r>
      <w:r>
        <w:rPr>
          <w:rFonts w:ascii="Arial" w:hAnsi="Arial"/>
          <w:sz w:val="20"/>
        </w:rPr>
        <w:t>other amounts</w:t>
      </w:r>
      <w:r>
        <w:rPr>
          <w:rFonts w:ascii="Arial" w:hAnsi="Arial"/>
          <w:sz w:val="22"/>
        </w:rPr>
        <w:t> </w:t>
      </w:r>
      <w:r>
        <w:rPr>
          <w:rFonts w:ascii="Arial" w:hAnsi="Arial"/>
          <w:sz w:val="20"/>
        </w:rPr>
        <w:t>payable</w:t>
      </w:r>
      <w:r>
        <w:rPr>
          <w:rFonts w:ascii="Arial" w:hAnsi="Arial"/>
          <w:sz w:val="22"/>
        </w:rPr>
        <w:t> </w:t>
      </w:r>
      <w:r>
        <w:rPr>
          <w:rFonts w:ascii="Arial" w:hAnsi="Arial"/>
          <w:sz w:val="20"/>
        </w:rPr>
        <w:t>under</w:t>
      </w:r>
      <w:r>
        <w:rPr>
          <w:rFonts w:ascii="Arial" w:hAnsi="Arial"/>
          <w:sz w:val="22"/>
        </w:rPr>
        <w:t> </w:t>
      </w:r>
      <w:r>
        <w:rPr>
          <w:rFonts w:ascii="Arial" w:hAnsi="Arial"/>
          <w:sz w:val="20"/>
        </w:rPr>
        <w:t>the</w:t>
      </w:r>
      <w:r>
        <w:rPr>
          <w:rFonts w:ascii="Arial" w:hAnsi="Arial"/>
          <w:sz w:val="22"/>
        </w:rPr>
        <w:t> </w:t>
      </w:r>
      <w:r>
        <w:rPr>
          <w:rFonts w:ascii="Arial" w:hAnsi="Arial"/>
          <w:sz w:val="20"/>
        </w:rPr>
        <w:t>Guarantee.</w:t>
      </w:r>
      <w:r>
        <w:rPr>
          <w:rFonts w:ascii="Arial" w:hAnsi="Arial"/>
          <w:sz w:val="22"/>
        </w:rPr>
        <w:t xml:space="preserve"> </w:t>
      </w:r>
    </w:p>
    <w:tbl>
      <w:tblPr>
        <w:tblW w:w="3131" w:type="dxa"/>
        <w:jc w:val="left"/>
        <w:tblInd w:w="360" w:type="dxa"/>
        <w:tblLayout w:type="fixed"/>
        <w:tblCellMar>
          <w:top w:w="0" w:type="dxa"/>
          <w:left w:w="0" w:type="dxa"/>
          <w:bottom w:w="0" w:type="dxa"/>
          <w:right w:w="0" w:type="dxa"/>
        </w:tblCellMar>
      </w:tblPr>
      <w:tblGrid>
        <w:gridCol w:w="38"/>
        <w:gridCol w:w="680"/>
        <w:gridCol w:w="23"/>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22.13. </w:t>
            </w:r>
          </w:p>
        </w:tc>
        <w:tc>
          <w:tcPr>
            <w:tcW w:w="23" w:type="dxa"/>
            <w:tcBorders/>
            <w:vAlign w:val="center"/>
          </w:tcPr>
          <w:p>
            <w:pPr>
              <w:pStyle w:val="TableContents"/>
              <w:bidi w:val="0"/>
              <w:spacing w:before="0" w:after="283"/>
              <w:jc w:val="left"/>
              <w:rPr>
                <w:sz w:val="4"/>
                <w:szCs w:val="4"/>
              </w:rPr>
            </w:pPr>
            <w:r>
              <w:rPr>
                <w:sz w:val="4"/>
                <w:szCs w:val="4"/>
              </w:rPr>
            </w:r>
          </w:p>
        </w:tc>
        <w:tc>
          <w:tcPr>
            <w:tcW w:w="2390" w:type="dxa"/>
            <w:tcBorders/>
          </w:tcPr>
          <w:p>
            <w:pPr>
              <w:pStyle w:val="TableContents"/>
              <w:bidi w:val="0"/>
              <w:spacing w:before="174" w:after="0"/>
              <w:ind w:left="0" w:right="0" w:hanging="0"/>
              <w:jc w:val="left"/>
              <w:rPr>
                <w:rFonts w:ascii="Arial" w:hAnsi="Arial"/>
                <w:b/>
                <w:color w:val="000000"/>
                <w:sz w:val="22"/>
              </w:rPr>
            </w:pPr>
            <w:bookmarkStart w:id="286" w:name="Release_of_Guarantors1613"/>
            <w:bookmarkStart w:id="287" w:name="_TOC_250036"/>
            <w:bookmarkEnd w:id="286"/>
            <w:bookmarkEnd w:id="287"/>
            <w:r>
              <w:rPr>
                <w:rFonts w:ascii="Arial" w:hAnsi="Arial"/>
                <w:b/>
                <w:color w:val="000000"/>
                <w:sz w:val="22"/>
              </w:rPr>
              <w:t>Release of Guarantors</w:t>
            </w:r>
          </w:p>
        </w:tc>
      </w:tr>
    </w:tbl>
    <w:p>
      <w:pPr>
        <w:pStyle w:val="TextBody"/>
        <w:bidi w:val="0"/>
        <w:spacing w:lineRule="auto" w:line="264" w:before="107" w:after="0"/>
        <w:ind w:left="3983" w:right="1956" w:hanging="0"/>
        <w:jc w:val="left"/>
        <w:rPr>
          <w:rFonts w:ascii="Arial" w:hAnsi="Arial"/>
          <w:sz w:val="22"/>
        </w:rPr>
      </w:pPr>
      <w:r>
        <w:rPr>
          <w:rFonts w:ascii="Arial" w:hAnsi="Arial"/>
          <w:color w:val="000000"/>
          <w:sz w:val="20"/>
        </w:rPr>
        <w:t>(a)The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must,</w:t>
      </w:r>
      <w:r>
        <w:rPr>
          <w:rFonts w:ascii="Arial" w:hAnsi="Arial"/>
          <w:color w:val="000000"/>
          <w:sz w:val="22"/>
        </w:rPr>
        <w:t> </w:t>
      </w:r>
      <w:r>
        <w:rPr>
          <w:rFonts w:ascii="Arial" w:hAnsi="Arial"/>
          <w:color w:val="000000"/>
          <w:sz w:val="20"/>
        </w:rPr>
        <w:t>at</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Borrower</w:t>
      </w:r>
      <w:r>
        <w:rPr>
          <w:rFonts w:ascii="Arial" w:hAnsi="Arial"/>
          <w:color w:val="000000"/>
          <w:sz w:val="22"/>
        </w:rPr>
        <w:t>’</w:t>
      </w:r>
      <w:r>
        <w:rPr>
          <w:rFonts w:ascii="Arial" w:hAnsi="Arial"/>
          <w:color w:val="000000"/>
          <w:sz w:val="20"/>
        </w:rPr>
        <w:t>s cost, execute any release</w:t>
      </w:r>
      <w:r>
        <w:rPr>
          <w:rFonts w:ascii="Arial" w:hAnsi="Arial"/>
          <w:color w:val="000000"/>
          <w:sz w:val="22"/>
        </w:rPr>
        <w:t> </w:t>
      </w:r>
      <w:r>
        <w:rPr>
          <w:rFonts w:ascii="Arial" w:hAnsi="Arial"/>
          <w:color w:val="000000"/>
          <w:sz w:val="20"/>
        </w:rPr>
        <w:t>documentation</w:t>
      </w:r>
      <w:r>
        <w:rPr>
          <w:rFonts w:ascii="Arial" w:hAnsi="Arial"/>
          <w:color w:val="000000"/>
          <w:sz w:val="22"/>
        </w:rPr>
        <w:t> </w:t>
      </w:r>
      <w:r>
        <w:rPr>
          <w:rFonts w:ascii="Arial" w:hAnsi="Arial"/>
          <w:color w:val="000000"/>
          <w:sz w:val="20"/>
        </w:rPr>
        <w:t>in</w:t>
      </w:r>
      <w:r>
        <w:rPr>
          <w:rFonts w:ascii="Arial" w:hAnsi="Arial"/>
          <w:color w:val="000000"/>
          <w:sz w:val="22"/>
        </w:rPr>
        <w:t> </w:t>
      </w:r>
      <w:r>
        <w:rPr>
          <w:rFonts w:ascii="Arial" w:hAnsi="Arial"/>
          <w:color w:val="000000"/>
          <w:sz w:val="20"/>
        </w:rPr>
        <w:t>respect</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w:t>
      </w:r>
      <w:r>
        <w:rPr>
          <w:rFonts w:ascii="Arial" w:hAnsi="Arial"/>
          <w:color w:val="000000"/>
          <w:sz w:val="20"/>
        </w:rPr>
        <w:t>s</w:t>
      </w:r>
      <w:r>
        <w:rPr>
          <w:rFonts w:ascii="Arial" w:hAnsi="Arial"/>
          <w:color w:val="000000"/>
          <w:sz w:val="22"/>
        </w:rPr>
        <w:t xml:space="preserve"> </w:t>
      </w:r>
      <w:r>
        <w:rPr>
          <w:rFonts w:ascii="Arial" w:hAnsi="Arial"/>
          <w:color w:val="000000"/>
          <w:sz w:val="20"/>
        </w:rPr>
        <w:t>right under</w:t>
      </w:r>
      <w:r>
        <w:rPr>
          <w:rFonts w:ascii="Arial" w:hAnsi="Arial"/>
          <w:color w:val="000000"/>
          <w:sz w:val="22"/>
        </w:rPr>
        <w:t> </w:t>
      </w:r>
      <w:r>
        <w:rPr>
          <w:rFonts w:ascii="Arial" w:hAnsi="Arial"/>
          <w:b/>
          <w:color w:val="000000"/>
          <w:sz w:val="20"/>
        </w:rPr>
        <w:t>clause</w:t>
      </w:r>
      <w:r>
        <w:rPr>
          <w:rFonts w:ascii="Arial" w:hAnsi="Arial"/>
          <w:color w:val="000000"/>
          <w:sz w:val="22"/>
        </w:rPr>
        <w:t> </w:t>
      </w:r>
      <w:r>
        <w:rPr>
          <w:rFonts w:ascii="Arial" w:hAnsi="Arial"/>
          <w:b/>
          <w:color w:val="2D97D3"/>
          <w:sz w:val="20"/>
          <w:u w:val="single"/>
        </w:rPr>
        <w:t>16</w:t>
      </w:r>
      <w:r>
        <w:rPr>
          <w:rFonts w:ascii="Arial" w:hAnsi="Arial"/>
          <w:b/>
          <w:strike/>
          <w:color w:val="B5082D"/>
          <w:sz w:val="20"/>
        </w:rPr>
        <w:t>16</w:t>
      </w:r>
      <w:r>
        <w:rPr>
          <w:rFonts w:ascii="Arial" w:hAnsi="Arial"/>
          <w:color w:val="000000"/>
          <w:sz w:val="20"/>
        </w:rPr>
        <w:t>.</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(b)As between the Transaction Parties and the Bank, the Bank is not obliged to consent to a release unless required to do by the terms of another Transaction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rights and obligations of the remaining Guarantors under the Guarantee in </w:t>
      </w:r>
      <w:r>
        <w:rPr>
          <w:rFonts w:ascii="Arial" w:hAnsi="Arial"/>
          <w:b/>
          <w:color w:val="000000"/>
          <w:sz w:val="20"/>
        </w:rPr>
        <w:t>clause</w:t>
      </w:r>
      <w:r>
        <w:rPr>
          <w:rFonts w:ascii="Arial" w:hAnsi="Arial"/>
          <w:color w:val="000000"/>
          <w:sz w:val="20"/>
        </w:rPr>
        <w:t> </w:t>
      </w:r>
      <w:r>
        <w:rPr>
          <w:rFonts w:ascii="Arial" w:hAnsi="Arial"/>
          <w:b/>
          <w:color w:val="2D97D3"/>
          <w:sz w:val="20"/>
          <w:u w:val="single"/>
        </w:rPr>
        <w:t>16.1</w:t>
      </w:r>
      <w:r>
        <w:rPr>
          <w:rFonts w:ascii="Arial" w:hAnsi="Arial"/>
          <w:b/>
          <w:strike/>
          <w:color w:val="B5082D"/>
          <w:sz w:val="20"/>
        </w:rPr>
        <w:t>16.1</w:t>
      </w:r>
      <w:r>
        <w:rPr>
          <w:rFonts w:ascii="Arial" w:hAnsi="Arial"/>
          <w:color w:val="B5082D"/>
          <w:sz w:val="20"/>
        </w:rPr>
        <w:t> </w:t>
      </w:r>
      <w:r>
        <w:rPr>
          <w:rFonts w:ascii="Arial" w:hAnsi="Arial"/>
          <w:color w:val="000000"/>
          <w:sz w:val="20"/>
        </w:rPr>
        <w:t xml:space="preserve">will continue in full force and effect despite the release of a Guarantor under this </w:t>
      </w:r>
      <w:r>
        <w:rPr>
          <w:rFonts w:ascii="Arial" w:hAnsi="Arial"/>
          <w:b/>
          <w:color w:val="000000"/>
          <w:sz w:val="20"/>
        </w:rPr>
        <w:t xml:space="preserve">clause </w:t>
      </w:r>
      <w:r>
        <w:rPr>
          <w:rFonts w:ascii="Arial" w:hAnsi="Arial"/>
          <w:b/>
          <w:color w:val="2D97D3"/>
          <w:sz w:val="20"/>
          <w:u w:val="single"/>
        </w:rPr>
        <w:t>16.13</w:t>
      </w:r>
      <w:r>
        <w:rPr>
          <w:rFonts w:ascii="Arial" w:hAnsi="Arial"/>
          <w:b/>
          <w:strike/>
          <w:color w:val="B5082D"/>
          <w:sz w:val="20"/>
        </w:rPr>
        <w:t>16.13</w:t>
      </w:r>
      <w:r>
        <w:rPr>
          <w:rFonts w:ascii="Arial" w:hAnsi="Arial"/>
          <w:color w:val="000000"/>
          <w:sz w:val="20"/>
        </w:rPr>
        <w:t>.</w:t>
      </w:r>
      <w:r>
        <w:rPr>
          <w:rFonts w:ascii="Arial" w:hAnsi="Arial"/>
          <w:sz w:val="20"/>
        </w:rPr>
        <w:t xml:space="preserve"> </w:t>
      </w:r>
    </w:p>
    <w:tbl>
      <w:tblPr>
        <w:tblW w:w="2501" w:type="dxa"/>
        <w:jc w:val="left"/>
        <w:tblInd w:w="360" w:type="dxa"/>
        <w:tblLayout w:type="fixed"/>
        <w:tblCellMar>
          <w:top w:w="0" w:type="dxa"/>
          <w:left w:w="0" w:type="dxa"/>
          <w:bottom w:w="0" w:type="dxa"/>
          <w:right w:w="0" w:type="dxa"/>
        </w:tblCellMar>
      </w:tblPr>
      <w:tblGrid>
        <w:gridCol w:w="38"/>
        <w:gridCol w:w="680"/>
        <w:gridCol w:w="23"/>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22.14. </w:t>
            </w:r>
          </w:p>
        </w:tc>
        <w:tc>
          <w:tcPr>
            <w:tcW w:w="23" w:type="dxa"/>
            <w:tcBorders/>
            <w:vAlign w:val="center"/>
          </w:tcPr>
          <w:p>
            <w:pPr>
              <w:pStyle w:val="TableContents"/>
              <w:bidi w:val="0"/>
              <w:spacing w:before="0" w:after="283"/>
              <w:jc w:val="left"/>
              <w:rPr>
                <w:sz w:val="4"/>
                <w:szCs w:val="4"/>
              </w:rPr>
            </w:pPr>
            <w:r>
              <w:rPr>
                <w:sz w:val="4"/>
                <w:szCs w:val="4"/>
              </w:rPr>
            </w:r>
          </w:p>
        </w:tc>
        <w:tc>
          <w:tcPr>
            <w:tcW w:w="1760" w:type="dxa"/>
            <w:tcBorders/>
          </w:tcPr>
          <w:p>
            <w:pPr>
              <w:pStyle w:val="TableContents"/>
              <w:bidi w:val="0"/>
              <w:spacing w:before="174" w:after="0"/>
              <w:ind w:left="0" w:right="0" w:hanging="0"/>
              <w:jc w:val="left"/>
              <w:rPr>
                <w:rFonts w:ascii="Arial" w:hAnsi="Arial"/>
                <w:b/>
                <w:color w:val="000000"/>
                <w:sz w:val="22"/>
              </w:rPr>
            </w:pPr>
            <w:bookmarkStart w:id="288" w:name="New_Guarantors1614"/>
            <w:bookmarkStart w:id="289" w:name="_TOC_250035"/>
            <w:bookmarkEnd w:id="288"/>
            <w:bookmarkEnd w:id="289"/>
            <w:r>
              <w:rPr>
                <w:rFonts w:ascii="Arial" w:hAnsi="Arial"/>
                <w:b/>
                <w:color w:val="000000"/>
                <w:sz w:val="22"/>
              </w:rPr>
              <w:t>New Guarantors</w:t>
            </w:r>
          </w:p>
        </w:tc>
      </w:tr>
    </w:tbl>
    <w:p>
      <w:pPr>
        <w:pStyle w:val="TextBody"/>
        <w:bidi w:val="0"/>
        <w:spacing w:lineRule="auto" w:line="264" w:before="87" w:after="0"/>
        <w:ind w:left="3456" w:right="1854" w:hanging="0"/>
        <w:jc w:val="left"/>
        <w:rPr>
          <w:rFonts w:ascii="Arial" w:hAnsi="Arial"/>
          <w:sz w:val="20"/>
        </w:rPr>
      </w:pPr>
      <w:r>
        <w:rPr>
          <w:rFonts w:ascii="Arial" w:hAnsi="Arial"/>
          <w:color w:val="000000"/>
          <w:sz w:val="20"/>
        </w:rPr>
        <w:t>If a Subsidiary of any Transaction Party is required by the terms of a Transaction Document to become a Guarantor, the Borrower must ensure that such subsidiary executes a Guarantor Accession Deed as a new Transaction Party.</w:t>
      </w:r>
      <w:r>
        <w:rPr>
          <w:rFonts w:ascii="Arial" w:hAnsi="Arial"/>
          <w:sz w:val="20"/>
        </w:rPr>
        <w:t xml:space="preserve"> </w:t>
      </w:r>
    </w:p>
    <w:tbl>
      <w:tblPr>
        <w:tblW w:w="2261" w:type="dxa"/>
        <w:jc w:val="left"/>
        <w:tblInd w:w="360" w:type="dxa"/>
        <w:tblLayout w:type="fixed"/>
        <w:tblCellMar>
          <w:top w:w="0" w:type="dxa"/>
          <w:left w:w="0" w:type="dxa"/>
          <w:bottom w:w="0" w:type="dxa"/>
          <w:right w:w="0" w:type="dxa"/>
        </w:tblCellMar>
      </w:tblPr>
      <w:tblGrid>
        <w:gridCol w:w="38"/>
        <w:gridCol w:w="680"/>
        <w:gridCol w:w="23"/>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22.15. </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tcPr>
          <w:p>
            <w:pPr>
              <w:pStyle w:val="TableContents"/>
              <w:bidi w:val="0"/>
              <w:spacing w:before="174" w:after="0"/>
              <w:ind w:left="0" w:right="0" w:hanging="0"/>
              <w:jc w:val="left"/>
              <w:rPr>
                <w:rFonts w:ascii="Arial" w:hAnsi="Arial"/>
                <w:b/>
                <w:color w:val="000000"/>
                <w:sz w:val="22"/>
              </w:rPr>
            </w:pPr>
            <w:bookmarkStart w:id="290" w:name="Consideration1615"/>
            <w:bookmarkStart w:id="291" w:name="_TOC_250034"/>
            <w:bookmarkEnd w:id="290"/>
            <w:bookmarkEnd w:id="291"/>
            <w:r>
              <w:rPr>
                <w:rFonts w:ascii="Arial" w:hAnsi="Arial"/>
                <w:b/>
                <w:color w:val="000000"/>
                <w:sz w:val="22"/>
              </w:rPr>
              <w:t>Consideration</w:t>
            </w:r>
          </w:p>
        </w:tc>
      </w:tr>
    </w:tbl>
    <w:p>
      <w:pPr>
        <w:pStyle w:val="TextBody"/>
        <w:bidi w:val="0"/>
        <w:spacing w:lineRule="auto" w:line="264" w:before="85" w:after="0"/>
        <w:ind w:left="3456" w:right="1908" w:hanging="0"/>
        <w:jc w:val="both"/>
        <w:rPr>
          <w:rFonts w:ascii="Arial" w:hAnsi="Arial"/>
          <w:sz w:val="20"/>
        </w:rPr>
      </w:pPr>
      <w:r>
        <w:rPr>
          <w:rFonts w:ascii="Arial" w:hAnsi="Arial"/>
          <w:color w:val="000000"/>
          <w:sz w:val="20"/>
        </w:rPr>
        <w:t>Each Guarantor acknowledges having executed this document in return for the Bank entering into the Transaction Documents at the request of the Guarantor and other valuable consideration.</w:t>
      </w:r>
      <w:r>
        <w:rPr>
          <w:rFonts w:ascii="Arial" w:hAnsi="Arial"/>
          <w:sz w:val="20"/>
        </w:rPr>
        <w:t xml:space="preserve"> </w:t>
      </w:r>
    </w:p>
    <w:tbl>
      <w:tblPr>
        <w:tblW w:w="2501" w:type="dxa"/>
        <w:jc w:val="left"/>
        <w:tblInd w:w="360" w:type="dxa"/>
        <w:tblLayout w:type="fixed"/>
        <w:tblCellMar>
          <w:top w:w="0" w:type="dxa"/>
          <w:left w:w="0" w:type="dxa"/>
          <w:bottom w:w="0" w:type="dxa"/>
          <w:right w:w="0" w:type="dxa"/>
        </w:tblCellMar>
      </w:tblPr>
      <w:tblGrid>
        <w:gridCol w:w="38"/>
        <w:gridCol w:w="680"/>
        <w:gridCol w:w="23"/>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22.16. </w:t>
            </w:r>
          </w:p>
        </w:tc>
        <w:tc>
          <w:tcPr>
            <w:tcW w:w="23" w:type="dxa"/>
            <w:tcBorders/>
            <w:vAlign w:val="center"/>
          </w:tcPr>
          <w:p>
            <w:pPr>
              <w:pStyle w:val="TableContents"/>
              <w:bidi w:val="0"/>
              <w:spacing w:before="0" w:after="283"/>
              <w:jc w:val="left"/>
              <w:rPr>
                <w:sz w:val="4"/>
                <w:szCs w:val="4"/>
              </w:rPr>
            </w:pPr>
            <w:r>
              <w:rPr>
                <w:sz w:val="4"/>
                <w:szCs w:val="4"/>
              </w:rPr>
            </w:r>
          </w:p>
        </w:tc>
        <w:tc>
          <w:tcPr>
            <w:tcW w:w="1760" w:type="dxa"/>
            <w:tcBorders/>
          </w:tcPr>
          <w:p>
            <w:pPr>
              <w:pStyle w:val="TableContents"/>
              <w:bidi w:val="0"/>
              <w:spacing w:before="174" w:after="0"/>
              <w:ind w:left="0" w:right="0" w:hanging="0"/>
              <w:jc w:val="left"/>
              <w:rPr>
                <w:rFonts w:ascii="Arial" w:hAnsi="Arial"/>
                <w:b/>
                <w:color w:val="000000"/>
                <w:sz w:val="22"/>
              </w:rPr>
            </w:pPr>
            <w:bookmarkStart w:id="292" w:name="New_Guarantors1616"/>
            <w:bookmarkStart w:id="293" w:name="_TOC_250033"/>
            <w:bookmarkEnd w:id="292"/>
            <w:bookmarkEnd w:id="293"/>
            <w:r>
              <w:rPr>
                <w:rFonts w:ascii="Arial" w:hAnsi="Arial"/>
                <w:b/>
                <w:color w:val="000000"/>
                <w:sz w:val="22"/>
              </w:rPr>
              <w:t>New Guarantors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(a)A person automatically becomes a party to this document as a Guarantor and Transaction Party (after the date of this document) by signing and delivering to the Bank a Guarantor Accession Deed and doing anything else which the Bank reasonably requests to ensure the enforceability of that person’s obligations as a Guarantor.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(b)Each of the other parties to his document irrevocably appoints the Bank as its agent to sign on its behalf any Guarantor Accession Deed.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execution of a Guarantor Accession Deed will not operate to release any party from its obligations under any Transaction Document.</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5" w:after="0"/>
        <w:ind w:left="360" w:right="360" w:hanging="0"/>
        <w:jc w:val="left"/>
        <w:rPr>
          <w:rFonts w:cs="Arial"/>
          <w:szCs w:val="20"/>
        </w:rPr>
      </w:pPr>
      <w:r>
        <w:rPr>
          <w:rFonts w:cs="Arial"/>
          <w:color w:val="000000"/>
          <w:szCs w:val="20"/>
        </w:rPr>
        <w:t>﻿</w:t>
      </w:r>
      <w:r>
        <w:rPr>
          <w:rFonts w:cs="Arial"/>
          <w:szCs w:val="20"/>
        </w:rPr>
        <w:t xml:space="preserve"> </w:t>
      </w:r>
    </w:p>
    <w:tbl>
      <w:tblPr>
        <w:tblW w:w="1751" w:type="dxa"/>
        <w:jc w:val="left"/>
        <w:tblInd w:w="360" w:type="dxa"/>
        <w:tblLayout w:type="fixed"/>
        <w:tblCellMar>
          <w:top w:w="0" w:type="dxa"/>
          <w:left w:w="0" w:type="dxa"/>
          <w:bottom w:w="0" w:type="dxa"/>
          <w:right w:w="0" w:type="dxa"/>
        </w:tblCellMar>
      </w:tblPr>
      <w:tblGrid>
        <w:gridCol w:w="38"/>
        <w:gridCol w:w="530"/>
        <w:gridCol w:w="23"/>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23. </w:t>
            </w:r>
          </w:p>
        </w:tc>
        <w:tc>
          <w:tcPr>
            <w:tcW w:w="23" w:type="dxa"/>
            <w:tcBorders/>
            <w:vAlign w:val="center"/>
          </w:tcPr>
          <w:p>
            <w:pPr>
              <w:pStyle w:val="TableContents"/>
              <w:bidi w:val="0"/>
              <w:spacing w:before="0" w:after="283"/>
              <w:jc w:val="left"/>
              <w:rPr>
                <w:sz w:val="4"/>
                <w:szCs w:val="4"/>
              </w:rPr>
            </w:pPr>
            <w:r>
              <w:rPr>
                <w:sz w:val="4"/>
                <w:szCs w:val="4"/>
              </w:rPr>
            </w:r>
          </w:p>
        </w:tc>
        <w:tc>
          <w:tcPr>
            <w:tcW w:w="1160" w:type="dxa"/>
            <w:tcBorders/>
          </w:tcPr>
          <w:p>
            <w:pPr>
              <w:pStyle w:val="TableContents"/>
              <w:bidi w:val="0"/>
              <w:spacing w:before="0" w:after="0"/>
              <w:ind w:left="0" w:right="0" w:hanging="0"/>
              <w:jc w:val="left"/>
              <w:rPr>
                <w:rFonts w:ascii="Arial" w:hAnsi="Arial"/>
                <w:color w:val="000000"/>
                <w:sz w:val="30"/>
              </w:rPr>
            </w:pPr>
            <w:bookmarkStart w:id="294" w:name="Attorney17"/>
            <w:bookmarkStart w:id="295" w:name="_TOC_250032"/>
            <w:bookmarkEnd w:id="294"/>
            <w:bookmarkEnd w:id="295"/>
            <w:r>
              <w:rPr>
                <w:rFonts w:ascii="Arial" w:hAnsi="Arial"/>
                <w:color w:val="000000"/>
                <w:sz w:val="30"/>
              </w:rPr>
              <w:t>Attorney</w:t>
            </w:r>
          </w:p>
        </w:tc>
      </w:tr>
    </w:tbl>
    <w:tbl>
      <w:tblPr>
        <w:tblW w:w="2021" w:type="dxa"/>
        <w:jc w:val="left"/>
        <w:tblInd w:w="360" w:type="dxa"/>
        <w:tblLayout w:type="fixed"/>
        <w:tblCellMar>
          <w:top w:w="0" w:type="dxa"/>
          <w:left w:w="0" w:type="dxa"/>
          <w:bottom w:w="0" w:type="dxa"/>
          <w:right w:w="0" w:type="dxa"/>
        </w:tblCellMar>
      </w:tblPr>
      <w:tblGrid>
        <w:gridCol w:w="38"/>
        <w:gridCol w:w="560"/>
        <w:gridCol w:w="23"/>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23.1. </w:t>
            </w:r>
          </w:p>
        </w:tc>
        <w:tc>
          <w:tcPr>
            <w:tcW w:w="23" w:type="dxa"/>
            <w:tcBorders/>
            <w:vAlign w:val="center"/>
          </w:tcPr>
          <w:p>
            <w:pPr>
              <w:pStyle w:val="TableContents"/>
              <w:bidi w:val="0"/>
              <w:spacing w:before="0" w:after="283"/>
              <w:jc w:val="left"/>
              <w:rPr>
                <w:sz w:val="4"/>
                <w:szCs w:val="4"/>
              </w:rPr>
            </w:pPr>
            <w:r>
              <w:rPr>
                <w:sz w:val="4"/>
                <w:szCs w:val="4"/>
              </w:rPr>
            </w:r>
          </w:p>
        </w:tc>
        <w:tc>
          <w:tcPr>
            <w:tcW w:w="1400" w:type="dxa"/>
            <w:tcBorders/>
          </w:tcPr>
          <w:p>
            <w:pPr>
              <w:pStyle w:val="TableContents"/>
              <w:bidi w:val="0"/>
              <w:spacing w:before="174" w:after="0"/>
              <w:ind w:left="0" w:right="0" w:hanging="0"/>
              <w:jc w:val="left"/>
              <w:rPr>
                <w:rFonts w:ascii="Arial" w:hAnsi="Arial"/>
                <w:b/>
                <w:color w:val="000000"/>
                <w:sz w:val="22"/>
              </w:rPr>
            </w:pPr>
            <w:bookmarkStart w:id="296" w:name="Appointment171"/>
            <w:bookmarkStart w:id="297" w:name="_TOC_250031"/>
            <w:bookmarkEnd w:id="296"/>
            <w:bookmarkEnd w:id="297"/>
            <w:r>
              <w:rPr>
                <w:rFonts w:ascii="Arial" w:hAnsi="Arial"/>
                <w:b/>
                <w:color w:val="000000"/>
                <w:sz w:val="22"/>
              </w:rPr>
              <w:t>Appointment</w:t>
            </w:r>
          </w:p>
        </w:tc>
      </w:tr>
    </w:tbl>
    <w:p>
      <w:pPr>
        <w:pStyle w:val="TextBody"/>
        <w:pBdr/>
        <w:bidi w:val="0"/>
        <w:spacing w:lineRule="auto" w:line="266" w:before="85" w:after="0"/>
        <w:ind w:left="3456" w:right="1854" w:hanging="0"/>
        <w:jc w:val="left"/>
        <w:rPr>
          <w:rFonts w:ascii="Arial" w:hAnsi="Arial"/>
          <w:sz w:val="20"/>
        </w:rPr>
      </w:pPr>
      <w:r>
        <w:rPr>
          <w:rFonts w:ascii="Arial" w:hAnsi="Arial"/>
          <w:color w:val="000000"/>
          <w:sz w:val="20"/>
        </w:rPr>
        <w:t>If and for so long as an Event of Default occurred and is continuing, the Borrower irrevocably appoints the Bank its attorney with the power:</w:t>
      </w:r>
      <w:r>
        <w:rPr>
          <w:rFonts w:ascii="Arial" w:hAnsi="Arial"/>
          <w:sz w:val="20"/>
        </w:rPr>
        <w:t xml:space="preserve"> </w:t>
      </w:r>
    </w:p>
    <w:p>
      <w:pPr>
        <w:pStyle w:val="TextBody"/>
        <w:pBdr/>
        <w:bidi w:val="0"/>
        <w:spacing w:lineRule="auto" w:line="266"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73"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1" descr=""/>
                    <pic:cNvPicPr>
                      <a:picLocks noChangeAspect="1" noChangeArrowheads="1"/>
                    </pic:cNvPicPr>
                  </pic:nvPicPr>
                  <pic:blipFill>
                    <a:blip r:embed="rId17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74"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2" descr=""/>
                    <pic:cNvPicPr>
                      <a:picLocks noChangeAspect="1" noChangeArrowheads="1"/>
                    </pic:cNvPicPr>
                  </pic:nvPicPr>
                  <pic:blipFill>
                    <a:blip r:embed="rId17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(a)at any time to: </w:t>
      </w:r>
    </w:p>
    <w:p>
      <w:pPr>
        <w:pStyle w:val="TextBody"/>
        <w:pBdr/>
        <w:bidi w:val="0"/>
        <w:spacing w:before="137" w:after="0"/>
        <w:ind w:left="4007" w:right="360" w:hanging="0"/>
        <w:jc w:val="left"/>
        <w:rPr>
          <w:rFonts w:ascii="Arial" w:hAnsi="Arial"/>
          <w:sz w:val="20"/>
        </w:rPr>
      </w:pPr>
      <w:r>
        <w:rPr>
          <w:rFonts w:ascii="Arial" w:hAnsi="Arial"/>
          <w:sz w:val="20"/>
        </w:rPr>
        <w:t xml:space="preserve">(i)do everything which in the Attorney’s reasonable opnion is </w:t>
      </w:r>
    </w:p>
    <w:p>
      <w:pPr>
        <w:pStyle w:val="TextBody"/>
        <w:pBdr/>
        <w:bidi w:val="0"/>
        <w:spacing w:lineRule="auto" w:line="264" w:before="22" w:after="0"/>
        <w:ind w:left="4540" w:right="1854" w:hanging="0"/>
        <w:jc w:val="left"/>
        <w:rPr>
          <w:rFonts w:ascii="Arial" w:hAnsi="Arial"/>
          <w:sz w:val="20"/>
        </w:rPr>
      </w:pPr>
      <w:r>
        <w:rPr>
          <w:rFonts w:ascii="Arial" w:hAnsi="Arial"/>
          <w:sz w:val="20"/>
        </w:rPr>
        <w:t xml:space="preserve">necessary or expedient to enable the exercise of any right of the Bank in relation to the Transaction Documents; </w:t>
      </w:r>
    </w:p>
    <w:p>
      <w:pPr>
        <w:pStyle w:val="TextBody"/>
        <w:bidi w:val="0"/>
        <w:spacing w:before="113" w:after="0"/>
        <w:ind w:left="4539" w:right="360" w:hanging="0"/>
        <w:jc w:val="left"/>
        <w:rPr>
          <w:rFonts w:ascii="Arial" w:hAnsi="Arial"/>
          <w:sz w:val="20"/>
        </w:rPr>
      </w:pPr>
      <w:r>
        <w:rPr>
          <w:rFonts w:ascii="Arial" w:hAnsi="Arial"/>
          <w:sz w:val="20"/>
        </w:rPr>
        <w:t xml:space="preserve">(ii)not used; </w:t>
      </w:r>
    </w:p>
    <w:p>
      <w:pPr>
        <w:pStyle w:val="TextBody"/>
        <w:bidi w:val="0"/>
        <w:spacing w:before="135" w:after="0"/>
        <w:ind w:left="4539" w:right="360" w:hanging="0"/>
        <w:jc w:val="left"/>
        <w:rPr>
          <w:rFonts w:ascii="Arial" w:hAnsi="Arial"/>
          <w:sz w:val="20"/>
        </w:rPr>
      </w:pPr>
      <w:r>
        <w:rPr>
          <w:rFonts w:ascii="Arial" w:hAnsi="Arial"/>
          <w:sz w:val="20"/>
        </w:rPr>
        <w:t xml:space="preserve">(iii)complete the Transaction Documents to which it is a party; and </w:t>
      </w:r>
    </w:p>
    <w:p>
      <w:pPr>
        <w:pStyle w:val="TextBody"/>
        <w:bidi w:val="0"/>
        <w:spacing w:lineRule="auto" w:line="264" w:before="0" w:after="0"/>
        <w:ind w:left="4540" w:right="2401" w:hanging="0"/>
        <w:jc w:val="left"/>
        <w:rPr>
          <w:rFonts w:ascii="Arial" w:hAnsi="Arial"/>
          <w:sz w:val="20"/>
        </w:rPr>
      </w:pPr>
      <w:r>
        <w:rPr>
          <w:rFonts w:ascii="Arial" w:hAnsi="Arial"/>
          <w:sz w:val="20"/>
        </w:rPr>
        <w:t xml:space="preserve">(iv)appoint its directors, officers, employees and solicitors as substitutes and otherwise delegate its powers to any of them (except this power of delegation); and </w:t>
      </w:r>
    </w:p>
    <w:p>
      <w:pPr>
        <w:pStyle w:val="TextBody"/>
        <w:bidi w:val="0"/>
        <w:spacing w:lineRule="auto" w:line="264" w:before="107" w:after="0"/>
        <w:ind w:left="3983" w:right="1956" w:hanging="0"/>
        <w:jc w:val="left"/>
        <w:rPr>
          <w:rFonts w:ascii="Arial" w:hAnsi="Arial"/>
          <w:sz w:val="22"/>
        </w:rPr>
      </w:pPr>
      <w:r>
        <w:rPr>
          <w:rFonts w:ascii="Arial" w:hAnsi="Arial"/>
          <w:sz w:val="20"/>
        </w:rPr>
        <w:t>(b)at</w:t>
      </w:r>
      <w:r>
        <w:rPr>
          <w:rFonts w:ascii="Arial" w:hAnsi="Arial"/>
          <w:sz w:val="22"/>
        </w:rPr>
        <w:t> </w:t>
      </w:r>
      <w:r>
        <w:rPr>
          <w:rFonts w:ascii="Arial" w:hAnsi="Arial"/>
          <w:sz w:val="20"/>
        </w:rPr>
        <w:t>any</w:t>
      </w:r>
      <w:r>
        <w:rPr>
          <w:rFonts w:ascii="Arial" w:hAnsi="Arial"/>
          <w:sz w:val="22"/>
        </w:rPr>
        <w:t> </w:t>
      </w:r>
      <w:r>
        <w:rPr>
          <w:rFonts w:ascii="Arial" w:hAnsi="Arial"/>
          <w:sz w:val="20"/>
        </w:rPr>
        <w:t>time</w:t>
      </w:r>
      <w:r>
        <w:rPr>
          <w:rFonts w:ascii="Arial" w:hAnsi="Arial"/>
          <w:sz w:val="22"/>
        </w:rPr>
        <w:t> </w:t>
      </w:r>
      <w:r>
        <w:rPr>
          <w:rFonts w:ascii="Arial" w:hAnsi="Arial"/>
          <w:sz w:val="20"/>
        </w:rPr>
        <w:t>after</w:t>
      </w:r>
      <w:r>
        <w:rPr>
          <w:rFonts w:ascii="Arial" w:hAnsi="Arial"/>
          <w:sz w:val="22"/>
        </w:rPr>
        <w:t> </w:t>
      </w:r>
      <w:r>
        <w:rPr>
          <w:rFonts w:ascii="Arial" w:hAnsi="Arial"/>
          <w:sz w:val="20"/>
        </w:rPr>
        <w:t>a</w:t>
      </w:r>
      <w:r>
        <w:rPr>
          <w:rFonts w:ascii="Arial" w:hAnsi="Arial"/>
          <w:sz w:val="22"/>
        </w:rPr>
        <w:t> </w:t>
      </w:r>
      <w:r>
        <w:rPr>
          <w:rFonts w:ascii="Arial" w:hAnsi="Arial"/>
          <w:sz w:val="20"/>
        </w:rPr>
        <w:t>notice</w:t>
      </w:r>
      <w:r>
        <w:rPr>
          <w:rFonts w:ascii="Arial" w:hAnsi="Arial"/>
          <w:sz w:val="22"/>
        </w:rPr>
        <w:t> </w:t>
      </w:r>
      <w:r>
        <w:rPr>
          <w:rFonts w:ascii="Arial" w:hAnsi="Arial"/>
          <w:sz w:val="20"/>
        </w:rPr>
        <w:t>is</w:t>
      </w:r>
      <w:r>
        <w:rPr>
          <w:rFonts w:ascii="Arial" w:hAnsi="Arial"/>
          <w:sz w:val="22"/>
        </w:rPr>
        <w:t> </w:t>
      </w:r>
      <w:r>
        <w:rPr>
          <w:rFonts w:ascii="Arial" w:hAnsi="Arial"/>
          <w:sz w:val="20"/>
        </w:rPr>
        <w:t>given</w:t>
      </w:r>
      <w:r>
        <w:rPr>
          <w:rFonts w:ascii="Arial" w:hAnsi="Arial"/>
          <w:sz w:val="22"/>
        </w:rPr>
        <w:t> </w:t>
      </w:r>
      <w:r>
        <w:rPr>
          <w:rFonts w:ascii="Arial" w:hAnsi="Arial"/>
          <w:sz w:val="20"/>
        </w:rPr>
        <w:t>under</w:t>
      </w:r>
      <w:r>
        <w:rPr>
          <w:rFonts w:ascii="Arial" w:hAnsi="Arial"/>
          <w:sz w:val="22"/>
        </w:rPr>
        <w:t> </w:t>
      </w:r>
      <w:r>
        <w:rPr>
          <w:rFonts w:ascii="Arial" w:hAnsi="Arial"/>
          <w:b/>
          <w:sz w:val="20"/>
        </w:rPr>
        <w:t>clause</w:t>
      </w:r>
      <w:r>
        <w:rPr>
          <w:rFonts w:ascii="Arial" w:hAnsi="Arial"/>
          <w:sz w:val="22"/>
        </w:rPr>
        <w:t> </w:t>
      </w:r>
      <w:r>
        <w:rPr>
          <w:rFonts w:ascii="Arial" w:hAnsi="Arial"/>
          <w:b/>
          <w:color w:val="2D97D3"/>
          <w:sz w:val="20"/>
          <w:u w:val="single"/>
        </w:rPr>
        <w:t>10.2</w:t>
      </w:r>
      <w:r>
        <w:rPr>
          <w:rFonts w:ascii="Arial" w:hAnsi="Arial"/>
          <w:b/>
          <w:strike/>
          <w:color w:val="B5082D"/>
          <w:sz w:val="20"/>
        </w:rPr>
        <w:t>10.2</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(ii)</w:t>
      </w:r>
      <w:r>
        <w:rPr>
          <w:rFonts w:ascii="Arial" w:hAnsi="Arial"/>
          <w:b/>
          <w:strike/>
          <w:color w:val="B5082D"/>
          <w:sz w:val="20"/>
        </w:rPr>
        <w:t>(ii)</w:t>
      </w:r>
      <w:r>
        <w:rPr>
          <w:rFonts w:ascii="Arial" w:hAnsi="Arial"/>
          <w:b/>
          <w:color w:val="2D97D3"/>
          <w:sz w:val="20"/>
          <w:u w:val="single"/>
        </w:rPr>
        <w:t>(A)</w:t>
      </w:r>
      <w:r>
        <w:rPr>
          <w:rFonts w:ascii="Arial" w:hAnsi="Arial"/>
          <w:b/>
          <w:strike/>
          <w:color w:val="B5082D"/>
          <w:sz w:val="20"/>
        </w:rPr>
        <w:t>(A)</w:t>
      </w:r>
      <w:r>
        <w:rPr>
          <w:rFonts w:ascii="Arial" w:hAnsi="Arial"/>
          <w:color w:val="B5082D"/>
          <w:sz w:val="22"/>
        </w:rPr>
        <w:t> </w:t>
      </w:r>
      <w:r>
        <w:rPr>
          <w:rFonts w:ascii="Arial" w:hAnsi="Arial"/>
          <w:b/>
          <w:sz w:val="20"/>
        </w:rPr>
        <w:t>or</w:t>
      </w:r>
      <w:r>
        <w:rPr>
          <w:rFonts w:ascii="Arial" w:hAnsi="Arial"/>
          <w:sz w:val="22"/>
        </w:rPr>
        <w:t> </w:t>
      </w:r>
      <w:r>
        <w:rPr>
          <w:rFonts w:ascii="Arial" w:hAnsi="Arial"/>
          <w:b/>
          <w:color w:val="2D97D3"/>
          <w:sz w:val="20"/>
          <w:u w:val="single"/>
        </w:rPr>
        <w:t>10.2</w:t>
      </w:r>
      <w:r>
        <w:rPr>
          <w:rFonts w:ascii="Arial" w:hAnsi="Arial"/>
          <w:b/>
          <w:strike/>
          <w:color w:val="B5082D"/>
          <w:sz w:val="20"/>
        </w:rPr>
        <w:t>10.2</w:t>
      </w:r>
      <w:r>
        <w:rPr>
          <w:rFonts w:ascii="Arial" w:hAnsi="Arial"/>
          <w:b/>
          <w:color w:val="2D97D3"/>
          <w:sz w:val="20"/>
          <w:u w:val="single"/>
        </w:rPr>
        <w:t>(a)</w:t>
      </w:r>
      <w:r>
        <w:rPr>
          <w:rFonts w:ascii="Arial" w:hAnsi="Arial"/>
          <w:b/>
          <w:strike/>
          <w:color w:val="B5082D"/>
          <w:sz w:val="20"/>
        </w:rPr>
        <w:t>(a)</w:t>
      </w:r>
      <w:r>
        <w:rPr>
          <w:rFonts w:ascii="Arial" w:hAnsi="Arial"/>
          <w:b/>
          <w:color w:val="2D97D3"/>
          <w:sz w:val="20"/>
          <w:u w:val="single"/>
        </w:rPr>
        <w:t>(ii)</w:t>
      </w:r>
      <w:r>
        <w:rPr>
          <w:rFonts w:ascii="Arial" w:hAnsi="Arial"/>
          <w:b/>
          <w:strike/>
          <w:color w:val="B5082D"/>
          <w:sz w:val="20"/>
        </w:rPr>
        <w:t>(ii)</w:t>
      </w:r>
      <w:r>
        <w:rPr>
          <w:rFonts w:ascii="Arial" w:hAnsi="Arial"/>
          <w:b/>
          <w:color w:val="2D97D3"/>
          <w:sz w:val="20"/>
          <w:u w:val="single"/>
        </w:rPr>
        <w:t>(B)</w:t>
      </w:r>
      <w:r>
        <w:rPr>
          <w:rFonts w:ascii="Arial" w:hAnsi="Arial"/>
          <w:b/>
          <w:strike/>
          <w:color w:val="B5082D"/>
          <w:sz w:val="20"/>
        </w:rPr>
        <w:t>(B)</w:t>
      </w:r>
      <w:r>
        <w:rPr>
          <w:rFonts w:ascii="Arial" w:hAnsi="Arial"/>
          <w:sz w:val="20"/>
        </w:rPr>
        <w:t>,</w:t>
      </w:r>
      <w:r>
        <w:rPr>
          <w:rFonts w:ascii="Arial" w:hAnsi="Arial"/>
          <w:sz w:val="22"/>
        </w:rPr>
        <w:t> </w:t>
      </w:r>
      <w:r>
        <w:rPr>
          <w:rFonts w:ascii="Arial" w:hAnsi="Arial"/>
          <w:sz w:val="20"/>
        </w:rPr>
        <w:t>to</w:t>
      </w:r>
      <w:r>
        <w:rPr>
          <w:rFonts w:ascii="Arial" w:hAnsi="Arial"/>
          <w:sz w:val="22"/>
        </w:rPr>
        <w:t> </w:t>
      </w:r>
      <w:r>
        <w:rPr>
          <w:rFonts w:ascii="Arial" w:hAnsi="Arial"/>
          <w:sz w:val="20"/>
        </w:rPr>
        <w:t>do</w:t>
      </w:r>
      <w:r>
        <w:rPr>
          <w:rFonts w:ascii="Arial" w:hAnsi="Arial"/>
          <w:sz w:val="22"/>
        </w:rPr>
        <w:t> </w:t>
      </w:r>
      <w:r>
        <w:rPr>
          <w:rFonts w:ascii="Arial" w:hAnsi="Arial"/>
          <w:sz w:val="20"/>
        </w:rPr>
        <w:t>all acts</w:t>
      </w:r>
      <w:r>
        <w:rPr>
          <w:rFonts w:ascii="Arial" w:hAnsi="Arial"/>
          <w:sz w:val="22"/>
        </w:rPr>
        <w:t> </w:t>
      </w:r>
      <w:r>
        <w:rPr>
          <w:rFonts w:ascii="Arial" w:hAnsi="Arial"/>
          <w:sz w:val="20"/>
        </w:rPr>
        <w:t>and</w:t>
      </w:r>
      <w:r>
        <w:rPr>
          <w:rFonts w:ascii="Arial" w:hAnsi="Arial"/>
          <w:sz w:val="22"/>
        </w:rPr>
        <w:t> </w:t>
      </w:r>
      <w:r>
        <w:rPr>
          <w:rFonts w:ascii="Arial" w:hAnsi="Arial"/>
          <w:sz w:val="20"/>
        </w:rPr>
        <w:t>things</w:t>
      </w:r>
      <w:r>
        <w:rPr>
          <w:rFonts w:ascii="Arial" w:hAnsi="Arial"/>
          <w:sz w:val="22"/>
        </w:rPr>
        <w:t> </w:t>
      </w:r>
      <w:r>
        <w:rPr>
          <w:rFonts w:ascii="Arial" w:hAnsi="Arial"/>
          <w:sz w:val="20"/>
        </w:rPr>
        <w:t>which</w:t>
      </w:r>
      <w:r>
        <w:rPr>
          <w:rFonts w:ascii="Arial" w:hAnsi="Arial"/>
          <w:sz w:val="22"/>
        </w:rPr>
        <w:t> </w:t>
      </w:r>
      <w:r>
        <w:rPr>
          <w:rFonts w:ascii="Arial" w:hAnsi="Arial"/>
          <w:sz w:val="20"/>
        </w:rPr>
        <w:t>the</w:t>
      </w:r>
      <w:r>
        <w:rPr>
          <w:rFonts w:ascii="Arial" w:hAnsi="Arial"/>
          <w:sz w:val="22"/>
        </w:rPr>
        <w:t> </w:t>
      </w:r>
      <w:r>
        <w:rPr>
          <w:rFonts w:ascii="Arial" w:hAnsi="Arial"/>
          <w:sz w:val="20"/>
        </w:rPr>
        <w:t>Borrower</w:t>
      </w:r>
      <w:r>
        <w:rPr>
          <w:rFonts w:ascii="Arial" w:hAnsi="Arial"/>
          <w:sz w:val="22"/>
        </w:rPr>
        <w:t> </w:t>
      </w:r>
      <w:r>
        <w:rPr>
          <w:rFonts w:ascii="Arial" w:hAnsi="Arial"/>
          <w:sz w:val="20"/>
        </w:rPr>
        <w:t>is</w:t>
      </w:r>
      <w:r>
        <w:rPr>
          <w:rFonts w:ascii="Arial" w:hAnsi="Arial"/>
          <w:sz w:val="22"/>
        </w:rPr>
        <w:t> </w:t>
      </w:r>
      <w:r>
        <w:rPr>
          <w:rFonts w:ascii="Arial" w:hAnsi="Arial"/>
          <w:sz w:val="20"/>
        </w:rPr>
        <w:t>obliged</w:t>
      </w:r>
      <w:r>
        <w:rPr>
          <w:rFonts w:ascii="Arial" w:hAnsi="Arial"/>
          <w:sz w:val="22"/>
        </w:rPr>
        <w:t> </w:t>
      </w:r>
      <w:r>
        <w:rPr>
          <w:rFonts w:ascii="Arial" w:hAnsi="Arial"/>
          <w:sz w:val="20"/>
        </w:rPr>
        <w:t>to</w:t>
      </w:r>
      <w:r>
        <w:rPr>
          <w:rFonts w:ascii="Arial" w:hAnsi="Arial"/>
          <w:sz w:val="22"/>
        </w:rPr>
        <w:t> </w:t>
      </w:r>
      <w:r>
        <w:rPr>
          <w:rFonts w:ascii="Arial" w:hAnsi="Arial"/>
          <w:sz w:val="20"/>
        </w:rPr>
        <w:t>do</w:t>
      </w:r>
      <w:r>
        <w:rPr>
          <w:rFonts w:ascii="Arial" w:hAnsi="Arial"/>
          <w:sz w:val="22"/>
        </w:rPr>
        <w:t> </w:t>
      </w:r>
      <w:r>
        <w:rPr>
          <w:rFonts w:ascii="Arial" w:hAnsi="Arial"/>
          <w:sz w:val="20"/>
        </w:rPr>
        <w:t>under</w:t>
      </w:r>
      <w:r>
        <w:rPr>
          <w:rFonts w:ascii="Arial" w:hAnsi="Arial"/>
          <w:sz w:val="22"/>
        </w:rPr>
        <w:t> </w:t>
      </w:r>
      <w:r>
        <w:rPr>
          <w:rFonts w:ascii="Arial" w:hAnsi="Arial"/>
          <w:sz w:val="20"/>
        </w:rPr>
        <w:t>the</w:t>
      </w:r>
      <w:r>
        <w:rPr>
          <w:rFonts w:ascii="Arial" w:hAnsi="Arial"/>
          <w:sz w:val="22"/>
        </w:rPr>
        <w:t> </w:t>
      </w:r>
      <w:r>
        <w:rPr>
          <w:rFonts w:ascii="Arial" w:hAnsi="Arial"/>
          <w:sz w:val="20"/>
        </w:rPr>
        <w:t>Transaction</w:t>
      </w:r>
      <w:r>
        <w:rPr>
          <w:rFonts w:ascii="Arial" w:hAnsi="Arial"/>
          <w:sz w:val="22"/>
        </w:rPr>
        <w:t xml:space="preserve"> </w:t>
      </w:r>
    </w:p>
    <w:p>
      <w:pPr>
        <w:pStyle w:val="TextBody"/>
        <w:bidi w:val="0"/>
        <w:spacing w:lineRule="auto" w:line="264" w:before="23" w:after="0"/>
        <w:ind w:left="3950" w:right="1854" w:hanging="0"/>
        <w:jc w:val="left"/>
        <w:rPr>
          <w:rFonts w:ascii="Arial" w:hAnsi="Arial"/>
          <w:sz w:val="20"/>
        </w:rPr>
      </w:pPr>
      <w:r>
        <w:rPr>
          <w:rFonts w:ascii="Arial" w:hAnsi="Arial"/>
          <w:sz w:val="20"/>
        </w:rPr>
        <w:t xml:space="preserve">Documents or which in the Attorney’s opinion are necessary or expedient to enable the exercise of any right of the Bank in relation to the Transaction Documents. </w:t>
      </w:r>
    </w:p>
    <w:tbl>
      <w:tblPr>
        <w:tblW w:w="1601" w:type="dxa"/>
        <w:jc w:val="left"/>
        <w:tblInd w:w="360" w:type="dxa"/>
        <w:tblLayout w:type="fixed"/>
        <w:tblCellMar>
          <w:top w:w="0" w:type="dxa"/>
          <w:left w:w="0" w:type="dxa"/>
          <w:bottom w:w="0" w:type="dxa"/>
          <w:right w:w="0" w:type="dxa"/>
        </w:tblCellMar>
      </w:tblPr>
      <w:tblGrid>
        <w:gridCol w:w="38"/>
        <w:gridCol w:w="560"/>
        <w:gridCol w:w="23"/>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23.2.</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80" w:type="dxa"/>
            <w:tcBorders/>
          </w:tcPr>
          <w:p>
            <w:pPr>
              <w:pStyle w:val="TableContents"/>
              <w:pBdr/>
              <w:bidi w:val="0"/>
              <w:spacing w:before="174" w:after="0"/>
              <w:ind w:left="0" w:right="0" w:hanging="0"/>
              <w:jc w:val="left"/>
              <w:rPr>
                <w:rFonts w:ascii="Arial" w:hAnsi="Arial"/>
                <w:b/>
                <w:color w:val="000000"/>
                <w:sz w:val="22"/>
              </w:rPr>
            </w:pPr>
            <w:bookmarkStart w:id="298" w:name="Not_used172"/>
            <w:bookmarkStart w:id="299" w:name="_TOC_250030"/>
            <w:bookmarkEnd w:id="298"/>
            <w:bookmarkEnd w:id="299"/>
            <w:r>
              <w:rPr>
                <w:rFonts w:ascii="Arial" w:hAnsi="Arial"/>
                <w:b/>
                <w:color w:val="000000"/>
                <w:sz w:val="22"/>
              </w:rPr>
              <w:t>Not used</w:t>
            </w:r>
          </w:p>
        </w:tc>
      </w:tr>
    </w:tbl>
    <w:tbl>
      <w:tblPr>
        <w:tblW w:w="1481" w:type="dxa"/>
        <w:jc w:val="left"/>
        <w:tblInd w:w="360" w:type="dxa"/>
        <w:tblLayout w:type="fixed"/>
        <w:tblCellMar>
          <w:top w:w="0" w:type="dxa"/>
          <w:left w:w="0" w:type="dxa"/>
          <w:bottom w:w="0" w:type="dxa"/>
          <w:right w:w="0" w:type="dxa"/>
        </w:tblCellMar>
      </w:tblPr>
      <w:tblGrid>
        <w:gridCol w:w="38"/>
        <w:gridCol w:w="560"/>
        <w:gridCol w:w="23"/>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pBdr/>
              <w:bidi w:val="0"/>
              <w:spacing w:before="174" w:after="0"/>
              <w:ind w:left="0" w:right="0" w:hanging="0"/>
              <w:jc w:val="left"/>
              <w:rPr>
                <w:rFonts w:ascii="Arial" w:hAnsi="Arial"/>
                <w:b/>
                <w:sz w:val="22"/>
              </w:rPr>
            </w:pPr>
            <w:r>
              <w:rPr>
                <w:rFonts w:ascii="Arial" w:hAnsi="Arial"/>
                <w:b/>
                <w:sz w:val="22"/>
              </w:rPr>
              <w:t>23.3.</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60" w:type="dxa"/>
            <w:tcBorders/>
          </w:tcPr>
          <w:p>
            <w:pPr>
              <w:pStyle w:val="TableContents"/>
              <w:pBdr/>
              <w:bidi w:val="0"/>
              <w:spacing w:before="174" w:after="0"/>
              <w:ind w:left="0" w:right="0" w:hanging="0"/>
              <w:jc w:val="left"/>
              <w:rPr>
                <w:rFonts w:ascii="Arial" w:hAnsi="Arial"/>
                <w:b/>
                <w:color w:val="000000"/>
                <w:sz w:val="22"/>
              </w:rPr>
            </w:pPr>
            <w:bookmarkStart w:id="300" w:name="General173"/>
            <w:bookmarkStart w:id="301" w:name="_TOC_250029"/>
            <w:bookmarkEnd w:id="300"/>
            <w:bookmarkEnd w:id="301"/>
            <w:r>
              <w:rPr>
                <w:rFonts w:ascii="Arial" w:hAnsi="Arial"/>
                <w:b/>
                <w:color w:val="000000"/>
                <w:sz w:val="22"/>
              </w:rPr>
              <w:t>General</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(a)Any Attorney may exercise any right solely for the benefit of the Bank, even if the exercise of the right constitutes a conflict of interest or duty.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Borrower by this document ratifies anything done or not done by the Attorney pursuant to the power of attorney.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power of attorney is granted:</w:t>
      </w:r>
      <w:r>
        <w:rPr>
          <w:rFonts w:ascii="Arial" w:hAnsi="Arial"/>
          <w:sz w:val="20"/>
        </w:rPr>
        <w:t xml:space="preserve"> </w:t>
      </w:r>
    </w:p>
    <w:p>
      <w:pPr>
        <w:pStyle w:val="TextBody"/>
        <w:bidi w:val="0"/>
        <w:spacing w:lineRule="auto" w:line="264" w:before="0" w:after="0"/>
        <w:ind w:left="4540" w:right="2129" w:hanging="0"/>
        <w:jc w:val="both"/>
        <w:rPr>
          <w:rFonts w:ascii="Arial" w:hAnsi="Arial"/>
          <w:sz w:val="20"/>
        </w:rPr>
      </w:pPr>
      <w:r>
        <w:rPr>
          <w:rFonts w:ascii="Arial" w:hAnsi="Arial"/>
          <w:color w:val="000000"/>
          <w:sz w:val="20"/>
        </w:rPr>
        <w:t>(i)to secure the compliance by the Borrower with its obligations to the Bank under the Transaction Documents and any proprietary interests of the Bank under the Transaction Documents; and</w:t>
      </w:r>
      <w:r>
        <w:rPr>
          <w:rFonts w:ascii="Arial" w:hAnsi="Arial"/>
          <w:sz w:val="20"/>
        </w:rPr>
        <w:t xml:space="preserve"> </w:t>
      </w:r>
    </w:p>
    <w:p>
      <w:pPr>
        <w:pStyle w:val="TextBody"/>
        <w:bidi w:val="0"/>
        <w:spacing w:lineRule="auto" w:line="264" w:before="110" w:after="0"/>
        <w:ind w:left="4540" w:right="2370" w:hanging="0"/>
        <w:jc w:val="both"/>
        <w:rPr>
          <w:rFonts w:ascii="Arial" w:hAnsi="Arial"/>
          <w:sz w:val="22"/>
        </w:rPr>
      </w:pPr>
      <w:r>
        <w:rPr>
          <w:rFonts w:ascii="Arial" w:hAnsi="Arial"/>
          <w:color w:val="000000"/>
          <w:sz w:val="20"/>
        </w:rPr>
        <w:t>(ii)for</w:t>
      </w:r>
      <w:r>
        <w:rPr>
          <w:rFonts w:ascii="Arial" w:hAnsi="Arial"/>
          <w:color w:val="000000"/>
          <w:sz w:val="22"/>
        </w:rPr>
        <w:t> </w:t>
      </w:r>
      <w:r>
        <w:rPr>
          <w:rFonts w:ascii="Arial" w:hAnsi="Arial"/>
          <w:color w:val="000000"/>
          <w:sz w:val="20"/>
        </w:rPr>
        <w:t>valuable</w:t>
      </w:r>
      <w:r>
        <w:rPr>
          <w:rFonts w:ascii="Arial" w:hAnsi="Arial"/>
          <w:color w:val="000000"/>
          <w:sz w:val="22"/>
        </w:rPr>
        <w:t> </w:t>
      </w:r>
      <w:r>
        <w:rPr>
          <w:rFonts w:ascii="Arial" w:hAnsi="Arial"/>
          <w:color w:val="000000"/>
          <w:sz w:val="20"/>
        </w:rPr>
        <w:t>consideration</w:t>
      </w:r>
      <w:r>
        <w:rPr>
          <w:rFonts w:ascii="Arial" w:hAnsi="Arial"/>
          <w:color w:val="000000"/>
          <w:sz w:val="22"/>
        </w:rPr>
        <w:t> </w:t>
      </w:r>
      <w:r>
        <w:rPr>
          <w:rFonts w:ascii="Arial" w:hAnsi="Arial"/>
          <w:color w:val="000000"/>
          <w:sz w:val="20"/>
        </w:rPr>
        <w:t>(receipt</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which</w:t>
      </w:r>
      <w:r>
        <w:rPr>
          <w:rFonts w:ascii="Arial" w:hAnsi="Arial"/>
          <w:color w:val="000000"/>
          <w:sz w:val="22"/>
        </w:rPr>
        <w:t> </w:t>
      </w:r>
      <w:r>
        <w:rPr>
          <w:rFonts w:ascii="Arial" w:hAnsi="Arial"/>
          <w:color w:val="000000"/>
          <w:sz w:val="20"/>
        </w:rPr>
        <w:t>is</w:t>
      </w:r>
      <w:r>
        <w:rPr>
          <w:rFonts w:ascii="Arial" w:hAnsi="Arial"/>
          <w:color w:val="000000"/>
          <w:sz w:val="22"/>
        </w:rPr>
        <w:t> </w:t>
      </w:r>
      <w:r>
        <w:rPr>
          <w:rFonts w:ascii="Arial" w:hAnsi="Arial"/>
          <w:color w:val="000000"/>
          <w:sz w:val="20"/>
        </w:rPr>
        <w:t>acknowledged) which</w:t>
      </w:r>
      <w:r>
        <w:rPr>
          <w:rFonts w:ascii="Arial" w:hAnsi="Arial"/>
          <w:color w:val="000000"/>
          <w:sz w:val="22"/>
        </w:rPr>
        <w:t> </w:t>
      </w:r>
      <w:r>
        <w:rPr>
          <w:rFonts w:ascii="Arial" w:hAnsi="Arial"/>
          <w:color w:val="000000"/>
          <w:sz w:val="20"/>
        </w:rPr>
        <w:t>includes</w:t>
      </w:r>
      <w:r>
        <w:rPr>
          <w:rFonts w:ascii="Arial" w:hAnsi="Arial"/>
          <w:color w:val="000000"/>
          <w:sz w:val="22"/>
        </w:rPr>
        <w:t> </w:t>
      </w:r>
      <w:r>
        <w:rPr>
          <w:rFonts w:ascii="Arial" w:hAnsi="Arial"/>
          <w:color w:val="000000"/>
          <w:sz w:val="20"/>
        </w:rPr>
        <w:t>entry</w:t>
      </w:r>
      <w:r>
        <w:rPr>
          <w:rFonts w:ascii="Arial" w:hAnsi="Arial"/>
          <w:color w:val="000000"/>
          <w:sz w:val="22"/>
        </w:rPr>
        <w:t> </w:t>
      </w:r>
      <w:r>
        <w:rPr>
          <w:rFonts w:ascii="Arial" w:hAnsi="Arial"/>
          <w:color w:val="000000"/>
          <w:sz w:val="20"/>
        </w:rPr>
        <w:t>into</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this</w:t>
      </w:r>
      <w:r>
        <w:rPr>
          <w:rFonts w:ascii="Arial" w:hAnsi="Arial"/>
          <w:color w:val="000000"/>
          <w:sz w:val="22"/>
        </w:rPr>
        <w:t> </w:t>
      </w:r>
      <w:r>
        <w:rPr>
          <w:rFonts w:ascii="Arial" w:hAnsi="Arial"/>
          <w:color w:val="000000"/>
          <w:sz w:val="20"/>
        </w:rPr>
        <w:t>document</w:t>
      </w:r>
      <w:r>
        <w:rPr>
          <w:rFonts w:ascii="Arial" w:hAnsi="Arial"/>
          <w:color w:val="000000"/>
          <w:sz w:val="22"/>
        </w:rPr>
        <w:t> </w:t>
      </w:r>
      <w:r>
        <w:rPr>
          <w:rFonts w:ascii="Arial" w:hAnsi="Arial"/>
          <w:color w:val="000000"/>
          <w:sz w:val="20"/>
        </w:rPr>
        <w:t>by</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Bank</w:t>
      </w:r>
      <w:r>
        <w:rPr>
          <w:rFonts w:ascii="Arial" w:hAnsi="Arial"/>
          <w:color w:val="000000"/>
          <w:sz w:val="22"/>
        </w:rPr>
        <w:t> </w:t>
      </w:r>
      <w:r>
        <w:rPr>
          <w:rFonts w:ascii="Arial" w:hAnsi="Arial"/>
          <w:color w:val="000000"/>
          <w:sz w:val="20"/>
        </w:rPr>
        <w:t>at</w:t>
      </w:r>
      <w:r>
        <w:rPr>
          <w:rFonts w:ascii="Arial" w:hAnsi="Arial"/>
          <w:color w:val="000000"/>
          <w:sz w:val="22"/>
        </w:rPr>
        <w:t> </w:t>
      </w:r>
      <w:r>
        <w:rPr>
          <w:rFonts w:ascii="Arial" w:hAnsi="Arial"/>
          <w:color w:val="000000"/>
          <w:sz w:val="20"/>
        </w:rPr>
        <w:t>the Borrower</w:t>
      </w:r>
      <w:r>
        <w:rPr>
          <w:rFonts w:ascii="Arial" w:hAnsi="Arial"/>
          <w:color w:val="000000"/>
          <w:sz w:val="22"/>
        </w:rPr>
        <w:t>’s </w:t>
      </w:r>
      <w:r>
        <w:rPr>
          <w:rFonts w:ascii="Arial" w:hAnsi="Arial"/>
          <w:color w:val="000000"/>
          <w:sz w:val="20"/>
        </w:rPr>
        <w:t>request</w:t>
      </w:r>
      <w:r>
        <w:rPr>
          <w:rFonts w:ascii="Arial" w:hAnsi="Arial"/>
          <w:sz w:val="22"/>
        </w:rPr>
        <w:t xml:space="preserve"> </w:t>
      </w:r>
    </w:p>
    <w:p>
      <w:pPr>
        <w:pStyle w:val="TextBody"/>
        <w:bidi w:val="0"/>
        <w:spacing w:before="192" w:after="0"/>
        <w:ind w:left="360" w:right="360" w:hanging="0"/>
        <w:jc w:val="left"/>
        <w:rPr>
          <w:rFonts w:cs="Arial"/>
          <w:szCs w:val="30"/>
        </w:rPr>
      </w:pPr>
      <w:r>
        <w:rPr>
          <w:rFonts w:cs="Times New Roman"/>
          <w:color w:val="000000"/>
          <w:szCs w:val="30"/>
        </w:rPr>
        <w:t>﻿</w:t>
      </w:r>
      <w:r>
        <w:rPr>
          <w:rFonts w:cs="Arial"/>
          <w:szCs w:val="30"/>
        </w:rPr>
        <w:t xml:space="preserve"> </w:t>
      </w:r>
    </w:p>
    <w:tbl>
      <w:tblPr>
        <w:tblW w:w="1691" w:type="dxa"/>
        <w:jc w:val="left"/>
        <w:tblInd w:w="360" w:type="dxa"/>
        <w:tblLayout w:type="fixed"/>
        <w:tblCellMar>
          <w:top w:w="0" w:type="dxa"/>
          <w:left w:w="0" w:type="dxa"/>
          <w:bottom w:w="0" w:type="dxa"/>
          <w:right w:w="0" w:type="dxa"/>
        </w:tblCellMar>
      </w:tblPr>
      <w:tblGrid>
        <w:gridCol w:w="38"/>
        <w:gridCol w:w="530"/>
        <w:gridCol w:w="23"/>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24. </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tcPr>
          <w:p>
            <w:pPr>
              <w:pStyle w:val="TableContents"/>
              <w:bidi w:val="0"/>
              <w:spacing w:before="0" w:after="0"/>
              <w:ind w:left="0" w:right="0" w:hanging="0"/>
              <w:jc w:val="left"/>
              <w:rPr>
                <w:rFonts w:ascii="Arial" w:hAnsi="Arial"/>
                <w:color w:val="000000"/>
                <w:sz w:val="30"/>
              </w:rPr>
            </w:pPr>
            <w:bookmarkStart w:id="302" w:name="General18"/>
            <w:bookmarkStart w:id="303" w:name="_TOC_250028"/>
            <w:bookmarkEnd w:id="302"/>
            <w:bookmarkEnd w:id="303"/>
            <w:r>
              <w:rPr>
                <w:rFonts w:ascii="Arial" w:hAnsi="Arial"/>
                <w:color w:val="000000"/>
                <w:sz w:val="30"/>
              </w:rPr>
              <w:t>General</w:t>
            </w:r>
          </w:p>
        </w:tc>
      </w:tr>
    </w:tbl>
    <w:tbl>
      <w:tblPr>
        <w:tblW w:w="1361" w:type="dxa"/>
        <w:jc w:val="left"/>
        <w:tblInd w:w="360" w:type="dxa"/>
        <w:tblLayout w:type="fixed"/>
        <w:tblCellMar>
          <w:top w:w="0" w:type="dxa"/>
          <w:left w:w="0" w:type="dxa"/>
          <w:bottom w:w="0" w:type="dxa"/>
          <w:right w:w="0" w:type="dxa"/>
        </w:tblCellMar>
      </w:tblPr>
      <w:tblGrid>
        <w:gridCol w:w="38"/>
        <w:gridCol w:w="560"/>
        <w:gridCol w:w="23"/>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 </w:t>
            </w:r>
          </w:p>
        </w:tc>
        <w:tc>
          <w:tcPr>
            <w:tcW w:w="23" w:type="dxa"/>
            <w:tcBorders/>
            <w:vAlign w:val="center"/>
          </w:tcPr>
          <w:p>
            <w:pPr>
              <w:pStyle w:val="TableContents"/>
              <w:bidi w:val="0"/>
              <w:spacing w:before="0" w:after="283"/>
              <w:jc w:val="left"/>
              <w:rPr>
                <w:sz w:val="4"/>
                <w:szCs w:val="4"/>
              </w:rPr>
            </w:pPr>
            <w:r>
              <w:rPr>
                <w:sz w:val="4"/>
                <w:szCs w:val="4"/>
              </w:rPr>
            </w:r>
          </w:p>
        </w:tc>
        <w:tc>
          <w:tcPr>
            <w:tcW w:w="740" w:type="dxa"/>
            <w:tcBorders/>
          </w:tcPr>
          <w:p>
            <w:pPr>
              <w:pStyle w:val="TableContents"/>
              <w:bidi w:val="0"/>
              <w:spacing w:before="174" w:after="0"/>
              <w:ind w:left="0" w:right="0" w:hanging="0"/>
              <w:jc w:val="left"/>
              <w:rPr>
                <w:rFonts w:ascii="Arial" w:hAnsi="Arial"/>
                <w:b/>
                <w:color w:val="000000"/>
                <w:sz w:val="22"/>
              </w:rPr>
            </w:pPr>
            <w:bookmarkStart w:id="304" w:name="Set_off181"/>
            <w:bookmarkStart w:id="305" w:name="_TOC_250027"/>
            <w:bookmarkEnd w:id="304"/>
            <w:bookmarkEnd w:id="305"/>
            <w:r>
              <w:rPr>
                <w:rFonts w:ascii="Arial" w:hAnsi="Arial"/>
                <w:b/>
                <w:color w:val="000000"/>
                <w:sz w:val="22"/>
              </w:rPr>
              <w:t>Set-off</w:t>
            </w:r>
          </w:p>
        </w:tc>
      </w:tr>
    </w:tbl>
    <w:p>
      <w:pPr>
        <w:pStyle w:val="TextBody"/>
        <w:bidi w:val="0"/>
        <w:spacing w:lineRule="auto" w:line="264" w:before="87" w:after="0"/>
        <w:ind w:left="3456" w:right="1722" w:hanging="0"/>
        <w:jc w:val="left"/>
        <w:rPr>
          <w:rFonts w:ascii="Arial" w:hAnsi="Arial"/>
          <w:sz w:val="20"/>
        </w:rPr>
      </w:pPr>
      <w:r>
        <w:rPr>
          <w:rFonts w:ascii="Arial" w:hAnsi="Arial"/>
          <w:color w:val="000000"/>
          <w:sz w:val="20"/>
        </w:rPr>
        <w:t>The Bank may set off any money due for payment by the Bank to the Borrower, whatsoever, including any money in any currency held by the Bank for the account of the Borrower in any place, against any money due for payment by the Borrower to the Bank under a Transaction Document.</w:t>
      </w:r>
      <w:r>
        <w:rPr>
          <w:rFonts w:ascii="Arial" w:hAnsi="Arial"/>
          <w:sz w:val="20"/>
        </w:rPr>
        <w:t xml:space="preserve"> </w:t>
      </w:r>
    </w:p>
    <w:tbl>
      <w:tblPr>
        <w:tblW w:w="2411" w:type="dxa"/>
        <w:jc w:val="left"/>
        <w:tblInd w:w="360" w:type="dxa"/>
        <w:tblLayout w:type="fixed"/>
        <w:tblCellMar>
          <w:top w:w="0" w:type="dxa"/>
          <w:left w:w="0" w:type="dxa"/>
          <w:bottom w:w="0" w:type="dxa"/>
          <w:right w:w="0" w:type="dxa"/>
        </w:tblCellMar>
      </w:tblPr>
      <w:tblGrid>
        <w:gridCol w:w="38"/>
        <w:gridCol w:w="560"/>
        <w:gridCol w:w="23"/>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24.2. </w:t>
            </w:r>
          </w:p>
        </w:tc>
        <w:tc>
          <w:tcPr>
            <w:tcW w:w="23" w:type="dxa"/>
            <w:tcBorders/>
            <w:vAlign w:val="center"/>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174" w:after="0"/>
              <w:ind w:left="0" w:right="0" w:hanging="0"/>
              <w:jc w:val="left"/>
              <w:rPr>
                <w:rFonts w:ascii="Arial" w:hAnsi="Arial"/>
                <w:b/>
                <w:color w:val="000000"/>
                <w:sz w:val="22"/>
              </w:rPr>
            </w:pPr>
            <w:bookmarkStart w:id="306" w:name="Banks_certifacte182"/>
            <w:bookmarkEnd w:id="306"/>
            <w:r>
              <w:rPr>
                <w:rFonts w:ascii="Arial" w:hAnsi="Arial"/>
                <w:b/>
                <w:color w:val="000000"/>
                <w:sz w:val="22"/>
              </w:rPr>
              <w:t>Bank’s certifacte</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(a)A certificate by the Bank relating to any amount owing under a Transaction Document or as to its opinion in relation to any matter under any Transaction Document is prima facie evidence against the Borrower</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75"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3" descr=""/>
                    <pic:cNvPicPr>
                      <a:picLocks noChangeAspect="1" noChangeArrowheads="1"/>
                    </pic:cNvPicPr>
                  </pic:nvPicPr>
                  <pic:blipFill>
                    <a:blip r:embed="rId17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76"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4" descr=""/>
                    <pic:cNvPicPr>
                      <a:picLocks noChangeAspect="1" noChangeArrowheads="1"/>
                    </pic:cNvPicPr>
                  </pic:nvPicPr>
                  <pic:blipFill>
                    <a:blip r:embed="rId17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6" w:before="0" w:after="0"/>
        <w:ind w:left="3950" w:right="1940" w:hanging="0"/>
        <w:jc w:val="left"/>
        <w:rPr>
          <w:rFonts w:ascii="Arial" w:hAnsi="Arial"/>
          <w:sz w:val="20"/>
        </w:rPr>
      </w:pPr>
      <w:r>
        <w:rPr>
          <w:rFonts w:ascii="Arial" w:hAnsi="Arial"/>
          <w:sz w:val="20"/>
        </w:rPr>
        <w:t xml:space="preserve">of the matters certified unless proven incorrect or there is a manifest error.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(b)The Bank is not obliged to give the reasons for its determination or opinion in relation to any matter under any Transaction Document. Any certification, determination or opinion relating to an amount must contain reasonable detail as to how the amount was calculated.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(c)A determination or an opinion of an Authorised Representative of the Bank which is given to the Borrower or otherwise expressed or acted on by the Bank as being a determination or an opinion of the Bank will be deemed to be a determination or opinion of the Bank. </w:t>
      </w:r>
    </w:p>
    <w:tbl>
      <w:tblPr>
        <w:tblW w:w="3131" w:type="dxa"/>
        <w:jc w:val="left"/>
        <w:tblInd w:w="360" w:type="dxa"/>
        <w:tblLayout w:type="fixed"/>
        <w:tblCellMar>
          <w:top w:w="0" w:type="dxa"/>
          <w:left w:w="0" w:type="dxa"/>
          <w:bottom w:w="0" w:type="dxa"/>
          <w:right w:w="0" w:type="dxa"/>
        </w:tblCellMar>
      </w:tblPr>
      <w:tblGrid>
        <w:gridCol w:w="38"/>
        <w:gridCol w:w="560"/>
        <w:gridCol w:w="23"/>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24.3. </w:t>
            </w:r>
          </w:p>
        </w:tc>
        <w:tc>
          <w:tcPr>
            <w:tcW w:w="23" w:type="dxa"/>
            <w:tcBorders/>
            <w:vAlign w:val="center"/>
          </w:tcPr>
          <w:p>
            <w:pPr>
              <w:pStyle w:val="TableContents"/>
              <w:bidi w:val="0"/>
              <w:spacing w:before="0" w:after="283"/>
              <w:jc w:val="left"/>
              <w:rPr>
                <w:sz w:val="4"/>
                <w:szCs w:val="4"/>
              </w:rPr>
            </w:pPr>
            <w:r>
              <w:rPr>
                <w:sz w:val="4"/>
                <w:szCs w:val="4"/>
              </w:rPr>
            </w:r>
          </w:p>
        </w:tc>
        <w:tc>
          <w:tcPr>
            <w:tcW w:w="2510" w:type="dxa"/>
            <w:tcBorders/>
          </w:tcPr>
          <w:p>
            <w:pPr>
              <w:pStyle w:val="TableContents"/>
              <w:bidi w:val="0"/>
              <w:spacing w:before="174" w:after="0"/>
              <w:ind w:left="0" w:right="0" w:hanging="0"/>
              <w:jc w:val="left"/>
              <w:rPr>
                <w:rFonts w:ascii="Arial" w:hAnsi="Arial"/>
                <w:b/>
                <w:color w:val="000000"/>
                <w:sz w:val="22"/>
              </w:rPr>
            </w:pPr>
            <w:bookmarkStart w:id="307" w:name="Supervening_legislation183"/>
            <w:bookmarkStart w:id="308" w:name="_TOC_250026"/>
            <w:bookmarkEnd w:id="307"/>
            <w:bookmarkEnd w:id="308"/>
            <w:r>
              <w:rPr>
                <w:rFonts w:ascii="Arial" w:hAnsi="Arial"/>
                <w:b/>
                <w:color w:val="000000"/>
                <w:sz w:val="22"/>
              </w:rPr>
              <w:t>Supervening legislation</w:t>
            </w:r>
          </w:p>
        </w:tc>
      </w:tr>
    </w:tbl>
    <w:p>
      <w:pPr>
        <w:pStyle w:val="TextBody"/>
        <w:bidi w:val="0"/>
        <w:spacing w:before="85" w:after="0"/>
        <w:ind w:left="3456" w:right="360" w:hanging="0"/>
        <w:jc w:val="left"/>
        <w:rPr>
          <w:rFonts w:ascii="Arial" w:hAnsi="Arial"/>
          <w:sz w:val="20"/>
        </w:rPr>
      </w:pPr>
      <w:r>
        <w:rPr>
          <w:rFonts w:ascii="Arial" w:hAnsi="Arial"/>
          <w:color w:val="000000"/>
          <w:sz w:val="20"/>
        </w:rPr>
        <w:t>Any present or future legislation which operates: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(a)to lessen or vary in favour of the Borrower any of its obligations in connection with the Transaction Documents;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(b)to postpone, stay, suspend or curtail any rights of the Bank under the Transaction Documents,</w:t>
      </w:r>
      <w:r>
        <w:rPr>
          <w:rFonts w:ascii="Arial" w:hAnsi="Arial"/>
          <w:sz w:val="20"/>
        </w:rPr>
        <w:t xml:space="preserve"> </w:t>
      </w:r>
    </w:p>
    <w:p>
      <w:pPr>
        <w:pStyle w:val="TextBody"/>
        <w:bidi w:val="0"/>
        <w:spacing w:lineRule="auto" w:line="266" w:before="109" w:after="0"/>
        <w:ind w:left="3456" w:right="1854" w:hanging="0"/>
        <w:jc w:val="left"/>
        <w:rPr>
          <w:rFonts w:ascii="Arial" w:hAnsi="Arial"/>
          <w:sz w:val="20"/>
        </w:rPr>
      </w:pPr>
      <w:r>
        <w:rPr>
          <w:rFonts w:ascii="Arial" w:hAnsi="Arial"/>
          <w:color w:val="000000"/>
          <w:sz w:val="20"/>
        </w:rPr>
        <w:t>is excluded except to the extent that its exclusion is prohibited or rendered ineffective by law.</w:t>
      </w:r>
      <w:r>
        <w:rPr>
          <w:rFonts w:ascii="Arial" w:hAnsi="Arial"/>
          <w:sz w:val="20"/>
        </w:rPr>
        <w:t xml:space="preserve"> </w:t>
      </w:r>
    </w:p>
    <w:tbl>
      <w:tblPr>
        <w:tblW w:w="2741" w:type="dxa"/>
        <w:jc w:val="left"/>
        <w:tblInd w:w="360" w:type="dxa"/>
        <w:tblLayout w:type="fixed"/>
        <w:tblCellMar>
          <w:top w:w="0" w:type="dxa"/>
          <w:left w:w="0" w:type="dxa"/>
          <w:bottom w:w="0" w:type="dxa"/>
          <w:right w:w="0" w:type="dxa"/>
        </w:tblCellMar>
      </w:tblPr>
      <w:tblGrid>
        <w:gridCol w:w="38"/>
        <w:gridCol w:w="560"/>
        <w:gridCol w:w="23"/>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24.4. </w:t>
            </w:r>
          </w:p>
        </w:tc>
        <w:tc>
          <w:tcPr>
            <w:tcW w:w="23" w:type="dxa"/>
            <w:tcBorders/>
            <w:vAlign w:val="center"/>
          </w:tcPr>
          <w:p>
            <w:pPr>
              <w:pStyle w:val="TableContents"/>
              <w:bidi w:val="0"/>
              <w:spacing w:before="0" w:after="283"/>
              <w:jc w:val="left"/>
              <w:rPr>
                <w:sz w:val="4"/>
                <w:szCs w:val="4"/>
              </w:rPr>
            </w:pPr>
            <w:r>
              <w:rPr>
                <w:sz w:val="4"/>
                <w:szCs w:val="4"/>
              </w:rPr>
            </w:r>
          </w:p>
        </w:tc>
        <w:tc>
          <w:tcPr>
            <w:tcW w:w="2120" w:type="dxa"/>
            <w:tcBorders/>
          </w:tcPr>
          <w:p>
            <w:pPr>
              <w:pStyle w:val="TableContents"/>
              <w:bidi w:val="0"/>
              <w:spacing w:before="174" w:after="0"/>
              <w:ind w:left="0" w:right="0" w:hanging="0"/>
              <w:jc w:val="left"/>
              <w:rPr>
                <w:rFonts w:ascii="Arial" w:hAnsi="Arial"/>
                <w:b/>
                <w:color w:val="000000"/>
                <w:sz w:val="22"/>
              </w:rPr>
            </w:pPr>
            <w:bookmarkStart w:id="309" w:name="Time_of_the_essence184"/>
            <w:bookmarkStart w:id="310" w:name="_TOC_250025"/>
            <w:bookmarkEnd w:id="309"/>
            <w:bookmarkEnd w:id="310"/>
            <w:r>
              <w:rPr>
                <w:rFonts w:ascii="Arial" w:hAnsi="Arial"/>
                <w:b/>
                <w:color w:val="000000"/>
                <w:sz w:val="22"/>
              </w:rPr>
              <w:t>Time of the essence</w:t>
            </w:r>
          </w:p>
        </w:tc>
      </w:tr>
    </w:tbl>
    <w:p>
      <w:pPr>
        <w:pStyle w:val="TextBody"/>
        <w:bidi w:val="0"/>
        <w:spacing w:lineRule="auto" w:line="264" w:before="87" w:after="0"/>
        <w:ind w:left="3456" w:right="1940" w:hanging="0"/>
        <w:jc w:val="left"/>
        <w:rPr>
          <w:rFonts w:ascii="Arial" w:hAnsi="Arial"/>
          <w:sz w:val="20"/>
        </w:rPr>
      </w:pPr>
      <w:r>
        <w:rPr>
          <w:rFonts w:ascii="Arial" w:hAnsi="Arial"/>
          <w:color w:val="000000"/>
          <w:sz w:val="20"/>
        </w:rPr>
        <w:t>Time is of the essence as regards any obligations of the Borrower or any date or period determined under the Transaction Documents, and if any date or period is altered by agreement between the parties, time is of the essence as regards such altered date or period.</w:t>
      </w:r>
      <w:r>
        <w:rPr>
          <w:rFonts w:ascii="Arial" w:hAnsi="Arial"/>
          <w:sz w:val="20"/>
        </w:rPr>
        <w:t xml:space="preserve"> </w:t>
      </w:r>
    </w:p>
    <w:tbl>
      <w:tblPr>
        <w:tblW w:w="2216" w:type="dxa"/>
        <w:jc w:val="left"/>
        <w:tblInd w:w="360" w:type="dxa"/>
        <w:tblLayout w:type="fixed"/>
        <w:tblCellMar>
          <w:top w:w="0" w:type="dxa"/>
          <w:left w:w="0" w:type="dxa"/>
          <w:bottom w:w="0" w:type="dxa"/>
          <w:right w:w="0" w:type="dxa"/>
        </w:tblCellMar>
      </w:tblPr>
      <w:tblGrid>
        <w:gridCol w:w="38"/>
        <w:gridCol w:w="560"/>
        <w:gridCol w:w="23"/>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24.5. </w:t>
            </w:r>
          </w:p>
        </w:tc>
        <w:tc>
          <w:tcPr>
            <w:tcW w:w="23" w:type="dxa"/>
            <w:tcBorders/>
            <w:vAlign w:val="center"/>
          </w:tcPr>
          <w:p>
            <w:pPr>
              <w:pStyle w:val="TableContents"/>
              <w:bidi w:val="0"/>
              <w:spacing w:before="0" w:after="283"/>
              <w:jc w:val="left"/>
              <w:rPr>
                <w:sz w:val="4"/>
                <w:szCs w:val="4"/>
              </w:rPr>
            </w:pPr>
            <w:r>
              <w:rPr>
                <w:sz w:val="4"/>
                <w:szCs w:val="4"/>
              </w:rPr>
            </w:r>
          </w:p>
        </w:tc>
        <w:tc>
          <w:tcPr>
            <w:tcW w:w="1595" w:type="dxa"/>
            <w:tcBorders/>
          </w:tcPr>
          <w:p>
            <w:pPr>
              <w:pStyle w:val="TableContents"/>
              <w:bidi w:val="0"/>
              <w:spacing w:before="174" w:after="0"/>
              <w:ind w:left="0" w:right="0" w:hanging="0"/>
              <w:jc w:val="left"/>
              <w:rPr>
                <w:rFonts w:ascii="Arial" w:hAnsi="Arial"/>
                <w:b/>
                <w:color w:val="000000"/>
                <w:sz w:val="22"/>
              </w:rPr>
            </w:pPr>
            <w:bookmarkStart w:id="311" w:name="Business_Days185"/>
            <w:bookmarkStart w:id="312" w:name="_TOC_250024"/>
            <w:bookmarkEnd w:id="311"/>
            <w:bookmarkEnd w:id="312"/>
            <w:r>
              <w:rPr>
                <w:rFonts w:ascii="Arial" w:hAnsi="Arial"/>
                <w:b/>
                <w:color w:val="000000"/>
                <w:sz w:val="22"/>
              </w:rPr>
              <w:t>Business Days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(a)If the day on or by which anything, other than making a payment, must be done by the Borrower under a Transaction Document is not a Business Day, that thing must be done on or by the preceding Business Day.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(b)If a payment would otherwise be due on a day which is not a Business Day it will be due on the immediately following Business Day. However, if this would result in the payment being due in the month after the original due day or after the Termination Date it will be due on the immediately preceding Business Day.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(c)If anything, including making a payment, is to be done by the Borrower on or by a particular day and it is done:</w:t>
      </w:r>
      <w:r>
        <w:rPr>
          <w:rFonts w:ascii="Arial" w:hAnsi="Arial"/>
          <w:sz w:val="20"/>
        </w:rPr>
        <w:t xml:space="preserve"> </w:t>
      </w:r>
    </w:p>
    <w:p>
      <w:pPr>
        <w:pStyle w:val="TextBody"/>
        <w:bidi w:val="0"/>
        <w:spacing w:lineRule="auto" w:line="264" w:before="106" w:after="0"/>
        <w:ind w:left="4540" w:right="2021" w:hanging="0"/>
        <w:jc w:val="left"/>
        <w:rPr>
          <w:rFonts w:ascii="Arial" w:hAnsi="Arial"/>
          <w:sz w:val="20"/>
        </w:rPr>
      </w:pPr>
      <w:r>
        <w:rPr>
          <w:rFonts w:ascii="Arial" w:hAnsi="Arial"/>
          <w:color w:val="000000"/>
          <w:sz w:val="20"/>
        </w:rPr>
        <w:t>(i)after the time by which a Transaction Document states it must be done or, if the Transaction Document does not state a time, after</w:t>
      </w:r>
      <w:r>
        <w:rPr>
          <w:rFonts w:ascii="Arial" w:hAnsi="Arial"/>
          <w:sz w:val="20"/>
        </w:rPr>
        <w:t xml:space="preserve"> </w:t>
      </w:r>
    </w:p>
    <w:p>
      <w:pPr>
        <w:pStyle w:val="TextBody"/>
        <w:bidi w:val="0"/>
        <w:spacing w:before="1" w:after="0"/>
        <w:ind w:left="4540" w:right="360" w:hanging="0"/>
        <w:jc w:val="left"/>
        <w:rPr>
          <w:rFonts w:ascii="Arial" w:hAnsi="Arial"/>
          <w:sz w:val="20"/>
        </w:rPr>
      </w:pPr>
      <w:r>
        <w:rPr>
          <w:rFonts w:ascii="Arial" w:hAnsi="Arial"/>
          <w:color w:val="000000"/>
          <w:sz w:val="20"/>
        </w:rPr>
        <w:t>4.00 pm in the place where it is to be done; or</w:t>
      </w:r>
      <w:r>
        <w:rPr>
          <w:rFonts w:ascii="Arial" w:hAnsi="Arial"/>
          <w:sz w:val="20"/>
        </w:rPr>
        <w:t xml:space="preserve"> </w:t>
      </w:r>
    </w:p>
    <w:p>
      <w:pPr>
        <w:pStyle w:val="TextBody"/>
        <w:bidi w:val="0"/>
        <w:spacing w:before="135" w:after="0"/>
        <w:ind w:left="4539" w:right="360" w:hanging="0"/>
        <w:jc w:val="left"/>
        <w:rPr>
          <w:rFonts w:ascii="Arial" w:hAnsi="Arial"/>
          <w:sz w:val="20"/>
        </w:rPr>
      </w:pPr>
      <w:r>
        <w:rPr>
          <w:rFonts w:ascii="Arial" w:hAnsi="Arial"/>
          <w:color w:val="000000"/>
          <w:sz w:val="20"/>
        </w:rPr>
        <w:t>(ii)on a day which is not a Business Day,</w:t>
      </w:r>
      <w:r>
        <w:rPr>
          <w:rFonts w:ascii="Arial" w:hAnsi="Arial"/>
          <w:sz w:val="20"/>
        </w:rPr>
        <w:t xml:space="preserve"> </w:t>
      </w:r>
    </w:p>
    <w:p>
      <w:pPr>
        <w:pStyle w:val="TextBody"/>
        <w:pBdr/>
        <w:bidi w:val="0"/>
        <w:spacing w:lineRule="auto" w:line="266" w:before="134" w:after="0"/>
        <w:ind w:left="3988" w:right="1940" w:hanging="0"/>
        <w:jc w:val="left"/>
        <w:rPr>
          <w:rFonts w:ascii="Arial" w:hAnsi="Arial"/>
          <w:sz w:val="20"/>
        </w:rPr>
      </w:pPr>
      <w:r>
        <w:rPr>
          <w:rFonts w:ascii="Arial" w:hAnsi="Arial"/>
          <w:color w:val="000000"/>
          <w:sz w:val="20"/>
        </w:rPr>
        <w:t>it will be deemed to have been done at 9.00 am on the next Business Day.</w:t>
      </w:r>
      <w:r>
        <w:rPr>
          <w:rFonts w:ascii="Arial" w:hAnsi="Arial"/>
          <w:sz w:val="20"/>
        </w:rPr>
        <w:t xml:space="preserve"> </w:t>
      </w:r>
    </w:p>
    <w:p>
      <w:pPr>
        <w:pStyle w:val="TextBody"/>
        <w:pBdr/>
        <w:bidi w:val="0"/>
        <w:spacing w:lineRule="auto" w:line="266"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77"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5" descr=""/>
                    <pic:cNvPicPr>
                      <a:picLocks noChangeAspect="1" noChangeArrowheads="1"/>
                    </pic:cNvPicPr>
                  </pic:nvPicPr>
                  <pic:blipFill>
                    <a:blip r:embed="rId17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78"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6" descr=""/>
                    <pic:cNvPicPr>
                      <a:picLocks noChangeAspect="1" noChangeArrowheads="1"/>
                    </pic:cNvPicPr>
                  </pic:nvPicPr>
                  <pic:blipFill>
                    <a:blip r:embed="rId17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72" w:after="0"/>
        <w:ind w:left="360" w:right="360" w:hanging="0"/>
        <w:jc w:val="left"/>
        <w:rPr>
          <w:rFonts w:cs="Arial"/>
          <w:szCs w:val="22"/>
        </w:rPr>
      </w:pPr>
      <w:r>
        <w:rPr>
          <w:rFonts w:cs="Arial"/>
          <w:szCs w:val="22"/>
        </w:rPr>
        <w:t xml:space="preserve">﻿ </w:t>
      </w:r>
    </w:p>
    <w:tbl>
      <w:tblPr>
        <w:tblW w:w="2186" w:type="dxa"/>
        <w:jc w:val="left"/>
        <w:tblInd w:w="360" w:type="dxa"/>
        <w:tblLayout w:type="fixed"/>
        <w:tblCellMar>
          <w:top w:w="0" w:type="dxa"/>
          <w:left w:w="0" w:type="dxa"/>
          <w:bottom w:w="0" w:type="dxa"/>
          <w:right w:w="0" w:type="dxa"/>
        </w:tblCellMar>
      </w:tblPr>
      <w:tblGrid>
        <w:gridCol w:w="38"/>
        <w:gridCol w:w="560"/>
        <w:gridCol w:w="23"/>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24.6. </w:t>
            </w:r>
          </w:p>
        </w:tc>
        <w:tc>
          <w:tcPr>
            <w:tcW w:w="23" w:type="dxa"/>
            <w:tcBorders/>
            <w:vAlign w:val="center"/>
          </w:tcPr>
          <w:p>
            <w:pPr>
              <w:pStyle w:val="TableContents"/>
              <w:bidi w:val="0"/>
              <w:spacing w:before="0" w:after="283"/>
              <w:jc w:val="left"/>
              <w:rPr>
                <w:sz w:val="4"/>
                <w:szCs w:val="4"/>
              </w:rPr>
            </w:pPr>
            <w:r>
              <w:rPr>
                <w:sz w:val="4"/>
                <w:szCs w:val="4"/>
              </w:rPr>
            </w:r>
          </w:p>
        </w:tc>
        <w:tc>
          <w:tcPr>
            <w:tcW w:w="1565" w:type="dxa"/>
            <w:tcBorders/>
          </w:tcPr>
          <w:p>
            <w:pPr>
              <w:pStyle w:val="TableContents"/>
              <w:bidi w:val="0"/>
              <w:spacing w:before="174" w:after="0"/>
              <w:ind w:left="0" w:right="0" w:hanging="0"/>
              <w:jc w:val="left"/>
              <w:rPr>
                <w:rFonts w:ascii="Arial" w:hAnsi="Arial"/>
                <w:b/>
                <w:color w:val="000000"/>
                <w:sz w:val="22"/>
              </w:rPr>
            </w:pPr>
            <w:bookmarkStart w:id="313" w:name="Confidentiality186"/>
            <w:bookmarkStart w:id="314" w:name="_TOC_250023"/>
            <w:bookmarkEnd w:id="313"/>
            <w:bookmarkEnd w:id="314"/>
            <w:r>
              <w:rPr>
                <w:rFonts w:ascii="Arial" w:hAnsi="Arial"/>
                <w:b/>
                <w:color w:val="000000"/>
                <w:sz w:val="22"/>
              </w:rPr>
              <w:t>Confidentiality</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Bank must keep any information or document relating to a Transaction Party confidential. However, the Bank may disclose to any person any information or document relating to a Transaction Party:</w:t>
      </w:r>
      <w:r>
        <w:rPr>
          <w:rFonts w:ascii="Arial" w:hAnsi="Arial"/>
          <w:sz w:val="20"/>
        </w:rPr>
        <w:t xml:space="preserve"> </w:t>
      </w:r>
    </w:p>
    <w:p>
      <w:pPr>
        <w:pStyle w:val="TextBody"/>
        <w:bidi w:val="0"/>
        <w:spacing w:before="110" w:after="0"/>
        <w:ind w:left="4539" w:right="360" w:hanging="0"/>
        <w:jc w:val="left"/>
        <w:rPr>
          <w:rFonts w:ascii="Arial" w:hAnsi="Arial"/>
          <w:sz w:val="20"/>
        </w:rPr>
      </w:pPr>
      <w:r>
        <w:rPr>
          <w:rFonts w:ascii="Arial" w:hAnsi="Arial"/>
          <w:color w:val="000000"/>
          <w:sz w:val="20"/>
        </w:rPr>
        <w:t>(i)where permitted in a Transaction Document;</w:t>
      </w:r>
      <w:r>
        <w:rPr>
          <w:rFonts w:ascii="Arial" w:hAnsi="Arial"/>
          <w:sz w:val="20"/>
        </w:rPr>
        <w:t xml:space="preserve"> </w:t>
      </w:r>
    </w:p>
    <w:p>
      <w:pPr>
        <w:pStyle w:val="TextBody"/>
        <w:bidi w:val="0"/>
        <w:spacing w:before="135" w:after="0"/>
        <w:ind w:left="4539" w:right="360" w:hanging="0"/>
        <w:jc w:val="left"/>
        <w:rPr>
          <w:rFonts w:ascii="Arial" w:hAnsi="Arial"/>
          <w:sz w:val="20"/>
        </w:rPr>
      </w:pPr>
      <w:r>
        <w:rPr>
          <w:rFonts w:ascii="Arial" w:hAnsi="Arial"/>
          <w:color w:val="000000"/>
          <w:sz w:val="20"/>
        </w:rPr>
        <w:t>(ii)to another party to a Transaction Document;</w:t>
      </w:r>
      <w:r>
        <w:rPr>
          <w:rFonts w:ascii="Arial" w:hAnsi="Arial"/>
          <w:sz w:val="20"/>
        </w:rPr>
        <w:t xml:space="preserve"> </w:t>
      </w:r>
    </w:p>
    <w:p>
      <w:pPr>
        <w:pStyle w:val="TextBody"/>
        <w:bidi w:val="0"/>
        <w:spacing w:lineRule="auto" w:line="266" w:before="0" w:after="0"/>
        <w:ind w:left="4540" w:right="1895" w:hanging="0"/>
        <w:jc w:val="both"/>
        <w:rPr>
          <w:rFonts w:ascii="Arial" w:hAnsi="Arial"/>
          <w:sz w:val="22"/>
        </w:rPr>
      </w:pPr>
      <w:r>
        <w:rPr>
          <w:rFonts w:ascii="Arial" w:hAnsi="Arial"/>
          <w:color w:val="000000"/>
          <w:sz w:val="20"/>
        </w:rPr>
        <w:t>(iii)to</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potential</w:t>
      </w:r>
      <w:r>
        <w:rPr>
          <w:rFonts w:ascii="Arial" w:hAnsi="Arial"/>
          <w:color w:val="000000"/>
          <w:sz w:val="22"/>
        </w:rPr>
        <w:t> </w:t>
      </w:r>
      <w:r>
        <w:rPr>
          <w:rFonts w:ascii="Arial" w:hAnsi="Arial"/>
          <w:color w:val="000000"/>
          <w:sz w:val="20"/>
        </w:rPr>
        <w:t>transferee,</w:t>
      </w:r>
      <w:r>
        <w:rPr>
          <w:rFonts w:ascii="Arial" w:hAnsi="Arial"/>
          <w:color w:val="000000"/>
          <w:sz w:val="22"/>
        </w:rPr>
        <w:t> </w:t>
      </w:r>
      <w:r>
        <w:rPr>
          <w:rFonts w:ascii="Arial" w:hAnsi="Arial"/>
          <w:color w:val="000000"/>
          <w:sz w:val="20"/>
        </w:rPr>
        <w:t>assignee,</w:t>
      </w:r>
      <w:r>
        <w:rPr>
          <w:rFonts w:ascii="Arial" w:hAnsi="Arial"/>
          <w:color w:val="000000"/>
          <w:sz w:val="22"/>
        </w:rPr>
        <w:t> </w:t>
      </w:r>
      <w:r>
        <w:rPr>
          <w:rFonts w:ascii="Arial" w:hAnsi="Arial"/>
          <w:color w:val="000000"/>
          <w:sz w:val="20"/>
        </w:rPr>
        <w:t>participant</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sub-participant</w:t>
      </w:r>
      <w:r>
        <w:rPr>
          <w:rFonts w:ascii="Arial" w:hAnsi="Arial"/>
          <w:color w:val="000000"/>
          <w:sz w:val="22"/>
        </w:rPr>
        <w:t> </w:t>
      </w:r>
      <w:r>
        <w:rPr>
          <w:rFonts w:ascii="Arial" w:hAnsi="Arial"/>
          <w:color w:val="000000"/>
          <w:sz w:val="20"/>
        </w:rPr>
        <w:t>of the Bank</w:t>
      </w:r>
      <w:r>
        <w:rPr>
          <w:rFonts w:ascii="Arial" w:hAnsi="Arial"/>
          <w:color w:val="000000"/>
          <w:sz w:val="22"/>
        </w:rPr>
        <w:t xml:space="preserve"> interests </w:t>
      </w:r>
      <w:r>
        <w:rPr>
          <w:rFonts w:ascii="Arial" w:hAnsi="Arial"/>
          <w:color w:val="000000"/>
          <w:sz w:val="20"/>
        </w:rPr>
        <w:t>under a Transcation Document or to any other</w:t>
      </w:r>
      <w:r>
        <w:rPr>
          <w:rFonts w:ascii="Arial" w:hAnsi="Arial"/>
          <w:color w:val="000000"/>
          <w:sz w:val="22"/>
        </w:rPr>
        <w:t> </w:t>
      </w:r>
      <w:r>
        <w:rPr>
          <w:rFonts w:ascii="Arial" w:hAnsi="Arial"/>
          <w:color w:val="000000"/>
          <w:sz w:val="20"/>
        </w:rPr>
        <w:t>person who is considering entering into contractual relations with it in connection with a Transaction Document;</w:t>
      </w:r>
      <w:r>
        <w:rPr>
          <w:rFonts w:ascii="Arial" w:hAnsi="Arial"/>
          <w:sz w:val="22"/>
        </w:rPr>
        <w:t xml:space="preserve"> </w:t>
      </w:r>
    </w:p>
    <w:p>
      <w:pPr>
        <w:pStyle w:val="TextBody"/>
        <w:bidi w:val="0"/>
        <w:spacing w:before="103" w:after="0"/>
        <w:ind w:left="4537" w:right="360" w:hanging="0"/>
        <w:jc w:val="both"/>
        <w:rPr>
          <w:rFonts w:ascii="Arial" w:hAnsi="Arial"/>
          <w:sz w:val="20"/>
        </w:rPr>
      </w:pPr>
      <w:r>
        <w:rPr>
          <w:rFonts w:ascii="Arial" w:hAnsi="Arial"/>
          <w:color w:val="000000"/>
          <w:sz w:val="20"/>
        </w:rPr>
        <w:t>(iv)to the Bank ‘s related bodies corporate and shareholders, or to any employee, banker, lawyer, auditor or other consultant of the Bank, its related bodies corporate or its shareholders;</w:t>
      </w:r>
      <w:r>
        <w:rPr>
          <w:rFonts w:ascii="Arial" w:hAnsi="Arial"/>
          <w:sz w:val="20"/>
        </w:rPr>
        <w:t xml:space="preserve"> </w:t>
      </w:r>
    </w:p>
    <w:p>
      <w:pPr>
        <w:pStyle w:val="TextBody"/>
        <w:bidi w:val="0"/>
        <w:spacing w:lineRule="auto" w:line="264" w:before="106" w:after="0"/>
        <w:ind w:left="4540" w:right="1932" w:hanging="0"/>
        <w:jc w:val="both"/>
        <w:rPr>
          <w:rFonts w:ascii="Arial" w:hAnsi="Arial"/>
          <w:sz w:val="20"/>
        </w:rPr>
      </w:pPr>
      <w:r>
        <w:rPr>
          <w:rFonts w:ascii="Arial" w:hAnsi="Arial"/>
          <w:color w:val="000000"/>
          <w:sz w:val="20"/>
        </w:rPr>
        <w:t>(v)to the professional advisers or consultants of any party involved in connection with any Facility who are bound by a duty or obligation of confidence;</w:t>
      </w:r>
      <w:r>
        <w:rPr>
          <w:rFonts w:ascii="Arial" w:hAnsi="Arial"/>
          <w:sz w:val="20"/>
        </w:rPr>
        <w:t xml:space="preserve"> </w:t>
      </w:r>
    </w:p>
    <w:p>
      <w:pPr>
        <w:pStyle w:val="TextBody"/>
        <w:bidi w:val="0"/>
        <w:spacing w:before="111" w:after="0"/>
        <w:ind w:left="4537" w:right="360" w:hanging="0"/>
        <w:jc w:val="both"/>
        <w:rPr>
          <w:rFonts w:ascii="Arial" w:hAnsi="Arial"/>
          <w:sz w:val="20"/>
        </w:rPr>
      </w:pPr>
      <w:r>
        <w:rPr>
          <w:rFonts w:ascii="Arial" w:hAnsi="Arial"/>
          <w:color w:val="000000"/>
          <w:sz w:val="20"/>
        </w:rPr>
        <w:t>(vi)if required by law or by any Government Body or stock exchange;</w:t>
      </w:r>
      <w:r>
        <w:rPr>
          <w:rFonts w:ascii="Arial" w:hAnsi="Arial"/>
          <w:sz w:val="20"/>
        </w:rPr>
        <w:t xml:space="preserve"> </w:t>
      </w:r>
    </w:p>
    <w:p>
      <w:pPr>
        <w:pStyle w:val="TextBody"/>
        <w:bidi w:val="0"/>
        <w:spacing w:lineRule="auto" w:line="264" w:before="0" w:after="0"/>
        <w:ind w:left="4540" w:right="1975" w:hanging="0"/>
        <w:jc w:val="left"/>
        <w:rPr>
          <w:rFonts w:ascii="Arial" w:hAnsi="Arial"/>
          <w:sz w:val="20"/>
        </w:rPr>
      </w:pPr>
      <w:r>
        <w:rPr>
          <w:rFonts w:ascii="Arial" w:hAnsi="Arial"/>
          <w:color w:val="000000"/>
          <w:sz w:val="20"/>
        </w:rPr>
        <w:t>(vii)in connection with any legal proceedings relating to a Transaction Document or a document delivered under or in relation to a Transaction Document;</w:t>
      </w:r>
      <w:r>
        <w:rPr>
          <w:rFonts w:ascii="Arial" w:hAnsi="Arial"/>
          <w:sz w:val="20"/>
        </w:rPr>
        <w:t xml:space="preserve"> </w:t>
      </w:r>
    </w:p>
    <w:p>
      <w:pPr>
        <w:pStyle w:val="TextBody"/>
        <w:bidi w:val="0"/>
        <w:spacing w:before="117" w:after="0"/>
        <w:ind w:left="4536" w:right="360" w:hanging="0"/>
        <w:jc w:val="left"/>
        <w:rPr>
          <w:rFonts w:ascii="Arial" w:hAnsi="Arial"/>
          <w:sz w:val="20"/>
        </w:rPr>
      </w:pPr>
      <w:r>
        <w:rPr>
          <w:rFonts w:ascii="Arial" w:hAnsi="Arial"/>
          <w:color w:val="000000"/>
          <w:sz w:val="20"/>
        </w:rPr>
        <w:t>(viii)if the information or document is in the public domain; or</w:t>
      </w:r>
      <w:r>
        <w:rPr>
          <w:rFonts w:ascii="Arial" w:hAnsi="Arial"/>
          <w:sz w:val="20"/>
        </w:rPr>
        <w:t xml:space="preserve"> </w:t>
      </w:r>
    </w:p>
    <w:p>
      <w:pPr>
        <w:pStyle w:val="TextBody"/>
        <w:bidi w:val="0"/>
        <w:spacing w:lineRule="auto" w:line="264" w:before="135" w:after="0"/>
        <w:ind w:left="4540" w:right="1905" w:hanging="0"/>
        <w:jc w:val="left"/>
        <w:rPr>
          <w:rFonts w:ascii="Arial" w:hAnsi="Arial"/>
          <w:sz w:val="20"/>
        </w:rPr>
      </w:pPr>
      <w:r>
        <w:rPr>
          <w:rFonts w:ascii="Arial" w:hAnsi="Arial"/>
          <w:color w:val="000000"/>
          <w:sz w:val="20"/>
        </w:rPr>
        <w:t>(ix)with the consent of the Borrower (which must not be unreasonably withheld or delayed).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2"/>
        </w:rPr>
      </w:pPr>
      <w:r>
        <w:rPr>
          <w:rFonts w:ascii="Arial" w:hAnsi="Arial"/>
          <w:color w:val="000000"/>
          <w:sz w:val="20"/>
        </w:rPr>
        <w:t xml:space="preserve">(b)Subject to </w:t>
      </w:r>
      <w:r>
        <w:rPr>
          <w:rFonts w:ascii="Arial" w:hAnsi="Arial"/>
          <w:b/>
          <w:color w:val="000000"/>
          <w:sz w:val="20"/>
        </w:rPr>
        <w:t xml:space="preserve">paragraph </w:t>
      </w:r>
      <w:r>
        <w:rPr>
          <w:rFonts w:ascii="Arial" w:hAnsi="Arial"/>
          <w:b/>
          <w:color w:val="2D97D3"/>
          <w:sz w:val="20"/>
          <w:u w:val="single"/>
        </w:rPr>
        <w:t>(c)</w:t>
      </w:r>
      <w:r>
        <w:rPr>
          <w:rFonts w:ascii="Arial" w:hAnsi="Arial"/>
          <w:b/>
          <w:strike/>
          <w:color w:val="B5082D"/>
          <w:sz w:val="20"/>
        </w:rPr>
        <w:t>(c)</w:t>
      </w:r>
      <w:r>
        <w:rPr>
          <w:rFonts w:ascii="Arial" w:hAnsi="Arial"/>
          <w:color w:val="000000"/>
          <w:sz w:val="20"/>
        </w:rPr>
        <w:t>, the Transaction Parties shall keep confidential</w:t>
      </w:r>
      <w:r>
        <w:rPr>
          <w:rFonts w:ascii="Arial" w:hAnsi="Arial"/>
          <w:color w:val="000000"/>
          <w:sz w:val="22"/>
        </w:rPr>
        <w:t> </w:t>
      </w:r>
      <w:r>
        <w:rPr>
          <w:rFonts w:ascii="Arial" w:hAnsi="Arial"/>
          <w:color w:val="000000"/>
          <w:sz w:val="20"/>
        </w:rPr>
        <w:t>and</w:t>
      </w:r>
      <w:r>
        <w:rPr>
          <w:rFonts w:ascii="Arial" w:hAnsi="Arial"/>
          <w:color w:val="000000"/>
          <w:sz w:val="22"/>
        </w:rPr>
        <w:t> </w:t>
      </w:r>
      <w:r>
        <w:rPr>
          <w:rFonts w:ascii="Arial" w:hAnsi="Arial"/>
          <w:color w:val="000000"/>
          <w:sz w:val="20"/>
        </w:rPr>
        <w:t>not</w:t>
      </w:r>
      <w:r>
        <w:rPr>
          <w:rFonts w:ascii="Arial" w:hAnsi="Arial"/>
          <w:color w:val="000000"/>
          <w:sz w:val="22"/>
        </w:rPr>
        <w:t> </w:t>
      </w:r>
      <w:r>
        <w:rPr>
          <w:rFonts w:ascii="Arial" w:hAnsi="Arial"/>
          <w:color w:val="000000"/>
          <w:sz w:val="20"/>
        </w:rPr>
        <w:t>disclose</w:t>
      </w:r>
      <w:r>
        <w:rPr>
          <w:rFonts w:ascii="Arial" w:hAnsi="Arial"/>
          <w:color w:val="000000"/>
          <w:sz w:val="22"/>
        </w:rPr>
        <w:t> </w:t>
      </w:r>
      <w:r>
        <w:rPr>
          <w:rFonts w:ascii="Arial" w:hAnsi="Arial"/>
          <w:color w:val="000000"/>
          <w:sz w:val="20"/>
        </w:rPr>
        <w:t>to</w:t>
      </w:r>
      <w:r>
        <w:rPr>
          <w:rFonts w:ascii="Arial" w:hAnsi="Arial"/>
          <w:color w:val="000000"/>
          <w:sz w:val="22"/>
        </w:rPr>
        <w:t> </w:t>
      </w:r>
      <w:r>
        <w:rPr>
          <w:rFonts w:ascii="Arial" w:hAnsi="Arial"/>
          <w:color w:val="000000"/>
          <w:sz w:val="20"/>
        </w:rPr>
        <w:t>any</w:t>
      </w:r>
      <w:r>
        <w:rPr>
          <w:rFonts w:ascii="Arial" w:hAnsi="Arial"/>
          <w:color w:val="000000"/>
          <w:sz w:val="22"/>
        </w:rPr>
        <w:t> </w:t>
      </w:r>
      <w:r>
        <w:rPr>
          <w:rFonts w:ascii="Arial" w:hAnsi="Arial"/>
          <w:color w:val="000000"/>
          <w:sz w:val="20"/>
        </w:rPr>
        <w:t>other</w:t>
      </w:r>
      <w:r>
        <w:rPr>
          <w:rFonts w:ascii="Arial" w:hAnsi="Arial"/>
          <w:color w:val="000000"/>
          <w:sz w:val="22"/>
        </w:rPr>
        <w:t> </w:t>
      </w:r>
      <w:r>
        <w:rPr>
          <w:rFonts w:ascii="Arial" w:hAnsi="Arial"/>
          <w:color w:val="000000"/>
          <w:sz w:val="20"/>
        </w:rPr>
        <w:t>person</w:t>
      </w:r>
      <w:r>
        <w:rPr>
          <w:rFonts w:ascii="Arial" w:hAnsi="Arial"/>
          <w:color w:val="000000"/>
          <w:sz w:val="22"/>
        </w:rPr>
        <w:t> </w:t>
      </w:r>
      <w:r>
        <w:rPr>
          <w:rFonts w:ascii="Arial" w:hAnsi="Arial"/>
          <w:color w:val="000000"/>
          <w:sz w:val="20"/>
        </w:rPr>
        <w:t>the</w:t>
      </w:r>
      <w:r>
        <w:rPr>
          <w:rFonts w:ascii="Arial" w:hAnsi="Arial"/>
          <w:color w:val="000000"/>
          <w:sz w:val="22"/>
        </w:rPr>
        <w:t> </w:t>
      </w:r>
      <w:r>
        <w:rPr>
          <w:rFonts w:ascii="Arial" w:hAnsi="Arial"/>
          <w:color w:val="000000"/>
          <w:sz w:val="20"/>
        </w:rPr>
        <w:t>terms</w:t>
      </w:r>
      <w:r>
        <w:rPr>
          <w:rFonts w:ascii="Arial" w:hAnsi="Arial"/>
          <w:color w:val="000000"/>
          <w:sz w:val="22"/>
        </w:rPr>
        <w:t> </w:t>
      </w:r>
      <w:r>
        <w:rPr>
          <w:rFonts w:ascii="Arial" w:hAnsi="Arial"/>
          <w:color w:val="000000"/>
          <w:sz w:val="20"/>
        </w:rPr>
        <w:t>of</w:t>
      </w:r>
      <w:r>
        <w:rPr>
          <w:rFonts w:ascii="Arial" w:hAnsi="Arial"/>
          <w:color w:val="000000"/>
          <w:sz w:val="22"/>
        </w:rPr>
        <w:t> </w:t>
      </w:r>
      <w:r>
        <w:rPr>
          <w:rFonts w:ascii="Arial" w:hAnsi="Arial"/>
          <w:color w:val="000000"/>
          <w:sz w:val="20"/>
        </w:rPr>
        <w:t>the Transaction Documents.</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(c)However, the Transaction Parties and any officers or employees of each Transaction Party may disclose such information:</w:t>
      </w:r>
      <w:r>
        <w:rPr>
          <w:rFonts w:ascii="Arial" w:hAnsi="Arial"/>
          <w:sz w:val="20"/>
        </w:rPr>
        <w:t xml:space="preserve"> </w:t>
      </w:r>
    </w:p>
    <w:p>
      <w:pPr>
        <w:pStyle w:val="TextBody"/>
        <w:bidi w:val="0"/>
        <w:spacing w:before="111" w:after="0"/>
        <w:ind w:left="4539" w:right="360" w:hanging="0"/>
        <w:jc w:val="left"/>
        <w:rPr>
          <w:rFonts w:ascii="Arial" w:hAnsi="Arial"/>
          <w:sz w:val="20"/>
        </w:rPr>
      </w:pPr>
      <w:r>
        <w:rPr>
          <w:rFonts w:ascii="Arial" w:hAnsi="Arial"/>
          <w:color w:val="000000"/>
          <w:sz w:val="20"/>
        </w:rPr>
        <w:t>(i)with the prior written consent of the Bank;</w:t>
      </w:r>
      <w:r>
        <w:rPr>
          <w:rFonts w:ascii="Arial" w:hAnsi="Arial"/>
          <w:sz w:val="20"/>
        </w:rPr>
        <w:t xml:space="preserve"> </w:t>
      </w:r>
    </w:p>
    <w:p>
      <w:pPr>
        <w:pStyle w:val="TextBody"/>
        <w:bidi w:val="0"/>
        <w:spacing w:before="0" w:after="0"/>
        <w:ind w:left="4536" w:right="360" w:hanging="0"/>
        <w:jc w:val="both"/>
        <w:rPr>
          <w:rFonts w:ascii="Arial" w:hAnsi="Arial"/>
          <w:sz w:val="20"/>
        </w:rPr>
      </w:pPr>
      <w:r>
        <w:rPr>
          <w:rFonts w:ascii="Arial" w:hAnsi="Arial"/>
          <w:color w:val="000000"/>
          <w:sz w:val="20"/>
        </w:rPr>
        <w:t>(ii)to the extent required by any applicable law or regulation;</w:t>
      </w:r>
      <w:r>
        <w:rPr>
          <w:rFonts w:ascii="Arial" w:hAnsi="Arial"/>
          <w:sz w:val="20"/>
        </w:rPr>
        <w:t xml:space="preserve"> </w:t>
      </w:r>
    </w:p>
    <w:p>
      <w:pPr>
        <w:pStyle w:val="TextBody"/>
        <w:bidi w:val="0"/>
        <w:spacing w:lineRule="auto" w:line="264" w:before="135" w:after="0"/>
        <w:ind w:left="4540" w:right="1953" w:hanging="0"/>
        <w:jc w:val="left"/>
        <w:rPr>
          <w:rFonts w:ascii="Arial" w:hAnsi="Arial"/>
          <w:sz w:val="22"/>
        </w:rPr>
      </w:pPr>
      <w:r>
        <w:rPr>
          <w:rFonts w:ascii="Arial" w:hAnsi="Arial"/>
          <w:color w:val="000000"/>
          <w:sz w:val="20"/>
        </w:rPr>
        <w:t>(iii)to the extent it reasonably deems necessary in connection with any</w:t>
      </w:r>
      <w:r>
        <w:rPr>
          <w:rFonts w:ascii="Arial" w:hAnsi="Arial"/>
          <w:color w:val="000000"/>
          <w:sz w:val="22"/>
        </w:rPr>
        <w:t> </w:t>
      </w:r>
      <w:r>
        <w:rPr>
          <w:rFonts w:ascii="Arial" w:hAnsi="Arial"/>
          <w:color w:val="000000"/>
          <w:sz w:val="20"/>
        </w:rPr>
        <w:t>actual</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contemplated</w:t>
      </w:r>
      <w:r>
        <w:rPr>
          <w:rFonts w:ascii="Arial" w:hAnsi="Arial"/>
          <w:color w:val="000000"/>
          <w:sz w:val="22"/>
        </w:rPr>
        <w:t> </w:t>
      </w:r>
      <w:r>
        <w:rPr>
          <w:rFonts w:ascii="Arial" w:hAnsi="Arial"/>
          <w:color w:val="000000"/>
          <w:sz w:val="20"/>
        </w:rPr>
        <w:t>proceedings</w:t>
      </w:r>
      <w:r>
        <w:rPr>
          <w:rFonts w:ascii="Arial" w:hAnsi="Arial"/>
          <w:color w:val="000000"/>
          <w:sz w:val="22"/>
        </w:rPr>
        <w:t> </w:t>
      </w:r>
      <w:r>
        <w:rPr>
          <w:rFonts w:ascii="Arial" w:hAnsi="Arial"/>
          <w:color w:val="000000"/>
          <w:sz w:val="20"/>
        </w:rPr>
        <w:t>or</w:t>
      </w:r>
      <w:r>
        <w:rPr>
          <w:rFonts w:ascii="Arial" w:hAnsi="Arial"/>
          <w:color w:val="000000"/>
          <w:sz w:val="22"/>
        </w:rPr>
        <w:t> </w:t>
      </w:r>
      <w:r>
        <w:rPr>
          <w:rFonts w:ascii="Arial" w:hAnsi="Arial"/>
          <w:color w:val="000000"/>
          <w:sz w:val="20"/>
        </w:rPr>
        <w:t>a</w:t>
      </w:r>
      <w:r>
        <w:rPr>
          <w:rFonts w:ascii="Arial" w:hAnsi="Arial"/>
          <w:color w:val="000000"/>
          <w:sz w:val="22"/>
        </w:rPr>
        <w:t> </w:t>
      </w:r>
      <w:r>
        <w:rPr>
          <w:rFonts w:ascii="Arial" w:hAnsi="Arial"/>
          <w:color w:val="000000"/>
          <w:sz w:val="20"/>
        </w:rPr>
        <w:t>claim</w:t>
      </w:r>
      <w:r>
        <w:rPr>
          <w:rFonts w:ascii="Arial" w:hAnsi="Arial"/>
          <w:color w:val="000000"/>
          <w:sz w:val="22"/>
        </w:rPr>
        <w:t> </w:t>
      </w:r>
      <w:r>
        <w:rPr>
          <w:rFonts w:ascii="Arial" w:hAnsi="Arial"/>
          <w:color w:val="000000"/>
          <w:sz w:val="20"/>
        </w:rPr>
        <w:t>with</w:t>
      </w:r>
      <w:r>
        <w:rPr>
          <w:rFonts w:ascii="Arial" w:hAnsi="Arial"/>
          <w:color w:val="000000"/>
          <w:sz w:val="22"/>
        </w:rPr>
        <w:t> </w:t>
      </w:r>
      <w:r>
        <w:rPr>
          <w:rFonts w:ascii="Arial" w:hAnsi="Arial"/>
          <w:color w:val="000000"/>
          <w:sz w:val="20"/>
        </w:rPr>
        <w:t>respect</w:t>
      </w:r>
      <w:r>
        <w:rPr>
          <w:rFonts w:ascii="Arial" w:hAnsi="Arial"/>
          <w:color w:val="000000"/>
          <w:sz w:val="22"/>
        </w:rPr>
        <w:t> </w:t>
      </w:r>
      <w:r>
        <w:rPr>
          <w:rFonts w:ascii="Arial" w:hAnsi="Arial"/>
          <w:color w:val="000000"/>
          <w:sz w:val="20"/>
        </w:rPr>
        <w:t xml:space="preserve">to this </w:t>
      </w:r>
      <w:r>
        <w:rPr>
          <w:rFonts w:ascii="Arial" w:hAnsi="Arial"/>
          <w:b/>
          <w:color w:val="000000"/>
          <w:sz w:val="20"/>
        </w:rPr>
        <w:t xml:space="preserve">clause </w:t>
      </w:r>
      <w:r>
        <w:rPr>
          <w:rFonts w:ascii="Arial" w:hAnsi="Arial"/>
          <w:b/>
          <w:color w:val="2D97D3"/>
          <w:sz w:val="20"/>
          <w:u w:val="single"/>
        </w:rPr>
        <w:t>18.6</w:t>
      </w:r>
      <w:r>
        <w:rPr>
          <w:rFonts w:ascii="Arial" w:hAnsi="Arial"/>
          <w:b/>
          <w:strike/>
          <w:color w:val="B5082D"/>
          <w:sz w:val="20"/>
        </w:rPr>
        <w:t>18.6</w:t>
      </w:r>
      <w:r>
        <w:rPr>
          <w:rFonts w:ascii="Arial" w:hAnsi="Arial"/>
          <w:color w:val="000000"/>
          <w:sz w:val="20"/>
        </w:rPr>
        <w:t>; or</w:t>
      </w:r>
      <w:r>
        <w:rPr>
          <w:rFonts w:ascii="Arial" w:hAnsi="Arial"/>
          <w:sz w:val="22"/>
        </w:rPr>
        <w:t xml:space="preserve"> </w:t>
      </w:r>
    </w:p>
    <w:p>
      <w:pPr>
        <w:pStyle w:val="TextBody"/>
        <w:bidi w:val="0"/>
        <w:spacing w:lineRule="auto" w:line="266" w:before="107" w:after="0"/>
        <w:ind w:left="4540" w:right="2476" w:hanging="0"/>
        <w:jc w:val="left"/>
        <w:rPr>
          <w:rFonts w:ascii="Arial" w:hAnsi="Arial"/>
          <w:sz w:val="20"/>
        </w:rPr>
      </w:pPr>
      <w:r>
        <w:rPr>
          <w:rFonts w:ascii="Arial" w:hAnsi="Arial"/>
          <w:color w:val="000000"/>
          <w:sz w:val="20"/>
        </w:rPr>
        <w:t>(iv)to the extent permitted by </w:t>
      </w:r>
      <w:r>
        <w:rPr>
          <w:rFonts w:ascii="Arial" w:hAnsi="Arial"/>
          <w:b/>
          <w:color w:val="000000"/>
          <w:sz w:val="20"/>
        </w:rPr>
        <w:t>clause</w:t>
      </w:r>
      <w:r>
        <w:rPr>
          <w:rFonts w:ascii="Arial" w:hAnsi="Arial"/>
          <w:color w:val="000000"/>
          <w:sz w:val="20"/>
        </w:rPr>
        <w:t> </w:t>
      </w:r>
      <w:r>
        <w:rPr>
          <w:rFonts w:ascii="Arial" w:hAnsi="Arial"/>
          <w:b/>
          <w:color w:val="2D97D3"/>
          <w:sz w:val="20"/>
        </w:rPr>
        <w:t>18.6</w:t>
      </w:r>
      <w:r>
        <w:rPr>
          <w:rFonts w:ascii="Arial" w:hAnsi="Arial"/>
          <w:b/>
          <w:strike/>
          <w:color w:val="B5082D"/>
          <w:sz w:val="20"/>
        </w:rPr>
        <w:t>18.6</w:t>
      </w:r>
      <w:r>
        <w:rPr>
          <w:rFonts w:ascii="Arial" w:hAnsi="Arial"/>
          <w:b/>
          <w:color w:val="2D97D3"/>
          <w:sz w:val="20"/>
        </w:rPr>
        <w:t>(a)</w:t>
      </w:r>
      <w:r>
        <w:rPr>
          <w:rFonts w:ascii="Arial" w:hAnsi="Arial"/>
          <w:b/>
          <w:strike/>
          <w:color w:val="B5082D"/>
          <w:sz w:val="20"/>
        </w:rPr>
        <w:t>(a)</w:t>
      </w:r>
      <w:r>
        <w:rPr>
          <w:rFonts w:ascii="Arial" w:hAnsi="Arial"/>
          <w:color w:val="B5082D"/>
          <w:sz w:val="20"/>
        </w:rPr>
        <w:t> </w:t>
      </w:r>
      <w:r>
        <w:rPr>
          <w:rFonts w:ascii="Arial" w:hAnsi="Arial"/>
          <w:color w:val="000000"/>
          <w:sz w:val="20"/>
        </w:rPr>
        <w:t>(other than paragraph (iii)) as if each reference in that clause to the ‘Bank’ were to a ‘Transaction Party’ and each reference to the ‘Borrower’ were to the ‘Bank’; or</w:t>
      </w:r>
      <w:r>
        <w:rPr>
          <w:rFonts w:ascii="Arial" w:hAnsi="Arial"/>
          <w:sz w:val="20"/>
        </w:rPr>
        <w:t xml:space="preserve"> </w:t>
      </w:r>
    </w:p>
    <w:p>
      <w:pPr>
        <w:pStyle w:val="TextBody"/>
        <w:bidi w:val="0"/>
        <w:spacing w:lineRule="auto" w:line="264" w:before="0" w:after="0"/>
        <w:ind w:left="4540" w:right="2142" w:hanging="0"/>
        <w:jc w:val="left"/>
        <w:rPr>
          <w:rFonts w:ascii="Arial" w:hAnsi="Arial"/>
          <w:sz w:val="20"/>
        </w:rPr>
      </w:pPr>
      <w:r>
        <w:rPr>
          <w:rFonts w:ascii="Arial" w:hAnsi="Arial"/>
          <w:color w:val="000000"/>
          <w:sz w:val="20"/>
        </w:rPr>
        <w:t>(v)Reading International, Inc. or any other holding company of a Transaction Party (who in turn may disclose such information to their officers or employees or to the extent required by any applicable law or regulation or rule of any stock exchange).</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79"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7" descr=""/>
                    <pic:cNvPicPr>
                      <a:picLocks noChangeAspect="1" noChangeArrowheads="1"/>
                    </pic:cNvPicPr>
                  </pic:nvPicPr>
                  <pic:blipFill>
                    <a:blip r:embed="rId17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80"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8" descr=""/>
                    <pic:cNvPicPr>
                      <a:picLocks noChangeAspect="1" noChangeArrowheads="1"/>
                    </pic:cNvPicPr>
                  </pic:nvPicPr>
                  <pic:blipFill>
                    <a:blip r:embed="rId18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(d)The Bank and the Transaction Parties agree that: </w:t>
      </w:r>
    </w:p>
    <w:p>
      <w:pPr>
        <w:pStyle w:val="TextBody"/>
        <w:bidi w:val="0"/>
        <w:spacing w:lineRule="auto" w:line="264" w:before="0" w:after="0"/>
        <w:ind w:left="4540" w:right="2097" w:hanging="0"/>
        <w:jc w:val="left"/>
        <w:rPr>
          <w:rFonts w:ascii="Arial" w:hAnsi="Arial"/>
          <w:sz w:val="20"/>
        </w:rPr>
      </w:pPr>
      <w:r>
        <w:rPr>
          <w:rFonts w:ascii="Arial" w:hAnsi="Arial"/>
          <w:sz w:val="20"/>
        </w:rPr>
        <w:t xml:space="preserve">(i)neither of them will disclose information of the kind mentioned in section 275(1) of the PPS Act; and </w:t>
      </w:r>
    </w:p>
    <w:p>
      <w:pPr>
        <w:pStyle w:val="TextBody"/>
        <w:bidi w:val="0"/>
        <w:spacing w:before="108" w:after="0"/>
        <w:ind w:left="4539" w:right="360" w:hanging="0"/>
        <w:jc w:val="left"/>
        <w:rPr>
          <w:rFonts w:ascii="Arial" w:hAnsi="Arial"/>
          <w:sz w:val="20"/>
        </w:rPr>
      </w:pPr>
      <w:r>
        <w:rPr>
          <w:rFonts w:ascii="Arial" w:hAnsi="Arial"/>
          <w:sz w:val="20"/>
        </w:rPr>
        <w:t xml:space="preserve">(ii)this document does not create a Security Interest. </w:t>
      </w:r>
    </w:p>
    <w:p>
      <w:pPr>
        <w:pStyle w:val="TextBody"/>
        <w:bidi w:val="0"/>
        <w:spacing w:lineRule="auto" w:line="264" w:before="107" w:after="0"/>
        <w:ind w:left="3983" w:right="1956" w:hanging="0"/>
        <w:jc w:val="left"/>
        <w:rPr>
          <w:rFonts w:ascii="Arial" w:hAnsi="Arial"/>
          <w:sz w:val="22"/>
        </w:rPr>
      </w:pPr>
      <w:r>
        <w:rPr>
          <w:rFonts w:ascii="Arial" w:hAnsi="Arial"/>
          <w:sz w:val="20"/>
        </w:rPr>
        <w:t>(e)This</w:t>
      </w:r>
      <w:r>
        <w:rPr>
          <w:rFonts w:ascii="Arial" w:hAnsi="Arial"/>
          <w:sz w:val="22"/>
        </w:rPr>
        <w:t> </w:t>
      </w:r>
      <w:r>
        <w:rPr>
          <w:rFonts w:ascii="Arial" w:hAnsi="Arial"/>
          <w:b/>
          <w:sz w:val="20"/>
        </w:rPr>
        <w:t>clause</w:t>
      </w:r>
      <w:r>
        <w:rPr>
          <w:rFonts w:ascii="Arial" w:hAnsi="Arial"/>
          <w:sz w:val="22"/>
        </w:rPr>
        <w:t> </w:t>
      </w:r>
      <w:r>
        <w:rPr>
          <w:rFonts w:ascii="Arial" w:hAnsi="Arial"/>
          <w:b/>
          <w:color w:val="2D97D3"/>
          <w:sz w:val="20"/>
          <w:u w:val="single"/>
        </w:rPr>
        <w:t>18.6</w:t>
      </w:r>
      <w:r>
        <w:rPr>
          <w:rFonts w:ascii="Arial" w:hAnsi="Arial"/>
          <w:b/>
          <w:strike/>
          <w:color w:val="B5082D"/>
          <w:sz w:val="20"/>
        </w:rPr>
        <w:t>18.6</w:t>
      </w:r>
      <w:r>
        <w:rPr>
          <w:rFonts w:ascii="Arial" w:hAnsi="Arial"/>
          <w:color w:val="B5082D"/>
          <w:sz w:val="22"/>
        </w:rPr>
        <w:t> </w:t>
      </w:r>
      <w:r>
        <w:rPr>
          <w:rFonts w:ascii="Arial" w:hAnsi="Arial"/>
          <w:sz w:val="20"/>
        </w:rPr>
        <w:t>survives</w:t>
      </w:r>
      <w:r>
        <w:rPr>
          <w:rFonts w:ascii="Arial" w:hAnsi="Arial"/>
          <w:sz w:val="22"/>
        </w:rPr>
        <w:t> </w:t>
      </w:r>
      <w:r>
        <w:rPr>
          <w:rFonts w:ascii="Arial" w:hAnsi="Arial"/>
          <w:sz w:val="20"/>
        </w:rPr>
        <w:t>the</w:t>
      </w:r>
      <w:r>
        <w:rPr>
          <w:rFonts w:ascii="Arial" w:hAnsi="Arial"/>
          <w:sz w:val="22"/>
        </w:rPr>
        <w:t> </w:t>
      </w:r>
      <w:r>
        <w:rPr>
          <w:rFonts w:ascii="Arial" w:hAnsi="Arial"/>
          <w:sz w:val="20"/>
        </w:rPr>
        <w:t>termination</w:t>
      </w:r>
      <w:r>
        <w:rPr>
          <w:rFonts w:ascii="Arial" w:hAnsi="Arial"/>
          <w:sz w:val="22"/>
        </w:rPr>
        <w:t> </w:t>
      </w:r>
      <w:r>
        <w:rPr>
          <w:rFonts w:ascii="Arial" w:hAnsi="Arial"/>
          <w:sz w:val="20"/>
        </w:rPr>
        <w:t>of</w:t>
      </w:r>
      <w:r>
        <w:rPr>
          <w:rFonts w:ascii="Arial" w:hAnsi="Arial"/>
          <w:sz w:val="22"/>
        </w:rPr>
        <w:t> </w:t>
      </w:r>
      <w:r>
        <w:rPr>
          <w:rFonts w:ascii="Arial" w:hAnsi="Arial"/>
          <w:sz w:val="20"/>
        </w:rPr>
        <w:t>this</w:t>
      </w:r>
      <w:r>
        <w:rPr>
          <w:rFonts w:ascii="Arial" w:hAnsi="Arial"/>
          <w:sz w:val="22"/>
        </w:rPr>
        <w:t> </w:t>
      </w:r>
      <w:r>
        <w:rPr>
          <w:rFonts w:ascii="Arial" w:hAnsi="Arial"/>
          <w:sz w:val="20"/>
        </w:rPr>
        <w:t>document.</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(f)The Bank acknowledges that: </w:t>
      </w:r>
    </w:p>
    <w:p>
      <w:pPr>
        <w:pStyle w:val="TextBody"/>
        <w:bidi w:val="0"/>
        <w:spacing w:lineRule="auto" w:line="264" w:before="0" w:after="0"/>
        <w:ind w:left="4540" w:right="1871" w:hanging="0"/>
        <w:jc w:val="left"/>
        <w:rPr>
          <w:rFonts w:ascii="Arial" w:hAnsi="Arial"/>
          <w:sz w:val="20"/>
        </w:rPr>
      </w:pPr>
      <w:r>
        <w:rPr>
          <w:rFonts w:ascii="Arial" w:hAnsi="Arial"/>
          <w:sz w:val="20"/>
        </w:rPr>
        <w:t xml:space="preserve">(i)information provided from time to time by the Transaction Parties to the Bank may constitute confidential non-public information; and </w:t>
      </w:r>
    </w:p>
    <w:p>
      <w:pPr>
        <w:pStyle w:val="TextBody"/>
        <w:bidi w:val="0"/>
        <w:spacing w:lineRule="auto" w:line="264" w:before="109" w:after="0"/>
        <w:ind w:left="4540" w:right="1872" w:hanging="0"/>
        <w:jc w:val="left"/>
        <w:rPr>
          <w:rFonts w:ascii="Arial" w:hAnsi="Arial"/>
          <w:sz w:val="22"/>
        </w:rPr>
      </w:pPr>
      <w:r>
        <w:rPr>
          <w:rFonts w:ascii="Arial" w:hAnsi="Arial"/>
          <w:sz w:val="20"/>
        </w:rPr>
        <w:t>(ii)trading</w:t>
      </w:r>
      <w:r>
        <w:rPr>
          <w:rFonts w:ascii="Arial" w:hAnsi="Arial"/>
          <w:sz w:val="22"/>
        </w:rPr>
        <w:t> </w:t>
      </w:r>
      <w:r>
        <w:rPr>
          <w:rFonts w:ascii="Arial" w:hAnsi="Arial"/>
          <w:sz w:val="20"/>
        </w:rPr>
        <w:t>in</w:t>
      </w:r>
      <w:r>
        <w:rPr>
          <w:rFonts w:ascii="Arial" w:hAnsi="Arial"/>
          <w:sz w:val="22"/>
        </w:rPr>
        <w:t> </w:t>
      </w:r>
      <w:r>
        <w:rPr>
          <w:rFonts w:ascii="Arial" w:hAnsi="Arial"/>
          <w:sz w:val="20"/>
        </w:rPr>
        <w:t xml:space="preserve">marketable securities of Reading International Inc while in possession of the information referred to </w:t>
      </w:r>
      <w:r>
        <w:rPr>
          <w:rFonts w:ascii="Arial" w:hAnsi="Arial"/>
          <w:b/>
          <w:sz w:val="20"/>
        </w:rPr>
        <w:t xml:space="preserve">clause </w:t>
      </w:r>
      <w:r>
        <w:rPr>
          <w:rFonts w:ascii="Arial" w:hAnsi="Arial"/>
          <w:b/>
          <w:color w:val="2D97D3"/>
          <w:sz w:val="20"/>
          <w:u w:val="single"/>
        </w:rPr>
        <w:t>18.6</w:t>
      </w:r>
      <w:r>
        <w:rPr>
          <w:rFonts w:ascii="Arial" w:hAnsi="Arial"/>
          <w:b/>
          <w:strike/>
          <w:color w:val="B5082D"/>
          <w:sz w:val="20"/>
        </w:rPr>
        <w:t>18.6</w:t>
      </w:r>
      <w:r>
        <w:rPr>
          <w:rFonts w:ascii="Arial" w:hAnsi="Arial"/>
          <w:b/>
          <w:color w:val="2D97D3"/>
          <w:sz w:val="20"/>
          <w:u w:val="single"/>
        </w:rPr>
        <w:t>(f)</w:t>
      </w:r>
      <w:r>
        <w:rPr>
          <w:rFonts w:ascii="Arial" w:hAnsi="Arial"/>
          <w:b/>
          <w:strike/>
          <w:color w:val="B5082D"/>
          <w:sz w:val="20"/>
        </w:rPr>
        <w:t>(f)</w:t>
      </w:r>
      <w:r>
        <w:rPr>
          <w:rFonts w:ascii="Arial" w:hAnsi="Arial"/>
          <w:b/>
          <w:color w:val="2D97D3"/>
          <w:sz w:val="20"/>
          <w:u w:val="single"/>
        </w:rPr>
        <w:t>(i)</w:t>
      </w:r>
      <w:r>
        <w:rPr>
          <w:rFonts w:ascii="Arial" w:hAnsi="Arial"/>
          <w:b/>
          <w:strike/>
          <w:color w:val="B5082D"/>
          <w:sz w:val="20"/>
        </w:rPr>
        <w:t>(i)</w:t>
      </w:r>
      <w:r>
        <w:rPr>
          <w:rFonts w:ascii="Arial" w:hAnsi="Arial"/>
          <w:color w:val="B5082D"/>
          <w:sz w:val="22"/>
        </w:rPr>
        <w:t> </w:t>
      </w:r>
      <w:r>
        <w:rPr>
          <w:rFonts w:ascii="Arial" w:hAnsi="Arial"/>
          <w:sz w:val="20"/>
        </w:rPr>
        <w:t>will</w:t>
      </w:r>
      <w:r>
        <w:rPr>
          <w:rFonts w:ascii="Arial" w:hAnsi="Arial"/>
          <w:sz w:val="22"/>
        </w:rPr>
        <w:t> </w:t>
      </w:r>
      <w:r>
        <w:rPr>
          <w:rFonts w:ascii="Arial" w:hAnsi="Arial"/>
          <w:sz w:val="20"/>
        </w:rPr>
        <w:t>violate</w:t>
      </w:r>
      <w:r>
        <w:rPr>
          <w:rFonts w:ascii="Arial" w:hAnsi="Arial"/>
          <w:sz w:val="22"/>
        </w:rPr>
        <w:t> </w:t>
      </w:r>
      <w:r>
        <w:rPr>
          <w:rFonts w:ascii="Arial" w:hAnsi="Arial"/>
          <w:sz w:val="20"/>
        </w:rPr>
        <w:t>United</w:t>
      </w:r>
      <w:r>
        <w:rPr>
          <w:rFonts w:ascii="Arial" w:hAnsi="Arial"/>
          <w:sz w:val="22"/>
        </w:rPr>
        <w:t> </w:t>
      </w:r>
      <w:r>
        <w:rPr>
          <w:rFonts w:ascii="Arial" w:hAnsi="Arial"/>
          <w:sz w:val="20"/>
        </w:rPr>
        <w:t>States'</w:t>
      </w:r>
      <w:r>
        <w:rPr>
          <w:rFonts w:ascii="Arial" w:hAnsi="Arial"/>
          <w:sz w:val="22"/>
        </w:rPr>
        <w:t> </w:t>
      </w:r>
      <w:r>
        <w:rPr>
          <w:rFonts w:ascii="Arial" w:hAnsi="Arial"/>
          <w:sz w:val="20"/>
        </w:rPr>
        <w:t>federal</w:t>
      </w:r>
      <w:r>
        <w:rPr>
          <w:rFonts w:ascii="Arial" w:hAnsi="Arial"/>
          <w:sz w:val="22"/>
        </w:rPr>
        <w:t> </w:t>
      </w:r>
      <w:r>
        <w:rPr>
          <w:rFonts w:ascii="Arial" w:hAnsi="Arial"/>
          <w:sz w:val="20"/>
        </w:rPr>
        <w:t>securities</w:t>
      </w:r>
      <w:r>
        <w:rPr>
          <w:rFonts w:ascii="Arial" w:hAnsi="Arial"/>
          <w:sz w:val="22"/>
        </w:rPr>
        <w:t> </w:t>
      </w:r>
      <w:r>
        <w:rPr>
          <w:rFonts w:ascii="Arial" w:hAnsi="Arial"/>
          <w:sz w:val="20"/>
        </w:rPr>
        <w:t>laws.</w:t>
      </w:r>
      <w:r>
        <w:rPr>
          <w:rFonts w:ascii="Arial" w:hAnsi="Arial"/>
          <w:sz w:val="22"/>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(g)The Bank agrees to: </w:t>
      </w:r>
    </w:p>
    <w:p>
      <w:pPr>
        <w:pStyle w:val="TextBody"/>
        <w:bidi w:val="0"/>
        <w:spacing w:lineRule="auto" w:line="264" w:before="0" w:after="0"/>
        <w:ind w:left="4540" w:right="2063" w:hanging="0"/>
        <w:jc w:val="left"/>
        <w:rPr>
          <w:rFonts w:ascii="Arial" w:hAnsi="Arial"/>
          <w:sz w:val="22"/>
        </w:rPr>
      </w:pPr>
      <w:r>
        <w:rPr>
          <w:rFonts w:ascii="Arial" w:hAnsi="Arial"/>
          <w:sz w:val="20"/>
        </w:rPr>
        <w:t>(i)take</w:t>
      </w:r>
      <w:r>
        <w:rPr>
          <w:rFonts w:ascii="Arial" w:hAnsi="Arial"/>
          <w:sz w:val="22"/>
        </w:rPr>
        <w:t> </w:t>
      </w:r>
      <w:r>
        <w:rPr>
          <w:rFonts w:ascii="Arial" w:hAnsi="Arial"/>
          <w:sz w:val="20"/>
        </w:rPr>
        <w:t>reasonable</w:t>
      </w:r>
      <w:r>
        <w:rPr>
          <w:rFonts w:ascii="Arial" w:hAnsi="Arial"/>
          <w:sz w:val="22"/>
        </w:rPr>
        <w:t> </w:t>
      </w:r>
      <w:r>
        <w:rPr>
          <w:rFonts w:ascii="Arial" w:hAnsi="Arial"/>
          <w:sz w:val="20"/>
        </w:rPr>
        <w:t>precautions</w:t>
      </w:r>
      <w:r>
        <w:rPr>
          <w:rFonts w:ascii="Arial" w:hAnsi="Arial"/>
          <w:sz w:val="22"/>
        </w:rPr>
        <w:t> </w:t>
      </w:r>
      <w:r>
        <w:rPr>
          <w:rFonts w:ascii="Arial" w:hAnsi="Arial"/>
          <w:sz w:val="20"/>
        </w:rPr>
        <w:t>to</w:t>
      </w:r>
      <w:r>
        <w:rPr>
          <w:rFonts w:ascii="Arial" w:hAnsi="Arial"/>
          <w:sz w:val="22"/>
        </w:rPr>
        <w:t> </w:t>
      </w:r>
      <w:r>
        <w:rPr>
          <w:rFonts w:ascii="Arial" w:hAnsi="Arial"/>
          <w:sz w:val="20"/>
        </w:rPr>
        <w:t>maintain</w:t>
      </w:r>
      <w:r>
        <w:rPr>
          <w:rFonts w:ascii="Arial" w:hAnsi="Arial"/>
          <w:sz w:val="22"/>
        </w:rPr>
        <w:t> </w:t>
      </w:r>
      <w:r>
        <w:rPr>
          <w:rFonts w:ascii="Arial" w:hAnsi="Arial"/>
          <w:sz w:val="20"/>
        </w:rPr>
        <w:t>the</w:t>
      </w:r>
      <w:r>
        <w:rPr>
          <w:rFonts w:ascii="Arial" w:hAnsi="Arial"/>
          <w:sz w:val="22"/>
        </w:rPr>
        <w:t> </w:t>
      </w:r>
      <w:r>
        <w:rPr>
          <w:rFonts w:ascii="Arial" w:hAnsi="Arial"/>
          <w:sz w:val="20"/>
        </w:rPr>
        <w:t>confidentiality</w:t>
      </w:r>
      <w:r>
        <w:rPr>
          <w:rFonts w:ascii="Arial" w:hAnsi="Arial"/>
          <w:sz w:val="22"/>
        </w:rPr>
        <w:t> </w:t>
      </w:r>
      <w:r>
        <w:rPr>
          <w:rFonts w:ascii="Arial" w:hAnsi="Arial"/>
          <w:sz w:val="20"/>
        </w:rPr>
        <w:t>of</w:t>
      </w:r>
      <w:r>
        <w:rPr>
          <w:rFonts w:ascii="Arial" w:hAnsi="Arial"/>
          <w:sz w:val="22"/>
        </w:rPr>
        <w:t> </w:t>
      </w:r>
      <w:r>
        <w:rPr>
          <w:rFonts w:ascii="Arial" w:hAnsi="Arial"/>
          <w:sz w:val="20"/>
        </w:rPr>
        <w:t xml:space="preserve">the information referred to in </w:t>
      </w:r>
      <w:r>
        <w:rPr>
          <w:rFonts w:ascii="Arial" w:hAnsi="Arial"/>
          <w:b/>
          <w:sz w:val="20"/>
        </w:rPr>
        <w:t xml:space="preserve">clause </w:t>
      </w:r>
      <w:r>
        <w:rPr>
          <w:rFonts w:ascii="Arial" w:hAnsi="Arial"/>
          <w:b/>
          <w:color w:val="2D97D3"/>
          <w:sz w:val="20"/>
          <w:u w:val="single"/>
        </w:rPr>
        <w:t>18.6</w:t>
      </w:r>
      <w:r>
        <w:rPr>
          <w:rFonts w:ascii="Arial" w:hAnsi="Arial"/>
          <w:b/>
          <w:strike/>
          <w:color w:val="B5082D"/>
          <w:sz w:val="20"/>
        </w:rPr>
        <w:t>18.6</w:t>
      </w:r>
      <w:r>
        <w:rPr>
          <w:rFonts w:ascii="Arial" w:hAnsi="Arial"/>
          <w:b/>
          <w:color w:val="2D97D3"/>
          <w:sz w:val="20"/>
          <w:u w:val="single"/>
        </w:rPr>
        <w:t>(f)</w:t>
      </w:r>
      <w:r>
        <w:rPr>
          <w:rFonts w:ascii="Arial" w:hAnsi="Arial"/>
          <w:b/>
          <w:strike/>
          <w:color w:val="B5082D"/>
          <w:sz w:val="20"/>
        </w:rPr>
        <w:t>(f)</w:t>
      </w:r>
      <w:r>
        <w:rPr>
          <w:rFonts w:ascii="Arial" w:hAnsi="Arial"/>
          <w:b/>
          <w:color w:val="2D97D3"/>
          <w:sz w:val="20"/>
          <w:u w:val="single"/>
        </w:rPr>
        <w:t>(i)</w:t>
      </w:r>
      <w:r>
        <w:rPr>
          <w:rFonts w:ascii="Arial" w:hAnsi="Arial"/>
          <w:b/>
          <w:strike/>
          <w:color w:val="B5082D"/>
          <w:sz w:val="20"/>
        </w:rPr>
        <w:t>(i)</w:t>
      </w:r>
      <w:r>
        <w:rPr>
          <w:rFonts w:ascii="Arial" w:hAnsi="Arial"/>
          <w:sz w:val="20"/>
        </w:rPr>
        <w:t>; and</w:t>
      </w:r>
      <w:r>
        <w:rPr>
          <w:rFonts w:ascii="Arial" w:hAnsi="Arial"/>
          <w:sz w:val="22"/>
        </w:rPr>
        <w:t xml:space="preserve"> </w:t>
      </w:r>
    </w:p>
    <w:p>
      <w:pPr>
        <w:pStyle w:val="TextBody"/>
        <w:bidi w:val="0"/>
        <w:spacing w:lineRule="auto" w:line="264" w:before="113" w:after="0"/>
        <w:ind w:left="4540" w:right="2244" w:hanging="0"/>
        <w:jc w:val="left"/>
        <w:rPr>
          <w:rFonts w:ascii="Arial" w:hAnsi="Arial"/>
          <w:sz w:val="22"/>
        </w:rPr>
      </w:pPr>
      <w:r>
        <w:rPr>
          <w:rFonts w:ascii="Arial" w:hAnsi="Arial"/>
          <w:sz w:val="20"/>
        </w:rPr>
        <w:t>(ii)advise</w:t>
      </w:r>
      <w:r>
        <w:rPr>
          <w:rFonts w:ascii="Arial" w:hAnsi="Arial"/>
          <w:sz w:val="22"/>
        </w:rPr>
        <w:t> </w:t>
      </w:r>
      <w:r>
        <w:rPr>
          <w:rFonts w:ascii="Arial" w:hAnsi="Arial"/>
          <w:sz w:val="20"/>
        </w:rPr>
        <w:t>any</w:t>
      </w:r>
      <w:r>
        <w:rPr>
          <w:rFonts w:ascii="Arial" w:hAnsi="Arial"/>
          <w:sz w:val="22"/>
        </w:rPr>
        <w:t> </w:t>
      </w:r>
      <w:r>
        <w:rPr>
          <w:rFonts w:ascii="Arial" w:hAnsi="Arial"/>
          <w:sz w:val="20"/>
        </w:rPr>
        <w:t>party</w:t>
      </w:r>
      <w:r>
        <w:rPr>
          <w:rFonts w:ascii="Arial" w:hAnsi="Arial"/>
          <w:sz w:val="22"/>
        </w:rPr>
        <w:t> </w:t>
      </w:r>
      <w:r>
        <w:rPr>
          <w:rFonts w:ascii="Arial" w:hAnsi="Arial"/>
          <w:sz w:val="20"/>
        </w:rPr>
        <w:t>to</w:t>
      </w:r>
      <w:r>
        <w:rPr>
          <w:rFonts w:ascii="Arial" w:hAnsi="Arial"/>
          <w:sz w:val="22"/>
        </w:rPr>
        <w:t> </w:t>
      </w:r>
      <w:r>
        <w:rPr>
          <w:rFonts w:ascii="Arial" w:hAnsi="Arial"/>
          <w:sz w:val="20"/>
        </w:rPr>
        <w:t>whom</w:t>
      </w:r>
      <w:r>
        <w:rPr>
          <w:rFonts w:ascii="Arial" w:hAnsi="Arial"/>
          <w:sz w:val="22"/>
        </w:rPr>
        <w:t> </w:t>
      </w:r>
      <w:r>
        <w:rPr>
          <w:rFonts w:ascii="Arial" w:hAnsi="Arial"/>
          <w:sz w:val="20"/>
        </w:rPr>
        <w:t>the</w:t>
      </w:r>
      <w:r>
        <w:rPr>
          <w:rFonts w:ascii="Arial" w:hAnsi="Arial"/>
          <w:sz w:val="22"/>
        </w:rPr>
        <w:t> </w:t>
      </w:r>
      <w:r>
        <w:rPr>
          <w:rFonts w:ascii="Arial" w:hAnsi="Arial"/>
          <w:sz w:val="20"/>
        </w:rPr>
        <w:t>information</w:t>
      </w:r>
      <w:r>
        <w:rPr>
          <w:rFonts w:ascii="Arial" w:hAnsi="Arial"/>
          <w:sz w:val="22"/>
        </w:rPr>
        <w:t> </w:t>
      </w:r>
      <w:r>
        <w:rPr>
          <w:rFonts w:ascii="Arial" w:hAnsi="Arial"/>
          <w:sz w:val="20"/>
        </w:rPr>
        <w:t>referred</w:t>
      </w:r>
      <w:r>
        <w:rPr>
          <w:rFonts w:ascii="Arial" w:hAnsi="Arial"/>
          <w:sz w:val="22"/>
        </w:rPr>
        <w:t> </w:t>
      </w:r>
      <w:r>
        <w:rPr>
          <w:rFonts w:ascii="Arial" w:hAnsi="Arial"/>
          <w:sz w:val="20"/>
        </w:rPr>
        <w:t>to</w:t>
      </w:r>
      <w:r>
        <w:rPr>
          <w:rFonts w:ascii="Arial" w:hAnsi="Arial"/>
          <w:sz w:val="22"/>
        </w:rPr>
        <w:t> </w:t>
      </w:r>
      <w:r>
        <w:rPr>
          <w:rFonts w:ascii="Arial" w:hAnsi="Arial"/>
          <w:sz w:val="20"/>
        </w:rPr>
        <w:t>in</w:t>
      </w:r>
      <w:r>
        <w:rPr>
          <w:rFonts w:ascii="Arial" w:hAnsi="Arial"/>
          <w:sz w:val="22"/>
        </w:rPr>
        <w:t> </w:t>
      </w:r>
      <w:r>
        <w:rPr>
          <w:rFonts w:ascii="Arial" w:hAnsi="Arial"/>
          <w:b/>
          <w:sz w:val="20"/>
        </w:rPr>
        <w:t xml:space="preserve">clause </w:t>
      </w:r>
      <w:r>
        <w:rPr>
          <w:rFonts w:ascii="Arial" w:hAnsi="Arial"/>
          <w:b/>
          <w:color w:val="2D97D3"/>
          <w:sz w:val="20"/>
          <w:u w:val="single"/>
        </w:rPr>
        <w:t>18.6</w:t>
      </w:r>
      <w:r>
        <w:rPr>
          <w:rFonts w:ascii="Arial" w:hAnsi="Arial"/>
          <w:b/>
          <w:strike/>
          <w:color w:val="B5082D"/>
          <w:sz w:val="20"/>
        </w:rPr>
        <w:t>18.6</w:t>
      </w:r>
      <w:r>
        <w:rPr>
          <w:rFonts w:ascii="Arial" w:hAnsi="Arial"/>
          <w:b/>
          <w:color w:val="2D97D3"/>
          <w:sz w:val="20"/>
          <w:u w:val="single"/>
        </w:rPr>
        <w:t>(f)</w:t>
      </w:r>
      <w:r>
        <w:rPr>
          <w:rFonts w:ascii="Arial" w:hAnsi="Arial"/>
          <w:b/>
          <w:strike/>
          <w:color w:val="B5082D"/>
          <w:sz w:val="20"/>
        </w:rPr>
        <w:t>(f)</w:t>
      </w:r>
      <w:r>
        <w:rPr>
          <w:rFonts w:ascii="Arial" w:hAnsi="Arial"/>
          <w:b/>
          <w:color w:val="2D97D3"/>
          <w:sz w:val="20"/>
          <w:u w:val="single"/>
        </w:rPr>
        <w:t>(i)</w:t>
      </w:r>
      <w:r>
        <w:rPr>
          <w:rFonts w:ascii="Arial" w:hAnsi="Arial"/>
          <w:b/>
          <w:strike/>
          <w:color w:val="B5082D"/>
          <w:sz w:val="20"/>
        </w:rPr>
        <w:t>(i)</w:t>
      </w:r>
      <w:r>
        <w:rPr>
          <w:rFonts w:ascii="Arial" w:hAnsi="Arial"/>
          <w:color w:val="B5082D"/>
          <w:sz w:val="22"/>
        </w:rPr>
        <w:t> </w:t>
      </w:r>
      <w:r>
        <w:rPr>
          <w:rFonts w:ascii="Arial" w:hAnsi="Arial"/>
          <w:sz w:val="20"/>
        </w:rPr>
        <w:t>is disclosed that it may not trade in the marketable</w:t>
      </w:r>
      <w:r>
        <w:rPr>
          <w:rFonts w:ascii="Arial" w:hAnsi="Arial"/>
          <w:sz w:val="22"/>
        </w:rPr>
        <w:t> </w:t>
      </w:r>
      <w:r>
        <w:rPr>
          <w:rFonts w:ascii="Arial" w:hAnsi="Arial"/>
          <w:sz w:val="20"/>
        </w:rPr>
        <w:t>securities</w:t>
      </w:r>
      <w:r>
        <w:rPr>
          <w:rFonts w:ascii="Arial" w:hAnsi="Arial"/>
          <w:sz w:val="22"/>
        </w:rPr>
        <w:t> </w:t>
      </w:r>
      <w:r>
        <w:rPr>
          <w:rFonts w:ascii="Arial" w:hAnsi="Arial"/>
          <w:sz w:val="20"/>
        </w:rPr>
        <w:t>of</w:t>
      </w:r>
      <w:r>
        <w:rPr>
          <w:rFonts w:ascii="Arial" w:hAnsi="Arial"/>
          <w:sz w:val="22"/>
        </w:rPr>
        <w:t> </w:t>
      </w:r>
      <w:r>
        <w:rPr>
          <w:rFonts w:ascii="Arial" w:hAnsi="Arial"/>
          <w:sz w:val="20"/>
        </w:rPr>
        <w:t>Reading</w:t>
      </w:r>
      <w:r>
        <w:rPr>
          <w:rFonts w:ascii="Arial" w:hAnsi="Arial"/>
          <w:sz w:val="22"/>
        </w:rPr>
        <w:t> </w:t>
      </w:r>
      <w:r>
        <w:rPr>
          <w:rFonts w:ascii="Arial" w:hAnsi="Arial"/>
          <w:sz w:val="20"/>
        </w:rPr>
        <w:t>International</w:t>
      </w:r>
      <w:r>
        <w:rPr>
          <w:rFonts w:ascii="Arial" w:hAnsi="Arial"/>
          <w:sz w:val="22"/>
        </w:rPr>
        <w:t> </w:t>
      </w:r>
      <w:r>
        <w:rPr>
          <w:rFonts w:ascii="Arial" w:hAnsi="Arial"/>
          <w:sz w:val="20"/>
        </w:rPr>
        <w:t>Inc</w:t>
      </w:r>
      <w:r>
        <w:rPr>
          <w:rFonts w:ascii="Arial" w:hAnsi="Arial"/>
          <w:sz w:val="22"/>
        </w:rPr>
        <w:t> </w:t>
      </w:r>
      <w:r>
        <w:rPr>
          <w:rFonts w:ascii="Arial" w:hAnsi="Arial"/>
          <w:sz w:val="20"/>
        </w:rPr>
        <w:t>while</w:t>
      </w:r>
      <w:r>
        <w:rPr>
          <w:rFonts w:ascii="Arial" w:hAnsi="Arial"/>
          <w:sz w:val="22"/>
        </w:rPr>
        <w:t> </w:t>
      </w:r>
      <w:r>
        <w:rPr>
          <w:rFonts w:ascii="Arial" w:hAnsi="Arial"/>
          <w:sz w:val="20"/>
        </w:rPr>
        <w:t>in</w:t>
      </w:r>
      <w:r>
        <w:rPr>
          <w:rFonts w:ascii="Arial" w:hAnsi="Arial"/>
          <w:sz w:val="22"/>
        </w:rPr>
        <w:t> </w:t>
      </w:r>
      <w:r>
        <w:rPr>
          <w:rFonts w:ascii="Arial" w:hAnsi="Arial"/>
          <w:sz w:val="20"/>
        </w:rPr>
        <w:t>the possession of such information.</w:t>
      </w:r>
      <w:r>
        <w:rPr>
          <w:rFonts w:ascii="Arial" w:hAnsi="Arial"/>
          <w:sz w:val="22"/>
        </w:rPr>
        <w:t xml:space="preserve"> </w:t>
      </w:r>
    </w:p>
    <w:p>
      <w:pPr>
        <w:pStyle w:val="TextBody"/>
        <w:bidi w:val="0"/>
        <w:spacing w:lineRule="auto" w:line="264" w:before="107" w:after="0"/>
        <w:ind w:left="3983" w:right="1956" w:hanging="0"/>
        <w:jc w:val="left"/>
        <w:rPr>
          <w:rFonts w:ascii="Arial" w:hAnsi="Arial"/>
          <w:sz w:val="22"/>
        </w:rPr>
      </w:pPr>
      <w:r>
        <w:rPr>
          <w:rFonts w:ascii="Arial" w:hAnsi="Arial"/>
          <w:sz w:val="20"/>
        </w:rPr>
        <w:t xml:space="preserve">(h)This </w:t>
      </w:r>
      <w:r>
        <w:rPr>
          <w:rFonts w:ascii="Arial" w:hAnsi="Arial"/>
          <w:b/>
          <w:sz w:val="20"/>
        </w:rPr>
        <w:t xml:space="preserve">clause </w:t>
      </w:r>
      <w:r>
        <w:rPr>
          <w:rFonts w:ascii="Arial" w:hAnsi="Arial"/>
          <w:b/>
          <w:color w:val="2D97D3"/>
          <w:sz w:val="20"/>
          <w:u w:val="single"/>
        </w:rPr>
        <w:t>18.6</w:t>
      </w:r>
      <w:r>
        <w:rPr>
          <w:rFonts w:ascii="Arial" w:hAnsi="Arial"/>
          <w:b/>
          <w:strike/>
          <w:color w:val="B5082D"/>
          <w:sz w:val="20"/>
        </w:rPr>
        <w:t>18.6</w:t>
      </w:r>
      <w:r>
        <w:rPr>
          <w:rFonts w:ascii="Arial" w:hAnsi="Arial"/>
          <w:color w:val="B5082D"/>
          <w:sz w:val="22"/>
        </w:rPr>
        <w:t> </w:t>
      </w:r>
      <w:r>
        <w:rPr>
          <w:rFonts w:ascii="Arial" w:hAnsi="Arial"/>
          <w:sz w:val="20"/>
        </w:rPr>
        <w:t>will not be deemed to restrict the provision of information</w:t>
      </w:r>
      <w:r>
        <w:rPr>
          <w:rFonts w:ascii="Arial" w:hAnsi="Arial"/>
          <w:sz w:val="22"/>
        </w:rPr>
        <w:t> </w:t>
      </w:r>
      <w:r>
        <w:rPr>
          <w:rFonts w:ascii="Arial" w:hAnsi="Arial"/>
          <w:sz w:val="20"/>
        </w:rPr>
        <w:t>by</w:t>
      </w:r>
      <w:r>
        <w:rPr>
          <w:rFonts w:ascii="Arial" w:hAnsi="Arial"/>
          <w:sz w:val="22"/>
        </w:rPr>
        <w:t> </w:t>
      </w:r>
      <w:r>
        <w:rPr>
          <w:rFonts w:ascii="Arial" w:hAnsi="Arial"/>
          <w:sz w:val="20"/>
        </w:rPr>
        <w:t>any</w:t>
      </w:r>
      <w:r>
        <w:rPr>
          <w:rFonts w:ascii="Arial" w:hAnsi="Arial"/>
          <w:sz w:val="22"/>
        </w:rPr>
        <w:t> </w:t>
      </w:r>
      <w:r>
        <w:rPr>
          <w:rFonts w:ascii="Arial" w:hAnsi="Arial"/>
          <w:sz w:val="20"/>
        </w:rPr>
        <w:t>party</w:t>
      </w:r>
      <w:r>
        <w:rPr>
          <w:rFonts w:ascii="Arial" w:hAnsi="Arial"/>
          <w:sz w:val="22"/>
        </w:rPr>
        <w:t> </w:t>
      </w:r>
      <w:r>
        <w:rPr>
          <w:rFonts w:ascii="Arial" w:hAnsi="Arial"/>
          <w:sz w:val="20"/>
        </w:rPr>
        <w:t>to</w:t>
      </w:r>
      <w:r>
        <w:rPr>
          <w:rFonts w:ascii="Arial" w:hAnsi="Arial"/>
          <w:sz w:val="22"/>
        </w:rPr>
        <w:t> </w:t>
      </w:r>
      <w:r>
        <w:rPr>
          <w:rFonts w:ascii="Arial" w:hAnsi="Arial"/>
          <w:sz w:val="20"/>
        </w:rPr>
        <w:t>the</w:t>
      </w:r>
      <w:r>
        <w:rPr>
          <w:rFonts w:ascii="Arial" w:hAnsi="Arial"/>
          <w:sz w:val="22"/>
        </w:rPr>
        <w:t> </w:t>
      </w:r>
      <w:r>
        <w:rPr>
          <w:rFonts w:ascii="Arial" w:hAnsi="Arial"/>
          <w:sz w:val="20"/>
        </w:rPr>
        <w:t>Internal</w:t>
      </w:r>
      <w:r>
        <w:rPr>
          <w:rFonts w:ascii="Arial" w:hAnsi="Arial"/>
          <w:sz w:val="22"/>
        </w:rPr>
        <w:t> </w:t>
      </w:r>
      <w:r>
        <w:rPr>
          <w:rFonts w:ascii="Arial" w:hAnsi="Arial"/>
          <w:sz w:val="20"/>
        </w:rPr>
        <w:t>Revenue</w:t>
      </w:r>
      <w:r>
        <w:rPr>
          <w:rFonts w:ascii="Arial" w:hAnsi="Arial"/>
          <w:sz w:val="22"/>
        </w:rPr>
        <w:t> </w:t>
      </w:r>
      <w:r>
        <w:rPr>
          <w:rFonts w:ascii="Arial" w:hAnsi="Arial"/>
          <w:sz w:val="20"/>
        </w:rPr>
        <w:t>Service</w:t>
      </w:r>
      <w:r>
        <w:rPr>
          <w:rFonts w:ascii="Arial" w:hAnsi="Arial"/>
          <w:sz w:val="22"/>
        </w:rPr>
        <w:t> </w:t>
      </w:r>
      <w:r>
        <w:rPr>
          <w:rFonts w:ascii="Arial" w:hAnsi="Arial"/>
          <w:sz w:val="20"/>
        </w:rPr>
        <w:t>of</w:t>
      </w:r>
      <w:r>
        <w:rPr>
          <w:rFonts w:ascii="Arial" w:hAnsi="Arial"/>
          <w:sz w:val="22"/>
        </w:rPr>
        <w:t> </w:t>
      </w:r>
      <w:r>
        <w:rPr>
          <w:rFonts w:ascii="Arial" w:hAnsi="Arial"/>
          <w:sz w:val="20"/>
        </w:rPr>
        <w:t>the</w:t>
      </w:r>
      <w:r>
        <w:rPr>
          <w:rFonts w:ascii="Arial" w:hAnsi="Arial"/>
          <w:sz w:val="22"/>
        </w:rPr>
        <w:t> </w:t>
      </w:r>
      <w:r>
        <w:rPr>
          <w:rFonts w:ascii="Arial" w:hAnsi="Arial"/>
          <w:sz w:val="20"/>
        </w:rPr>
        <w:t>United States of America.</w:t>
      </w:r>
      <w:r>
        <w:rPr>
          <w:rFonts w:ascii="Arial" w:hAnsi="Arial"/>
          <w:sz w:val="22"/>
        </w:rPr>
        <w:t xml:space="preserve"> </w:t>
      </w:r>
    </w:p>
    <w:tbl>
      <w:tblPr>
        <w:tblW w:w="2156" w:type="dxa"/>
        <w:jc w:val="left"/>
        <w:tblInd w:w="360" w:type="dxa"/>
        <w:tblLayout w:type="fixed"/>
        <w:tblCellMar>
          <w:top w:w="0" w:type="dxa"/>
          <w:left w:w="0" w:type="dxa"/>
          <w:bottom w:w="0" w:type="dxa"/>
          <w:right w:w="0" w:type="dxa"/>
        </w:tblCellMar>
      </w:tblPr>
      <w:tblGrid>
        <w:gridCol w:w="38"/>
        <w:gridCol w:w="560"/>
        <w:gridCol w:w="23"/>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24.7. </w:t>
            </w:r>
          </w:p>
        </w:tc>
        <w:tc>
          <w:tcPr>
            <w:tcW w:w="23" w:type="dxa"/>
            <w:tcBorders/>
            <w:vAlign w:val="center"/>
          </w:tcPr>
          <w:p>
            <w:pPr>
              <w:pStyle w:val="TableContents"/>
              <w:bidi w:val="0"/>
              <w:spacing w:before="0" w:after="283"/>
              <w:jc w:val="left"/>
              <w:rPr>
                <w:sz w:val="4"/>
                <w:szCs w:val="4"/>
              </w:rPr>
            </w:pPr>
            <w:r>
              <w:rPr>
                <w:sz w:val="4"/>
                <w:szCs w:val="4"/>
              </w:rPr>
            </w:r>
          </w:p>
        </w:tc>
        <w:tc>
          <w:tcPr>
            <w:tcW w:w="1535" w:type="dxa"/>
            <w:tcBorders/>
          </w:tcPr>
          <w:p>
            <w:pPr>
              <w:pStyle w:val="TableContents"/>
              <w:bidi w:val="0"/>
              <w:spacing w:before="174" w:after="0"/>
              <w:ind w:left="0" w:right="0" w:hanging="0"/>
              <w:jc w:val="left"/>
              <w:rPr>
                <w:rFonts w:ascii="Arial" w:hAnsi="Arial"/>
                <w:b/>
                <w:color w:val="000000"/>
                <w:sz w:val="22"/>
              </w:rPr>
            </w:pPr>
            <w:bookmarkStart w:id="315" w:name="Exchange_rate187"/>
            <w:bookmarkStart w:id="316" w:name="_TOC_250022"/>
            <w:bookmarkEnd w:id="315"/>
            <w:bookmarkEnd w:id="316"/>
            <w:r>
              <w:rPr>
                <w:rFonts w:ascii="Arial" w:hAnsi="Arial"/>
                <w:b/>
                <w:color w:val="000000"/>
                <w:sz w:val="22"/>
              </w:rPr>
              <w:t>Exchange rate</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w:t>
      </w:r>
      <w:r>
        <w:rPr>
          <w:rFonts w:ascii="Arial" w:hAnsi="Arial"/>
          <w:sz w:val="20"/>
        </w:rPr>
        <w:t xml:space="preserve"> </w:t>
      </w:r>
    </w:p>
    <w:tbl>
      <w:tblPr>
        <w:tblW w:w="2831" w:type="dxa"/>
        <w:jc w:val="left"/>
        <w:tblInd w:w="360" w:type="dxa"/>
        <w:tblLayout w:type="fixed"/>
        <w:tblCellMar>
          <w:top w:w="0" w:type="dxa"/>
          <w:left w:w="0" w:type="dxa"/>
          <w:bottom w:w="0" w:type="dxa"/>
          <w:right w:w="0" w:type="dxa"/>
        </w:tblCellMar>
      </w:tblPr>
      <w:tblGrid>
        <w:gridCol w:w="38"/>
        <w:gridCol w:w="560"/>
        <w:gridCol w:w="23"/>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24.8. </w:t>
            </w:r>
          </w:p>
        </w:tc>
        <w:tc>
          <w:tcPr>
            <w:tcW w:w="23" w:type="dxa"/>
            <w:tcBorders/>
            <w:vAlign w:val="center"/>
          </w:tcPr>
          <w:p>
            <w:pPr>
              <w:pStyle w:val="TableContents"/>
              <w:bidi w:val="0"/>
              <w:spacing w:before="0" w:after="283"/>
              <w:jc w:val="left"/>
              <w:rPr>
                <w:sz w:val="4"/>
                <w:szCs w:val="4"/>
              </w:rPr>
            </w:pPr>
            <w:r>
              <w:rPr>
                <w:sz w:val="4"/>
                <w:szCs w:val="4"/>
              </w:rPr>
            </w:r>
          </w:p>
        </w:tc>
        <w:tc>
          <w:tcPr>
            <w:tcW w:w="2210" w:type="dxa"/>
            <w:tcBorders/>
          </w:tcPr>
          <w:p>
            <w:pPr>
              <w:pStyle w:val="TableContents"/>
              <w:bidi w:val="0"/>
              <w:spacing w:before="174" w:after="0"/>
              <w:ind w:left="0" w:right="0" w:hanging="0"/>
              <w:jc w:val="left"/>
              <w:rPr>
                <w:rFonts w:ascii="Arial" w:hAnsi="Arial"/>
                <w:b/>
                <w:color w:val="000000"/>
                <w:sz w:val="22"/>
              </w:rPr>
            </w:pPr>
            <w:bookmarkStart w:id="317" w:name="Records_as_evidence188"/>
            <w:bookmarkStart w:id="318" w:name="_TOC_250021"/>
            <w:bookmarkEnd w:id="317"/>
            <w:bookmarkEnd w:id="318"/>
            <w:r>
              <w:rPr>
                <w:rFonts w:ascii="Arial" w:hAnsi="Arial"/>
                <w:b/>
                <w:color w:val="000000"/>
                <w:sz w:val="22"/>
              </w:rPr>
              <w:t>Records as evidence</w:t>
            </w:r>
          </w:p>
        </w:tc>
      </w:tr>
    </w:tbl>
    <w:p>
      <w:pPr>
        <w:pStyle w:val="TextBody"/>
        <w:bidi w:val="0"/>
        <w:spacing w:before="85" w:after="0"/>
        <w:ind w:left="3456" w:right="360" w:hanging="0"/>
        <w:jc w:val="left"/>
        <w:rPr>
          <w:rFonts w:ascii="Arial" w:hAnsi="Arial"/>
          <w:sz w:val="20"/>
        </w:rPr>
      </w:pPr>
      <w:r>
        <w:rPr>
          <w:rFonts w:ascii="Arial" w:hAnsi="Arial"/>
          <w:color w:val="000000"/>
          <w:sz w:val="20"/>
        </w:rPr>
        <w:t>The Bank may maintain records specifying:</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(a)payments made by the Bank for the account of a Transaction Party under a Transaction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(b)payments by a Transaction Party for the account of the Bank under a Transaction Document;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(c)interest, fees, charges, costs and expenses payable in relation to the Transaction Documents,</w:t>
      </w:r>
      <w:r>
        <w:rPr>
          <w:rFonts w:ascii="Arial" w:hAnsi="Arial"/>
          <w:sz w:val="20"/>
        </w:rPr>
        <w:t xml:space="preserve"> </w:t>
      </w:r>
    </w:p>
    <w:p>
      <w:pPr>
        <w:pStyle w:val="TextBody"/>
        <w:bidi w:val="0"/>
        <w:spacing w:lineRule="auto" w:line="264" w:before="111" w:after="0"/>
        <w:ind w:left="3456" w:right="1854" w:hanging="0"/>
        <w:jc w:val="left"/>
        <w:rPr>
          <w:rFonts w:ascii="Arial" w:hAnsi="Arial"/>
          <w:sz w:val="20"/>
        </w:rPr>
      </w:pPr>
      <w:r>
        <w:rPr>
          <w:rFonts w:ascii="Arial" w:hAnsi="Arial"/>
          <w:color w:val="000000"/>
          <w:sz w:val="20"/>
        </w:rPr>
        <w:t>and those records will against the Borrower constitute prima facie evidence of the matters set out in them.</w:t>
      </w:r>
      <w:r>
        <w:rPr>
          <w:rFonts w:ascii="Arial" w:hAnsi="Arial"/>
          <w:sz w:val="20"/>
        </w:rPr>
        <w:t xml:space="preserve"> </w:t>
      </w:r>
    </w:p>
    <w:tbl>
      <w:tblPr>
        <w:tblW w:w="2696" w:type="dxa"/>
        <w:jc w:val="left"/>
        <w:tblInd w:w="360" w:type="dxa"/>
        <w:tblLayout w:type="fixed"/>
        <w:tblCellMar>
          <w:top w:w="0" w:type="dxa"/>
          <w:left w:w="0" w:type="dxa"/>
          <w:bottom w:w="0" w:type="dxa"/>
          <w:right w:w="0" w:type="dxa"/>
        </w:tblCellMar>
      </w:tblPr>
      <w:tblGrid>
        <w:gridCol w:w="38"/>
        <w:gridCol w:w="560"/>
        <w:gridCol w:w="23"/>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24.9. </w:t>
            </w:r>
          </w:p>
        </w:tc>
        <w:tc>
          <w:tcPr>
            <w:tcW w:w="23" w:type="dxa"/>
            <w:tcBorders/>
            <w:vAlign w:val="center"/>
          </w:tcPr>
          <w:p>
            <w:pPr>
              <w:pStyle w:val="TableContents"/>
              <w:bidi w:val="0"/>
              <w:spacing w:before="0" w:after="283"/>
              <w:jc w:val="left"/>
              <w:rPr>
                <w:sz w:val="4"/>
                <w:szCs w:val="4"/>
              </w:rPr>
            </w:pPr>
            <w:r>
              <w:rPr>
                <w:sz w:val="4"/>
                <w:szCs w:val="4"/>
              </w:rPr>
            </w:r>
          </w:p>
        </w:tc>
        <w:tc>
          <w:tcPr>
            <w:tcW w:w="2075" w:type="dxa"/>
            <w:tcBorders/>
          </w:tcPr>
          <w:p>
            <w:pPr>
              <w:pStyle w:val="TableContents"/>
              <w:bidi w:val="0"/>
              <w:spacing w:before="174" w:after="0"/>
              <w:ind w:left="0" w:right="0" w:hanging="0"/>
              <w:jc w:val="left"/>
              <w:rPr>
                <w:rFonts w:ascii="Arial" w:hAnsi="Arial"/>
                <w:b/>
                <w:color w:val="000000"/>
                <w:sz w:val="22"/>
              </w:rPr>
            </w:pPr>
            <w:bookmarkStart w:id="319" w:name="Further_assurances189"/>
            <w:bookmarkStart w:id="320" w:name="_TOC_250020"/>
            <w:bookmarkEnd w:id="319"/>
            <w:bookmarkEnd w:id="320"/>
            <w:r>
              <w:rPr>
                <w:rFonts w:ascii="Arial" w:hAnsi="Arial"/>
                <w:b/>
                <w:color w:val="000000"/>
                <w:sz w:val="22"/>
              </w:rPr>
              <w:t>Further assurances</w:t>
            </w:r>
          </w:p>
        </w:tc>
      </w:tr>
    </w:tbl>
    <w:p>
      <w:pPr>
        <w:pStyle w:val="TextBody"/>
        <w:pBdr/>
        <w:bidi w:val="0"/>
        <w:spacing w:lineRule="auto" w:line="264" w:before="85" w:after="0"/>
        <w:ind w:left="3456" w:right="1854" w:hanging="0"/>
        <w:jc w:val="left"/>
        <w:rPr>
          <w:rFonts w:ascii="Arial" w:hAnsi="Arial"/>
          <w:sz w:val="20"/>
        </w:rPr>
      </w:pPr>
      <w:r>
        <w:rPr>
          <w:rFonts w:ascii="Arial" w:hAnsi="Arial"/>
          <w:color w:val="000000"/>
          <w:sz w:val="20"/>
        </w:rPr>
        <w:t>The Borrower must promptly execute all documents and do all things that the Bank from time to time reasonably requires to:</w:t>
      </w:r>
      <w:r>
        <w:rPr>
          <w:rFonts w:ascii="Arial" w:hAnsi="Arial"/>
          <w:sz w:val="20"/>
        </w:rPr>
        <w:t xml:space="preserve"> </w:t>
      </w:r>
    </w:p>
    <w:p>
      <w:pPr>
        <w:pStyle w:val="TextBody"/>
        <w:pBdr/>
        <w:bidi w:val="0"/>
        <w:spacing w:lineRule="auto" w:line="264"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81"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9" descr=""/>
                    <pic:cNvPicPr>
                      <a:picLocks noChangeAspect="1" noChangeArrowheads="1"/>
                    </pic:cNvPicPr>
                  </pic:nvPicPr>
                  <pic:blipFill>
                    <a:blip r:embed="rId18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82"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0" descr=""/>
                    <pic:cNvPicPr>
                      <a:picLocks noChangeAspect="1" noChangeArrowheads="1"/>
                    </pic:cNvPicPr>
                  </pic:nvPicPr>
                  <pic:blipFill>
                    <a:blip r:embed="rId18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(a)effect, perfect or complete the provisions of each Transaction Document or any transaction contemplated by it;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(b)establish the priority of or reserve or create any Security Interest contemplated by or purported to be reserved or created by a Transaction Document; and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(c)stamp and register each Transaction Document in any relevant jurisdiction and by any person that the Bank thinks fit. </w:t>
      </w:r>
    </w:p>
    <w:tbl>
      <w:tblPr>
        <w:tblW w:w="2051" w:type="dxa"/>
        <w:jc w:val="left"/>
        <w:tblInd w:w="360" w:type="dxa"/>
        <w:tblLayout w:type="fixed"/>
        <w:tblCellMar>
          <w:top w:w="0" w:type="dxa"/>
          <w:left w:w="0" w:type="dxa"/>
          <w:bottom w:w="0" w:type="dxa"/>
          <w:right w:w="0" w:type="dxa"/>
        </w:tblCellMar>
      </w:tblPr>
      <w:tblGrid>
        <w:gridCol w:w="38"/>
        <w:gridCol w:w="680"/>
        <w:gridCol w:w="23"/>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24.10. </w:t>
            </w:r>
          </w:p>
        </w:tc>
        <w:tc>
          <w:tcPr>
            <w:tcW w:w="23" w:type="dxa"/>
            <w:tcBorders/>
            <w:vAlign w:val="center"/>
          </w:tcPr>
          <w:p>
            <w:pPr>
              <w:pStyle w:val="TableContents"/>
              <w:bidi w:val="0"/>
              <w:spacing w:before="0" w:after="283"/>
              <w:jc w:val="left"/>
              <w:rPr>
                <w:sz w:val="4"/>
                <w:szCs w:val="4"/>
              </w:rPr>
            </w:pPr>
            <w:r>
              <w:rPr>
                <w:sz w:val="4"/>
                <w:szCs w:val="4"/>
              </w:rPr>
            </w:r>
          </w:p>
        </w:tc>
        <w:tc>
          <w:tcPr>
            <w:tcW w:w="1310" w:type="dxa"/>
            <w:tcBorders/>
          </w:tcPr>
          <w:p>
            <w:pPr>
              <w:pStyle w:val="TableContents"/>
              <w:bidi w:val="0"/>
              <w:spacing w:before="174" w:after="0"/>
              <w:ind w:left="0" w:right="0" w:hanging="0"/>
              <w:jc w:val="left"/>
              <w:rPr>
                <w:rFonts w:ascii="Arial" w:hAnsi="Arial"/>
                <w:b/>
                <w:color w:val="000000"/>
                <w:sz w:val="22"/>
              </w:rPr>
            </w:pPr>
            <w:bookmarkStart w:id="321" w:name="Amendment1810"/>
            <w:bookmarkStart w:id="322" w:name="_TOC_250019"/>
            <w:bookmarkEnd w:id="321"/>
            <w:bookmarkEnd w:id="322"/>
            <w:r>
              <w:rPr>
                <w:rFonts w:ascii="Arial" w:hAnsi="Arial"/>
                <w:b/>
                <w:color w:val="000000"/>
                <w:sz w:val="22"/>
              </w:rPr>
              <w:t>Amendment</w:t>
            </w:r>
          </w:p>
        </w:tc>
      </w:tr>
    </w:tbl>
    <w:p>
      <w:pPr>
        <w:pStyle w:val="TextBody"/>
        <w:bidi w:val="0"/>
        <w:spacing w:lineRule="auto" w:line="264" w:before="88" w:after="0"/>
        <w:ind w:left="3456" w:right="1854" w:hanging="0"/>
        <w:jc w:val="left"/>
        <w:rPr>
          <w:rFonts w:ascii="Arial" w:hAnsi="Arial"/>
          <w:sz w:val="20"/>
        </w:rPr>
      </w:pPr>
      <w:r>
        <w:rPr>
          <w:rFonts w:ascii="Arial" w:hAnsi="Arial"/>
          <w:color w:val="000000"/>
          <w:sz w:val="20"/>
        </w:rPr>
        <w:t>This document may only be varied or replaced by a document executed by the parties.</w:t>
      </w:r>
      <w:r>
        <w:rPr>
          <w:rFonts w:ascii="Arial" w:hAnsi="Arial"/>
          <w:sz w:val="20"/>
        </w:rPr>
        <w:t xml:space="preserve"> </w:t>
      </w:r>
    </w:p>
    <w:tbl>
      <w:tblPr>
        <w:tblW w:w="3821" w:type="dxa"/>
        <w:jc w:val="left"/>
        <w:tblInd w:w="360" w:type="dxa"/>
        <w:tblLayout w:type="fixed"/>
        <w:tblCellMar>
          <w:top w:w="0" w:type="dxa"/>
          <w:left w:w="0" w:type="dxa"/>
          <w:bottom w:w="0" w:type="dxa"/>
          <w:right w:w="0" w:type="dxa"/>
        </w:tblCellMar>
      </w:tblPr>
      <w:tblGrid>
        <w:gridCol w:w="38"/>
        <w:gridCol w:w="680"/>
        <w:gridCol w:w="23"/>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24.11. </w:t>
            </w:r>
          </w:p>
        </w:tc>
        <w:tc>
          <w:tcPr>
            <w:tcW w:w="23" w:type="dxa"/>
            <w:tcBorders/>
            <w:vAlign w:val="center"/>
          </w:tcPr>
          <w:p>
            <w:pPr>
              <w:pStyle w:val="TableContents"/>
              <w:bidi w:val="0"/>
              <w:spacing w:before="0" w:after="283"/>
              <w:jc w:val="left"/>
              <w:rPr>
                <w:sz w:val="4"/>
                <w:szCs w:val="4"/>
              </w:rPr>
            </w:pPr>
            <w:r>
              <w:rPr>
                <w:sz w:val="4"/>
                <w:szCs w:val="4"/>
              </w:rPr>
            </w:r>
          </w:p>
        </w:tc>
        <w:tc>
          <w:tcPr>
            <w:tcW w:w="3080" w:type="dxa"/>
            <w:tcBorders/>
          </w:tcPr>
          <w:p>
            <w:pPr>
              <w:pStyle w:val="TableContents"/>
              <w:bidi w:val="0"/>
              <w:spacing w:before="174" w:after="0"/>
              <w:ind w:left="0" w:right="0" w:hanging="0"/>
              <w:jc w:val="left"/>
              <w:rPr>
                <w:rFonts w:ascii="Arial" w:hAnsi="Arial"/>
                <w:b/>
                <w:color w:val="000000"/>
                <w:sz w:val="22"/>
              </w:rPr>
            </w:pPr>
            <w:bookmarkStart w:id="323" w:name="Waiver_and_exercise_of_rights1811"/>
            <w:bookmarkStart w:id="324" w:name="_TOC_250018"/>
            <w:bookmarkEnd w:id="323"/>
            <w:bookmarkEnd w:id="324"/>
            <w:r>
              <w:rPr>
                <w:rFonts w:ascii="Arial" w:hAnsi="Arial"/>
                <w:b/>
                <w:color w:val="000000"/>
                <w:sz w:val="22"/>
              </w:rPr>
              <w:t>Waiver and exercise of rights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(a)A right in favour of the Bank under a Transaction Document, a breach of an obligation of the Borrower under a Transaction Document or an Event of Default can only be waived by an instrument signed by the Bank. No other act, omission or delay of the Bank constitutes a waiver binding, or estoppel against,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 single or partial exercise or waiver by the Bank of a right relating to a Transaction Document does not prevent any other exercise of that right or the exercise of any other right.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 xml:space="preserve">(c)The Bank and its Representatives are not liable for any loss, cost or expense of the Borrower caused or contributed to by the waiver, exercise, attempted exercise, failure to exercise or delay in the exercise of a right and the Bank holds the benefit of this </w:t>
      </w:r>
      <w:r>
        <w:rPr>
          <w:rFonts w:ascii="Arial" w:hAnsi="Arial"/>
          <w:b/>
          <w:color w:val="000000"/>
          <w:sz w:val="20"/>
        </w:rPr>
        <w:t xml:space="preserve">clause </w:t>
      </w:r>
      <w:r>
        <w:rPr>
          <w:rFonts w:ascii="Arial" w:hAnsi="Arial"/>
          <w:b/>
          <w:color w:val="2D97D3"/>
          <w:sz w:val="20"/>
          <w:u w:val="single"/>
        </w:rPr>
        <w:t>18.11</w:t>
      </w:r>
      <w:r>
        <w:rPr>
          <w:rFonts w:ascii="Arial" w:hAnsi="Arial"/>
          <w:b/>
          <w:strike/>
          <w:color w:val="B5082D"/>
          <w:sz w:val="20"/>
        </w:rPr>
        <w:t>18.11</w:t>
      </w:r>
      <w:r>
        <w:rPr>
          <w:rFonts w:ascii="Arial" w:hAnsi="Arial"/>
          <w:color w:val="B5082D"/>
          <w:sz w:val="20"/>
        </w:rPr>
        <w:t> </w:t>
      </w:r>
      <w:r>
        <w:rPr>
          <w:rFonts w:ascii="Arial" w:hAnsi="Arial"/>
          <w:color w:val="000000"/>
          <w:sz w:val="20"/>
        </w:rPr>
        <w:t>on trust for itself and its Representatives.</w:t>
      </w:r>
      <w:r>
        <w:rPr>
          <w:rFonts w:ascii="Arial" w:hAnsi="Arial"/>
          <w:sz w:val="20"/>
        </w:rPr>
        <w:t xml:space="preserve"> </w:t>
      </w:r>
    </w:p>
    <w:tbl>
      <w:tblPr>
        <w:tblW w:w="2666" w:type="dxa"/>
        <w:jc w:val="left"/>
        <w:tblInd w:w="360" w:type="dxa"/>
        <w:tblLayout w:type="fixed"/>
        <w:tblCellMar>
          <w:top w:w="0" w:type="dxa"/>
          <w:left w:w="0" w:type="dxa"/>
          <w:bottom w:w="0" w:type="dxa"/>
          <w:right w:w="0" w:type="dxa"/>
        </w:tblCellMar>
      </w:tblPr>
      <w:tblGrid>
        <w:gridCol w:w="38"/>
        <w:gridCol w:w="680"/>
        <w:gridCol w:w="23"/>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24.12. </w:t>
            </w:r>
          </w:p>
        </w:tc>
        <w:tc>
          <w:tcPr>
            <w:tcW w:w="23" w:type="dxa"/>
            <w:tcBorders/>
            <w:vAlign w:val="center"/>
          </w:tcPr>
          <w:p>
            <w:pPr>
              <w:pStyle w:val="TableContents"/>
              <w:bidi w:val="0"/>
              <w:spacing w:before="0" w:after="283"/>
              <w:jc w:val="left"/>
              <w:rPr>
                <w:sz w:val="4"/>
                <w:szCs w:val="4"/>
              </w:rPr>
            </w:pPr>
            <w:r>
              <w:rPr>
                <w:sz w:val="4"/>
                <w:szCs w:val="4"/>
              </w:rPr>
            </w:r>
          </w:p>
        </w:tc>
        <w:tc>
          <w:tcPr>
            <w:tcW w:w="1925" w:type="dxa"/>
            <w:tcBorders/>
          </w:tcPr>
          <w:p>
            <w:pPr>
              <w:pStyle w:val="TableContents"/>
              <w:bidi w:val="0"/>
              <w:spacing w:before="174" w:after="0"/>
              <w:ind w:left="0" w:right="0" w:hanging="0"/>
              <w:jc w:val="left"/>
              <w:rPr>
                <w:rFonts w:ascii="Arial" w:hAnsi="Arial"/>
                <w:b/>
                <w:color w:val="000000"/>
                <w:sz w:val="22"/>
              </w:rPr>
            </w:pPr>
            <w:bookmarkStart w:id="325" w:name="Rights_cumulative1812"/>
            <w:bookmarkStart w:id="326" w:name="_TOC_250017"/>
            <w:bookmarkEnd w:id="325"/>
            <w:bookmarkEnd w:id="326"/>
            <w:r>
              <w:rPr>
                <w:rFonts w:ascii="Arial" w:hAnsi="Arial"/>
                <w:b/>
                <w:color w:val="000000"/>
                <w:sz w:val="22"/>
              </w:rPr>
              <w:t>Rights cumulative</w:t>
            </w:r>
          </w:p>
        </w:tc>
      </w:tr>
    </w:tbl>
    <w:p>
      <w:pPr>
        <w:pStyle w:val="TextBody"/>
        <w:bidi w:val="0"/>
        <w:spacing w:lineRule="auto" w:line="264" w:before="88" w:after="0"/>
        <w:ind w:left="3456" w:right="1854" w:hanging="0"/>
        <w:jc w:val="left"/>
        <w:rPr>
          <w:rFonts w:ascii="Arial" w:hAnsi="Arial"/>
          <w:sz w:val="20"/>
        </w:rPr>
      </w:pPr>
      <w:r>
        <w:rPr>
          <w:rFonts w:ascii="Arial" w:hAnsi="Arial"/>
          <w:color w:val="000000"/>
          <w:sz w:val="20"/>
        </w:rPr>
        <w:t>The rights of the Bank under the Transaction Documents are cumulative and in addition to its other rights.</w:t>
      </w:r>
      <w:r>
        <w:rPr>
          <w:rFonts w:ascii="Arial" w:hAnsi="Arial"/>
          <w:sz w:val="20"/>
        </w:rPr>
        <w:t xml:space="preserve"> </w:t>
      </w:r>
    </w:p>
    <w:tbl>
      <w:tblPr>
        <w:tblW w:w="3086" w:type="dxa"/>
        <w:jc w:val="left"/>
        <w:tblInd w:w="360" w:type="dxa"/>
        <w:tblLayout w:type="fixed"/>
        <w:tblCellMar>
          <w:top w:w="0" w:type="dxa"/>
          <w:left w:w="0" w:type="dxa"/>
          <w:bottom w:w="0" w:type="dxa"/>
          <w:right w:w="0" w:type="dxa"/>
        </w:tblCellMar>
      </w:tblPr>
      <w:tblGrid>
        <w:gridCol w:w="38"/>
        <w:gridCol w:w="680"/>
        <w:gridCol w:w="23"/>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24.13. </w:t>
            </w:r>
          </w:p>
        </w:tc>
        <w:tc>
          <w:tcPr>
            <w:tcW w:w="23" w:type="dxa"/>
            <w:tcBorders/>
            <w:vAlign w:val="center"/>
          </w:tcPr>
          <w:p>
            <w:pPr>
              <w:pStyle w:val="TableContents"/>
              <w:bidi w:val="0"/>
              <w:spacing w:before="0" w:after="283"/>
              <w:jc w:val="left"/>
              <w:rPr>
                <w:sz w:val="4"/>
                <w:szCs w:val="4"/>
              </w:rPr>
            </w:pPr>
            <w:r>
              <w:rPr>
                <w:sz w:val="4"/>
                <w:szCs w:val="4"/>
              </w:rPr>
            </w:r>
          </w:p>
        </w:tc>
        <w:tc>
          <w:tcPr>
            <w:tcW w:w="2345" w:type="dxa"/>
            <w:tcBorders/>
          </w:tcPr>
          <w:p>
            <w:pPr>
              <w:pStyle w:val="TableContents"/>
              <w:bidi w:val="0"/>
              <w:spacing w:before="174" w:after="0"/>
              <w:ind w:left="0" w:right="0" w:hanging="0"/>
              <w:jc w:val="left"/>
              <w:rPr>
                <w:rFonts w:ascii="Arial" w:hAnsi="Arial"/>
                <w:b/>
                <w:color w:val="000000"/>
                <w:sz w:val="22"/>
              </w:rPr>
            </w:pPr>
            <w:bookmarkStart w:id="327" w:name="Approval_and_consent1813"/>
            <w:bookmarkStart w:id="328" w:name="_TOC_250016"/>
            <w:bookmarkEnd w:id="327"/>
            <w:bookmarkEnd w:id="328"/>
            <w:r>
              <w:rPr>
                <w:rFonts w:ascii="Arial" w:hAnsi="Arial"/>
                <w:b/>
                <w:color w:val="000000"/>
                <w:sz w:val="22"/>
              </w:rPr>
              <w:t>Approval and consent</w:t>
            </w:r>
          </w:p>
        </w:tc>
      </w:tr>
    </w:tbl>
    <w:p>
      <w:pPr>
        <w:pStyle w:val="TextBody"/>
        <w:bidi w:val="0"/>
        <w:spacing w:lineRule="auto" w:line="264" w:before="85" w:after="0"/>
        <w:ind w:left="3456" w:right="1854" w:hanging="0"/>
        <w:jc w:val="left"/>
        <w:rPr>
          <w:rFonts w:ascii="Arial" w:hAnsi="Arial"/>
          <w:sz w:val="20"/>
        </w:rPr>
      </w:pPr>
      <w:r>
        <w:rPr>
          <w:rFonts w:ascii="Arial" w:hAnsi="Arial"/>
          <w:color w:val="000000"/>
          <w:sz w:val="20"/>
        </w:rPr>
        <w:t>Except where a Transaction Document expressly provides otherwise, the Bank may conditionally or unconditionally give or withhold any consent under a Transaction Document and is not obliged to give its reasons for doing so.</w:t>
      </w:r>
      <w:r>
        <w:rPr>
          <w:rFonts w:ascii="Arial" w:hAnsi="Arial"/>
          <w:sz w:val="20"/>
        </w:rPr>
        <w:t xml:space="preserve"> </w:t>
      </w:r>
    </w:p>
    <w:tbl>
      <w:tblPr>
        <w:tblW w:w="2036" w:type="dxa"/>
        <w:jc w:val="left"/>
        <w:tblInd w:w="360" w:type="dxa"/>
        <w:tblLayout w:type="fixed"/>
        <w:tblCellMar>
          <w:top w:w="0" w:type="dxa"/>
          <w:left w:w="0" w:type="dxa"/>
          <w:bottom w:w="0" w:type="dxa"/>
          <w:right w:w="0" w:type="dxa"/>
        </w:tblCellMar>
      </w:tblPr>
      <w:tblGrid>
        <w:gridCol w:w="38"/>
        <w:gridCol w:w="680"/>
        <w:gridCol w:w="23"/>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24.14. </w:t>
            </w:r>
          </w:p>
        </w:tc>
        <w:tc>
          <w:tcPr>
            <w:tcW w:w="23" w:type="dxa"/>
            <w:tcBorders/>
            <w:vAlign w:val="center"/>
          </w:tcPr>
          <w:p>
            <w:pPr>
              <w:pStyle w:val="TableContents"/>
              <w:bidi w:val="0"/>
              <w:spacing w:before="0" w:after="283"/>
              <w:jc w:val="left"/>
              <w:rPr>
                <w:sz w:val="4"/>
                <w:szCs w:val="4"/>
              </w:rPr>
            </w:pPr>
            <w:r>
              <w:rPr>
                <w:sz w:val="4"/>
                <w:szCs w:val="4"/>
              </w:rPr>
            </w:r>
          </w:p>
        </w:tc>
        <w:tc>
          <w:tcPr>
            <w:tcW w:w="1295" w:type="dxa"/>
            <w:tcBorders/>
          </w:tcPr>
          <w:p>
            <w:pPr>
              <w:pStyle w:val="TableContents"/>
              <w:bidi w:val="0"/>
              <w:spacing w:before="174" w:after="0"/>
              <w:ind w:left="0" w:right="0" w:hanging="0"/>
              <w:jc w:val="left"/>
              <w:rPr>
                <w:rFonts w:ascii="Arial" w:hAnsi="Arial"/>
                <w:b/>
                <w:color w:val="000000"/>
                <w:sz w:val="22"/>
              </w:rPr>
            </w:pPr>
            <w:bookmarkStart w:id="329" w:name="Assignment1814"/>
            <w:bookmarkStart w:id="330" w:name="_TOC_250015"/>
            <w:bookmarkEnd w:id="329"/>
            <w:bookmarkEnd w:id="330"/>
            <w:r>
              <w:rPr>
                <w:rFonts w:ascii="Arial" w:hAnsi="Arial"/>
                <w:b/>
                <w:color w:val="000000"/>
                <w:sz w:val="22"/>
              </w:rPr>
              <w:t>Assignment</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Borrower must not dispose of or Encumber any right under the Transaction Documents without the consent of the Bank.</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(b)The Bank may assign any of its rights or novate, sub-participate, sell- down or transfer by whatever form or otherwise deal with any or all of its rights and obligations under any Transaction Document without the consent of, or notice to, the Borrower.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(c)If an Event of Default subsists then, in order to facilitate the Bank to deal with its rights and obligations, the Bank may (but is not obliged to), from time to time, separate and sever any of its rights (or any part of any of its</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69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83"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1" descr=""/>
                    <pic:cNvPicPr>
                      <a:picLocks noChangeAspect="1" noChangeArrowheads="1"/>
                    </pic:cNvPicPr>
                  </pic:nvPicPr>
                  <pic:blipFill>
                    <a:blip r:embed="rId18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84"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2" descr=""/>
                    <pic:cNvPicPr>
                      <a:picLocks noChangeAspect="1" noChangeArrowheads="1"/>
                    </pic:cNvPicPr>
                  </pic:nvPicPr>
                  <pic:blipFill>
                    <a:blip r:embed="rId18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pBdr/>
        <w:bidi w:val="0"/>
        <w:spacing w:lineRule="auto" w:line="264" w:before="0" w:after="0"/>
        <w:ind w:left="3950" w:right="1854" w:hanging="0"/>
        <w:jc w:val="left"/>
        <w:rPr>
          <w:rFonts w:ascii="Arial" w:hAnsi="Arial"/>
          <w:sz w:val="20"/>
        </w:rPr>
      </w:pPr>
      <w:r>
        <w:rPr>
          <w:rFonts w:ascii="Arial" w:hAnsi="Arial"/>
          <w:sz w:val="20"/>
        </w:rPr>
        <w:t xml:space="preserve">rights) described in a notice given by the Bank to the Borrower from its other rights and obligations under any Transaction Document. Any such notice is effective on the time of delivery to separate and sever the rights described in the notice so that: </w:t>
      </w:r>
    </w:p>
    <w:p>
      <w:pPr>
        <w:pStyle w:val="TextBody"/>
        <w:bidi w:val="0"/>
        <w:spacing w:lineRule="auto" w:line="264" w:before="109" w:after="0"/>
        <w:ind w:left="4540" w:right="1972" w:hanging="0"/>
        <w:jc w:val="left"/>
        <w:rPr>
          <w:rFonts w:ascii="Arial" w:hAnsi="Arial"/>
          <w:sz w:val="20"/>
        </w:rPr>
      </w:pPr>
      <w:r>
        <w:rPr>
          <w:rFonts w:ascii="Arial" w:hAnsi="Arial"/>
          <w:sz w:val="20"/>
        </w:rPr>
        <w:t xml:space="preserve">(i)those rights and obligations are independent from, and may be assigned (including at law), novated, sub-participated, sold-down, transferred or otherwise dealt with separately from, any other of the rights and obligations of the Bank under that Transaction Document; </w:t>
      </w:r>
    </w:p>
    <w:p>
      <w:pPr>
        <w:pStyle w:val="TextBody"/>
        <w:bidi w:val="0"/>
        <w:spacing w:lineRule="auto" w:line="264" w:before="109" w:after="0"/>
        <w:ind w:left="4540" w:right="1953" w:hanging="0"/>
        <w:jc w:val="left"/>
        <w:rPr>
          <w:rFonts w:ascii="Arial" w:hAnsi="Arial"/>
          <w:sz w:val="20"/>
        </w:rPr>
      </w:pPr>
      <w:r>
        <w:rPr>
          <w:rFonts w:ascii="Arial" w:hAnsi="Arial"/>
          <w:sz w:val="20"/>
        </w:rPr>
        <w:t xml:space="preserve">(ii)those rights and obligations may be exercised differently from any other rights and obligations of the Bank under that Transaction Document; and </w:t>
      </w:r>
    </w:p>
    <w:p>
      <w:pPr>
        <w:pStyle w:val="TextBody"/>
        <w:bidi w:val="0"/>
        <w:spacing w:lineRule="auto" w:line="264" w:before="114" w:after="0"/>
        <w:ind w:left="4540" w:right="1908" w:hanging="0"/>
        <w:jc w:val="left"/>
        <w:rPr>
          <w:rFonts w:ascii="Arial" w:hAnsi="Arial"/>
          <w:sz w:val="20"/>
        </w:rPr>
      </w:pPr>
      <w:r>
        <w:rPr>
          <w:rFonts w:ascii="Arial" w:hAnsi="Arial"/>
          <w:sz w:val="20"/>
        </w:rPr>
        <w:t xml:space="preserve">(iii)the Outstanding Accommodation in respect of those rights may be calculated separately from the other Outstanding Accommodation.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(d)If the Bank assigns its rights or transfers its rights and obligations under this document or any other Transaction Document, no Transaction Party will be required to pay any net increase in the aggregate amount of costs, Taxes, fees or charges which is a direct consequence of the assignment or transfer. </w:t>
      </w:r>
    </w:p>
    <w:tbl>
      <w:tblPr>
        <w:tblW w:w="2171" w:type="dxa"/>
        <w:jc w:val="left"/>
        <w:tblInd w:w="360" w:type="dxa"/>
        <w:tblLayout w:type="fixed"/>
        <w:tblCellMar>
          <w:top w:w="0" w:type="dxa"/>
          <w:left w:w="0" w:type="dxa"/>
          <w:bottom w:w="0" w:type="dxa"/>
          <w:right w:w="0" w:type="dxa"/>
        </w:tblCellMar>
      </w:tblPr>
      <w:tblGrid>
        <w:gridCol w:w="38"/>
        <w:gridCol w:w="680"/>
        <w:gridCol w:w="23"/>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24.15. </w:t>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tcPr>
          <w:p>
            <w:pPr>
              <w:pStyle w:val="TableContents"/>
              <w:bidi w:val="0"/>
              <w:spacing w:before="174" w:after="0"/>
              <w:ind w:left="0" w:right="0" w:hanging="0"/>
              <w:jc w:val="left"/>
              <w:rPr>
                <w:rFonts w:ascii="Arial" w:hAnsi="Arial"/>
                <w:b/>
                <w:color w:val="000000"/>
                <w:sz w:val="22"/>
              </w:rPr>
            </w:pPr>
            <w:bookmarkStart w:id="331" w:name="Counterparts1815"/>
            <w:bookmarkStart w:id="332" w:name="_TOC_250014"/>
            <w:bookmarkEnd w:id="331"/>
            <w:bookmarkEnd w:id="332"/>
            <w:r>
              <w:rPr>
                <w:rFonts w:ascii="Arial" w:hAnsi="Arial"/>
                <w:b/>
                <w:color w:val="000000"/>
                <w:sz w:val="22"/>
              </w:rPr>
              <w:t>Counterparts</w:t>
            </w:r>
          </w:p>
        </w:tc>
      </w:tr>
    </w:tbl>
    <w:p>
      <w:pPr>
        <w:pStyle w:val="TextBody"/>
        <w:bidi w:val="0"/>
        <w:spacing w:lineRule="auto" w:line="264" w:before="88" w:after="0"/>
        <w:ind w:left="3456" w:right="1854" w:hanging="0"/>
        <w:jc w:val="left"/>
        <w:rPr>
          <w:rFonts w:ascii="Arial" w:hAnsi="Arial"/>
          <w:sz w:val="20"/>
        </w:rPr>
      </w:pPr>
      <w:r>
        <w:rPr>
          <w:rFonts w:ascii="Arial" w:hAnsi="Arial"/>
          <w:color w:val="000000"/>
          <w:sz w:val="20"/>
        </w:rPr>
        <w:t>This document may consist of a number of counterparts and, if so, the counterparts taken together constitute one document.</w:t>
      </w:r>
      <w:r>
        <w:rPr>
          <w:rFonts w:ascii="Arial" w:hAnsi="Arial"/>
          <w:sz w:val="20"/>
        </w:rPr>
        <w:t xml:space="preserve"> </w:t>
      </w:r>
    </w:p>
    <w:tbl>
      <w:tblPr>
        <w:tblW w:w="2876" w:type="dxa"/>
        <w:jc w:val="left"/>
        <w:tblInd w:w="360" w:type="dxa"/>
        <w:tblLayout w:type="fixed"/>
        <w:tblCellMar>
          <w:top w:w="0" w:type="dxa"/>
          <w:left w:w="0" w:type="dxa"/>
          <w:bottom w:w="0" w:type="dxa"/>
          <w:right w:w="0" w:type="dxa"/>
        </w:tblCellMar>
      </w:tblPr>
      <w:tblGrid>
        <w:gridCol w:w="38"/>
        <w:gridCol w:w="680"/>
        <w:gridCol w:w="23"/>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24.16. </w:t>
            </w:r>
          </w:p>
        </w:tc>
        <w:tc>
          <w:tcPr>
            <w:tcW w:w="23" w:type="dxa"/>
            <w:tcBorders/>
            <w:vAlign w:val="center"/>
          </w:tcPr>
          <w:p>
            <w:pPr>
              <w:pStyle w:val="TableContents"/>
              <w:bidi w:val="0"/>
              <w:spacing w:before="0" w:after="283"/>
              <w:jc w:val="left"/>
              <w:rPr>
                <w:sz w:val="4"/>
                <w:szCs w:val="4"/>
              </w:rPr>
            </w:pPr>
            <w:r>
              <w:rPr>
                <w:sz w:val="4"/>
                <w:szCs w:val="4"/>
              </w:rPr>
            </w:r>
          </w:p>
        </w:tc>
        <w:tc>
          <w:tcPr>
            <w:tcW w:w="2135" w:type="dxa"/>
            <w:tcBorders/>
          </w:tcPr>
          <w:p>
            <w:pPr>
              <w:pStyle w:val="TableContents"/>
              <w:bidi w:val="0"/>
              <w:spacing w:before="174" w:after="0"/>
              <w:ind w:left="0" w:right="0" w:hanging="0"/>
              <w:jc w:val="left"/>
              <w:rPr>
                <w:rFonts w:ascii="Arial" w:hAnsi="Arial"/>
                <w:b/>
                <w:color w:val="000000"/>
                <w:sz w:val="22"/>
              </w:rPr>
            </w:pPr>
            <w:bookmarkStart w:id="333" w:name="Sovereign_immunity1816"/>
            <w:bookmarkStart w:id="334" w:name="_TOC_250013"/>
            <w:bookmarkEnd w:id="333"/>
            <w:bookmarkEnd w:id="334"/>
            <w:r>
              <w:rPr>
                <w:rFonts w:ascii="Arial" w:hAnsi="Arial"/>
                <w:b/>
                <w:color w:val="000000"/>
                <w:sz w:val="22"/>
              </w:rPr>
              <w:t>Sovereign immunity</w:t>
            </w:r>
          </w:p>
        </w:tc>
      </w:tr>
    </w:tbl>
    <w:p>
      <w:pPr>
        <w:pStyle w:val="TextBody"/>
        <w:bidi w:val="0"/>
        <w:spacing w:before="88" w:after="0"/>
        <w:ind w:left="3456" w:right="360" w:hanging="0"/>
        <w:jc w:val="left"/>
        <w:rPr>
          <w:rFonts w:ascii="Arial" w:hAnsi="Arial"/>
          <w:sz w:val="20"/>
        </w:rPr>
      </w:pPr>
      <w:r>
        <w:rPr>
          <w:rFonts w:ascii="Arial" w:hAnsi="Arial"/>
          <w:color w:val="000000"/>
          <w:sz w:val="20"/>
        </w:rPr>
        <w:t>The Borrower irrevocably waives any immunity that it or its property has from:</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(a)set-off;</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(b)legal, arbitral or administrative proceedings;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(c)any process or order of any court, administrative tribunal or arbitrator for the satisfaction or enforcement of a judgment, order or arbitral award or for the arrest, detention or sale of any property;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(d)service on it of any process, judgment, order or arbitral award,</w:t>
      </w:r>
      <w:r>
        <w:rPr>
          <w:rFonts w:ascii="Arial" w:hAnsi="Arial"/>
          <w:sz w:val="20"/>
        </w:rPr>
        <w:t xml:space="preserve"> </w:t>
      </w:r>
    </w:p>
    <w:p>
      <w:pPr>
        <w:pStyle w:val="TextBody"/>
        <w:bidi w:val="0"/>
        <w:spacing w:lineRule="auto" w:line="264" w:before="135" w:after="0"/>
        <w:ind w:left="3456" w:right="1854" w:hanging="0"/>
        <w:jc w:val="left"/>
        <w:rPr>
          <w:rFonts w:ascii="Arial" w:hAnsi="Arial"/>
          <w:sz w:val="20"/>
        </w:rPr>
      </w:pPr>
      <w:r>
        <w:rPr>
          <w:rFonts w:ascii="Arial" w:hAnsi="Arial"/>
          <w:color w:val="000000"/>
          <w:sz w:val="20"/>
        </w:rPr>
        <w:t>on the grounds of sovereignty or otherwise under any law of any jurisdiction where any proceedings may be brought or enforced in relation to any Event of Default under a Transaction Document.</w:t>
      </w:r>
      <w:r>
        <w:rPr>
          <w:rFonts w:ascii="Arial" w:hAnsi="Arial"/>
          <w:sz w:val="20"/>
        </w:rPr>
        <w:t xml:space="preserve"> </w:t>
      </w:r>
    </w:p>
    <w:tbl>
      <w:tblPr>
        <w:tblW w:w="4001" w:type="dxa"/>
        <w:jc w:val="left"/>
        <w:tblInd w:w="360" w:type="dxa"/>
        <w:tblLayout w:type="fixed"/>
        <w:tblCellMar>
          <w:top w:w="0" w:type="dxa"/>
          <w:left w:w="0" w:type="dxa"/>
          <w:bottom w:w="0" w:type="dxa"/>
          <w:right w:w="0" w:type="dxa"/>
        </w:tblCellMar>
      </w:tblPr>
      <w:tblGrid>
        <w:gridCol w:w="38"/>
        <w:gridCol w:w="680"/>
        <w:gridCol w:w="23"/>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24.17. </w:t>
            </w:r>
          </w:p>
        </w:tc>
        <w:tc>
          <w:tcPr>
            <w:tcW w:w="23" w:type="dxa"/>
            <w:tcBorders/>
            <w:vAlign w:val="center"/>
          </w:tcPr>
          <w:p>
            <w:pPr>
              <w:pStyle w:val="TableContents"/>
              <w:bidi w:val="0"/>
              <w:spacing w:before="0" w:after="283"/>
              <w:jc w:val="left"/>
              <w:rPr>
                <w:sz w:val="4"/>
                <w:szCs w:val="4"/>
              </w:rPr>
            </w:pPr>
            <w:r>
              <w:rPr>
                <w:sz w:val="4"/>
                <w:szCs w:val="4"/>
              </w:rPr>
            </w:r>
          </w:p>
        </w:tc>
        <w:tc>
          <w:tcPr>
            <w:tcW w:w="3260" w:type="dxa"/>
            <w:tcBorders/>
          </w:tcPr>
          <w:p>
            <w:pPr>
              <w:pStyle w:val="TableContents"/>
              <w:bidi w:val="0"/>
              <w:spacing w:before="174" w:after="0"/>
              <w:ind w:left="0" w:right="0" w:hanging="0"/>
              <w:jc w:val="left"/>
              <w:rPr>
                <w:rFonts w:ascii="Arial" w:hAnsi="Arial"/>
                <w:b/>
                <w:color w:val="000000"/>
                <w:sz w:val="22"/>
              </w:rPr>
            </w:pPr>
            <w:bookmarkStart w:id="335" w:name="Governing_law1817"/>
            <w:bookmarkStart w:id="336" w:name="_TOC_250012"/>
            <w:bookmarkEnd w:id="335"/>
            <w:bookmarkEnd w:id="336"/>
            <w:r>
              <w:rPr>
                <w:rFonts w:ascii="Arial" w:hAnsi="Arial"/>
                <w:b/>
                <w:color w:val="000000"/>
                <w:sz w:val="22"/>
              </w:rPr>
              <w:t>Governing law and jurisdiction</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(a)This document is governed by and is to be construed in accordance with the laws applicable in the Relevant Jurisdiction.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85"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3" descr=""/>
                    <pic:cNvPicPr>
                      <a:picLocks noChangeAspect="1" noChangeArrowheads="1"/>
                    </pic:cNvPicPr>
                  </pic:nvPicPr>
                  <pic:blipFill>
                    <a:blip r:embed="rId18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86"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4" descr=""/>
                    <pic:cNvPicPr>
                      <a:picLocks noChangeAspect="1" noChangeArrowheads="1"/>
                    </pic:cNvPicPr>
                  </pic:nvPicPr>
                  <pic:blipFill>
                    <a:blip r:embed="rId18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0" w:after="0"/>
        <w:ind w:left="360" w:right="360" w:hanging="0"/>
        <w:jc w:val="left"/>
        <w:rPr>
          <w:rFonts w:cs="Arial"/>
          <w:szCs w:val="22"/>
        </w:rPr>
      </w:pPr>
      <w:r>
        <w:rPr>
          <w:rFonts w:cs="Arial"/>
          <w:szCs w:val="22"/>
        </w:rPr>
        <w:t xml:space="preserve">﻿ </w:t>
      </w:r>
    </w:p>
    <w:p>
      <w:pPr>
        <w:pStyle w:val="TextBody"/>
        <w:pBdr/>
        <w:bidi w:val="0"/>
        <w:spacing w:before="72" w:after="0"/>
        <w:ind w:left="360" w:right="360" w:hanging="0"/>
        <w:jc w:val="left"/>
        <w:rPr>
          <w:rFonts w:cs="Arial"/>
          <w:szCs w:val="22"/>
        </w:rPr>
      </w:pPr>
      <w:r>
        <w:rPr>
          <w:rFonts w:cs="Arial"/>
          <w:szCs w:val="22"/>
        </w:rPr>
        <w:t xml:space="preserve">﻿ </w:t>
      </w:r>
    </w:p>
    <w:tbl>
      <w:tblPr>
        <w:tblW w:w="2951" w:type="dxa"/>
        <w:jc w:val="left"/>
        <w:tblInd w:w="360" w:type="dxa"/>
        <w:tblLayout w:type="fixed"/>
        <w:tblCellMar>
          <w:top w:w="0" w:type="dxa"/>
          <w:left w:w="0" w:type="dxa"/>
          <w:bottom w:w="0" w:type="dxa"/>
          <w:right w:w="0" w:type="dxa"/>
        </w:tblCellMar>
      </w:tblPr>
      <w:tblGrid>
        <w:gridCol w:w="38"/>
        <w:gridCol w:w="680"/>
        <w:gridCol w:w="23"/>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24.18. </w:t>
            </w:r>
          </w:p>
        </w:tc>
        <w:tc>
          <w:tcPr>
            <w:tcW w:w="23" w:type="dxa"/>
            <w:tcBorders/>
            <w:vAlign w:val="center"/>
          </w:tcPr>
          <w:p>
            <w:pPr>
              <w:pStyle w:val="TableContents"/>
              <w:bidi w:val="0"/>
              <w:spacing w:before="0" w:after="283"/>
              <w:jc w:val="left"/>
              <w:rPr>
                <w:sz w:val="4"/>
                <w:szCs w:val="4"/>
              </w:rPr>
            </w:pPr>
            <w:r>
              <w:rPr>
                <w:sz w:val="4"/>
                <w:szCs w:val="4"/>
              </w:rPr>
            </w:r>
          </w:p>
        </w:tc>
        <w:tc>
          <w:tcPr>
            <w:tcW w:w="2210" w:type="dxa"/>
            <w:tcBorders/>
          </w:tcPr>
          <w:p>
            <w:pPr>
              <w:pStyle w:val="TableContents"/>
              <w:bidi w:val="0"/>
              <w:spacing w:before="174" w:after="0"/>
              <w:ind w:left="0" w:right="0" w:hanging="0"/>
              <w:jc w:val="left"/>
              <w:rPr>
                <w:rFonts w:ascii="Arial" w:hAnsi="Arial"/>
                <w:b/>
                <w:color w:val="000000"/>
                <w:sz w:val="22"/>
              </w:rPr>
            </w:pPr>
            <w:bookmarkStart w:id="337" w:name="Telephone_recording1818"/>
            <w:bookmarkStart w:id="338" w:name="_TOC_250011"/>
            <w:bookmarkEnd w:id="337"/>
            <w:bookmarkEnd w:id="338"/>
            <w:r>
              <w:rPr>
                <w:rFonts w:ascii="Arial" w:hAnsi="Arial"/>
                <w:b/>
                <w:color w:val="000000"/>
                <w:sz w:val="22"/>
              </w:rPr>
              <w:t>Telephone recording</w:t>
            </w:r>
          </w:p>
        </w:tc>
      </w:tr>
    </w:tbl>
    <w:p>
      <w:pPr>
        <w:pStyle w:val="TextBody"/>
        <w:bidi w:val="0"/>
        <w:spacing w:lineRule="auto" w:line="264" w:before="87" w:after="0"/>
        <w:ind w:left="3456" w:right="1854" w:hanging="0"/>
        <w:jc w:val="left"/>
        <w:rPr>
          <w:rFonts w:ascii="Arial" w:hAnsi="Arial"/>
          <w:sz w:val="20"/>
        </w:rPr>
      </w:pPr>
      <w:r>
        <w:rPr>
          <w:rFonts w:ascii="Arial" w:hAnsi="Arial"/>
          <w:color w:val="000000"/>
          <w:sz w:val="20"/>
        </w:rPr>
        <w:t>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w:t>
      </w:r>
      <w:r>
        <w:rPr>
          <w:rFonts w:ascii="Arial" w:hAnsi="Arial"/>
          <w:sz w:val="20"/>
        </w:rPr>
        <w:t xml:space="preserve"> </w:t>
      </w:r>
    </w:p>
    <w:tbl>
      <w:tblPr>
        <w:tblW w:w="2081" w:type="dxa"/>
        <w:jc w:val="left"/>
        <w:tblInd w:w="360" w:type="dxa"/>
        <w:tblLayout w:type="fixed"/>
        <w:tblCellMar>
          <w:top w:w="0" w:type="dxa"/>
          <w:left w:w="0" w:type="dxa"/>
          <w:bottom w:w="0" w:type="dxa"/>
          <w:right w:w="0" w:type="dxa"/>
        </w:tblCellMar>
      </w:tblPr>
      <w:tblGrid>
        <w:gridCol w:w="38"/>
        <w:gridCol w:w="680"/>
        <w:gridCol w:w="23"/>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24.19. </w:t>
            </w:r>
          </w:p>
        </w:tc>
        <w:tc>
          <w:tcPr>
            <w:tcW w:w="23" w:type="dxa"/>
            <w:tcBorders/>
            <w:vAlign w:val="center"/>
          </w:tcPr>
          <w:p>
            <w:pPr>
              <w:pStyle w:val="TableContents"/>
              <w:bidi w:val="0"/>
              <w:spacing w:before="0" w:after="283"/>
              <w:jc w:val="left"/>
              <w:rPr>
                <w:sz w:val="4"/>
                <w:szCs w:val="4"/>
              </w:rPr>
            </w:pPr>
            <w:r>
              <w:rPr>
                <w:sz w:val="4"/>
                <w:szCs w:val="4"/>
              </w:rPr>
            </w:r>
          </w:p>
        </w:tc>
        <w:tc>
          <w:tcPr>
            <w:tcW w:w="1340" w:type="dxa"/>
            <w:tcBorders/>
          </w:tcPr>
          <w:p>
            <w:pPr>
              <w:pStyle w:val="TableContents"/>
              <w:bidi w:val="0"/>
              <w:spacing w:before="174" w:after="0"/>
              <w:ind w:left="0" w:right="0" w:hanging="0"/>
              <w:jc w:val="left"/>
              <w:rPr>
                <w:rFonts w:ascii="Arial" w:hAnsi="Arial"/>
                <w:b/>
                <w:color w:val="000000"/>
                <w:sz w:val="22"/>
              </w:rPr>
            </w:pPr>
            <w:bookmarkStart w:id="339" w:name="Legal_advice1819"/>
            <w:bookmarkEnd w:id="339"/>
            <w:r>
              <w:rPr>
                <w:rFonts w:ascii="Arial" w:hAnsi="Arial"/>
                <w:b/>
                <w:color w:val="000000"/>
                <w:sz w:val="22"/>
              </w:rPr>
              <w:t>Legal advice</w:t>
            </w:r>
          </w:p>
        </w:tc>
      </w:tr>
    </w:tbl>
    <w:p>
      <w:pPr>
        <w:pStyle w:val="TextBody"/>
        <w:bidi w:val="0"/>
        <w:spacing w:lineRule="auto" w:line="264" w:before="87" w:after="0"/>
        <w:ind w:left="3456" w:right="1854" w:hanging="0"/>
        <w:jc w:val="left"/>
        <w:rPr>
          <w:rFonts w:ascii="Arial" w:hAnsi="Arial"/>
          <w:sz w:val="20"/>
        </w:rPr>
      </w:pPr>
      <w:r>
        <w:rPr>
          <w:rFonts w:ascii="Arial" w:hAnsi="Arial"/>
          <w:color w:val="000000"/>
          <w:sz w:val="20"/>
        </w:rPr>
        <w:t>The Borrower acknowledges that, except as expressly set out in a Transaction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(a)none of the Bank or any of its advisers have given any representation or warranty or other assurance to it in relation to any Transaction Document or the transactions contemplated by any Transaction Document, including as to Tax or other effects;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(b)it has not relied on the Bank or any of its advisers or on any conduct (including any recommendation) by the Bank or any of its advisers; and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(c)it has obtained its own independent financial, Tax and legal advice.</w:t>
      </w:r>
      <w:r>
        <w:rPr>
          <w:rFonts w:ascii="Arial" w:hAnsi="Arial"/>
          <w:sz w:val="20"/>
        </w:rPr>
        <w:t xml:space="preserve"> </w:t>
      </w:r>
    </w:p>
    <w:tbl>
      <w:tblPr>
        <w:tblW w:w="2816" w:type="dxa"/>
        <w:jc w:val="left"/>
        <w:tblInd w:w="360" w:type="dxa"/>
        <w:tblLayout w:type="fixed"/>
        <w:tblCellMar>
          <w:top w:w="0" w:type="dxa"/>
          <w:left w:w="0" w:type="dxa"/>
          <w:bottom w:w="0" w:type="dxa"/>
          <w:right w:w="0" w:type="dxa"/>
        </w:tblCellMar>
      </w:tblPr>
      <w:tblGrid>
        <w:gridCol w:w="38"/>
        <w:gridCol w:w="680"/>
        <w:gridCol w:w="23"/>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24.20. </w:t>
            </w:r>
          </w:p>
        </w:tc>
        <w:tc>
          <w:tcPr>
            <w:tcW w:w="23" w:type="dxa"/>
            <w:tcBorders/>
            <w:vAlign w:val="center"/>
          </w:tcPr>
          <w:p>
            <w:pPr>
              <w:pStyle w:val="TableContents"/>
              <w:bidi w:val="0"/>
              <w:spacing w:before="0" w:after="283"/>
              <w:jc w:val="left"/>
              <w:rPr>
                <w:sz w:val="4"/>
                <w:szCs w:val="4"/>
              </w:rPr>
            </w:pPr>
            <w:r>
              <w:rPr>
                <w:sz w:val="4"/>
                <w:szCs w:val="4"/>
              </w:rPr>
            </w:r>
          </w:p>
        </w:tc>
        <w:tc>
          <w:tcPr>
            <w:tcW w:w="2075" w:type="dxa"/>
            <w:tcBorders/>
          </w:tcPr>
          <w:p>
            <w:pPr>
              <w:pStyle w:val="TableContents"/>
              <w:bidi w:val="0"/>
              <w:spacing w:before="174" w:after="0"/>
              <w:ind w:left="0" w:right="0" w:hanging="0"/>
              <w:jc w:val="left"/>
              <w:rPr>
                <w:rFonts w:ascii="Arial" w:hAnsi="Arial"/>
                <w:b/>
                <w:color w:val="000000"/>
                <w:sz w:val="22"/>
              </w:rPr>
            </w:pPr>
            <w:bookmarkStart w:id="340" w:name="Further_assurances1820"/>
            <w:bookmarkStart w:id="341" w:name="_TOC_250010"/>
            <w:bookmarkEnd w:id="340"/>
            <w:bookmarkEnd w:id="341"/>
            <w:r>
              <w:rPr>
                <w:rFonts w:ascii="Arial" w:hAnsi="Arial"/>
                <w:b/>
                <w:color w:val="000000"/>
                <w:sz w:val="22"/>
              </w:rPr>
              <w:t>Further assurances</w:t>
            </w:r>
          </w:p>
        </w:tc>
      </w:tr>
    </w:tbl>
    <w:p>
      <w:pPr>
        <w:pStyle w:val="TextBody"/>
        <w:bidi w:val="0"/>
        <w:spacing w:before="85" w:after="0"/>
        <w:ind w:left="3456" w:right="360" w:hanging="0"/>
        <w:jc w:val="left"/>
        <w:rPr>
          <w:rFonts w:ascii="Arial" w:hAnsi="Arial"/>
          <w:sz w:val="20"/>
        </w:rPr>
      </w:pPr>
      <w:r>
        <w:rPr>
          <w:rFonts w:ascii="Arial" w:hAnsi="Arial"/>
          <w:color w:val="000000"/>
          <w:sz w:val="20"/>
        </w:rPr>
        <w:t>Whenever the Bank requests a Transaction Party to do anything:</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(a)to ensure any Transaction Document (or any security interest (as defined in the PPS Act) or other Security Interest, right or power under any Transaction Document) is fully effective, enforceable and perfected with the contemplated priority;</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(b)for more satisfactorily assuring or securing to the Bank the property the subject of any such security interest or other Security in a manner consistent with the Transaction Documents;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(c)for aiding the exercise of any right or power in any Transaction Document,</w:t>
      </w:r>
      <w:r>
        <w:rPr>
          <w:rFonts w:ascii="Arial" w:hAnsi="Arial"/>
          <w:sz w:val="20"/>
        </w:rPr>
        <w:t xml:space="preserve"> </w:t>
      </w:r>
    </w:p>
    <w:p>
      <w:pPr>
        <w:pStyle w:val="TextBody"/>
        <w:bidi w:val="0"/>
        <w:spacing w:lineRule="auto" w:line="264" w:before="107" w:after="0"/>
        <w:ind w:left="3456" w:right="1854" w:hanging="0"/>
        <w:jc w:val="left"/>
        <w:rPr>
          <w:rFonts w:ascii="Arial" w:hAnsi="Arial"/>
          <w:sz w:val="20"/>
        </w:rPr>
      </w:pPr>
      <w:r>
        <w:rPr>
          <w:rFonts w:ascii="Arial" w:hAnsi="Arial"/>
          <w:color w:val="000000"/>
          <w:sz w:val="20"/>
        </w:rPr>
        <w:t>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w:t>
      </w:r>
      <w:r>
        <w:rPr>
          <w:rFonts w:ascii="Arial" w:hAnsi="Arial"/>
          <w:sz w:val="20"/>
        </w:rPr>
        <w:t xml:space="preserve"> </w:t>
      </w:r>
    </w:p>
    <w:tbl>
      <w:tblPr>
        <w:tblW w:w="4031" w:type="dxa"/>
        <w:jc w:val="left"/>
        <w:tblInd w:w="360" w:type="dxa"/>
        <w:tblLayout w:type="fixed"/>
        <w:tblCellMar>
          <w:top w:w="0" w:type="dxa"/>
          <w:left w:w="0" w:type="dxa"/>
          <w:bottom w:w="0" w:type="dxa"/>
          <w:right w:w="0" w:type="dxa"/>
        </w:tblCellMar>
      </w:tblPr>
      <w:tblGrid>
        <w:gridCol w:w="38"/>
        <w:gridCol w:w="680"/>
        <w:gridCol w:w="23"/>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24.21. </w:t>
            </w:r>
          </w:p>
        </w:tc>
        <w:tc>
          <w:tcPr>
            <w:tcW w:w="23" w:type="dxa"/>
            <w:tcBorders/>
            <w:vAlign w:val="center"/>
          </w:tcPr>
          <w:p>
            <w:pPr>
              <w:pStyle w:val="TableContents"/>
              <w:bidi w:val="0"/>
              <w:spacing w:before="0" w:after="283"/>
              <w:jc w:val="left"/>
              <w:rPr>
                <w:sz w:val="4"/>
                <w:szCs w:val="4"/>
              </w:rPr>
            </w:pPr>
            <w:r>
              <w:rPr>
                <w:sz w:val="4"/>
                <w:szCs w:val="4"/>
              </w:rPr>
            </w:r>
          </w:p>
        </w:tc>
        <w:tc>
          <w:tcPr>
            <w:tcW w:w="3290" w:type="dxa"/>
            <w:tcBorders/>
          </w:tcPr>
          <w:p>
            <w:pPr>
              <w:pStyle w:val="TableContents"/>
              <w:bidi w:val="0"/>
              <w:spacing w:before="174" w:after="0"/>
              <w:ind w:left="0" w:right="0" w:hanging="0"/>
              <w:jc w:val="left"/>
              <w:rPr>
                <w:rFonts w:ascii="Arial" w:hAnsi="Arial"/>
                <w:b/>
                <w:color w:val="000000"/>
                <w:sz w:val="22"/>
              </w:rPr>
            </w:pPr>
            <w:bookmarkStart w:id="342" w:name="Exclusion1821"/>
            <w:bookmarkStart w:id="343" w:name="_TOC_250009"/>
            <w:bookmarkEnd w:id="342"/>
            <w:bookmarkEnd w:id="343"/>
            <w:r>
              <w:rPr>
                <w:rFonts w:ascii="Arial" w:hAnsi="Arial"/>
                <w:b/>
                <w:color w:val="000000"/>
                <w:sz w:val="22"/>
              </w:rPr>
              <w:t>Exclusion of certain provisions</w:t>
            </w:r>
          </w:p>
        </w:tc>
      </w:tr>
    </w:tbl>
    <w:p>
      <w:pPr>
        <w:pStyle w:val="TextBody"/>
        <w:bidi w:val="0"/>
        <w:spacing w:before="85" w:after="0"/>
        <w:ind w:left="3456" w:right="360" w:hanging="0"/>
        <w:jc w:val="left"/>
        <w:rPr>
          <w:rFonts w:ascii="Arial" w:hAnsi="Arial"/>
          <w:sz w:val="20"/>
        </w:rPr>
      </w:pPr>
      <w:r>
        <w:rPr>
          <w:rFonts w:ascii="Arial" w:hAnsi="Arial"/>
          <w:color w:val="000000"/>
          <w:sz w:val="20"/>
        </w:rPr>
        <w:t>Where there is a Security Interest under any Transaction Document:</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(a)to the extent permitted, sections 142 and 143 of the PPS Act are excluded in full and will not apply to that Security Interest and the Bank need not comply with sections 95, 118, 121(4), 125, 130 ,132(3)(d), and 132(4) of the PPS Act; and</w:t>
      </w:r>
      <w:r>
        <w:rPr>
          <w:rFonts w:ascii="Arial" w:hAnsi="Arial"/>
          <w:sz w:val="2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87"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5" descr=""/>
                    <pic:cNvPicPr>
                      <a:picLocks noChangeAspect="1" noChangeArrowheads="1"/>
                    </pic:cNvPicPr>
                  </pic:nvPicPr>
                  <pic:blipFill>
                    <a:blip r:embed="rId18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88"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6" descr=""/>
                    <pic:cNvPicPr>
                      <a:picLocks noChangeAspect="1" noChangeArrowheads="1"/>
                    </pic:cNvPicPr>
                  </pic:nvPicPr>
                  <pic:blipFill>
                    <a:blip r:embed="rId18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0" w:after="0"/>
        <w:ind w:left="360" w:right="360" w:hanging="0"/>
        <w:jc w:val="left"/>
        <w:rPr>
          <w:rFonts w:cs="Arial"/>
          <w:szCs w:val="20"/>
        </w:rPr>
      </w:pPr>
      <w:r>
        <w:rPr>
          <w:rFonts w:cs="Arial"/>
          <w:szCs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(b)each Transaction Party waives its right to receive from the Bank any notice required under s157 of the PPS Act or the provisions of the PPS Act referred to in s144 of the PPS Act, except section 135. </w:t>
      </w:r>
    </w:p>
    <w:p>
      <w:pPr>
        <w:pStyle w:val="TextBody"/>
        <w:bidi w:val="0"/>
        <w:spacing w:lineRule="auto" w:line="264" w:before="110" w:after="0"/>
        <w:ind w:left="3456" w:right="1854" w:hanging="0"/>
        <w:jc w:val="left"/>
        <w:rPr>
          <w:rFonts w:ascii="Arial" w:hAnsi="Arial"/>
          <w:sz w:val="20"/>
        </w:rPr>
      </w:pPr>
      <w:r>
        <w:rPr>
          <w:rFonts w:ascii="Arial" w:hAnsi="Arial"/>
          <w:sz w:val="20"/>
        </w:rPr>
        <w:t xml:space="preserve">This does not affect any rights a person has or would have other than by reason of the PPS Act and applies despite any other clause in any Transaction Document. </w:t>
      </w:r>
    </w:p>
    <w:tbl>
      <w:tblPr>
        <w:tblW w:w="2666" w:type="dxa"/>
        <w:jc w:val="left"/>
        <w:tblInd w:w="360" w:type="dxa"/>
        <w:tblLayout w:type="fixed"/>
        <w:tblCellMar>
          <w:top w:w="0" w:type="dxa"/>
          <w:left w:w="0" w:type="dxa"/>
          <w:bottom w:w="0" w:type="dxa"/>
          <w:right w:w="0" w:type="dxa"/>
        </w:tblCellMar>
      </w:tblPr>
      <w:tblGrid>
        <w:gridCol w:w="38"/>
        <w:gridCol w:w="680"/>
        <w:gridCol w:w="23"/>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24.22. </w:t>
            </w:r>
          </w:p>
        </w:tc>
        <w:tc>
          <w:tcPr>
            <w:tcW w:w="23" w:type="dxa"/>
            <w:tcBorders/>
            <w:vAlign w:val="center"/>
          </w:tcPr>
          <w:p>
            <w:pPr>
              <w:pStyle w:val="TableContents"/>
              <w:bidi w:val="0"/>
              <w:spacing w:before="0" w:after="283"/>
              <w:jc w:val="left"/>
              <w:rPr>
                <w:sz w:val="4"/>
                <w:szCs w:val="4"/>
              </w:rPr>
            </w:pPr>
            <w:r>
              <w:rPr>
                <w:sz w:val="4"/>
                <w:szCs w:val="4"/>
              </w:rPr>
            </w:r>
          </w:p>
        </w:tc>
        <w:tc>
          <w:tcPr>
            <w:tcW w:w="1925" w:type="dxa"/>
            <w:tcBorders/>
          </w:tcPr>
          <w:p>
            <w:pPr>
              <w:pStyle w:val="TableContents"/>
              <w:bidi w:val="0"/>
              <w:spacing w:before="174" w:after="0"/>
              <w:ind w:left="0" w:right="0" w:hanging="0"/>
              <w:jc w:val="left"/>
              <w:rPr>
                <w:rFonts w:ascii="Arial" w:hAnsi="Arial"/>
                <w:b/>
                <w:color w:val="000000"/>
                <w:sz w:val="22"/>
              </w:rPr>
            </w:pPr>
            <w:bookmarkStart w:id="344" w:name="Notice_of_changes1822"/>
            <w:bookmarkStart w:id="345" w:name="_TOC_250008"/>
            <w:bookmarkEnd w:id="344"/>
            <w:bookmarkEnd w:id="345"/>
            <w:r>
              <w:rPr>
                <w:rFonts w:ascii="Arial" w:hAnsi="Arial"/>
                <w:b/>
                <w:color w:val="000000"/>
                <w:sz w:val="22"/>
              </w:rPr>
              <w:t>Notice of changes</w:t>
            </w:r>
          </w:p>
        </w:tc>
      </w:tr>
    </w:tbl>
    <w:p>
      <w:pPr>
        <w:pStyle w:val="TextBody"/>
        <w:bidi w:val="0"/>
        <w:spacing w:before="87" w:after="0"/>
        <w:ind w:left="3456" w:right="360" w:hanging="0"/>
        <w:jc w:val="left"/>
        <w:rPr>
          <w:rFonts w:ascii="Arial" w:hAnsi="Arial"/>
          <w:sz w:val="20"/>
        </w:rPr>
      </w:pPr>
      <w:r>
        <w:rPr>
          <w:rFonts w:ascii="Arial" w:hAnsi="Arial"/>
          <w:color w:val="000000"/>
          <w:sz w:val="20"/>
        </w:rPr>
        <w:t>Each Transaction Party agrees to notify the Bank at least 14 days before: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(a)a Transaction Party (or if the Transaction Party is trustee of a Trust or a partner of a partnership, the Trust or the partnership) changes its name;</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(b)any ABN, ARBN or ARSN allocated to a Transaction Party (or if the Transaction Party is trustee of a Trust or a partner of a partnership, the Trust or the partnership) changes, is cancelled or otherwise ceases to apply to it (or if it does not have an ABN, ARBN or ARSN, one is allocated, or otherwise starts to apply, to it);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(c)the Borrower becomes trustee of a trust, or a partner in a partnership, which is not expressly contemplated in the Transaction Documents.</w:t>
      </w:r>
      <w:r>
        <w:rPr>
          <w:rFonts w:ascii="Arial" w:hAnsi="Arial"/>
          <w:sz w:val="20"/>
        </w:rPr>
        <w:t xml:space="preserve"> </w:t>
      </w:r>
    </w:p>
    <w:p>
      <w:pPr>
        <w:pStyle w:val="TextBody"/>
        <w:pBdr/>
        <w:bidi w:val="0"/>
        <w:spacing w:before="0" w:after="0"/>
        <w:ind w:left="360" w:right="360" w:hanging="0"/>
        <w:jc w:val="left"/>
        <w:rPr>
          <w:rFonts w:cs="Arial"/>
          <w:szCs w:val="20"/>
        </w:rPr>
      </w:pPr>
      <w:r>
        <w:rPr>
          <w:rFonts w:cs="Arial"/>
          <w:color w:val="000000"/>
          <w:szCs w:val="20"/>
        </w:rPr>
        <w:t>﻿</w:t>
      </w:r>
      <w:r>
        <w:rPr>
          <w:rFonts w:cs="Arial"/>
          <w:szCs w:val="20"/>
        </w:rPr>
        <w:t xml:space="preserve"> </w:t>
      </w:r>
    </w:p>
    <w:p>
      <w:pPr>
        <w:pStyle w:val="TextBody"/>
        <w:pBdr/>
        <w:bidi w:val="0"/>
        <w:spacing w:before="78" w:after="0"/>
        <w:ind w:left="360" w:right="360" w:hanging="0"/>
        <w:jc w:val="left"/>
        <w:rPr>
          <w:rFonts w:cs="Arial"/>
          <w:szCs w:val="20"/>
        </w:rPr>
      </w:pPr>
      <w:r>
        <w:rPr>
          <w:rFonts w:cs="Arial"/>
          <w:color w:val="000000"/>
          <w:szCs w:val="20"/>
        </w:rPr>
        <w:t>﻿</w:t>
      </w:r>
      <w:r>
        <w:rPr>
          <w:rFonts w:cs="Arial"/>
          <w:szCs w:val="20"/>
        </w:rPr>
        <w:t xml:space="preserve"> </w:t>
      </w:r>
    </w:p>
    <w:tbl>
      <w:tblPr>
        <w:tblW w:w="1616" w:type="dxa"/>
        <w:jc w:val="left"/>
        <w:tblInd w:w="360" w:type="dxa"/>
        <w:tblLayout w:type="fixed"/>
        <w:tblCellMar>
          <w:top w:w="0" w:type="dxa"/>
          <w:left w:w="0" w:type="dxa"/>
          <w:bottom w:w="0" w:type="dxa"/>
          <w:right w:w="0" w:type="dxa"/>
        </w:tblCellMar>
      </w:tblPr>
      <w:tblGrid>
        <w:gridCol w:w="38"/>
        <w:gridCol w:w="530"/>
        <w:gridCol w:w="23"/>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0"/>
              <w:ind w:left="0" w:right="0" w:hanging="0"/>
              <w:jc w:val="left"/>
              <w:rPr>
                <w:rFonts w:ascii="Arial" w:hAnsi="Arial"/>
                <w:sz w:val="30"/>
              </w:rPr>
            </w:pPr>
            <w:r>
              <w:rPr>
                <w:rFonts w:ascii="Arial" w:hAnsi="Arial"/>
                <w:sz w:val="30"/>
              </w:rPr>
              <w:t xml:space="preserve">25. </w:t>
            </w:r>
          </w:p>
        </w:tc>
        <w:tc>
          <w:tcPr>
            <w:tcW w:w="23" w:type="dxa"/>
            <w:tcBorders/>
            <w:vAlign w:val="center"/>
          </w:tcPr>
          <w:p>
            <w:pPr>
              <w:pStyle w:val="TableContents"/>
              <w:bidi w:val="0"/>
              <w:spacing w:before="0" w:after="283"/>
              <w:jc w:val="left"/>
              <w:rPr>
                <w:sz w:val="4"/>
                <w:szCs w:val="4"/>
              </w:rPr>
            </w:pPr>
            <w:r>
              <w:rPr>
                <w:sz w:val="4"/>
                <w:szCs w:val="4"/>
              </w:rPr>
            </w:r>
          </w:p>
        </w:tc>
        <w:tc>
          <w:tcPr>
            <w:tcW w:w="1025" w:type="dxa"/>
            <w:tcBorders/>
          </w:tcPr>
          <w:p>
            <w:pPr>
              <w:pStyle w:val="TableContents"/>
              <w:bidi w:val="0"/>
              <w:spacing w:before="0" w:after="0"/>
              <w:ind w:left="0" w:right="0" w:hanging="0"/>
              <w:jc w:val="left"/>
              <w:rPr>
                <w:rFonts w:ascii="Arial" w:hAnsi="Arial"/>
                <w:color w:val="000000"/>
                <w:sz w:val="30"/>
              </w:rPr>
            </w:pPr>
            <w:bookmarkStart w:id="346" w:name="Notices19"/>
            <w:bookmarkStart w:id="347" w:name="_TOC_250007"/>
            <w:bookmarkEnd w:id="346"/>
            <w:bookmarkEnd w:id="347"/>
            <w:r>
              <w:rPr>
                <w:rFonts w:ascii="Arial" w:hAnsi="Arial"/>
                <w:color w:val="000000"/>
                <w:sz w:val="30"/>
              </w:rPr>
              <w:t>Notices</w:t>
            </w:r>
          </w:p>
        </w:tc>
      </w:tr>
    </w:tbl>
    <w:tbl>
      <w:tblPr>
        <w:tblW w:w="1481" w:type="dxa"/>
        <w:jc w:val="left"/>
        <w:tblInd w:w="360" w:type="dxa"/>
        <w:tblLayout w:type="fixed"/>
        <w:tblCellMar>
          <w:top w:w="0" w:type="dxa"/>
          <w:left w:w="0" w:type="dxa"/>
          <w:bottom w:w="0" w:type="dxa"/>
          <w:right w:w="0" w:type="dxa"/>
        </w:tblCellMar>
      </w:tblPr>
      <w:tblGrid>
        <w:gridCol w:w="38"/>
        <w:gridCol w:w="560"/>
        <w:gridCol w:w="23"/>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25.1. </w:t>
            </w:r>
          </w:p>
        </w:tc>
        <w:tc>
          <w:tcPr>
            <w:tcW w:w="23" w:type="dxa"/>
            <w:tcBorders/>
            <w:vAlign w:val="center"/>
          </w:tcPr>
          <w:p>
            <w:pPr>
              <w:pStyle w:val="TableContents"/>
              <w:bidi w:val="0"/>
              <w:spacing w:before="0" w:after="283"/>
              <w:jc w:val="left"/>
              <w:rPr>
                <w:sz w:val="4"/>
                <w:szCs w:val="4"/>
              </w:rPr>
            </w:pPr>
            <w:r>
              <w:rPr>
                <w:sz w:val="4"/>
                <w:szCs w:val="4"/>
              </w:rPr>
            </w:r>
          </w:p>
        </w:tc>
        <w:tc>
          <w:tcPr>
            <w:tcW w:w="860" w:type="dxa"/>
            <w:tcBorders/>
          </w:tcPr>
          <w:p>
            <w:pPr>
              <w:pStyle w:val="TableContents"/>
              <w:bidi w:val="0"/>
              <w:spacing w:before="174" w:after="0"/>
              <w:ind w:left="0" w:right="0" w:hanging="0"/>
              <w:jc w:val="left"/>
              <w:rPr>
                <w:rFonts w:ascii="Arial" w:hAnsi="Arial"/>
                <w:b/>
                <w:color w:val="000000"/>
                <w:sz w:val="22"/>
              </w:rPr>
            </w:pPr>
            <w:bookmarkStart w:id="348" w:name="General191"/>
            <w:bookmarkStart w:id="349" w:name="_TOC_250006"/>
            <w:bookmarkEnd w:id="348"/>
            <w:bookmarkEnd w:id="349"/>
            <w:r>
              <w:rPr>
                <w:rFonts w:ascii="Arial" w:hAnsi="Arial"/>
                <w:b/>
                <w:color w:val="000000"/>
                <w:sz w:val="22"/>
              </w:rPr>
              <w:t>General</w:t>
            </w:r>
          </w:p>
        </w:tc>
      </w:tr>
    </w:tbl>
    <w:p>
      <w:pPr>
        <w:pStyle w:val="TextBody"/>
        <w:bidi w:val="0"/>
        <w:spacing w:lineRule="auto" w:line="264" w:before="87" w:after="0"/>
        <w:ind w:left="3456" w:right="2129" w:hanging="0"/>
        <w:jc w:val="both"/>
        <w:rPr>
          <w:rFonts w:ascii="Arial" w:hAnsi="Arial"/>
          <w:sz w:val="20"/>
        </w:rPr>
      </w:pPr>
      <w:r>
        <w:rPr>
          <w:rFonts w:ascii="Arial" w:hAnsi="Arial"/>
          <w:color w:val="000000"/>
          <w:sz w:val="20"/>
        </w:rPr>
        <w:t>A notice, demand, certification, process or other communication relating to a Transaction Document must be in writing in English and may be given by an Authorised Representative of the sender.</w:t>
      </w:r>
      <w:r>
        <w:rPr>
          <w:rFonts w:ascii="Arial" w:hAnsi="Arial"/>
          <w:sz w:val="20"/>
        </w:rPr>
        <w:t xml:space="preserve"> </w:t>
      </w:r>
    </w:p>
    <w:tbl>
      <w:tblPr>
        <w:tblW w:w="3761" w:type="dxa"/>
        <w:jc w:val="left"/>
        <w:tblInd w:w="360" w:type="dxa"/>
        <w:tblLayout w:type="fixed"/>
        <w:tblCellMar>
          <w:top w:w="0" w:type="dxa"/>
          <w:left w:w="0" w:type="dxa"/>
          <w:bottom w:w="0" w:type="dxa"/>
          <w:right w:w="0" w:type="dxa"/>
        </w:tblCellMar>
      </w:tblPr>
      <w:tblGrid>
        <w:gridCol w:w="38"/>
        <w:gridCol w:w="560"/>
        <w:gridCol w:w="23"/>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25.2. </w:t>
            </w:r>
          </w:p>
        </w:tc>
        <w:tc>
          <w:tcPr>
            <w:tcW w:w="23" w:type="dxa"/>
            <w:tcBorders/>
            <w:vAlign w:val="center"/>
          </w:tcPr>
          <w:p>
            <w:pPr>
              <w:pStyle w:val="TableContents"/>
              <w:bidi w:val="0"/>
              <w:spacing w:before="0" w:after="283"/>
              <w:jc w:val="left"/>
              <w:rPr>
                <w:sz w:val="4"/>
                <w:szCs w:val="4"/>
              </w:rPr>
            </w:pPr>
            <w:r>
              <w:rPr>
                <w:sz w:val="4"/>
                <w:szCs w:val="4"/>
              </w:rPr>
            </w:r>
          </w:p>
        </w:tc>
        <w:tc>
          <w:tcPr>
            <w:tcW w:w="3140" w:type="dxa"/>
            <w:tcBorders/>
          </w:tcPr>
          <w:p>
            <w:pPr>
              <w:pStyle w:val="TableContents"/>
              <w:bidi w:val="0"/>
              <w:spacing w:before="174" w:after="0"/>
              <w:ind w:left="0" w:right="0" w:hanging="0"/>
              <w:jc w:val="left"/>
              <w:rPr>
                <w:rFonts w:ascii="Arial" w:hAnsi="Arial"/>
                <w:b/>
                <w:color w:val="000000"/>
                <w:sz w:val="22"/>
              </w:rPr>
            </w:pPr>
            <w:bookmarkStart w:id="350" w:name="How_to_give_a_communication192"/>
            <w:bookmarkStart w:id="351" w:name="_TOC_250005"/>
            <w:bookmarkEnd w:id="350"/>
            <w:bookmarkEnd w:id="351"/>
            <w:r>
              <w:rPr>
                <w:rFonts w:ascii="Arial" w:hAnsi="Arial"/>
                <w:b/>
                <w:color w:val="000000"/>
                <w:sz w:val="22"/>
              </w:rPr>
              <w:t>How to give a communication</w:t>
            </w:r>
          </w:p>
        </w:tc>
      </w:tr>
    </w:tbl>
    <w:p>
      <w:pPr>
        <w:pStyle w:val="TextBody"/>
        <w:bidi w:val="0"/>
        <w:spacing w:before="85" w:after="0"/>
        <w:ind w:left="3456" w:right="360" w:hanging="0"/>
        <w:jc w:val="left"/>
        <w:rPr>
          <w:rFonts w:ascii="Arial" w:hAnsi="Arial"/>
          <w:sz w:val="20"/>
        </w:rPr>
      </w:pPr>
      <w:r>
        <w:rPr>
          <w:rFonts w:ascii="Arial" w:hAnsi="Arial"/>
          <w:color w:val="000000"/>
          <w:sz w:val="20"/>
        </w:rPr>
        <w:t>In addition to any other lawful means, a communication may be given by being:</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(a)personally delivered;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(b)left at the party’s currentt address for notices.</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(c)sent to the party’s current address for notices by pre-paid ordinary mail or, if the address is outside Australia, by pre-paid airmail;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(d)sent by fax to the party’s current fax number for notices.</w:t>
      </w:r>
      <w:r>
        <w:rPr>
          <w:rFonts w:ascii="Arial" w:hAnsi="Arial"/>
          <w:sz w:val="20"/>
        </w:rPr>
        <w:t xml:space="preserve"> </w:t>
      </w:r>
    </w:p>
    <w:tbl>
      <w:tblPr>
        <w:tblW w:w="4136" w:type="dxa"/>
        <w:jc w:val="left"/>
        <w:tblInd w:w="360" w:type="dxa"/>
        <w:tblLayout w:type="fixed"/>
        <w:tblCellMar>
          <w:top w:w="0" w:type="dxa"/>
          <w:left w:w="0" w:type="dxa"/>
          <w:bottom w:w="0" w:type="dxa"/>
          <w:right w:w="0" w:type="dxa"/>
        </w:tblCellMar>
      </w:tblPr>
      <w:tblGrid>
        <w:gridCol w:w="38"/>
        <w:gridCol w:w="560"/>
        <w:gridCol w:w="23"/>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25.3. </w:t>
            </w:r>
          </w:p>
        </w:tc>
        <w:tc>
          <w:tcPr>
            <w:tcW w:w="23" w:type="dxa"/>
            <w:tcBorders/>
            <w:vAlign w:val="center"/>
          </w:tcPr>
          <w:p>
            <w:pPr>
              <w:pStyle w:val="TableContents"/>
              <w:bidi w:val="0"/>
              <w:spacing w:before="0" w:after="283"/>
              <w:jc w:val="left"/>
              <w:rPr>
                <w:sz w:val="4"/>
                <w:szCs w:val="4"/>
              </w:rPr>
            </w:pPr>
            <w:r>
              <w:rPr>
                <w:sz w:val="4"/>
                <w:szCs w:val="4"/>
              </w:rPr>
            </w:r>
          </w:p>
        </w:tc>
        <w:tc>
          <w:tcPr>
            <w:tcW w:w="3515" w:type="dxa"/>
            <w:tcBorders/>
          </w:tcPr>
          <w:p>
            <w:pPr>
              <w:pStyle w:val="TableContents"/>
              <w:bidi w:val="0"/>
              <w:spacing w:before="174" w:after="0"/>
              <w:ind w:left="0" w:right="0" w:hanging="0"/>
              <w:jc w:val="left"/>
              <w:rPr>
                <w:rFonts w:ascii="Arial" w:hAnsi="Arial"/>
                <w:b/>
                <w:color w:val="000000"/>
                <w:sz w:val="22"/>
              </w:rPr>
            </w:pPr>
            <w:bookmarkStart w:id="352" w:name="Particulars193"/>
            <w:bookmarkStart w:id="353" w:name="_TOC_250004"/>
            <w:bookmarkEnd w:id="352"/>
            <w:bookmarkEnd w:id="353"/>
            <w:r>
              <w:rPr>
                <w:rFonts w:ascii="Arial" w:hAnsi="Arial"/>
                <w:b/>
                <w:color w:val="000000"/>
                <w:sz w:val="22"/>
              </w:rPr>
              <w:t>Particulars for delivery of notices</w:t>
            </w:r>
          </w:p>
        </w:tc>
      </w:tr>
    </w:tbl>
    <w:p>
      <w:pPr>
        <w:pStyle w:val="TextBody"/>
        <w:bidi w:val="0"/>
        <w:spacing w:lineRule="auto" w:line="264" w:before="107" w:after="0"/>
        <w:ind w:left="3983" w:right="1956" w:hanging="0"/>
        <w:jc w:val="left"/>
        <w:rPr>
          <w:rFonts w:ascii="Arial" w:hAnsi="Arial"/>
          <w:sz w:val="20"/>
        </w:rPr>
      </w:pPr>
      <w:r>
        <w:rPr>
          <w:rFonts w:ascii="Arial" w:hAnsi="Arial"/>
          <w:color w:val="000000"/>
          <w:sz w:val="20"/>
        </w:rPr>
        <w:t>(a)The particulars for delivery of notices are initially:</w:t>
      </w:r>
      <w:r>
        <w:rPr>
          <w:rFonts w:ascii="Arial" w:hAnsi="Arial"/>
          <w:sz w:val="20"/>
        </w:rPr>
        <w:t xml:space="preserve"> </w:t>
      </w:r>
    </w:p>
    <w:p>
      <w:pPr>
        <w:pStyle w:val="TextBody"/>
        <w:bidi w:val="0"/>
        <w:spacing w:before="140" w:after="0"/>
        <w:ind w:left="3988" w:right="360" w:hanging="0"/>
        <w:jc w:val="left"/>
        <w:rPr>
          <w:rFonts w:ascii="Arial" w:hAnsi="Arial"/>
          <w:b/>
          <w:sz w:val="20"/>
        </w:rPr>
      </w:pPr>
      <w:r>
        <w:rPr>
          <w:rFonts w:ascii="Arial" w:hAnsi="Arial"/>
          <w:b/>
          <w:color w:val="000000"/>
          <w:sz w:val="20"/>
        </w:rPr>
        <w:t>Transaction Parties:</w:t>
      </w:r>
      <w:r>
        <w:rPr>
          <w:rFonts w:ascii="Arial" w:hAnsi="Arial"/>
          <w:b/>
          <w:sz w:val="20"/>
        </w:rPr>
        <w:t xml:space="preserve"> </w:t>
      </w:r>
    </w:p>
    <w:p>
      <w:pPr>
        <w:pStyle w:val="TextBody"/>
        <w:bidi w:val="0"/>
        <w:spacing w:lineRule="auto" w:line="384" w:before="135" w:after="0"/>
        <w:ind w:left="3988" w:right="5788" w:hanging="0"/>
        <w:jc w:val="left"/>
        <w:rPr>
          <w:rFonts w:ascii="Arial" w:hAnsi="Arial"/>
          <w:sz w:val="20"/>
        </w:rPr>
      </w:pPr>
      <w:r>
        <w:rPr>
          <w:rFonts w:ascii="Arial" w:hAnsi="Arial"/>
          <w:color w:val="000000"/>
          <w:sz w:val="20"/>
        </w:rPr>
        <w:t>As set out in </w:t>
      </w:r>
      <w:r>
        <w:rPr>
          <w:rFonts w:ascii="Arial" w:hAnsi="Arial"/>
          <w:b/>
          <w:color w:val="000000"/>
          <w:sz w:val="20"/>
        </w:rPr>
        <w:t>schedule</w:t>
      </w:r>
      <w:r>
        <w:rPr>
          <w:rFonts w:ascii="Arial" w:hAnsi="Arial"/>
          <w:color w:val="000000"/>
          <w:sz w:val="20"/>
        </w:rPr>
        <w:t> </w:t>
      </w:r>
      <w:r>
        <w:rPr>
          <w:rFonts w:ascii="Arial" w:hAnsi="Arial"/>
          <w:b/>
          <w:color w:val="000000"/>
          <w:sz w:val="20"/>
        </w:rPr>
        <w:t>1. Bank:</w:t>
      </w:r>
      <w:r>
        <w:rPr>
          <w:rFonts w:ascii="Arial" w:hAnsi="Arial"/>
          <w:sz w:val="20"/>
        </w:rPr>
        <w:t xml:space="preserve"> </w:t>
      </w:r>
    </w:p>
    <w:p>
      <w:pPr>
        <w:pStyle w:val="TextBody"/>
        <w:pBdr/>
        <w:bidi w:val="0"/>
        <w:spacing w:lineRule="atLeast" w:line="228" w:before="0" w:after="0"/>
        <w:ind w:left="3988" w:right="360" w:hanging="0"/>
        <w:jc w:val="left"/>
        <w:rPr>
          <w:rFonts w:ascii="Arial" w:hAnsi="Arial"/>
          <w:sz w:val="20"/>
        </w:rPr>
      </w:pPr>
      <w:r>
        <w:rPr>
          <w:rFonts w:ascii="Arial" w:hAnsi="Arial"/>
          <w:color w:val="000000"/>
          <w:sz w:val="20"/>
        </w:rPr>
        <w:t>Address:Level 17, 395 Bourke Street, Melbourne, Victoria 3000</w:t>
      </w:r>
      <w:r>
        <w:rPr>
          <w:rFonts w:ascii="Arial" w:hAnsi="Arial"/>
          <w:sz w:val="20"/>
        </w:rPr>
        <w:t xml:space="preserve"> </w:t>
      </w:r>
    </w:p>
    <w:p>
      <w:pPr>
        <w:pStyle w:val="TextBody"/>
        <w:pBdr/>
        <w:bidi w:val="0"/>
        <w:spacing w:lineRule="atLeast" w:line="228"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89"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7" descr=""/>
                    <pic:cNvPicPr>
                      <a:picLocks noChangeAspect="1" noChangeArrowheads="1"/>
                    </pic:cNvPicPr>
                  </pic:nvPicPr>
                  <pic:blipFill>
                    <a:blip r:embed="rId18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90"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8" descr=""/>
                    <pic:cNvPicPr>
                      <a:picLocks noChangeAspect="1" noChangeArrowheads="1"/>
                    </pic:cNvPicPr>
                  </pic:nvPicPr>
                  <pic:blipFill>
                    <a:blip r:embed="rId19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82" w:after="0"/>
        <w:ind w:left="360" w:right="360" w:hanging="0"/>
        <w:jc w:val="left"/>
        <w:rPr>
          <w:rFonts w:cs="Arial"/>
          <w:szCs w:val="20"/>
        </w:rPr>
      </w:pPr>
      <w:r>
        <w:rPr>
          <w:rFonts w:cs="Arial"/>
          <w:szCs w:val="20"/>
        </w:rPr>
        <w:t xml:space="preserve">﻿ </w:t>
      </w:r>
    </w:p>
    <w:p>
      <w:pPr>
        <w:pStyle w:val="TextBody"/>
        <w:pBdr/>
        <w:bidi w:val="0"/>
        <w:spacing w:before="1" w:after="0"/>
        <w:ind w:left="3988" w:right="360" w:hanging="0"/>
        <w:jc w:val="left"/>
        <w:rPr>
          <w:rFonts w:ascii="Arial" w:hAnsi="Arial"/>
          <w:sz w:val="20"/>
        </w:rPr>
      </w:pPr>
      <w:r>
        <w:rPr>
          <w:rFonts w:ascii="Arial" w:hAnsi="Arial"/>
          <w:sz w:val="20"/>
        </w:rPr>
        <w:t>Attention:Jonathan Kerr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sz w:val="20"/>
        </w:rPr>
        <w:t xml:space="preserve">(b)Each party may change its particulars for delivery of notices by notice to each other party. </w:t>
      </w:r>
    </w:p>
    <w:tbl>
      <w:tblPr>
        <w:tblW w:w="3281" w:type="dxa"/>
        <w:jc w:val="left"/>
        <w:tblInd w:w="360" w:type="dxa"/>
        <w:tblLayout w:type="fixed"/>
        <w:tblCellMar>
          <w:top w:w="0" w:type="dxa"/>
          <w:left w:w="0" w:type="dxa"/>
          <w:bottom w:w="0" w:type="dxa"/>
          <w:right w:w="0" w:type="dxa"/>
        </w:tblCellMar>
      </w:tblPr>
      <w:tblGrid>
        <w:gridCol w:w="38"/>
        <w:gridCol w:w="560"/>
        <w:gridCol w:w="23"/>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25.4. </w:t>
            </w:r>
          </w:p>
        </w:tc>
        <w:tc>
          <w:tcPr>
            <w:tcW w:w="23" w:type="dxa"/>
            <w:tcBorders/>
            <w:vAlign w:val="center"/>
          </w:tcPr>
          <w:p>
            <w:pPr>
              <w:pStyle w:val="TableContents"/>
              <w:bidi w:val="0"/>
              <w:spacing w:before="0" w:after="283"/>
              <w:jc w:val="left"/>
              <w:rPr>
                <w:sz w:val="4"/>
                <w:szCs w:val="4"/>
              </w:rPr>
            </w:pPr>
            <w:r>
              <w:rPr>
                <w:sz w:val="4"/>
                <w:szCs w:val="4"/>
              </w:rPr>
            </w:r>
          </w:p>
        </w:tc>
        <w:tc>
          <w:tcPr>
            <w:tcW w:w="2660" w:type="dxa"/>
            <w:tcBorders/>
          </w:tcPr>
          <w:p>
            <w:pPr>
              <w:pStyle w:val="TableContents"/>
              <w:bidi w:val="0"/>
              <w:spacing w:before="174" w:after="0"/>
              <w:ind w:left="0" w:right="0" w:hanging="0"/>
              <w:jc w:val="left"/>
              <w:rPr>
                <w:rFonts w:ascii="Arial" w:hAnsi="Arial"/>
                <w:b/>
                <w:color w:val="000000"/>
                <w:sz w:val="22"/>
              </w:rPr>
            </w:pPr>
            <w:bookmarkStart w:id="354" w:name="Communications194"/>
            <w:bookmarkStart w:id="355" w:name="_TOC_250003"/>
            <w:bookmarkEnd w:id="354"/>
            <w:bookmarkEnd w:id="355"/>
            <w:r>
              <w:rPr>
                <w:rFonts w:ascii="Arial" w:hAnsi="Arial"/>
                <w:b/>
                <w:color w:val="000000"/>
                <w:sz w:val="22"/>
              </w:rPr>
              <w:t>Communications by post</w:t>
            </w:r>
          </w:p>
        </w:tc>
      </w:tr>
    </w:tbl>
    <w:p>
      <w:pPr>
        <w:pStyle w:val="TextBody"/>
        <w:bidi w:val="0"/>
        <w:spacing w:before="90" w:after="0"/>
        <w:ind w:left="3456" w:right="360" w:hanging="0"/>
        <w:jc w:val="left"/>
        <w:rPr>
          <w:rFonts w:ascii="Arial" w:hAnsi="Arial"/>
          <w:sz w:val="20"/>
        </w:rPr>
      </w:pPr>
      <w:r>
        <w:rPr>
          <w:rFonts w:ascii="Arial" w:hAnsi="Arial"/>
          <w:color w:val="000000"/>
          <w:sz w:val="20"/>
        </w:rPr>
        <w:t>Subject to </w:t>
      </w:r>
      <w:r>
        <w:rPr>
          <w:rFonts w:ascii="Arial" w:hAnsi="Arial"/>
          <w:b/>
          <w:color w:val="000000"/>
          <w:sz w:val="20"/>
        </w:rPr>
        <w:t>clause</w:t>
      </w:r>
      <w:r>
        <w:rPr>
          <w:rFonts w:ascii="Arial" w:hAnsi="Arial"/>
          <w:color w:val="000000"/>
          <w:sz w:val="20"/>
        </w:rPr>
        <w:t> </w:t>
      </w:r>
      <w:r>
        <w:rPr>
          <w:rFonts w:ascii="Arial" w:hAnsi="Arial"/>
          <w:b/>
          <w:color w:val="2D97D3"/>
          <w:sz w:val="20"/>
          <w:u w:val="single"/>
        </w:rPr>
        <w:t>19.6</w:t>
      </w:r>
      <w:r>
        <w:rPr>
          <w:rFonts w:ascii="Arial" w:hAnsi="Arial"/>
          <w:b/>
          <w:strike/>
          <w:color w:val="B5082D"/>
          <w:sz w:val="20"/>
        </w:rPr>
        <w:t>19.6</w:t>
      </w:r>
      <w:r>
        <w:rPr>
          <w:rFonts w:ascii="Arial" w:hAnsi="Arial"/>
          <w:color w:val="000000"/>
          <w:sz w:val="20"/>
        </w:rPr>
        <w:t>, a communication is given if posted:</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(a)within Australia to an Australian address, three Business Days after posting;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(b)in any other case, ten Business Days after posting.</w:t>
      </w:r>
      <w:r>
        <w:rPr>
          <w:rFonts w:ascii="Arial" w:hAnsi="Arial"/>
          <w:sz w:val="20"/>
        </w:rPr>
        <w:t xml:space="preserve"> </w:t>
      </w:r>
    </w:p>
    <w:tbl>
      <w:tblPr>
        <w:tblW w:w="3131" w:type="dxa"/>
        <w:jc w:val="left"/>
        <w:tblInd w:w="360" w:type="dxa"/>
        <w:tblLayout w:type="fixed"/>
        <w:tblCellMar>
          <w:top w:w="0" w:type="dxa"/>
          <w:left w:w="0" w:type="dxa"/>
          <w:bottom w:w="0" w:type="dxa"/>
          <w:right w:w="0" w:type="dxa"/>
        </w:tblCellMar>
      </w:tblPr>
      <w:tblGrid>
        <w:gridCol w:w="38"/>
        <w:gridCol w:w="560"/>
        <w:gridCol w:w="23"/>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25.5. </w:t>
            </w:r>
          </w:p>
        </w:tc>
        <w:tc>
          <w:tcPr>
            <w:tcW w:w="23" w:type="dxa"/>
            <w:tcBorders/>
            <w:vAlign w:val="center"/>
          </w:tcPr>
          <w:p>
            <w:pPr>
              <w:pStyle w:val="TableContents"/>
              <w:bidi w:val="0"/>
              <w:spacing w:before="0" w:after="283"/>
              <w:jc w:val="left"/>
              <w:rPr>
                <w:sz w:val="4"/>
                <w:szCs w:val="4"/>
              </w:rPr>
            </w:pPr>
            <w:r>
              <w:rPr>
                <w:sz w:val="4"/>
                <w:szCs w:val="4"/>
              </w:rPr>
            </w:r>
          </w:p>
        </w:tc>
        <w:tc>
          <w:tcPr>
            <w:tcW w:w="2510" w:type="dxa"/>
            <w:tcBorders/>
          </w:tcPr>
          <w:p>
            <w:pPr>
              <w:pStyle w:val="TableContents"/>
              <w:bidi w:val="0"/>
              <w:spacing w:before="174" w:after="0"/>
              <w:ind w:left="0" w:right="0" w:hanging="0"/>
              <w:jc w:val="left"/>
              <w:rPr>
                <w:rFonts w:ascii="Arial" w:hAnsi="Arial"/>
                <w:b/>
                <w:color w:val="000000"/>
                <w:sz w:val="22"/>
              </w:rPr>
            </w:pPr>
            <w:bookmarkStart w:id="356" w:name="Communicationsbyfax195"/>
            <w:bookmarkStart w:id="357" w:name="_TOC_250002"/>
            <w:bookmarkEnd w:id="356"/>
            <w:bookmarkEnd w:id="357"/>
            <w:r>
              <w:rPr>
                <w:rFonts w:ascii="Arial" w:hAnsi="Arial"/>
                <w:b/>
                <w:color w:val="000000"/>
                <w:sz w:val="22"/>
              </w:rPr>
              <w:t>Communications by fax</w:t>
            </w:r>
          </w:p>
        </w:tc>
      </w:tr>
    </w:tbl>
    <w:p>
      <w:pPr>
        <w:pStyle w:val="TextBody"/>
        <w:pBdr/>
        <w:bidi w:val="0"/>
        <w:spacing w:before="85" w:after="0"/>
        <w:ind w:left="3456" w:right="360" w:hanging="0"/>
        <w:jc w:val="left"/>
        <w:rPr>
          <w:rFonts w:ascii="Arial" w:hAnsi="Arial"/>
          <w:sz w:val="20"/>
        </w:rPr>
      </w:pPr>
      <w:r>
        <w:rPr>
          <w:rFonts w:ascii="Arial" w:hAnsi="Arial"/>
          <w:color w:val="000000"/>
          <w:sz w:val="20"/>
        </w:rPr>
        <w:t>Subject to </w:t>
      </w:r>
      <w:r>
        <w:rPr>
          <w:rFonts w:ascii="Arial" w:hAnsi="Arial"/>
          <w:b/>
          <w:color w:val="000000"/>
          <w:sz w:val="20"/>
        </w:rPr>
        <w:t>clause</w:t>
      </w:r>
      <w:r>
        <w:rPr>
          <w:rFonts w:ascii="Arial" w:hAnsi="Arial"/>
          <w:color w:val="000000"/>
          <w:sz w:val="20"/>
        </w:rPr>
        <w:t> </w:t>
      </w:r>
      <w:r>
        <w:rPr>
          <w:rFonts w:ascii="Arial" w:hAnsi="Arial"/>
          <w:b/>
          <w:color w:val="2D97D3"/>
          <w:sz w:val="20"/>
        </w:rPr>
        <w:t>19.6</w:t>
      </w:r>
      <w:r>
        <w:rPr>
          <w:rFonts w:ascii="Arial" w:hAnsi="Arial"/>
          <w:b/>
          <w:strike/>
          <w:color w:val="B5082D"/>
          <w:sz w:val="20"/>
        </w:rPr>
        <w:t>19.6</w:t>
      </w:r>
      <w:r>
        <w:rPr>
          <w:rFonts w:ascii="Arial" w:hAnsi="Arial"/>
          <w:color w:val="000000"/>
          <w:sz w:val="20"/>
        </w:rPr>
        <w:t xml:space="preserve">, a communication is given if sent by fax when the sender’s fax machine produces a report that the fax was sent in full to the </w:t>
      </w:r>
    </w:p>
    <w:p>
      <w:pPr>
        <w:pStyle w:val="TextBody"/>
        <w:pBdr/>
        <w:bidi w:val="0"/>
        <w:spacing w:lineRule="auto" w:line="264" w:before="63" w:after="0"/>
        <w:ind w:left="3456" w:right="1854" w:hanging="0"/>
        <w:jc w:val="left"/>
        <w:rPr>
          <w:rFonts w:ascii="Arial" w:hAnsi="Arial"/>
          <w:sz w:val="20"/>
        </w:rPr>
      </w:pPr>
      <w:r>
        <w:rPr>
          <w:rFonts w:ascii="Arial" w:hAnsi="Arial"/>
          <w:color w:val="000000"/>
          <w:sz w:val="20"/>
        </w:rPr>
        <w:t>addressee. That report is conclusive evidence that the addressee received the fax in full at the time indicated on that report.</w:t>
      </w:r>
      <w:r>
        <w:rPr>
          <w:rFonts w:ascii="Arial" w:hAnsi="Arial"/>
          <w:sz w:val="20"/>
        </w:rPr>
        <w:t xml:space="preserve"> </w:t>
      </w:r>
    </w:p>
    <w:tbl>
      <w:tblPr>
        <w:tblW w:w="3656" w:type="dxa"/>
        <w:jc w:val="left"/>
        <w:tblInd w:w="360" w:type="dxa"/>
        <w:tblLayout w:type="fixed"/>
        <w:tblCellMar>
          <w:top w:w="0" w:type="dxa"/>
          <w:left w:w="0" w:type="dxa"/>
          <w:bottom w:w="0" w:type="dxa"/>
          <w:right w:w="0" w:type="dxa"/>
        </w:tblCellMar>
      </w:tblPr>
      <w:tblGrid>
        <w:gridCol w:w="38"/>
        <w:gridCol w:w="560"/>
        <w:gridCol w:w="23"/>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25.6. </w:t>
            </w:r>
          </w:p>
        </w:tc>
        <w:tc>
          <w:tcPr>
            <w:tcW w:w="23" w:type="dxa"/>
            <w:tcBorders/>
            <w:vAlign w:val="center"/>
          </w:tcPr>
          <w:p>
            <w:pPr>
              <w:pStyle w:val="TableContents"/>
              <w:bidi w:val="0"/>
              <w:spacing w:before="0" w:after="283"/>
              <w:jc w:val="left"/>
              <w:rPr>
                <w:sz w:val="4"/>
                <w:szCs w:val="4"/>
              </w:rPr>
            </w:pPr>
            <w:r>
              <w:rPr>
                <w:sz w:val="4"/>
                <w:szCs w:val="4"/>
              </w:rPr>
            </w:r>
          </w:p>
        </w:tc>
        <w:tc>
          <w:tcPr>
            <w:tcW w:w="3035" w:type="dxa"/>
            <w:tcBorders/>
          </w:tcPr>
          <w:p>
            <w:pPr>
              <w:pStyle w:val="TableContents"/>
              <w:bidi w:val="0"/>
              <w:spacing w:before="174" w:after="0"/>
              <w:ind w:left="0" w:right="0" w:hanging="0"/>
              <w:jc w:val="left"/>
              <w:rPr>
                <w:rFonts w:ascii="Arial" w:hAnsi="Arial"/>
                <w:b/>
                <w:color w:val="000000"/>
                <w:sz w:val="22"/>
              </w:rPr>
            </w:pPr>
            <w:bookmarkStart w:id="358" w:name="_TOC_250001"/>
            <w:bookmarkStart w:id="359" w:name="Afterhourscommunications196"/>
            <w:bookmarkEnd w:id="358"/>
            <w:bookmarkEnd w:id="359"/>
            <w:r>
              <w:rPr>
                <w:rFonts w:ascii="Arial" w:hAnsi="Arial"/>
                <w:b/>
                <w:color w:val="000000"/>
                <w:sz w:val="22"/>
              </w:rPr>
              <w:t>After hours communications</w:t>
            </w:r>
          </w:p>
        </w:tc>
      </w:tr>
    </w:tbl>
    <w:p>
      <w:pPr>
        <w:pStyle w:val="TextBody"/>
        <w:bidi w:val="0"/>
        <w:spacing w:before="90" w:after="0"/>
        <w:ind w:left="3456" w:right="360" w:hanging="0"/>
        <w:jc w:val="left"/>
        <w:rPr>
          <w:rFonts w:ascii="Arial" w:hAnsi="Arial"/>
          <w:sz w:val="20"/>
        </w:rPr>
      </w:pPr>
      <w:r>
        <w:rPr>
          <w:rFonts w:ascii="Arial" w:hAnsi="Arial"/>
          <w:color w:val="000000"/>
          <w:sz w:val="20"/>
        </w:rPr>
        <w:t>If a communication is given:</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(a)after 5.00 pm in the place of receipt; or</w:t>
      </w:r>
      <w:r>
        <w:rPr>
          <w:rFonts w:ascii="Arial" w:hAnsi="Arial"/>
          <w:sz w:val="20"/>
        </w:rPr>
        <w:t xml:space="preserve"> </w:t>
      </w:r>
    </w:p>
    <w:p>
      <w:pPr>
        <w:pStyle w:val="TextBody"/>
        <w:bidi w:val="0"/>
        <w:spacing w:lineRule="auto" w:line="264" w:before="107" w:after="0"/>
        <w:ind w:left="3983" w:right="1956" w:hanging="0"/>
        <w:jc w:val="left"/>
        <w:rPr>
          <w:rFonts w:ascii="Arial" w:hAnsi="Arial"/>
          <w:sz w:val="20"/>
        </w:rPr>
      </w:pPr>
      <w:r>
        <w:rPr>
          <w:rFonts w:ascii="Arial" w:hAnsi="Arial"/>
          <w:color w:val="000000"/>
          <w:sz w:val="20"/>
        </w:rPr>
        <w:t>(b)on a day which is a Saturday, Sunday or bank or public holiday in the place of receipt,</w:t>
      </w:r>
      <w:r>
        <w:rPr>
          <w:rFonts w:ascii="Arial" w:hAnsi="Arial"/>
          <w:sz w:val="20"/>
        </w:rPr>
        <w:t xml:space="preserve"> </w:t>
      </w:r>
    </w:p>
    <w:p>
      <w:pPr>
        <w:pStyle w:val="TextBody"/>
        <w:bidi w:val="0"/>
        <w:spacing w:lineRule="auto" w:line="264" w:before="111" w:after="0"/>
        <w:ind w:left="3453" w:right="1854" w:hanging="0"/>
        <w:jc w:val="left"/>
        <w:rPr>
          <w:rFonts w:ascii="Arial" w:hAnsi="Arial"/>
          <w:sz w:val="20"/>
        </w:rPr>
      </w:pPr>
      <w:r>
        <w:rPr>
          <w:rFonts w:ascii="Arial" w:hAnsi="Arial"/>
          <w:color w:val="000000"/>
          <w:sz w:val="20"/>
        </w:rPr>
        <w:t>it is taken as having been given at 9.00 am on the next day which is not a Saturday, Sunday or bank or public holiday in that place.</w:t>
      </w:r>
      <w:r>
        <w:rPr>
          <w:rFonts w:ascii="Arial" w:hAnsi="Arial"/>
          <w:sz w:val="20"/>
        </w:rPr>
        <w:t xml:space="preserve"> </w:t>
      </w:r>
    </w:p>
    <w:tbl>
      <w:tblPr>
        <w:tblW w:w="2321" w:type="dxa"/>
        <w:jc w:val="left"/>
        <w:tblInd w:w="360" w:type="dxa"/>
        <w:tblLayout w:type="fixed"/>
        <w:tblCellMar>
          <w:top w:w="0" w:type="dxa"/>
          <w:left w:w="0" w:type="dxa"/>
          <w:bottom w:w="0" w:type="dxa"/>
          <w:right w:w="0" w:type="dxa"/>
        </w:tblCellMar>
      </w:tblPr>
      <w:tblGrid>
        <w:gridCol w:w="38"/>
        <w:gridCol w:w="560"/>
        <w:gridCol w:w="23"/>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174" w:after="0"/>
              <w:ind w:left="0" w:right="0" w:hanging="0"/>
              <w:jc w:val="left"/>
              <w:rPr>
                <w:rFonts w:ascii="Arial" w:hAnsi="Arial"/>
                <w:b/>
                <w:sz w:val="22"/>
              </w:rPr>
            </w:pPr>
            <w:r>
              <w:rPr>
                <w:rFonts w:ascii="Arial" w:hAnsi="Arial"/>
                <w:b/>
                <w:sz w:val="22"/>
              </w:rPr>
              <w:t xml:space="preserve">25.7. </w:t>
            </w:r>
          </w:p>
        </w:tc>
        <w:tc>
          <w:tcPr>
            <w:tcW w:w="23" w:type="dxa"/>
            <w:tcBorders/>
            <w:vAlign w:val="center"/>
          </w:tcPr>
          <w:p>
            <w:pPr>
              <w:pStyle w:val="TableContents"/>
              <w:bidi w:val="0"/>
              <w:spacing w:before="0" w:after="283"/>
              <w:jc w:val="left"/>
              <w:rPr>
                <w:sz w:val="4"/>
                <w:szCs w:val="4"/>
              </w:rPr>
            </w:pPr>
            <w:r>
              <w:rPr>
                <w:sz w:val="4"/>
                <w:szCs w:val="4"/>
              </w:rPr>
            </w:r>
          </w:p>
        </w:tc>
        <w:tc>
          <w:tcPr>
            <w:tcW w:w="1700" w:type="dxa"/>
            <w:tcBorders/>
          </w:tcPr>
          <w:p>
            <w:pPr>
              <w:pStyle w:val="TableContents"/>
              <w:bidi w:val="0"/>
              <w:spacing w:before="174" w:after="0"/>
              <w:ind w:left="0" w:right="0" w:hanging="0"/>
              <w:jc w:val="left"/>
              <w:rPr>
                <w:rFonts w:ascii="Arial" w:hAnsi="Arial"/>
                <w:b/>
                <w:color w:val="000000"/>
                <w:sz w:val="22"/>
              </w:rPr>
            </w:pPr>
            <w:bookmarkStart w:id="360" w:name="Process_service197"/>
            <w:bookmarkStart w:id="361" w:name="_TOC_250000"/>
            <w:bookmarkEnd w:id="360"/>
            <w:bookmarkEnd w:id="361"/>
            <w:r>
              <w:rPr>
                <w:rFonts w:ascii="Arial" w:hAnsi="Arial"/>
                <w:b/>
                <w:color w:val="000000"/>
                <w:sz w:val="22"/>
              </w:rPr>
              <w:t>Process service</w:t>
            </w:r>
          </w:p>
        </w:tc>
      </w:tr>
    </w:tbl>
    <w:p>
      <w:pPr>
        <w:pStyle w:val="TextBody"/>
        <w:pBdr/>
        <w:bidi w:val="0"/>
        <w:spacing w:lineRule="auto" w:line="264" w:before="87" w:after="0"/>
        <w:ind w:left="3456" w:right="1854" w:hanging="0"/>
        <w:jc w:val="left"/>
        <w:rPr>
          <w:rFonts w:ascii="Arial" w:hAnsi="Arial"/>
          <w:sz w:val="20"/>
        </w:rPr>
      </w:pPr>
      <w:r>
        <w:rPr>
          <w:rFonts w:ascii="Arial" w:hAnsi="Arial"/>
          <w:color w:val="000000"/>
          <w:sz w:val="20"/>
        </w:rPr>
        <w:t xml:space="preserve">Any process or other document relating to litigation, administrative or arbitral proceedings relating to a Transaction Document may be served on a party to this document by any method contemplated by this </w:t>
      </w:r>
      <w:r>
        <w:rPr>
          <w:rFonts w:ascii="Arial" w:hAnsi="Arial"/>
          <w:b/>
          <w:color w:val="000000"/>
          <w:sz w:val="20"/>
        </w:rPr>
        <w:t xml:space="preserve">clause </w:t>
      </w:r>
      <w:r>
        <w:rPr>
          <w:rFonts w:ascii="Arial" w:hAnsi="Arial"/>
          <w:b/>
          <w:color w:val="2D97D3"/>
          <w:sz w:val="20"/>
          <w:u w:val="single"/>
        </w:rPr>
        <w:t>19.7</w:t>
      </w:r>
      <w:r>
        <w:rPr>
          <w:rFonts w:ascii="Arial" w:hAnsi="Arial"/>
          <w:b/>
          <w:strike/>
          <w:color w:val="B5082D"/>
          <w:sz w:val="20"/>
        </w:rPr>
        <w:t>19.7</w:t>
      </w:r>
      <w:r>
        <w:rPr>
          <w:rFonts w:ascii="Arial" w:hAnsi="Arial"/>
          <w:color w:val="B5082D"/>
          <w:sz w:val="20"/>
        </w:rPr>
        <w:t> </w:t>
      </w:r>
      <w:r>
        <w:rPr>
          <w:rFonts w:ascii="Arial" w:hAnsi="Arial"/>
          <w:color w:val="000000"/>
          <w:sz w:val="20"/>
        </w:rPr>
        <w:t>or in accordance with any applicable law.</w:t>
      </w:r>
      <w:r>
        <w:rPr>
          <w:rFonts w:ascii="Arial" w:hAnsi="Arial"/>
          <w:sz w:val="20"/>
        </w:rPr>
        <w:t xml:space="preserve"> </w:t>
      </w:r>
    </w:p>
    <w:p>
      <w:pPr>
        <w:pStyle w:val="TextBody"/>
        <w:pBdr/>
        <w:bidi w:val="0"/>
        <w:spacing w:lineRule="auto" w:line="264"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73</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91"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9" descr=""/>
                    <pic:cNvPicPr>
                      <a:picLocks noChangeAspect="1" noChangeArrowheads="1"/>
                    </pic:cNvPicPr>
                  </pic:nvPicPr>
                  <pic:blipFill>
                    <a:blip r:embed="rId19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92"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0" descr=""/>
                    <pic:cNvPicPr>
                      <a:picLocks noChangeAspect="1" noChangeArrowheads="1"/>
                    </pic:cNvPicPr>
                  </pic:nvPicPr>
                  <pic:blipFill>
                    <a:blip r:embed="rId19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Corrs</w:t>
      </w:r>
      <w:r>
        <w:rPr>
          <w:rFonts w:ascii="Arial" w:hAnsi="Arial"/>
          <w:sz w:val="14"/>
        </w:rPr>
        <w:t> </w:t>
      </w:r>
      <w:r>
        <w:rPr>
          <w:rFonts w:ascii="Arial" w:hAnsi="Arial"/>
          <w:sz w:val="15"/>
        </w:rPr>
        <w:t>Chambers</w:t>
      </w:r>
      <w:r>
        <w:rPr>
          <w:rFonts w:ascii="Arial" w:hAnsi="Arial"/>
          <w:sz w:val="14"/>
        </w:rPr>
        <w:t> </w:t>
      </w:r>
      <w:r>
        <w:rPr>
          <w:rFonts w:ascii="Arial" w:hAnsi="Arial"/>
          <w:sz w:val="15"/>
        </w:rPr>
        <w:t>Westgarth</w:t>
      </w:r>
      <w:r>
        <w:rPr>
          <w:rFonts w:ascii="Arial" w:hAnsi="Arial"/>
          <w:sz w:val="14"/>
        </w:rPr>
        <w:t xml:space="preserve"> </w:t>
      </w:r>
    </w:p>
    <w:p>
      <w:pPr>
        <w:pStyle w:val="TextBody"/>
        <w:pBdr/>
        <w:bidi w:val="0"/>
        <w:spacing w:before="0" w:after="0"/>
        <w:ind w:left="360" w:right="360" w:hanging="0"/>
        <w:jc w:val="left"/>
        <w:rPr>
          <w:rFonts w:cs="Arial"/>
          <w:szCs w:val="36"/>
        </w:rPr>
      </w:pPr>
      <w:r>
        <w:rPr>
          <w:rFonts w:cs="Arial"/>
          <w:szCs w:val="37"/>
        </w:rPr>
        <w:t>﻿</w:t>
      </w:r>
      <w:r>
        <w:rPr>
          <w:rFonts w:cs="Arial"/>
          <w:szCs w:val="36"/>
        </w:rPr>
        <w:t xml:space="preserve"> </w:t>
      </w:r>
    </w:p>
    <w:p>
      <w:pPr>
        <w:pStyle w:val="TextBody"/>
        <w:pBdr/>
        <w:bidi w:val="0"/>
        <w:spacing w:before="236" w:after="0"/>
        <w:ind w:left="360" w:right="360" w:hanging="0"/>
        <w:jc w:val="left"/>
        <w:rPr>
          <w:rFonts w:cs="Arial"/>
          <w:szCs w:val="36"/>
        </w:rPr>
      </w:pPr>
      <w:r>
        <w:rPr>
          <w:rFonts w:cs="Arial"/>
          <w:szCs w:val="37"/>
        </w:rPr>
        <w:t>﻿</w:t>
      </w:r>
      <w:r>
        <w:rPr>
          <w:rFonts w:cs="Arial"/>
          <w:szCs w:val="36"/>
        </w:rPr>
        <w:t xml:space="preserve"> </w:t>
      </w:r>
    </w:p>
    <w:p>
      <w:pPr>
        <w:pStyle w:val="TextBody"/>
        <w:pBdr/>
        <w:bidi w:val="0"/>
        <w:spacing w:lineRule="auto" w:line="432" w:before="0" w:after="0"/>
        <w:ind w:left="2654" w:right="6301" w:hanging="0"/>
        <w:jc w:val="left"/>
        <w:rPr>
          <w:rFonts w:ascii="Arial" w:hAnsi="Arial"/>
          <w:sz w:val="22"/>
        </w:rPr>
      </w:pPr>
      <w:bookmarkStart w:id="362" w:name="Schedule1"/>
      <w:bookmarkEnd w:id="362"/>
      <w:r>
        <w:rPr>
          <w:rFonts w:ascii="Arial" w:hAnsi="Arial"/>
          <w:sz w:val="22"/>
        </w:rPr>
        <w:t xml:space="preserve">Schedule 1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96" w:after="1"/>
        <w:ind w:left="360" w:right="360" w:hanging="0"/>
        <w:jc w:val="left"/>
        <w:rPr>
          <w:rFonts w:cs="Arial"/>
          <w:szCs w:val="20"/>
        </w:rPr>
      </w:pPr>
      <w:r>
        <w:rPr>
          <w:rFonts w:cs="Arial"/>
          <w:szCs w:val="20"/>
        </w:rPr>
        <w:t xml:space="preserve">﻿ </w:t>
      </w:r>
    </w:p>
    <w:p>
      <w:pPr>
        <w:pStyle w:val="TextBody"/>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74</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93"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1" descr=""/>
                    <pic:cNvPicPr>
                      <a:picLocks noChangeAspect="1" noChangeArrowheads="1"/>
                    </pic:cNvPicPr>
                  </pic:nvPicPr>
                  <pic:blipFill>
                    <a:blip r:embed="rId19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94"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2" descr=""/>
                    <pic:cNvPicPr>
                      <a:picLocks noChangeAspect="1" noChangeArrowheads="1"/>
                    </pic:cNvPicPr>
                  </pic:nvPicPr>
                  <pic:blipFill>
                    <a:blip r:embed="rId19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4" w:after="0"/>
        <w:ind w:left="360" w:right="360" w:hanging="0"/>
        <w:jc w:val="left"/>
        <w:rPr/>
      </w:pPr>
      <w:r>
        <w:rPr/>
        <w:t xml:space="preserve">  </w:t>
      </w:r>
    </w:p>
    <w:p>
      <w:pPr>
        <w:pStyle w:val="TextBody"/>
        <w:bidi w:val="0"/>
        <w:spacing w:before="14" w:after="0"/>
        <w:ind w:left="360" w:right="360" w:hanging="0"/>
        <w:jc w:val="left"/>
        <w:rPr/>
      </w:pPr>
      <w:r>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lineRule="auto" w:line="432" w:before="0" w:after="0"/>
        <w:ind w:left="2654" w:right="6301" w:hanging="0"/>
        <w:jc w:val="left"/>
        <w:rPr>
          <w:rFonts w:ascii="Arial" w:hAnsi="Arial"/>
          <w:sz w:val="22"/>
        </w:rPr>
      </w:pPr>
      <w:bookmarkStart w:id="363" w:name="Schedule2"/>
      <w:bookmarkEnd w:id="363"/>
      <w:r>
        <w:rPr>
          <w:rFonts w:ascii="Arial" w:hAnsi="Arial"/>
          <w:sz w:val="22"/>
        </w:rPr>
        <w:t xml:space="preserve">Schedule 2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bookmarkStart w:id="364" w:name="Schedule3"/>
      <w:bookmarkEnd w:id="364"/>
      <w:r>
        <w:rPr>
          <w:rFonts w:ascii="Arial" w:hAnsi="Arial"/>
          <w:sz w:val="15"/>
        </w:rPr>
        <w:t>page</w:t>
      </w:r>
      <w:r>
        <w:rPr>
          <w:rFonts w:ascii="Arial" w:hAnsi="Arial"/>
          <w:sz w:val="14"/>
        </w:rPr>
        <w:t> </w:t>
      </w:r>
      <w:r>
        <w:rPr>
          <w:rFonts w:ascii="Arial" w:hAnsi="Arial"/>
          <w:sz w:val="15"/>
        </w:rPr>
        <w:t>75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75</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95"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3" descr=""/>
                    <pic:cNvPicPr>
                      <a:picLocks noChangeAspect="1" noChangeArrowheads="1"/>
                    </pic:cNvPicPr>
                  </pic:nvPicPr>
                  <pic:blipFill>
                    <a:blip r:embed="rId19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96"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4" descr=""/>
                    <pic:cNvPicPr>
                      <a:picLocks noChangeAspect="1" noChangeArrowheads="1"/>
                    </pic:cNvPicPr>
                  </pic:nvPicPr>
                  <pic:blipFill>
                    <a:blip r:embed="rId19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4" w:after="0"/>
        <w:ind w:left="380" w:right="360" w:hanging="0"/>
        <w:jc w:val="left"/>
        <w:rPr/>
      </w:pPr>
      <w:r>
        <w:rPr/>
        <w:t xml:space="preserve">  </w:t>
      </w:r>
    </w:p>
    <w:p>
      <w:pPr>
        <w:pStyle w:val="TextBody"/>
        <w:bidi w:val="0"/>
        <w:spacing w:before="14" w:after="0"/>
        <w:ind w:left="380" w:right="360" w:hanging="0"/>
        <w:jc w:val="left"/>
        <w:rPr/>
      </w:pPr>
      <w:r>
        <w:rPr/>
        <w:t xml:space="preserve">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Schedule 3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220" w:after="0"/>
        <w:ind w:left="360" w:right="360" w:hanging="0"/>
        <w:jc w:val="left"/>
        <w:rPr>
          <w:rFonts w:cs="Arial"/>
          <w:szCs w:val="20"/>
        </w:rPr>
      </w:pPr>
      <w:r>
        <w:rPr>
          <w:rFonts w:cs="Arial"/>
          <w:szCs w:val="20"/>
        </w:rPr>
        <w:t xml:space="preserve">﻿ </w:t>
      </w:r>
    </w:p>
    <w:p>
      <w:pPr>
        <w:pStyle w:val="TextBody"/>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76</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97"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5" descr=""/>
                    <pic:cNvPicPr>
                      <a:picLocks noChangeAspect="1" noChangeArrowheads="1"/>
                    </pic:cNvPicPr>
                  </pic:nvPicPr>
                  <pic:blipFill>
                    <a:blip r:embed="rId19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198"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6" descr=""/>
                    <pic:cNvPicPr>
                      <a:picLocks noChangeAspect="1" noChangeArrowheads="1"/>
                    </pic:cNvPicPr>
                  </pic:nvPicPr>
                  <pic:blipFill>
                    <a:blip r:embed="rId198"/>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4" w:after="0"/>
        <w:ind w:left="380" w:right="360" w:hanging="0"/>
        <w:jc w:val="left"/>
        <w:rPr/>
      </w:pPr>
      <w:r>
        <w:rPr/>
        <w:t xml:space="preserve">  </w:t>
      </w:r>
    </w:p>
    <w:p>
      <w:pPr>
        <w:pStyle w:val="TextBody"/>
        <w:bidi w:val="0"/>
        <w:spacing w:before="14" w:after="0"/>
        <w:ind w:left="380" w:right="360" w:hanging="0"/>
        <w:jc w:val="left"/>
        <w:rPr/>
      </w:pPr>
      <w:r>
        <w:rPr/>
        <w:t xml:space="preserve">  </w:t>
      </w:r>
    </w:p>
    <w:p>
      <w:pPr>
        <w:pStyle w:val="TextBody"/>
        <w:bidi w:val="0"/>
        <w:spacing w:before="0" w:after="0"/>
        <w:ind w:left="360" w:right="360" w:hanging="0"/>
        <w:jc w:val="left"/>
        <w:rPr>
          <w:rFonts w:cs="Arial"/>
          <w:szCs w:val="20"/>
        </w:rPr>
      </w:pPr>
      <w:r>
        <w:rPr>
          <w:rFonts w:cs="Arial"/>
          <w:szCs w:val="20"/>
        </w:rPr>
        <w:t xml:space="preserve">﻿ </w:t>
      </w:r>
    </w:p>
    <w:p>
      <w:pPr>
        <w:pStyle w:val="TextBody"/>
        <w:pBdr/>
        <w:bidi w:val="0"/>
        <w:spacing w:lineRule="auto" w:line="432" w:before="0" w:after="0"/>
        <w:ind w:left="2654" w:right="6301" w:hanging="0"/>
        <w:jc w:val="left"/>
        <w:rPr>
          <w:rFonts w:ascii="Arial" w:hAnsi="Arial"/>
          <w:sz w:val="22"/>
        </w:rPr>
      </w:pPr>
      <w:bookmarkStart w:id="365" w:name="Schedule4"/>
      <w:bookmarkEnd w:id="365"/>
      <w:r>
        <w:rPr>
          <w:rFonts w:ascii="Arial" w:hAnsi="Arial"/>
          <w:sz w:val="22"/>
        </w:rPr>
        <w:t xml:space="preserve">Schedule 4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98" w:after="0"/>
        <w:ind w:left="360" w:right="360" w:hanging="0"/>
        <w:jc w:val="left"/>
        <w:rPr>
          <w:rFonts w:cs="Arial"/>
          <w:szCs w:val="20"/>
        </w:rPr>
      </w:pPr>
      <w:r>
        <w:rPr>
          <w:rFonts w:cs="Arial"/>
          <w:szCs w:val="20"/>
        </w:rPr>
        <w:t xml:space="preserve">﻿ </w:t>
      </w:r>
    </w:p>
    <w:p>
      <w:pPr>
        <w:pStyle w:val="TextBody"/>
        <w:pBdr/>
        <w:bidi w:val="0"/>
        <w:spacing w:before="4" w:after="0"/>
        <w:ind w:left="360" w:right="360" w:hanging="0"/>
        <w:jc w:val="left"/>
        <w:rPr>
          <w:rFonts w:cs="Arial"/>
          <w:szCs w:val="16"/>
        </w:rPr>
      </w:pPr>
      <w:r>
        <w:rPr>
          <w:rFonts w:cs="Arial"/>
          <w:szCs w:val="17"/>
        </w:rPr>
        <w:t>﻿</w:t>
      </w:r>
      <w:r>
        <w:rPr>
          <w:rFonts w:cs="Arial"/>
          <w:szCs w:val="16"/>
        </w:rPr>
        <w:t xml:space="preserve"> </w:t>
      </w:r>
    </w:p>
    <w:p>
      <w:pPr>
        <w:pStyle w:val="TextBody"/>
        <w:pBdr/>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bookmarkStart w:id="366" w:name="Schedule5"/>
      <w:bookmarkEnd w:id="366"/>
      <w:r>
        <w:rPr>
          <w:rFonts w:ascii="Arial" w:hAnsi="Arial"/>
          <w:sz w:val="15"/>
        </w:rPr>
        <w:t>page</w:t>
      </w:r>
      <w:r>
        <w:rPr>
          <w:rFonts w:ascii="Arial" w:hAnsi="Arial"/>
          <w:sz w:val="14"/>
        </w:rPr>
        <w:t> </w:t>
      </w:r>
      <w:r>
        <w:rPr>
          <w:rFonts w:ascii="Arial" w:hAnsi="Arial"/>
          <w:sz w:val="15"/>
        </w:rPr>
        <w:t>77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77</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199"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7" descr=""/>
                    <pic:cNvPicPr>
                      <a:picLocks noChangeAspect="1" noChangeArrowheads="1"/>
                    </pic:cNvPicPr>
                  </pic:nvPicPr>
                  <pic:blipFill>
                    <a:blip r:embed="rId199"/>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200"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8" descr=""/>
                    <pic:cNvPicPr>
                      <a:picLocks noChangeAspect="1" noChangeArrowheads="1"/>
                    </pic:cNvPicPr>
                  </pic:nvPicPr>
                  <pic:blipFill>
                    <a:blip r:embed="rId200"/>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336" w:after="0"/>
        <w:ind w:left="380" w:right="360" w:hanging="0"/>
        <w:jc w:val="left"/>
        <w:rPr/>
      </w:pPr>
      <w:r>
        <w:rPr/>
        <w:t xml:space="preserve">  </w:t>
      </w:r>
    </w:p>
    <w:p>
      <w:pPr>
        <w:pStyle w:val="TextBody"/>
        <w:bidi w:val="0"/>
        <w:spacing w:before="336" w:after="0"/>
        <w:ind w:left="380" w:right="360" w:hanging="0"/>
        <w:jc w:val="left"/>
        <w:rPr/>
      </w:pPr>
      <w:r>
        <w:rPr/>
        <w:t xml:space="preserve">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Schedule 5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 </w:t>
      </w:r>
    </w:p>
    <w:p>
      <w:pPr>
        <w:pStyle w:val="TextBody"/>
        <w:pBdr/>
        <w:bidi w:val="0"/>
        <w:spacing w:before="4" w:after="0"/>
        <w:ind w:left="360" w:right="360" w:hanging="0"/>
        <w:jc w:val="left"/>
        <w:rPr>
          <w:rFonts w:cs="Arial"/>
          <w:szCs w:val="16"/>
        </w:rPr>
      </w:pPr>
      <w:r>
        <w:rPr>
          <w:rFonts w:cs="Arial"/>
          <w:szCs w:val="17"/>
        </w:rPr>
        <w:t>﻿</w:t>
      </w:r>
      <w:r>
        <w:rPr>
          <w:rFonts w:cs="Arial"/>
          <w:szCs w:val="16"/>
        </w:rPr>
        <w:t xml:space="preserve"> </w:t>
      </w:r>
    </w:p>
    <w:p>
      <w:pPr>
        <w:pStyle w:val="TextBody"/>
        <w:pBdr/>
        <w:bidi w:val="0"/>
        <w:spacing w:before="0" w:after="0"/>
        <w:ind w:left="360" w:right="360" w:hanging="0"/>
        <w:jc w:val="left"/>
        <w:rPr>
          <w:rFonts w:cs="Arial"/>
          <w:szCs w:val="16"/>
        </w:rPr>
      </w:pPr>
      <w:r>
        <w:rPr>
          <w:rFonts w:cs="Arial"/>
          <w:szCs w:val="17"/>
        </w:rPr>
        <w:t>﻿</w:t>
      </w:r>
      <w:r>
        <w:rPr>
          <w:rFonts w:cs="Arial"/>
          <w:szCs w:val="16"/>
        </w:rPr>
        <w:t xml:space="preserve"> </w:t>
      </w:r>
    </w:p>
    <w:p>
      <w:pPr>
        <w:pStyle w:val="TextBody"/>
        <w:pBdr/>
        <w:bidi w:val="0"/>
        <w:spacing w:before="0" w:after="0"/>
        <w:ind w:left="360" w:right="360" w:hanging="0"/>
        <w:jc w:val="left"/>
        <w:rPr>
          <w:rFonts w:cs="Arial"/>
          <w:szCs w:val="16"/>
        </w:rPr>
      </w:pPr>
      <w:r>
        <w:rPr>
          <w:rFonts w:cs="Arial"/>
          <w:szCs w:val="17"/>
        </w:rPr>
        <w:t>﻿</w:t>
      </w:r>
      <w:r>
        <w:rPr>
          <w:rFonts w:cs="Arial"/>
          <w:szCs w:val="16"/>
        </w:rPr>
        <w:t xml:space="preserve"> </w:t>
      </w:r>
    </w:p>
    <w:p>
      <w:pPr>
        <w:pStyle w:val="TextBody"/>
        <w:pBdr/>
        <w:bidi w:val="0"/>
        <w:spacing w:before="0" w:after="0"/>
        <w:ind w:left="360" w:right="360" w:hanging="0"/>
        <w:jc w:val="left"/>
        <w:rPr>
          <w:rFonts w:cs="Arial"/>
          <w:szCs w:val="16"/>
        </w:rPr>
      </w:pPr>
      <w:r>
        <w:rPr>
          <w:rFonts w:cs="Arial"/>
          <w:szCs w:val="17"/>
        </w:rPr>
        <w:t>﻿</w:t>
      </w:r>
      <w:r>
        <w:rPr>
          <w:rFonts w:cs="Arial"/>
          <w:szCs w:val="16"/>
        </w:rPr>
        <w:t xml:space="preserve"> </w:t>
      </w:r>
    </w:p>
    <w:p>
      <w:pPr>
        <w:pStyle w:val="TextBody"/>
        <w:pBdr/>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bookmarkStart w:id="367" w:name="Schedule6"/>
      <w:bookmarkEnd w:id="367"/>
      <w:r>
        <w:rPr>
          <w:rFonts w:ascii="Arial" w:hAnsi="Arial"/>
          <w:sz w:val="15"/>
        </w:rPr>
        <w:t>page</w:t>
      </w:r>
      <w:r>
        <w:rPr>
          <w:rFonts w:ascii="Arial" w:hAnsi="Arial"/>
          <w:sz w:val="14"/>
        </w:rPr>
        <w:t> </w:t>
      </w:r>
      <w:r>
        <w:rPr>
          <w:rFonts w:ascii="Arial" w:hAnsi="Arial"/>
          <w:sz w:val="15"/>
        </w:rPr>
        <w:t>78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78</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201"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9" descr=""/>
                    <pic:cNvPicPr>
                      <a:picLocks noChangeAspect="1" noChangeArrowheads="1"/>
                    </pic:cNvPicPr>
                  </pic:nvPicPr>
                  <pic:blipFill>
                    <a:blip r:embed="rId201"/>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202"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0" descr=""/>
                    <pic:cNvPicPr>
                      <a:picLocks noChangeAspect="1" noChangeArrowheads="1"/>
                    </pic:cNvPicPr>
                  </pic:nvPicPr>
                  <pic:blipFill>
                    <a:blip r:embed="rId202"/>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4" w:after="0"/>
        <w:ind w:left="380" w:right="360" w:hanging="0"/>
        <w:jc w:val="left"/>
        <w:rPr/>
      </w:pPr>
      <w:r>
        <w:rPr/>
        <w:t xml:space="preserve">  </w:t>
      </w:r>
    </w:p>
    <w:p>
      <w:pPr>
        <w:pStyle w:val="TextBody"/>
        <w:bidi w:val="0"/>
        <w:spacing w:before="14" w:after="0"/>
        <w:ind w:left="380" w:right="360" w:hanging="0"/>
        <w:jc w:val="left"/>
        <w:rPr/>
      </w:pPr>
      <w:r>
        <w:rPr/>
        <w:t xml:space="preserve">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Schedule 6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238" w:after="0"/>
        <w:ind w:left="360" w:right="360" w:hanging="0"/>
        <w:jc w:val="left"/>
        <w:rPr>
          <w:rFonts w:cs="Arial"/>
          <w:szCs w:val="30"/>
        </w:rPr>
      </w:pPr>
      <w:r>
        <w:rPr>
          <w:rFonts w:cs="Arial"/>
          <w:szCs w:val="30"/>
        </w:rPr>
        <w:t xml:space="preserve">﻿ </w:t>
      </w:r>
    </w:p>
    <w:p>
      <w:pPr>
        <w:pStyle w:val="TextBody"/>
        <w:pBdr/>
        <w:bidi w:val="0"/>
        <w:spacing w:lineRule="auto" w:line="264" w:before="0" w:after="0"/>
        <w:ind w:left="360" w:right="360" w:hanging="0"/>
        <w:jc w:val="left"/>
        <w:rPr/>
      </w:pPr>
      <w:r>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114" w:after="0"/>
        <w:ind w:left="360" w:right="360" w:hanging="0"/>
        <w:jc w:val="left"/>
        <w:rPr>
          <w:rFonts w:cs="Arial"/>
          <w:szCs w:val="20"/>
        </w:rPr>
      </w:pPr>
      <w:r>
        <w:rPr>
          <w:rFonts w:cs="Arial"/>
          <w:szCs w:val="20"/>
        </w:rPr>
        <w:t xml:space="preserve">﻿ </w:t>
      </w:r>
    </w:p>
    <w:p>
      <w:pPr>
        <w:pStyle w:val="TextBody"/>
        <w:pBdr/>
        <w:bidi w:val="0"/>
        <w:spacing w:before="179"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bookmarkStart w:id="368" w:name="Schedule7"/>
      <w:bookmarkEnd w:id="368"/>
      <w:r>
        <w:rPr>
          <w:rFonts w:ascii="Arial" w:hAnsi="Arial"/>
          <w:sz w:val="15"/>
        </w:rPr>
        <w:t>page</w:t>
      </w:r>
      <w:r>
        <w:rPr>
          <w:rFonts w:ascii="Arial" w:hAnsi="Arial"/>
          <w:sz w:val="14"/>
        </w:rPr>
        <w:t> </w:t>
      </w:r>
      <w:r>
        <w:rPr>
          <w:rFonts w:ascii="Arial" w:hAnsi="Arial"/>
          <w:sz w:val="15"/>
        </w:rPr>
        <w:t>79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79</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203"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1" descr=""/>
                    <pic:cNvPicPr>
                      <a:picLocks noChangeAspect="1" noChangeArrowheads="1"/>
                    </pic:cNvPicPr>
                  </pic:nvPicPr>
                  <pic:blipFill>
                    <a:blip r:embed="rId203"/>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204"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2" descr=""/>
                    <pic:cNvPicPr>
                      <a:picLocks noChangeAspect="1" noChangeArrowheads="1"/>
                    </pic:cNvPicPr>
                  </pic:nvPicPr>
                  <pic:blipFill>
                    <a:blip r:embed="rId204"/>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4" w:after="0"/>
        <w:ind w:left="380" w:right="360" w:hanging="0"/>
        <w:jc w:val="left"/>
        <w:rPr/>
      </w:pPr>
      <w:r>
        <w:rPr/>
        <w:t xml:space="preserve">  </w:t>
      </w:r>
    </w:p>
    <w:p>
      <w:pPr>
        <w:pStyle w:val="TextBody"/>
        <w:bidi w:val="0"/>
        <w:spacing w:before="14" w:after="0"/>
        <w:ind w:left="380" w:right="360" w:hanging="0"/>
        <w:jc w:val="left"/>
        <w:rPr/>
      </w:pPr>
      <w:r>
        <w:rPr/>
        <w:t xml:space="preserve">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Schedule 7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238" w:after="0"/>
        <w:ind w:left="360" w:right="360" w:hanging="0"/>
        <w:jc w:val="left"/>
        <w:rPr>
          <w:rFonts w:cs="Arial"/>
          <w:szCs w:val="30"/>
        </w:rPr>
      </w:pPr>
      <w:r>
        <w:rPr>
          <w:rFonts w:cs="Arial"/>
          <w:szCs w:val="30"/>
        </w:rPr>
        <w:t xml:space="preserve">﻿ </w:t>
      </w:r>
    </w:p>
    <w:p>
      <w:pPr>
        <w:pStyle w:val="TextBody"/>
        <w:pBdr/>
        <w:bidi w:val="0"/>
        <w:spacing w:lineRule="atLeast" w:line="228" w:before="0" w:after="0"/>
        <w:ind w:left="360" w:right="360" w:hanging="0"/>
        <w:jc w:val="left"/>
        <w:rPr/>
      </w:pPr>
      <w:r>
        <w:rPr/>
        <w:t xml:space="preserve">  </w:t>
      </w:r>
    </w:p>
    <w:p>
      <w:pPr>
        <w:pStyle w:val="TextBody"/>
        <w:bidi w:val="0"/>
        <w:spacing w:before="16" w:after="0"/>
        <w:ind w:left="380" w:right="360" w:hanging="0"/>
        <w:jc w:val="left"/>
        <w:rPr>
          <w:rFonts w:ascii="Arial" w:hAnsi="Arial"/>
          <w:sz w:val="14"/>
        </w:rPr>
      </w:pPr>
      <w:bookmarkStart w:id="369" w:name="Schedule8"/>
      <w:bookmarkEnd w:id="369"/>
      <w:r>
        <w:rPr>
          <w:rFonts w:ascii="Arial" w:hAnsi="Arial"/>
          <w:sz w:val="15"/>
        </w:rPr>
        <w:t>page</w:t>
      </w:r>
      <w:r>
        <w:rPr>
          <w:rFonts w:ascii="Arial" w:hAnsi="Arial"/>
          <w:sz w:val="14"/>
        </w:rPr>
        <w:t> </w:t>
      </w:r>
      <w:r>
        <w:rPr>
          <w:rFonts w:ascii="Arial" w:hAnsi="Arial"/>
          <w:sz w:val="15"/>
        </w:rPr>
        <w:t>80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80</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205"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3" descr=""/>
                    <pic:cNvPicPr>
                      <a:picLocks noChangeAspect="1" noChangeArrowheads="1"/>
                    </pic:cNvPicPr>
                  </pic:nvPicPr>
                  <pic:blipFill>
                    <a:blip r:embed="rId205"/>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206"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4" descr=""/>
                    <pic:cNvPicPr>
                      <a:picLocks noChangeAspect="1" noChangeArrowheads="1"/>
                    </pic:cNvPicPr>
                  </pic:nvPicPr>
                  <pic:blipFill>
                    <a:blip r:embed="rId206"/>
                    <a:stretch>
                      <a:fillRect/>
                    </a:stretch>
                  </pic:blipFill>
                  <pic:spPr bwMode="auto">
                    <a:xfrm>
                      <a:off x="0" y="0"/>
                      <a:ext cx="810895" cy="88265"/>
                    </a:xfrm>
                    <a:prstGeom prst="rect">
                      <a:avLst/>
                    </a:prstGeom>
                  </pic:spPr>
                </pic:pic>
              </a:graphicData>
            </a:graphic>
          </wp:inline>
        </w:drawing>
      </w:r>
      <w:r>
        <w:rPr/>
        <w:t xml:space="preserve"> </w:t>
      </w:r>
    </w:p>
    <w:p>
      <w:pPr>
        <w:pStyle w:val="TextBody"/>
        <w:bidi w:val="0"/>
        <w:spacing w:before="14" w:after="0"/>
        <w:ind w:left="380" w:right="360" w:hanging="0"/>
        <w:jc w:val="left"/>
        <w:rPr/>
      </w:pPr>
      <w:r>
        <w:rPr/>
        <w:t xml:space="preserve">  </w:t>
      </w:r>
    </w:p>
    <w:p>
      <w:pPr>
        <w:pStyle w:val="TextBody"/>
        <w:bidi w:val="0"/>
        <w:spacing w:before="14" w:after="0"/>
        <w:ind w:left="380" w:right="360" w:hanging="0"/>
        <w:jc w:val="left"/>
        <w:rPr/>
      </w:pPr>
      <w:r>
        <w:rPr/>
        <w:t xml:space="preserve">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Schedule 8 </w:t>
      </w:r>
    </w:p>
    <w:p>
      <w:pPr>
        <w:pStyle w:val="TextBody"/>
        <w:pBdr/>
        <w:bidi w:val="0"/>
        <w:spacing w:lineRule="auto" w:line="432" w:before="0" w:after="0"/>
        <w:ind w:left="2654" w:right="6301" w:hanging="0"/>
        <w:jc w:val="left"/>
        <w:rPr>
          <w:rFonts w:ascii="Arial" w:hAnsi="Arial"/>
          <w:sz w:val="22"/>
        </w:rPr>
      </w:pPr>
      <w:r>
        <w:rPr>
          <w:rFonts w:ascii="Arial" w:hAnsi="Arial"/>
          <w:sz w:val="22"/>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221" w:after="0"/>
        <w:ind w:left="360" w:right="360" w:hanging="0"/>
        <w:jc w:val="left"/>
        <w:rPr>
          <w:rFonts w:cs="Arial"/>
          <w:szCs w:val="30"/>
        </w:rPr>
      </w:pPr>
      <w:r>
        <w:rPr>
          <w:rFonts w:cs="Arial"/>
          <w:szCs w:val="30"/>
        </w:rPr>
        <w:t xml:space="preserve">﻿ </w:t>
      </w:r>
    </w:p>
    <w:p>
      <w:pPr>
        <w:pStyle w:val="TextBody"/>
        <w:bidi w:val="0"/>
        <w:spacing w:lineRule="auto" w:line="264"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81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81</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drawing>
          <wp:inline distT="0" distB="0" distL="0" distR="0">
            <wp:extent cx="2142490" cy="71755"/>
            <wp:effectExtent l="0" t="0" r="0" b="0"/>
            <wp:docPr id="207"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5" descr=""/>
                    <pic:cNvPicPr>
                      <a:picLocks noChangeAspect="1" noChangeArrowheads="1"/>
                    </pic:cNvPicPr>
                  </pic:nvPicPr>
                  <pic:blipFill>
                    <a:blip r:embed="rId207"/>
                    <a:stretch>
                      <a:fillRect/>
                    </a:stretch>
                  </pic:blipFill>
                  <pic:spPr bwMode="auto">
                    <a:xfrm>
                      <a:off x="0" y="0"/>
                      <a:ext cx="2142490" cy="71755"/>
                    </a:xfrm>
                    <a:prstGeom prst="rect">
                      <a:avLst/>
                    </a:prstGeom>
                  </pic:spPr>
                </pic:pic>
              </a:graphicData>
            </a:graphic>
          </wp:inline>
        </w:drawing>
      </w:r>
      <w:r>
        <w:rPr/>
        <w:drawing>
          <wp:inline distT="0" distB="0" distL="0" distR="0">
            <wp:extent cx="810895" cy="88265"/>
            <wp:effectExtent l="0" t="0" r="0" b="0"/>
            <wp:docPr id="208"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6" descr=""/>
                    <pic:cNvPicPr>
                      <a:picLocks noChangeAspect="1" noChangeArrowheads="1"/>
                    </pic:cNvPicPr>
                  </pic:nvPicPr>
                  <pic:blipFill>
                    <a:blip r:embed="rId208"/>
                    <a:stretch>
                      <a:fillRect/>
                    </a:stretch>
                  </pic:blipFill>
                  <pic:spPr bwMode="auto">
                    <a:xfrm>
                      <a:off x="0" y="0"/>
                      <a:ext cx="810895" cy="88265"/>
                    </a:xfrm>
                    <a:prstGeom prst="rect">
                      <a:avLst/>
                    </a:prstGeom>
                  </pic:spPr>
                </pic:pic>
              </a:graphicData>
            </a:graphic>
          </wp:inline>
        </w:drawing>
      </w:r>
      <w:r>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210" w:after="0"/>
        <w:ind w:left="360" w:right="360" w:hanging="0"/>
        <w:jc w:val="left"/>
        <w:rPr>
          <w:rFonts w:cs="Arial"/>
          <w:szCs w:val="30"/>
        </w:rPr>
      </w:pPr>
      <w:r>
        <w:rPr>
          <w:rFonts w:cs="Arial"/>
          <w:szCs w:val="30"/>
        </w:rPr>
        <w:t xml:space="preserve">﻿ </w:t>
      </w:r>
    </w:p>
    <w:p>
      <w:pPr>
        <w:pStyle w:val="TextBody"/>
        <w:bidi w:val="0"/>
        <w:spacing w:before="0" w:after="0"/>
        <w:ind w:left="2654" w:right="360" w:hanging="0"/>
        <w:jc w:val="left"/>
        <w:rPr>
          <w:rFonts w:ascii="Arial" w:hAnsi="Arial"/>
          <w:sz w:val="36"/>
        </w:rPr>
      </w:pPr>
      <w:bookmarkStart w:id="370" w:name="Schedule9"/>
      <w:bookmarkEnd w:id="370"/>
      <w:r>
        <w:rPr>
          <w:rFonts w:ascii="Arial" w:hAnsi="Arial"/>
          <w:sz w:val="37"/>
        </w:rPr>
        <w:t>Schedule</w:t>
      </w:r>
      <w:r>
        <w:rPr>
          <w:rFonts w:ascii="Arial" w:hAnsi="Arial"/>
          <w:sz w:val="36"/>
        </w:rPr>
        <w:t> </w:t>
      </w:r>
      <w:r>
        <w:rPr>
          <w:rFonts w:ascii="Arial" w:hAnsi="Arial"/>
          <w:sz w:val="37"/>
        </w:rPr>
        <w:t>9</w:t>
      </w:r>
      <w:r>
        <w:rPr>
          <w:rFonts w:ascii="Arial" w:hAnsi="Arial"/>
          <w:sz w:val="36"/>
        </w:rPr>
        <w:t xml:space="preserve"> </w:t>
      </w:r>
    </w:p>
    <w:p>
      <w:pPr>
        <w:pStyle w:val="TextBody"/>
        <w:bidi w:val="0"/>
        <w:spacing w:before="336" w:after="0"/>
        <w:ind w:left="2654" w:right="360" w:hanging="0"/>
        <w:jc w:val="left"/>
        <w:rPr>
          <w:rFonts w:ascii="Arial" w:hAnsi="Arial"/>
          <w:sz w:val="30"/>
        </w:rPr>
      </w:pPr>
      <w:r>
        <w:rPr>
          <w:rFonts w:ascii="Arial" w:hAnsi="Arial"/>
          <w:sz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237" w:after="0"/>
        <w:ind w:left="360" w:right="360" w:hanging="0"/>
        <w:jc w:val="left"/>
        <w:rPr>
          <w:rFonts w:cs="Arial"/>
          <w:szCs w:val="30"/>
        </w:rPr>
      </w:pPr>
      <w:r>
        <w:rPr>
          <w:rFonts w:cs="Arial"/>
          <w:szCs w:val="30"/>
        </w:rPr>
        <w:t xml:space="preserve">﻿ </w:t>
      </w:r>
    </w:p>
    <w:p>
      <w:pPr>
        <w:pStyle w:val="TextBody"/>
        <w:bidi w:val="0"/>
        <w:spacing w:lineRule="auto" w:line="292" w:before="137" w:after="0"/>
        <w:ind w:left="3950" w:right="360" w:hanging="533"/>
        <w:jc w:val="left"/>
        <w:rPr/>
      </w:pPr>
      <w:r>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82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page</w:t>
      </w:r>
      <w:r>
        <w:rPr>
          <w:rFonts w:ascii="Arial" w:hAnsi="Arial"/>
          <w:sz w:val="14"/>
        </w:rPr>
        <w:t> </w:t>
      </w:r>
      <w:r>
        <w:rPr>
          <w:rFonts w:ascii="Arial" w:hAnsi="Arial"/>
          <w:sz w:val="15"/>
        </w:rPr>
        <w:t>82</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TextBody"/>
        <w:bidi w:val="0"/>
        <w:spacing w:before="16" w:after="0"/>
        <w:ind w:left="380" w:right="360" w:hanging="0"/>
        <w:jc w:val="left"/>
        <w:rPr>
          <w:rFonts w:ascii="Arial" w:hAnsi="Arial"/>
          <w:sz w:val="14"/>
        </w:rPr>
      </w:pPr>
      <w:r>
        <w:rPr>
          <w:rFonts w:ascii="Arial" w:hAnsi="Arial"/>
          <w:sz w:val="15"/>
        </w:rPr>
        <w:t>Facility</w:t>
      </w:r>
      <w:r>
        <w:rPr>
          <w:rFonts w:ascii="Arial" w:hAnsi="Arial"/>
          <w:sz w:val="14"/>
        </w:rPr>
        <w:t> </w:t>
      </w:r>
      <w:r>
        <w:rPr>
          <w:rFonts w:ascii="Arial" w:hAnsi="Arial"/>
          <w:sz w:val="15"/>
        </w:rPr>
        <w:t>Agreement</w:t>
      </w:r>
      <w:r>
        <w:rPr>
          <w:rFonts w:ascii="Arial" w:hAnsi="Arial"/>
          <w:sz w:val="14"/>
        </w:rPr>
        <w:t xml:space="preserve"> </w:t>
      </w:r>
    </w:p>
    <w:p>
      <w:pPr>
        <w:pStyle w:val="HorizontalLine"/>
        <w:pBdr>
          <w:bottom w:val="double" w:sz="6" w:space="0" w:color="808080"/>
        </w:pBdr>
        <w:bidi w:val="0"/>
        <w:ind w:left="360" w:right="360" w:hanging="0"/>
        <w:jc w:val="left"/>
        <w:rPr/>
      </w:pPr>
      <w:r>
        <w:rPr/>
      </w:r>
    </w:p>
    <w:p>
      <w:pPr>
        <w:pStyle w:val="TextBody"/>
        <w:bidi w:val="0"/>
        <w:ind w:left="360" w:right="360" w:hanging="0"/>
        <w:jc w:val="left"/>
        <w:rPr/>
      </w:pPr>
      <w:r>
        <w:rPr/>
        <w:t> </w:t>
      </w:r>
      <w:r>
        <w:br w:type="page"/>
      </w:r>
    </w:p>
    <w:p>
      <w:pPr>
        <w:pStyle w:val="TextBody"/>
        <w:bidi w:val="0"/>
        <w:spacing w:lineRule="auto" w:line="12" w:before="0" w:after="0"/>
        <w:ind w:left="360" w:right="360" w:hanging="0"/>
        <w:jc w:val="left"/>
        <w:rPr/>
      </w:pPr>
      <w:r>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pBdr/>
        <w:bidi w:val="0"/>
        <w:spacing w:before="0" w:after="0"/>
        <w:ind w:left="360" w:right="360" w:hanging="0"/>
        <w:jc w:val="left"/>
        <w:rPr>
          <w:rFonts w:cs="Arial"/>
          <w:szCs w:val="20"/>
        </w:rPr>
      </w:pPr>
      <w:r>
        <w:rPr>
          <w:rFonts w:cs="Arial"/>
          <w:szCs w:val="20"/>
        </w:rPr>
        <w:t xml:space="preserve">﻿ </w:t>
      </w:r>
    </w:p>
    <w:p>
      <w:pPr>
        <w:pStyle w:val="TextBody"/>
        <w:bidi w:val="0"/>
        <w:spacing w:before="0" w:after="0"/>
        <w:ind w:left="2654" w:right="360" w:hanging="0"/>
        <w:jc w:val="left"/>
        <w:rPr>
          <w:rFonts w:ascii="Arial" w:hAnsi="Arial"/>
          <w:sz w:val="36"/>
        </w:rPr>
      </w:pPr>
      <w:bookmarkStart w:id="371" w:name="Schedule10"/>
      <w:bookmarkEnd w:id="371"/>
      <w:r>
        <w:rPr>
          <w:rFonts w:ascii="Arial" w:hAnsi="Arial"/>
          <w:sz w:val="37"/>
        </w:rPr>
        <w:t>Schedule</w:t>
      </w:r>
      <w:r>
        <w:rPr>
          <w:rFonts w:ascii="Arial" w:hAnsi="Arial"/>
          <w:sz w:val="36"/>
        </w:rPr>
        <w:t> </w:t>
      </w:r>
      <w:r>
        <w:rPr>
          <w:rFonts w:ascii="Arial" w:hAnsi="Arial"/>
          <w:sz w:val="37"/>
        </w:rPr>
        <w:t>10</w:t>
      </w:r>
      <w:r>
        <w:rPr>
          <w:rFonts w:ascii="Arial" w:hAnsi="Arial"/>
          <w:sz w:val="36"/>
        </w:rPr>
        <w:t xml:space="preserve"> </w:t>
      </w:r>
    </w:p>
    <w:p>
      <w:pPr>
        <w:pStyle w:val="TextBody"/>
        <w:bidi w:val="0"/>
        <w:spacing w:before="336" w:after="0"/>
        <w:ind w:left="2654" w:right="360" w:hanging="0"/>
        <w:jc w:val="left"/>
        <w:rPr>
          <w:rFonts w:ascii="Arial" w:hAnsi="Arial"/>
          <w:sz w:val="30"/>
        </w:rPr>
      </w:pPr>
      <w:r>
        <w:rPr>
          <w:rFonts w:ascii="Arial" w:hAnsi="Arial"/>
          <w:sz w:val="30"/>
        </w:rPr>
        <w:t xml:space="preserve">[***] </w:t>
      </w:r>
    </w:p>
    <w:p>
      <w:pPr>
        <w:pStyle w:val="TextBody"/>
        <w:pBdr/>
        <w:bidi w:val="0"/>
        <w:spacing w:before="0" w:after="0"/>
        <w:ind w:left="360" w:right="360" w:hanging="0"/>
        <w:jc w:val="left"/>
        <w:rPr>
          <w:rFonts w:cs="Arial"/>
          <w:szCs w:val="30"/>
        </w:rPr>
      </w:pPr>
      <w:r>
        <w:rPr>
          <w:rFonts w:cs="Arial"/>
          <w:szCs w:val="30"/>
        </w:rPr>
        <w:t xml:space="preserve">﻿ </w:t>
      </w:r>
    </w:p>
    <w:p>
      <w:pPr>
        <w:pStyle w:val="TextBody"/>
        <w:pBdr/>
        <w:bidi w:val="0"/>
        <w:spacing w:before="237" w:after="0"/>
        <w:ind w:left="360" w:right="360" w:hanging="0"/>
        <w:jc w:val="left"/>
        <w:rPr>
          <w:rFonts w:cs="Arial"/>
          <w:szCs w:val="30"/>
        </w:rPr>
      </w:pPr>
      <w:r>
        <w:rPr>
          <w:rFonts w:cs="Arial"/>
          <w:szCs w:val="30"/>
        </w:rPr>
        <w:t xml:space="preserve">﻿ </w:t>
      </w:r>
    </w:p>
    <w:p>
      <w:pPr>
        <w:pStyle w:val="TextBody"/>
        <w:pBdr/>
        <w:bidi w:val="0"/>
        <w:spacing w:before="0" w:after="0"/>
        <w:ind w:left="10137" w:right="360" w:hanging="0"/>
        <w:jc w:val="left"/>
        <w:rPr>
          <w:rFonts w:cs="Arial"/>
          <w:szCs w:val="20"/>
        </w:rPr>
      </w:pPr>
      <w:r>
        <w:rPr>
          <w:rFonts w:cs="Arial"/>
          <w:szCs w:val="20"/>
        </w:rPr>
        <w:t xml:space="preserve">﻿ </w:t>
      </w:r>
    </w:p>
    <w:p>
      <w:pPr>
        <w:pStyle w:val="TextBody"/>
        <w:bidi w:val="0"/>
        <w:spacing w:lineRule="auto" w:line="12" w:before="0" w:after="0"/>
        <w:ind w:left="360" w:right="360" w:hanging="0"/>
        <w:jc w:val="left"/>
        <w:rPr/>
      </w:pPr>
      <w:r>
        <w:rPr/>
        <w:t xml:space="preserve">  </w:t>
      </w:r>
    </w:p>
    <w:p>
      <w:pPr>
        <w:pStyle w:val="HorizontalLine"/>
        <w:pBdr>
          <w:bottom w:val="double" w:sz="6" w:space="0" w:color="808080"/>
        </w:pBdr>
        <w:bidi w:val="0"/>
        <w:ind w:left="360" w:right="360" w:hanging="0"/>
        <w:jc w:val="left"/>
        <w:rPr/>
      </w:pPr>
      <w:r>
        <w:rPr/>
      </w:r>
    </w:p>
    <w:p>
      <w:pPr>
        <w:pStyle w:val="TextBody"/>
        <w:bidi w:val="0"/>
        <w:spacing w:before="14" w:after="0"/>
        <w:ind w:left="1720" w:right="980" w:hanging="0"/>
        <w:jc w:val="left"/>
        <w:rPr>
          <w:rFonts w:ascii="Arial" w:hAnsi="Arial"/>
          <w:sz w:val="16"/>
        </w:rPr>
      </w:pPr>
      <w:bookmarkStart w:id="372" w:name="rdi-20250630xex10_4.htm"/>
      <w:bookmarkStart w:id="373" w:name="ksrdi20250630xex10_4"/>
      <w:bookmarkEnd w:id="372"/>
      <w:bookmarkEnd w:id="373"/>
      <w:r>
        <w:rPr>
          <w:rFonts w:ascii="Arial" w:hAnsi="Arial"/>
          <w:sz w:val="16"/>
        </w:rPr>
        <w:t xml:space="preserve">Docusign Envelope ID: E042B1A9-FB88-446B-A58D-7AF19DF6BA04 </w:t>
      </w:r>
      <w:r>
        <w:br w:type="page"/>
      </w:r>
    </w:p>
    <w:p>
      <w:pPr>
        <w:pStyle w:val="TextBody"/>
        <w:bidi w:val="0"/>
        <w:spacing w:before="14" w:after="0"/>
        <w:ind w:left="1720" w:right="980" w:hanging="0"/>
        <w:jc w:val="left"/>
        <w:rPr>
          <w:rFonts w:ascii="Arial" w:hAnsi="Arial"/>
          <w:sz w:val="16"/>
        </w:rPr>
      </w:pPr>
      <w:r>
        <w:rPr>
          <w:rFonts w:ascii="Arial" w:hAnsi="Arial"/>
          <w:sz w:val="16"/>
        </w:rPr>
        <w:t xml:space="preserve">Docusign Envelope ID: E042B1A9-FB88-446B-A58D-7AF19DF6BA04 </w:t>
      </w:r>
    </w:p>
    <w:p>
      <w:pPr>
        <w:pStyle w:val="TextBody"/>
        <w:bidi w:val="0"/>
        <w:spacing w:before="0" w:after="0"/>
        <w:ind w:left="1700" w:right="980" w:hanging="0"/>
        <w:jc w:val="both"/>
        <w:rPr>
          <w:rFonts w:ascii="Arial" w:hAnsi="Arial"/>
          <w:sz w:val="24"/>
        </w:rPr>
      </w:pPr>
      <w:r>
        <w:rPr>
          <w:rFonts w:ascii="Aptos" w:hAnsi="Aptos"/>
          <w:b/>
          <w:color w:val="000000"/>
          <w:sz w:val="24"/>
        </w:rPr>
        <w:t>PORTIONS OF THIS EXHIBIT HAVE BEEN OMITTED BECAUSE THEY ARE BOTH (I) NOT MATERIAL AND (II) WOULD BE COMPETITIVELY HARMFUL IF PUBLICLY DISCLOSED. INFORMATION THAT HAS BEEN OMITTED HAS BEEN NOTED IN THIS DOCUMENT WITH A PLACEHOLDER IDENTIFIED BY THE MARK “[***]”</w:t>
      </w:r>
      <w:r>
        <w:rPr>
          <w:rFonts w:ascii="Arial" w:hAnsi="Arial"/>
          <w:sz w:val="24"/>
        </w:rPr>
        <w:t xml:space="preserve"> </w:t>
      </w:r>
    </w:p>
    <w:p>
      <w:pPr>
        <w:pStyle w:val="TextBody"/>
        <w:bidi w:val="0"/>
        <w:spacing w:lineRule="auto" w:line="242" w:before="95" w:after="0"/>
        <w:ind w:left="6456" w:right="987" w:hanging="188"/>
        <w:jc w:val="right"/>
        <w:rPr>
          <w:rFonts w:cs="Arial"/>
          <w:szCs w:val="16"/>
        </w:rPr>
      </w:pPr>
      <w:r>
        <w:rPr>
          <w:rFonts w:cs="Arial"/>
          <w:szCs w:val="16"/>
        </w:rPr>
        <w:t xml:space="preserve">﻿ </w:t>
      </w:r>
    </w:p>
    <w:p>
      <w:pPr>
        <w:pStyle w:val="TextBody"/>
        <w:bidi w:val="0"/>
        <w:spacing w:lineRule="auto" w:line="242" w:before="95" w:after="0"/>
        <w:ind w:left="6456" w:right="987" w:hanging="188"/>
        <w:jc w:val="right"/>
        <w:rPr>
          <w:rFonts w:cs="Arial"/>
          <w:szCs w:val="16"/>
        </w:rPr>
      </w:pPr>
      <w:r>
        <w:rPr>
          <w:rFonts w:cs="Arial"/>
          <w:szCs w:val="16"/>
        </w:rPr>
        <w:t xml:space="preserve">﻿ </w:t>
      </w:r>
      <w:r>
        <mc:AlternateContent>
          <mc:Choice Requires="wps">
            <w:drawing>
              <wp:anchor behindDoc="0" distT="0" distB="0" distL="0" distR="0" simplePos="0" locked="0" layoutInCell="1" allowOverlap="1" relativeHeight="220">
                <wp:simplePos x="0" y="0"/>
                <wp:positionH relativeFrom="column">
                  <wp:align>right</wp:align>
                </wp:positionH>
                <wp:positionV relativeFrom="line">
                  <wp:posOffset>635</wp:posOffset>
                </wp:positionV>
                <wp:extent cx="4584700" cy="708660"/>
                <wp:effectExtent l="0" t="0" r="0" b="0"/>
                <wp:wrapSquare wrapText="left"/>
                <wp:docPr id="209" name="Frame2"/>
                <a:graphic xmlns:a="http://schemas.openxmlformats.org/drawingml/2006/main">
                  <a:graphicData uri="http://schemas.microsoft.com/office/word/2010/wordprocessingShape">
                    <wps:wsp>
                      <wps:cNvSpPr txBox="1"/>
                      <wps:spPr>
                        <a:xfrm>
                          <a:off x="0" y="0"/>
                          <a:ext cx="4584700" cy="708660"/>
                        </a:xfrm>
                        <a:prstGeom prst="rect"/>
                        <a:solidFill>
                          <a:srgbClr val="FFFFFF"/>
                        </a:solidFill>
                      </wps:spPr>
                      <wps:txbx>
                        <w:txbxContent>
                          <w:tbl>
                            <w:tblPr>
                              <w:tblW w:w="7220" w:type="dxa"/>
                              <w:jc w:val="left"/>
                              <w:tblInd w:w="0" w:type="dxa"/>
                              <w:tblLayout w:type="fixed"/>
                              <w:tblCellMar>
                                <w:top w:w="0" w:type="dxa"/>
                                <w:left w:w="0" w:type="dxa"/>
                                <w:bottom w:w="0" w:type="dxa"/>
                                <w:right w:w="0" w:type="dxa"/>
                              </w:tblCellMar>
                            </w:tblPr>
                            <w:tblGrid>
                              <w:gridCol w:w="38"/>
                              <w:gridCol w:w="60"/>
                              <w:gridCol w:w="60"/>
                              <w:gridCol w:w="7062"/>
                            </w:tblGrid>
                            <w:tr>
                              <w:trPr/>
                              <w:tc>
                                <w:tcPr>
                                  <w:tcW w:w="38" w:type="dxa"/>
                                  <w:tcBorders/>
                                </w:tcPr>
                                <w:p>
                                  <w:pPr>
                                    <w:pStyle w:val="TableContents"/>
                                    <w:bidi w:val="0"/>
                                    <w:spacing w:before="0" w:after="0"/>
                                    <w:ind w:left="0" w:right="0" w:hanging="0"/>
                                    <w:jc w:val="left"/>
                                    <w:rPr>
                                      <w:rFonts w:cs="Arial"/>
                                      <w:szCs w:val="16"/>
                                    </w:rPr>
                                  </w:pPr>
                                  <w:r>
                                    <w:rPr>
                                      <w:rFonts w:cs="Arial"/>
                                      <w:szCs w:val="16"/>
                                    </w:rPr>
                                    <w:t>﻿</w:t>
                                  </w:r>
                                </w:p>
                              </w:tc>
                              <w:tc>
                                <w:tcPr>
                                  <w:tcW w:w="60" w:type="dxa"/>
                                  <w:tcBorders/>
                                </w:tcPr>
                                <w:p>
                                  <w:pPr>
                                    <w:pStyle w:val="TableContents"/>
                                    <w:bidi w:val="0"/>
                                    <w:spacing w:before="0" w:after="0"/>
                                    <w:ind w:left="0" w:right="0" w:hanging="0"/>
                                    <w:jc w:val="right"/>
                                    <w:rPr/>
                                  </w:pPr>
                                  <w:r>
                                    <w:rPr/>
                                    <w:t> </w:t>
                                  </w:r>
                                </w:p>
                              </w:tc>
                              <w:tc>
                                <w:tcPr>
                                  <w:tcW w:w="60" w:type="dxa"/>
                                  <w:tcBorders/>
                                </w:tcPr>
                                <w:p>
                                  <w:pPr>
                                    <w:pStyle w:val="TableContents"/>
                                    <w:bidi w:val="0"/>
                                    <w:spacing w:before="0" w:after="0"/>
                                    <w:ind w:left="0" w:right="0" w:hanging="0"/>
                                    <w:jc w:val="right"/>
                                    <w:rPr/>
                                  </w:pPr>
                                  <w:r>
                                    <w:rPr/>
                                    <w:t> </w:t>
                                  </w:r>
                                </w:p>
                              </w:tc>
                              <w:tc>
                                <w:tcPr>
                                  <w:tcW w:w="7062" w:type="dxa"/>
                                  <w:tcBorders/>
                                </w:tcPr>
                                <w:p>
                                  <w:pPr>
                                    <w:pStyle w:val="TableContents"/>
                                    <w:bidi w:val="0"/>
                                    <w:spacing w:lineRule="auto" w:line="242" w:before="95" w:after="0"/>
                                    <w:ind w:left="0" w:right="7" w:hanging="0"/>
                                    <w:jc w:val="left"/>
                                    <w:rPr>
                                      <w:rFonts w:ascii="Arial" w:hAnsi="Arial"/>
                                      <w:sz w:val="16"/>
                                    </w:rPr>
                                  </w:pPr>
                                  <w:r>
                                    <w:rPr>
                                      <w:rFonts w:ascii="Arial" w:hAnsi="Arial"/>
                                      <w:sz w:val="16"/>
                                    </w:rPr>
                                    <w:t>567 Collins Street, Melbourne VIC 3000, Australia GPO Box 9925, Melbourne VIC 3001, Australia</w:t>
                                  </w:r>
                                </w:p>
                                <w:p>
                                  <w:pPr>
                                    <w:pStyle w:val="TableContents"/>
                                    <w:bidi w:val="0"/>
                                    <w:spacing w:before="2" w:after="0"/>
                                    <w:ind w:left="0" w:right="0" w:hanging="0"/>
                                    <w:jc w:val="left"/>
                                    <w:rPr>
                                      <w:rFonts w:ascii="Arial" w:hAnsi="Arial"/>
                                      <w:sz w:val="16"/>
                                    </w:rPr>
                                  </w:pPr>
                                  <w:r>
                                    <w:rPr>
                                      <w:rFonts w:ascii="Arial" w:hAnsi="Arial"/>
                                      <w:sz w:val="16"/>
                                    </w:rPr>
                                    <w:t>Tel +61 3 9672 3000</w:t>
                                  </w:r>
                                </w:p>
                                <w:p>
                                  <w:pPr>
                                    <w:pStyle w:val="TableContents"/>
                                    <w:bidi w:val="0"/>
                                    <w:spacing w:before="3" w:after="0"/>
                                    <w:ind w:left="0" w:right="1" w:hanging="0"/>
                                    <w:jc w:val="left"/>
                                    <w:rPr>
                                      <w:rFonts w:ascii="Arial" w:hAnsi="Arial"/>
                                      <w:sz w:val="16"/>
                                    </w:rPr>
                                  </w:pPr>
                                  <w:r>
                                    <w:rPr>
                                      <w:rFonts w:ascii="Arial" w:hAnsi="Arial"/>
                                      <w:sz w:val="16"/>
                                    </w:rPr>
                                    <w:t>Fax +61 3 9672 3010</w:t>
                                  </w:r>
                                </w:p>
                                <w:p>
                                  <w:pPr>
                                    <w:pStyle w:val="TableContents"/>
                                    <w:bidi w:val="0"/>
                                    <w:spacing w:before="3" w:after="0"/>
                                    <w:ind w:left="0" w:right="0" w:hanging="0"/>
                                    <w:jc w:val="left"/>
                                    <w:rPr>
                                      <w:rFonts w:ascii="Arial" w:hAnsi="Arial"/>
                                      <w:b/>
                                      <w:sz w:val="16"/>
                                    </w:rPr>
                                  </w:pPr>
                                  <w:r>
                                    <w:rPr>
                                      <w:rFonts w:ascii="Arial" w:hAnsi="Arial"/>
                                      <w:b/>
                                      <w:sz w:val="16"/>
                                    </w:rPr>
                                    <w:t>www.corrs.com.au</w:t>
                                  </w:r>
                                </w:p>
                                <w:p>
                                  <w:pPr>
                                    <w:pStyle w:val="TableContents"/>
                                    <w:bidi w:val="0"/>
                                    <w:spacing w:before="0" w:after="0"/>
                                    <w:ind w:left="0" w:right="0" w:hanging="0"/>
                                    <w:jc w:val="center"/>
                                    <w:rPr/>
                                  </w:pPr>
                                  <w:r>
                                    <w:rPr/>
                                    <w:t> </w:t>
                                  </w:r>
                                </w:p>
                              </w:tc>
                            </w:tr>
                          </w:tbl>
                        </w:txbxContent>
                      </wps:txbx>
                      <wps:bodyPr anchor="t" lIns="0" tIns="0" rIns="0" bIns="0">
                        <a:noAutofit/>
                      </wps:bodyPr>
                    </wps:wsp>
                  </a:graphicData>
                </a:graphic>
              </wp:anchor>
            </w:drawing>
          </mc:Choice>
          <mc:Fallback>
            <w:pict>
              <v:rect style="position:absolute;rotation:-0;width:361pt;height:55.8pt;mso-wrap-distance-left:0pt;mso-wrap-distance-right:0pt;mso-wrap-distance-top:0pt;mso-wrap-distance-bottom:0pt;margin-top:0pt;mso-position-vertical:top;mso-position-vertical-relative:text;margin-left:-213.5pt;mso-position-horizontal:right;mso-position-horizontal-relative:text">
                <v:textbox>
                  <w:txbxContent>
                    <w:tbl>
                      <w:tblPr>
                        <w:tblW w:w="7220" w:type="dxa"/>
                        <w:jc w:val="left"/>
                        <w:tblInd w:w="0" w:type="dxa"/>
                        <w:tblLayout w:type="fixed"/>
                        <w:tblCellMar>
                          <w:top w:w="0" w:type="dxa"/>
                          <w:left w:w="0" w:type="dxa"/>
                          <w:bottom w:w="0" w:type="dxa"/>
                          <w:right w:w="0" w:type="dxa"/>
                        </w:tblCellMar>
                      </w:tblPr>
                      <w:tblGrid>
                        <w:gridCol w:w="38"/>
                        <w:gridCol w:w="60"/>
                        <w:gridCol w:w="60"/>
                        <w:gridCol w:w="7062"/>
                      </w:tblGrid>
                      <w:tr>
                        <w:trPr/>
                        <w:tc>
                          <w:tcPr>
                            <w:tcW w:w="38" w:type="dxa"/>
                            <w:tcBorders/>
                          </w:tcPr>
                          <w:p>
                            <w:pPr>
                              <w:pStyle w:val="TableContents"/>
                              <w:bidi w:val="0"/>
                              <w:spacing w:before="0" w:after="0"/>
                              <w:ind w:left="0" w:right="0" w:hanging="0"/>
                              <w:jc w:val="left"/>
                              <w:rPr>
                                <w:rFonts w:cs="Arial"/>
                                <w:szCs w:val="16"/>
                              </w:rPr>
                            </w:pPr>
                            <w:r>
                              <w:rPr>
                                <w:rFonts w:cs="Arial"/>
                                <w:szCs w:val="16"/>
                              </w:rPr>
                              <w:t>﻿</w:t>
                            </w:r>
                          </w:p>
                        </w:tc>
                        <w:tc>
                          <w:tcPr>
                            <w:tcW w:w="60" w:type="dxa"/>
                            <w:tcBorders/>
                          </w:tcPr>
                          <w:p>
                            <w:pPr>
                              <w:pStyle w:val="TableContents"/>
                              <w:bidi w:val="0"/>
                              <w:spacing w:before="0" w:after="0"/>
                              <w:ind w:left="0" w:right="0" w:hanging="0"/>
                              <w:jc w:val="right"/>
                              <w:rPr/>
                            </w:pPr>
                            <w:r>
                              <w:rPr/>
                              <w:t> </w:t>
                            </w:r>
                          </w:p>
                        </w:tc>
                        <w:tc>
                          <w:tcPr>
                            <w:tcW w:w="60" w:type="dxa"/>
                            <w:tcBorders/>
                          </w:tcPr>
                          <w:p>
                            <w:pPr>
                              <w:pStyle w:val="TableContents"/>
                              <w:bidi w:val="0"/>
                              <w:spacing w:before="0" w:after="0"/>
                              <w:ind w:left="0" w:right="0" w:hanging="0"/>
                              <w:jc w:val="right"/>
                              <w:rPr/>
                            </w:pPr>
                            <w:r>
                              <w:rPr/>
                              <w:t> </w:t>
                            </w:r>
                          </w:p>
                        </w:tc>
                        <w:tc>
                          <w:tcPr>
                            <w:tcW w:w="7062" w:type="dxa"/>
                            <w:tcBorders/>
                          </w:tcPr>
                          <w:p>
                            <w:pPr>
                              <w:pStyle w:val="TableContents"/>
                              <w:bidi w:val="0"/>
                              <w:spacing w:lineRule="auto" w:line="242" w:before="95" w:after="0"/>
                              <w:ind w:left="0" w:right="7" w:hanging="0"/>
                              <w:jc w:val="left"/>
                              <w:rPr>
                                <w:rFonts w:ascii="Arial" w:hAnsi="Arial"/>
                                <w:sz w:val="16"/>
                              </w:rPr>
                            </w:pPr>
                            <w:r>
                              <w:rPr>
                                <w:rFonts w:ascii="Arial" w:hAnsi="Arial"/>
                                <w:sz w:val="16"/>
                              </w:rPr>
                              <w:t>567 Collins Street, Melbourne VIC 3000, Australia GPO Box 9925, Melbourne VIC 3001, Australia</w:t>
                            </w:r>
                          </w:p>
                          <w:p>
                            <w:pPr>
                              <w:pStyle w:val="TableContents"/>
                              <w:bidi w:val="0"/>
                              <w:spacing w:before="2" w:after="0"/>
                              <w:ind w:left="0" w:right="0" w:hanging="0"/>
                              <w:jc w:val="left"/>
                              <w:rPr>
                                <w:rFonts w:ascii="Arial" w:hAnsi="Arial"/>
                                <w:sz w:val="16"/>
                              </w:rPr>
                            </w:pPr>
                            <w:r>
                              <w:rPr>
                                <w:rFonts w:ascii="Arial" w:hAnsi="Arial"/>
                                <w:sz w:val="16"/>
                              </w:rPr>
                              <w:t>Tel +61 3 9672 3000</w:t>
                            </w:r>
                          </w:p>
                          <w:p>
                            <w:pPr>
                              <w:pStyle w:val="TableContents"/>
                              <w:bidi w:val="0"/>
                              <w:spacing w:before="3" w:after="0"/>
                              <w:ind w:left="0" w:right="1" w:hanging="0"/>
                              <w:jc w:val="left"/>
                              <w:rPr>
                                <w:rFonts w:ascii="Arial" w:hAnsi="Arial"/>
                                <w:sz w:val="16"/>
                              </w:rPr>
                            </w:pPr>
                            <w:r>
                              <w:rPr>
                                <w:rFonts w:ascii="Arial" w:hAnsi="Arial"/>
                                <w:sz w:val="16"/>
                              </w:rPr>
                              <w:t>Fax +61 3 9672 3010</w:t>
                            </w:r>
                          </w:p>
                          <w:p>
                            <w:pPr>
                              <w:pStyle w:val="TableContents"/>
                              <w:bidi w:val="0"/>
                              <w:spacing w:before="3" w:after="0"/>
                              <w:ind w:left="0" w:right="0" w:hanging="0"/>
                              <w:jc w:val="left"/>
                              <w:rPr>
                                <w:rFonts w:ascii="Arial" w:hAnsi="Arial"/>
                                <w:b/>
                                <w:sz w:val="16"/>
                              </w:rPr>
                            </w:pPr>
                            <w:r>
                              <w:rPr>
                                <w:rFonts w:ascii="Arial" w:hAnsi="Arial"/>
                                <w:b/>
                                <w:sz w:val="16"/>
                              </w:rPr>
                              <w:t>www.corrs.com.au</w:t>
                            </w:r>
                          </w:p>
                          <w:p>
                            <w:pPr>
                              <w:pStyle w:val="TableContents"/>
                              <w:bidi w:val="0"/>
                              <w:spacing w:before="0" w:after="0"/>
                              <w:ind w:left="0" w:right="0" w:hanging="0"/>
                              <w:jc w:val="center"/>
                              <w:rPr/>
                            </w:pPr>
                            <w:r>
                              <w:rPr/>
                              <w:t> </w:t>
                            </w:r>
                          </w:p>
                        </w:tc>
                      </w:tr>
                    </w:tbl>
                  </w:txbxContent>
                </v:textbox>
                <w10:wrap type="square" side="left"/>
              </v:rect>
            </w:pict>
          </mc:Fallback>
        </mc:AlternateContent>
      </w:r>
    </w:p>
    <w:p>
      <w:pPr>
        <w:pStyle w:val="TextBody"/>
        <w:bidi w:val="0"/>
        <w:spacing w:lineRule="auto" w:line="242" w:before="95" w:after="0"/>
        <w:ind w:left="6456" w:right="987" w:hanging="188"/>
        <w:jc w:val="right"/>
        <w:rPr>
          <w:rFonts w:cs="Arial"/>
          <w:szCs w:val="16"/>
        </w:rPr>
      </w:pPr>
      <w:r>
        <w:rPr>
          <w:rFonts w:cs="Arial"/>
          <w:szCs w:val="16"/>
        </w:rPr>
        <w:t xml:space="preserve">﻿ </w:t>
      </w:r>
    </w:p>
    <w:p>
      <w:pPr>
        <w:pStyle w:val="TextBody"/>
        <w:bidi w:val="0"/>
        <w:spacing w:before="0" w:after="0"/>
        <w:ind w:left="2188" w:right="980" w:hanging="0"/>
        <w:jc w:val="left"/>
        <w:rPr/>
      </w:pPr>
      <w:r>
        <w:rPr/>
        <w:drawing>
          <wp:inline distT="0" distB="0" distL="0" distR="0">
            <wp:extent cx="1103630" cy="618490"/>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09"/>
                    <a:stretch>
                      <a:fillRect/>
                    </a:stretch>
                  </pic:blipFill>
                  <pic:spPr bwMode="auto">
                    <a:xfrm>
                      <a:off x="0" y="0"/>
                      <a:ext cx="1103630" cy="618490"/>
                    </a:xfrm>
                    <a:prstGeom prst="rect">
                      <a:avLst/>
                    </a:prstGeom>
                  </pic:spPr>
                </pic:pic>
              </a:graphicData>
            </a:graphic>
          </wp:inline>
        </w:drawing>
      </w:r>
      <w:r>
        <w:rPr/>
        <w:t xml:space="preserve"> </w:t>
      </w:r>
    </w:p>
    <w:p>
      <w:pPr>
        <w:pStyle w:val="TextBody"/>
        <w:bidi w:val="0"/>
        <w:spacing w:before="164" w:after="0"/>
        <w:ind w:left="1700" w:right="980" w:hanging="0"/>
        <w:jc w:val="left"/>
        <w:rPr>
          <w:rFonts w:cs="Arial"/>
          <w:szCs w:val="16"/>
        </w:rPr>
      </w:pPr>
      <w:r>
        <w:rPr>
          <w:rFonts w:cs="Arial"/>
          <w:bCs/>
          <w:szCs w:val="16"/>
        </w:rPr>
        <w:t>﻿</w:t>
      </w:r>
      <w:r>
        <w:rPr>
          <w:rFonts w:cs="Arial"/>
          <w:szCs w:val="16"/>
        </w:rPr>
        <w:t xml:space="preserve"> </w:t>
      </w:r>
    </w:p>
    <w:p>
      <w:pPr>
        <w:pStyle w:val="TextBody"/>
        <w:bidi w:val="0"/>
        <w:spacing w:lineRule="auto" w:line="259" w:before="0" w:after="0"/>
        <w:ind w:left="3175" w:right="2124" w:firstLine="222"/>
        <w:jc w:val="right"/>
        <w:rPr>
          <w:rFonts w:ascii="Arial" w:hAnsi="Arial"/>
          <w:sz w:val="16"/>
        </w:rPr>
      </w:pPr>
      <w:r>
        <w:rPr>
          <w:rFonts w:ascii="Arial" w:hAnsi="Arial"/>
          <w:color w:val="818181"/>
          <w:sz w:val="16"/>
        </w:rPr>
        <w:t>Sydney Melbourne Brisbane</w:t>
      </w:r>
      <w:r>
        <w:rPr>
          <w:rFonts w:ascii="Arial" w:hAnsi="Arial"/>
          <w:sz w:val="16"/>
        </w:rPr>
        <w:t xml:space="preserve"> </w:t>
      </w:r>
    </w:p>
    <w:p>
      <w:pPr>
        <w:pStyle w:val="TextBody"/>
        <w:bidi w:val="0"/>
        <w:spacing w:lineRule="auto" w:line="259" w:before="3" w:after="0"/>
        <w:ind w:left="2981" w:right="2125" w:firstLine="567"/>
        <w:jc w:val="right"/>
        <w:rPr>
          <w:rFonts w:ascii="Arial" w:hAnsi="Arial"/>
          <w:sz w:val="16"/>
        </w:rPr>
      </w:pPr>
      <w:r>
        <w:rPr>
          <w:rFonts w:ascii="Arial" w:hAnsi="Arial"/>
          <w:color w:val="818181"/>
          <w:sz w:val="16"/>
        </w:rPr>
        <w:t>Perth Port Moresby</w:t>
      </w:r>
      <w:r>
        <w:rPr>
          <w:rFonts w:ascii="Arial" w:hAnsi="Arial"/>
          <w:sz w:val="16"/>
        </w:rPr>
        <w:t xml:space="preserve"> </w:t>
      </w:r>
    </w:p>
    <w:p>
      <w:pPr>
        <w:pStyle w:val="TextBody"/>
        <w:pBdr/>
        <w:bidi w:val="0"/>
        <w:spacing w:before="0" w:after="0"/>
        <w:ind w:left="1700" w:right="980" w:hanging="0"/>
        <w:jc w:val="left"/>
        <w:rPr>
          <w:rFonts w:cs="Arial"/>
          <w:szCs w:val="22"/>
        </w:rPr>
      </w:pPr>
      <w:r>
        <w:rPr>
          <w:rFonts w:cs="Arial"/>
          <w:szCs w:val="22"/>
        </w:rPr>
        <w:t xml:space="preserve">﻿ </w:t>
      </w:r>
    </w:p>
    <w:p>
      <w:pPr>
        <w:pStyle w:val="TextBody"/>
        <w:pBdr/>
        <w:bidi w:val="0"/>
        <w:spacing w:before="0" w:after="0"/>
        <w:ind w:left="1700" w:right="980" w:hanging="0"/>
        <w:jc w:val="left"/>
        <w:rPr>
          <w:rFonts w:cs="Arial"/>
          <w:szCs w:val="22"/>
        </w:rPr>
      </w:pPr>
      <w:r>
        <w:rPr>
          <w:rFonts w:cs="Arial"/>
          <w:szCs w:val="22"/>
        </w:rPr>
        <w:t xml:space="preserve">﻿ </w:t>
      </w:r>
    </w:p>
    <w:p>
      <w:pPr>
        <w:pStyle w:val="TextBody"/>
        <w:pBdr/>
        <w:bidi w:val="0"/>
        <w:spacing w:before="0" w:after="0"/>
        <w:ind w:left="1700" w:right="980" w:hanging="0"/>
        <w:jc w:val="left"/>
        <w:rPr>
          <w:rFonts w:cs="Arial"/>
          <w:szCs w:val="22"/>
        </w:rPr>
      </w:pPr>
      <w:r>
        <w:rPr>
          <w:rFonts w:cs="Arial"/>
          <w:szCs w:val="22"/>
        </w:rPr>
        <w:t xml:space="preserve">﻿ </w:t>
      </w:r>
    </w:p>
    <w:p>
      <w:pPr>
        <w:pStyle w:val="TextBody"/>
        <w:pBdr/>
        <w:bidi w:val="0"/>
        <w:spacing w:before="0" w:after="0"/>
        <w:ind w:left="1700" w:right="980" w:hanging="0"/>
        <w:jc w:val="left"/>
        <w:rPr>
          <w:rFonts w:cs="Arial"/>
          <w:szCs w:val="22"/>
        </w:rPr>
      </w:pPr>
      <w:r>
        <w:rPr>
          <w:rFonts w:cs="Arial"/>
          <w:szCs w:val="22"/>
        </w:rPr>
        <w:t xml:space="preserve">﻿ </w:t>
      </w:r>
    </w:p>
    <w:p>
      <w:pPr>
        <w:pStyle w:val="TextBody"/>
        <w:pBdr/>
        <w:bidi w:val="0"/>
        <w:spacing w:before="0" w:after="0"/>
        <w:ind w:left="1700" w:right="980" w:hanging="0"/>
        <w:jc w:val="left"/>
        <w:rPr>
          <w:rFonts w:cs="Arial"/>
          <w:szCs w:val="22"/>
        </w:rPr>
      </w:pPr>
      <w:r>
        <w:rPr>
          <w:rFonts w:cs="Arial"/>
          <w:szCs w:val="22"/>
        </w:rPr>
        <w:t xml:space="preserve">﻿ </w:t>
      </w:r>
    </w:p>
    <w:p>
      <w:pPr>
        <w:pStyle w:val="TextBody"/>
        <w:pBdr/>
        <w:bidi w:val="0"/>
        <w:spacing w:before="0" w:after="0"/>
        <w:ind w:left="1700" w:right="980" w:hanging="0"/>
        <w:jc w:val="left"/>
        <w:rPr>
          <w:rFonts w:cs="Arial"/>
          <w:szCs w:val="22"/>
        </w:rPr>
      </w:pPr>
      <w:r>
        <w:rPr>
          <w:rFonts w:cs="Arial"/>
          <w:szCs w:val="22"/>
        </w:rPr>
        <w:t xml:space="preserve">﻿ </w:t>
      </w:r>
    </w:p>
    <w:p>
      <w:pPr>
        <w:pStyle w:val="TextBody"/>
        <w:pBdr/>
        <w:bidi w:val="0"/>
        <w:spacing w:before="106" w:after="0"/>
        <w:ind w:left="1700" w:right="980" w:hanging="0"/>
        <w:jc w:val="left"/>
        <w:rPr>
          <w:rFonts w:cs="Arial"/>
          <w:szCs w:val="22"/>
        </w:rPr>
      </w:pPr>
      <w:r>
        <w:rPr>
          <w:rFonts w:cs="Arial"/>
          <w:szCs w:val="22"/>
        </w:rPr>
        <w:t xml:space="preserve">﻿ </w:t>
      </w:r>
    </w:p>
    <w:p>
      <w:pPr>
        <w:pStyle w:val="TextBody"/>
        <w:bidi w:val="0"/>
        <w:spacing w:before="0" w:after="0"/>
        <w:ind w:left="1700" w:right="2150" w:hanging="0"/>
        <w:jc w:val="left"/>
        <w:rPr>
          <w:rFonts w:ascii="Arial" w:hAnsi="Arial"/>
          <w:b/>
          <w:sz w:val="22"/>
        </w:rPr>
      </w:pPr>
      <w:r>
        <w:rPr>
          <w:rFonts w:ascii="Arial" w:hAnsi="Arial"/>
          <w:b/>
          <w:sz w:val="22"/>
        </w:rPr>
        <w:t xml:space="preserve">Execution Version </w:t>
      </w:r>
    </w:p>
    <w:p>
      <w:pPr>
        <w:pStyle w:val="TextBody"/>
        <w:bidi w:val="0"/>
        <w:spacing w:before="9" w:after="0"/>
        <w:ind w:left="1700" w:right="980" w:hanging="0"/>
        <w:jc w:val="left"/>
        <w:rPr>
          <w:rFonts w:cs="Arial"/>
          <w:szCs w:val="6"/>
        </w:rPr>
      </w:pPr>
      <w:r>
        <w:rPr>
          <w:rFonts w:cs="Arial"/>
          <w:bCs/>
          <w:iCs/>
          <w:szCs w:val="7"/>
        </w:rPr>
        <w:t>﻿</w:t>
      </w:r>
      <w:r>
        <w:rPr>
          <w:rFonts w:cs="Arial"/>
          <w:szCs w:val="6"/>
        </w:rPr>
        <w:t xml:space="preserve"> </w:t>
      </w:r>
    </w:p>
    <w:p>
      <w:pPr>
        <w:pStyle w:val="TextBody"/>
        <w:pBdr>
          <w:top w:val="single" w:sz="8" w:space="1" w:color="000000"/>
          <w:bottom w:val="single" w:sz="8" w:space="1" w:color="000000"/>
        </w:pBdr>
        <w:bidi w:val="0"/>
        <w:spacing w:lineRule="auto" w:line="417" w:before="72" w:after="0"/>
        <w:ind w:left="1700" w:right="2146" w:hanging="0"/>
        <w:jc w:val="left"/>
        <w:rPr>
          <w:rFonts w:ascii="Arial" w:hAnsi="Arial"/>
          <w:sz w:val="34"/>
        </w:rPr>
      </w:pPr>
      <w:r>
        <w:rPr>
          <w:rFonts w:ascii="Arial" w:hAnsi="Arial"/>
          <w:sz w:val="34"/>
        </w:rPr>
        <w:t xml:space="preserve">National Australia Bank Limited </w:t>
      </w:r>
    </w:p>
    <w:p>
      <w:pPr>
        <w:pStyle w:val="TextBody"/>
        <w:pBdr/>
        <w:bidi w:val="0"/>
        <w:spacing w:lineRule="auto" w:line="417" w:before="72" w:after="0"/>
        <w:ind w:left="1700" w:right="2146" w:hanging="0"/>
        <w:jc w:val="left"/>
        <w:rPr>
          <w:rFonts w:ascii="Arial" w:hAnsi="Arial"/>
          <w:sz w:val="34"/>
        </w:rPr>
      </w:pPr>
      <w:r>
        <w:rPr>
          <w:rFonts w:ascii="Arial" w:hAnsi="Arial"/>
          <w:sz w:val="34"/>
        </w:rPr>
        <w:t xml:space="preserve">Reading Entertainment Australia Pty Ltd </w:t>
      </w:r>
    </w:p>
    <w:p>
      <w:pPr>
        <w:pStyle w:val="TextBody"/>
        <w:pBdr>
          <w:bottom w:val="single" w:sz="8" w:space="1" w:color="000000"/>
        </w:pBdr>
        <w:bidi w:val="0"/>
        <w:spacing w:lineRule="auto" w:line="415" w:before="72" w:after="0"/>
        <w:ind w:left="1700" w:right="2150" w:hanging="0"/>
        <w:jc w:val="left"/>
        <w:rPr>
          <w:rFonts w:ascii="Arial" w:hAnsi="Arial"/>
          <w:sz w:val="34"/>
        </w:rPr>
      </w:pPr>
      <w:r>
        <w:rPr>
          <w:rFonts w:ascii="Arial" w:hAnsi="Arial"/>
          <w:sz w:val="34"/>
        </w:rPr>
        <w:t xml:space="preserve">Each Guarantor </w:t>
      </w:r>
    </w:p>
    <w:p>
      <w:pPr>
        <w:pStyle w:val="TextBody"/>
        <w:bidi w:val="0"/>
        <w:spacing w:before="877" w:after="0"/>
        <w:ind w:left="2268" w:right="980" w:hanging="0"/>
        <w:jc w:val="left"/>
        <w:rPr>
          <w:rFonts w:ascii="Arial" w:hAnsi="Arial"/>
          <w:sz w:val="80"/>
        </w:rPr>
      </w:pPr>
      <w:r>
        <w:rPr>
          <w:rFonts w:ascii="Arial" w:hAnsi="Arial"/>
          <w:color w:val="12395C"/>
          <w:sz w:val="80"/>
        </w:rPr>
        <w:t>Amendment Deed</w:t>
      </w:r>
      <w:r>
        <w:rPr>
          <w:rFonts w:ascii="Arial" w:hAnsi="Arial"/>
          <w:sz w:val="80"/>
        </w:rPr>
        <w:t xml:space="preserve"> </w:t>
      </w:r>
    </w:p>
    <w:p>
      <w:pPr>
        <w:pStyle w:val="TextBody"/>
        <w:pBdr/>
        <w:bidi w:val="0"/>
        <w:spacing w:before="487" w:after="0"/>
        <w:ind w:left="2268" w:right="980" w:hanging="0"/>
        <w:jc w:val="left"/>
        <w:rPr>
          <w:rFonts w:ascii="Times New Roman" w:hAnsi="Times New Roman"/>
          <w:sz w:val="24"/>
        </w:rPr>
      </w:pPr>
      <w:r>
        <w:rPr>
          <w:rFonts w:ascii="Arial" w:hAnsi="Arial"/>
          <w:color w:val="808080"/>
          <w:sz w:val="24"/>
        </w:rPr>
        <w:t>Corporate</w:t>
      </w:r>
      <w:r>
        <w:rPr>
          <w:rFonts w:ascii="Times New Roman" w:hAnsi="Times New Roman"/>
          <w:color w:val="808080"/>
          <w:sz w:val="24"/>
        </w:rPr>
        <w:t> </w:t>
      </w:r>
      <w:r>
        <w:rPr>
          <w:rFonts w:ascii="Arial" w:hAnsi="Arial"/>
          <w:color w:val="808080"/>
          <w:sz w:val="24"/>
        </w:rPr>
        <w:t>Markets</w:t>
      </w:r>
      <w:r>
        <w:rPr>
          <w:rFonts w:ascii="Times New Roman" w:hAnsi="Times New Roman"/>
          <w:color w:val="808080"/>
          <w:sz w:val="24"/>
        </w:rPr>
        <w:t> </w:t>
      </w:r>
      <w:r>
        <w:rPr>
          <w:rFonts w:ascii="Arial" w:hAnsi="Arial"/>
          <w:color w:val="808080"/>
          <w:sz w:val="24"/>
        </w:rPr>
        <w:t>Loan</w:t>
      </w:r>
      <w:r>
        <w:rPr>
          <w:rFonts w:ascii="Times New Roman" w:hAnsi="Times New Roman"/>
          <w:color w:val="808080"/>
          <w:sz w:val="24"/>
        </w:rPr>
        <w:t> </w:t>
      </w:r>
      <w:r>
        <w:rPr>
          <w:rFonts w:ascii="Arial" w:hAnsi="Arial"/>
          <w:color w:val="808080"/>
          <w:sz w:val="24"/>
        </w:rPr>
        <w:t>&amp;</w:t>
      </w:r>
      <w:r>
        <w:rPr>
          <w:rFonts w:ascii="Times New Roman" w:hAnsi="Times New Roman"/>
          <w:color w:val="808080"/>
          <w:sz w:val="24"/>
        </w:rPr>
        <w:t> </w:t>
      </w:r>
      <w:r>
        <w:rPr>
          <w:rFonts w:ascii="Arial" w:hAnsi="Arial"/>
          <w:color w:val="808080"/>
          <w:sz w:val="24"/>
        </w:rPr>
        <w:t>Bank</w:t>
      </w:r>
      <w:r>
        <w:rPr>
          <w:rFonts w:ascii="Times New Roman" w:hAnsi="Times New Roman"/>
          <w:color w:val="808080"/>
          <w:sz w:val="24"/>
        </w:rPr>
        <w:t> </w:t>
      </w:r>
      <w:r>
        <w:rPr>
          <w:rFonts w:ascii="Arial" w:hAnsi="Arial"/>
          <w:color w:val="808080"/>
          <w:sz w:val="24"/>
        </w:rPr>
        <w:t>Guarantee</w:t>
      </w:r>
      <w:r>
        <w:rPr>
          <w:rFonts w:ascii="Times New Roman" w:hAnsi="Times New Roman"/>
          <w:color w:val="808080"/>
          <w:sz w:val="24"/>
        </w:rPr>
        <w:t> </w:t>
      </w:r>
      <w:r>
        <w:rPr>
          <w:rFonts w:ascii="Arial" w:hAnsi="Arial"/>
          <w:color w:val="808080"/>
          <w:sz w:val="24"/>
        </w:rPr>
        <w:t>Facility</w:t>
      </w:r>
      <w:r>
        <w:rPr>
          <w:rFonts w:ascii="Times New Roman" w:hAnsi="Times New Roman"/>
          <w:color w:val="808080"/>
          <w:sz w:val="24"/>
        </w:rPr>
        <w:t> </w:t>
      </w:r>
      <w:r>
        <w:rPr>
          <w:rFonts w:ascii="Arial" w:hAnsi="Arial"/>
          <w:color w:val="808080"/>
          <w:sz w:val="24"/>
        </w:rPr>
        <w:t>Agreement</w:t>
      </w:r>
      <w:r>
        <w:rPr>
          <w:rFonts w:ascii="Times New Roman" w:hAnsi="Times New Roman"/>
          <w:sz w:val="24"/>
        </w:rPr>
        <w:t xml:space="preserve"> </w:t>
      </w:r>
    </w:p>
    <w:p>
      <w:pPr>
        <w:pStyle w:val="TextBody"/>
        <w:pBdr/>
        <w:bidi w:val="0"/>
        <w:spacing w:before="0" w:after="0"/>
        <w:ind w:left="2715" w:right="2020" w:hanging="0"/>
        <w:jc w:val="left"/>
        <w:rPr>
          <w:rFonts w:cs="Times New Roman"/>
          <w:szCs w:val="24"/>
        </w:rPr>
      </w:pPr>
      <w:r>
        <w:rPr>
          <w:rFonts w:cs="Arial"/>
          <w:color w:val="808080"/>
          <w:szCs w:val="24"/>
        </w:rPr>
        <w:t>﻿</w:t>
      </w:r>
      <w:r>
        <w:rPr>
          <w:rFonts w:cs="Times New Roman"/>
          <w:szCs w:val="24"/>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2"/>
        </w:rPr>
      </w:pPr>
      <w:r>
        <w:rPr>
          <w:rFonts w:cs="Arial"/>
          <w:szCs w:val="22"/>
        </w:rPr>
        <w:t xml:space="preserve">﻿ </w:t>
      </w:r>
    </w:p>
    <w:p>
      <w:pPr>
        <w:pStyle w:val="TextBody"/>
        <w:bidi w:val="0"/>
        <w:spacing w:before="0" w:after="0"/>
        <w:ind w:left="1700" w:right="980" w:hanging="0"/>
        <w:jc w:val="left"/>
        <w:rPr>
          <w:rFonts w:cs="Arial"/>
          <w:szCs w:val="24"/>
        </w:rPr>
      </w:pPr>
      <w:r>
        <w:rPr>
          <w:rFonts w:cs="Times New Roman"/>
          <w:color w:val="808080"/>
          <w:szCs w:val="24"/>
        </w:rPr>
        <w:t>﻿</w:t>
      </w:r>
      <w:r>
        <w:rPr>
          <w:rFonts w:cs="Arial"/>
          <w:szCs w:val="24"/>
        </w:rPr>
        <w:t xml:space="preserve"> </w:t>
      </w:r>
    </w:p>
    <w:p>
      <w:pPr>
        <w:pStyle w:val="TextBody"/>
        <w:bidi w:val="0"/>
        <w:spacing w:before="0" w:after="0"/>
        <w:ind w:left="1700" w:right="980" w:hanging="0"/>
        <w:jc w:val="left"/>
        <w:rPr/>
      </w:pPr>
      <w:r>
        <w:rPr/>
        <w:t xml:space="preserve">  </w:t>
      </w:r>
    </w:p>
    <w:p>
      <w:pPr>
        <w:pStyle w:val="TextBody"/>
        <w:bidi w:val="0"/>
        <w:spacing w:before="16" w:after="0"/>
        <w:ind w:left="1720" w:right="980" w:hanging="0"/>
        <w:jc w:val="left"/>
        <w:rPr>
          <w:rFonts w:ascii="Arial" w:hAnsi="Arial"/>
          <w:sz w:val="12"/>
        </w:rPr>
      </w:pPr>
      <w:r>
        <w:rPr>
          <w:rFonts w:ascii="Arial" w:hAnsi="Arial"/>
          <w:sz w:val="12"/>
        </w:rPr>
        <w:t xml:space="preserve">Ref: BMH/OSM 9143151 3464-0649-7337v1 </w:t>
      </w:r>
    </w:p>
    <w:p>
      <w:pPr>
        <w:pStyle w:val="TextBody"/>
        <w:bidi w:val="0"/>
        <w:spacing w:before="16" w:after="0"/>
        <w:ind w:left="1720" w:right="980" w:hanging="0"/>
        <w:jc w:val="left"/>
        <w:rPr>
          <w:rFonts w:ascii="Arial" w:hAnsi="Arial"/>
          <w:sz w:val="12"/>
        </w:rPr>
      </w:pPr>
      <w:r>
        <w:rPr>
          <w:rFonts w:ascii="Arial" w:hAnsi="Arial"/>
          <w:sz w:val="12"/>
        </w:rPr>
        <w:t xml:space="preserve">Ref: BMH/OSM 9143151 3464-0649-7337v1 </w:t>
      </w:r>
    </w:p>
    <w:p>
      <w:pPr>
        <w:pStyle w:val="TextBody"/>
        <w:bidi w:val="0"/>
        <w:spacing w:before="16" w:after="0"/>
        <w:ind w:left="1720" w:right="980" w:hanging="0"/>
        <w:jc w:val="left"/>
        <w:rPr>
          <w:rFonts w:ascii="Arial" w:hAnsi="Arial"/>
          <w:sz w:val="12"/>
        </w:rPr>
      </w:pPr>
      <w:r>
        <w:rPr>
          <w:rFonts w:ascii="Arial" w:hAnsi="Arial"/>
          <w:sz w:val="12"/>
        </w:rPr>
        <w:t xml:space="preserve">© Corrs Chambers Westgarth </w:t>
      </w:r>
    </w:p>
    <w:p>
      <w:pPr>
        <w:pStyle w:val="TextBody"/>
        <w:bidi w:val="0"/>
        <w:spacing w:before="16" w:after="0"/>
        <w:ind w:left="1720" w:right="980" w:hanging="0"/>
        <w:jc w:val="left"/>
        <w:rPr>
          <w:rFonts w:ascii="Arial" w:hAnsi="Arial"/>
          <w:sz w:val="12"/>
        </w:rPr>
      </w:pPr>
      <w:r>
        <w:rPr>
          <w:rFonts w:ascii="Arial" w:hAnsi="Arial"/>
          <w:sz w:val="12"/>
        </w:rPr>
        <w:t xml:space="preserve">© Corrs Chambers Westgarth </w:t>
      </w:r>
    </w:p>
    <w:p>
      <w:pPr>
        <w:pStyle w:val="HorizontalLine"/>
        <w:pBdr>
          <w:bottom w:val="double" w:sz="6" w:space="0" w:color="808080"/>
        </w:pBdr>
        <w:bidi w:val="0"/>
        <w:ind w:left="1700" w:right="980" w:hanging="0"/>
        <w:jc w:val="left"/>
        <w:rPr/>
      </w:pPr>
      <w:r>
        <w:rPr/>
      </w:r>
    </w:p>
    <w:p>
      <w:pPr>
        <w:pStyle w:val="TextBody"/>
        <w:bidi w:val="0"/>
        <w:ind w:left="1700" w:right="980" w:hanging="0"/>
        <w:jc w:val="left"/>
        <w:rPr/>
      </w:pPr>
      <w:r>
        <w:rPr/>
        <w:t> </w:t>
      </w:r>
      <w:r>
        <w:br w:type="page"/>
      </w:r>
    </w:p>
    <w:p>
      <w:pPr>
        <w:pStyle w:val="TextBody"/>
        <w:bidi w:val="0"/>
        <w:spacing w:before="14" w:after="0"/>
        <w:ind w:left="1720" w:right="98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980" w:hanging="0"/>
        <w:jc w:val="left"/>
        <w:rPr>
          <w:rFonts w:ascii="Arial" w:hAnsi="Arial"/>
          <w:sz w:val="16"/>
        </w:rPr>
      </w:pPr>
      <w:r>
        <w:rPr>
          <w:rFonts w:ascii="Arial" w:hAnsi="Arial"/>
          <w:sz w:val="16"/>
        </w:rPr>
        <w:t xml:space="preserve">Docusign Envelope ID: E042B1A9-FB88-446B-A58D-7AF19DF6BA04 </w:t>
      </w:r>
    </w:p>
    <w:p>
      <w:pPr>
        <w:pStyle w:val="TextBody"/>
        <w:bidi w:val="0"/>
        <w:spacing w:before="132" w:after="0"/>
        <w:ind w:left="2268" w:right="98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980" w:hanging="0"/>
        <w:jc w:val="left"/>
        <w:rPr>
          <w:rFonts w:cs="Arial"/>
          <w:szCs w:val="32"/>
        </w:rPr>
      </w:pPr>
      <w:r>
        <w:rPr>
          <w:rFonts w:cs="Arial"/>
          <w:szCs w:val="32"/>
        </w:rPr>
        <w:t xml:space="preserve">﻿ </w:t>
      </w:r>
    </w:p>
    <w:p>
      <w:pPr>
        <w:pStyle w:val="TextBody"/>
        <w:pBdr/>
        <w:bidi w:val="0"/>
        <w:spacing w:before="0" w:after="0"/>
        <w:ind w:left="1700" w:right="980" w:hanging="0"/>
        <w:jc w:val="left"/>
        <w:rPr>
          <w:rFonts w:cs="Arial"/>
          <w:szCs w:val="32"/>
        </w:rPr>
      </w:pPr>
      <w:r>
        <w:rPr>
          <w:rFonts w:cs="Arial"/>
          <w:szCs w:val="32"/>
        </w:rPr>
        <w:t xml:space="preserve">﻿ </w:t>
      </w:r>
    </w:p>
    <w:p>
      <w:pPr>
        <w:pStyle w:val="TextBody"/>
        <w:pBdr/>
        <w:bidi w:val="0"/>
        <w:spacing w:before="43" w:after="0"/>
        <w:ind w:left="1700" w:right="980" w:hanging="0"/>
        <w:jc w:val="left"/>
        <w:rPr>
          <w:rFonts w:cs="Arial"/>
          <w:szCs w:val="32"/>
        </w:rPr>
      </w:pPr>
      <w:r>
        <w:rPr>
          <w:rFonts w:cs="Arial"/>
          <w:szCs w:val="32"/>
        </w:rPr>
        <w:t xml:space="preserve">﻿ </w:t>
      </w:r>
    </w:p>
    <w:p>
      <w:pPr>
        <w:pStyle w:val="TextBody"/>
        <w:bidi w:val="0"/>
        <w:spacing w:before="1" w:after="0"/>
        <w:ind w:left="2210" w:right="980" w:hanging="0"/>
        <w:jc w:val="left"/>
        <w:rPr>
          <w:rFonts w:ascii="Arial" w:hAnsi="Arial"/>
          <w:sz w:val="32"/>
        </w:rPr>
      </w:pPr>
      <w:r>
        <w:rPr>
          <w:rFonts w:ascii="Arial" w:hAnsi="Arial"/>
          <w:sz w:val="32"/>
        </w:rPr>
        <w:t xml:space="preserve">Contents </w:t>
      </w:r>
    </w:p>
    <w:tbl>
      <w:tblPr>
        <w:tblW w:w="4198" w:type="dxa"/>
        <w:jc w:val="left"/>
        <w:tblInd w:w="1700" w:type="dxa"/>
        <w:tblLayout w:type="fixed"/>
        <w:tblCellMar>
          <w:top w:w="0" w:type="dxa"/>
          <w:left w:w="0" w:type="dxa"/>
          <w:bottom w:w="0" w:type="dxa"/>
          <w:right w:w="0" w:type="dxa"/>
        </w:tblCellMar>
      </w:tblPr>
      <w:tblGrid>
        <w:gridCol w:w="38"/>
        <w:gridCol w:w="125"/>
        <w:gridCol w:w="275"/>
        <w:gridCol w:w="3455"/>
        <w:gridCol w:w="230"/>
        <w:gridCol w:w="75"/>
      </w:tblGrid>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125" w:type="dxa"/>
            <w:tcBorders/>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1</w:t>
            </w:r>
          </w:p>
        </w:tc>
        <w:tc>
          <w:tcPr>
            <w:tcW w:w="3730" w:type="dxa"/>
            <w:gridSpan w:val="2"/>
            <w:tcBorders/>
            <w:vAlign w:val="center"/>
          </w:tcPr>
          <w:p>
            <w:pPr>
              <w:pStyle w:val="TableContents"/>
              <w:bidi w:val="0"/>
              <w:spacing w:before="120" w:after="0"/>
              <w:ind w:left="0" w:right="0" w:hanging="0"/>
              <w:jc w:val="left"/>
              <w:rPr/>
            </w:pPr>
            <w:hyperlink w:anchor="Definitions">
              <w:r>
                <w:rPr>
                  <w:rStyle w:val="InternetLink"/>
                  <w:rFonts w:ascii="Arial" w:hAnsi="Arial"/>
                  <w:b/>
                  <w:sz w:val="18"/>
                </w:rPr>
                <w:t>Definitions</w:t>
              </w:r>
            </w:hyperlink>
          </w:p>
        </w:tc>
        <w:tc>
          <w:tcPr>
            <w:tcW w:w="230" w:type="dxa"/>
            <w:tcBorders/>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1</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2</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Consideration">
              <w:r>
                <w:rPr>
                  <w:rStyle w:val="InternetLink"/>
                  <w:rFonts w:ascii="Arial" w:hAnsi="Arial"/>
                  <w:b/>
                  <w:sz w:val="18"/>
                </w:rPr>
                <w:t>Consideration</w:t>
              </w:r>
            </w:hyperlink>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1</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bottom w:val="single" w:sz="8" w:space="0" w:color="000000"/>
            </w:tcBorders>
            <w:tcMar>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3</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Conditions_precedent">
              <w:r>
                <w:rPr>
                  <w:rStyle w:val="InternetLink"/>
                  <w:rFonts w:ascii="Arial" w:hAnsi="Arial"/>
                  <w:b/>
                  <w:sz w:val="18"/>
                </w:rPr>
                <w:t>Conditions precedent</w:t>
              </w:r>
            </w:hyperlink>
          </w:p>
        </w:tc>
        <w:tc>
          <w:tcPr>
            <w:tcW w:w="230" w:type="dxa"/>
            <w:tcBorders>
              <w:bottom w:val="single" w:sz="8" w:space="0" w:color="000000"/>
            </w:tcBorders>
            <w:tcMar>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3.1</w:t>
            </w:r>
          </w:p>
        </w:tc>
        <w:tc>
          <w:tcPr>
            <w:tcW w:w="3455" w:type="dxa"/>
            <w:tcBorders/>
            <w:vAlign w:val="center"/>
          </w:tcPr>
          <w:p>
            <w:pPr>
              <w:pStyle w:val="TableContents"/>
              <w:bidi w:val="0"/>
              <w:spacing w:before="153" w:after="0"/>
              <w:ind w:left="0" w:right="0" w:hanging="0"/>
              <w:jc w:val="left"/>
              <w:rPr/>
            </w:pPr>
            <w:hyperlink w:anchor="Conditions31">
              <w:r>
                <w:rPr>
                  <w:rStyle w:val="InternetLink"/>
                  <w:rFonts w:ascii="Arial" w:hAnsi="Arial"/>
                  <w:sz w:val="18"/>
                </w:rPr>
                <w:t>Conditions precedent to Effective Date</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3.2</w:t>
            </w:r>
          </w:p>
        </w:tc>
        <w:tc>
          <w:tcPr>
            <w:tcW w:w="3455" w:type="dxa"/>
            <w:tcBorders/>
            <w:vAlign w:val="center"/>
          </w:tcPr>
          <w:p>
            <w:pPr>
              <w:pStyle w:val="TableContents"/>
              <w:bidi w:val="0"/>
              <w:spacing w:before="48" w:after="0"/>
              <w:ind w:left="0" w:right="0" w:hanging="0"/>
              <w:jc w:val="left"/>
              <w:rPr/>
            </w:pPr>
            <w:hyperlink w:anchor="Satisfaction32">
              <w:r>
                <w:rPr>
                  <w:rStyle w:val="InternetLink"/>
                  <w:rFonts w:ascii="Arial" w:hAnsi="Arial"/>
                  <w:sz w:val="18"/>
                </w:rPr>
                <w:t>Satisfaction of conditions precedent</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4</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Amendment">
              <w:r>
                <w:rPr>
                  <w:rStyle w:val="InternetLink"/>
                  <w:rFonts w:ascii="Arial" w:hAnsi="Arial"/>
                  <w:b/>
                  <w:sz w:val="18"/>
                </w:rPr>
                <w:t>Amendment of Facility Agreement</w:t>
              </w:r>
            </w:hyperlink>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4.1</w:t>
            </w:r>
          </w:p>
        </w:tc>
        <w:tc>
          <w:tcPr>
            <w:tcW w:w="3455" w:type="dxa"/>
            <w:tcBorders/>
            <w:vAlign w:val="center"/>
          </w:tcPr>
          <w:p>
            <w:pPr>
              <w:pStyle w:val="TableContents"/>
              <w:bidi w:val="0"/>
              <w:spacing w:before="153" w:after="0"/>
              <w:ind w:left="0" w:right="0" w:hanging="0"/>
              <w:jc w:val="left"/>
              <w:rPr/>
            </w:pPr>
            <w:hyperlink w:anchor="Amendment41">
              <w:r>
                <w:rPr>
                  <w:rStyle w:val="InternetLink"/>
                  <w:rFonts w:ascii="Arial" w:hAnsi="Arial"/>
                  <w:sz w:val="18"/>
                </w:rPr>
                <w:t>Amendment</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4.2</w:t>
            </w:r>
          </w:p>
        </w:tc>
        <w:tc>
          <w:tcPr>
            <w:tcW w:w="3455" w:type="dxa"/>
            <w:tcBorders/>
            <w:vAlign w:val="center"/>
          </w:tcPr>
          <w:p>
            <w:pPr>
              <w:pStyle w:val="TableContents"/>
              <w:bidi w:val="0"/>
              <w:spacing w:before="48" w:after="0"/>
              <w:ind w:left="0" w:right="0" w:hanging="0"/>
              <w:jc w:val="left"/>
              <w:rPr/>
            </w:pPr>
            <w:hyperlink w:anchor="Parties_bound42">
              <w:r>
                <w:rPr>
                  <w:rStyle w:val="InternetLink"/>
                  <w:rFonts w:ascii="Arial" w:hAnsi="Arial"/>
                  <w:sz w:val="18"/>
                </w:rPr>
                <w:t>Parties bound</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2</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5</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Representations_and_warranties">
              <w:r>
                <w:rPr>
                  <w:rStyle w:val="InternetLink"/>
                  <w:rFonts w:ascii="Arial" w:hAnsi="Arial"/>
                  <w:b/>
                  <w:sz w:val="18"/>
                </w:rPr>
                <w:t>Representations and warranties</w:t>
              </w:r>
            </w:hyperlink>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3</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5.1</w:t>
            </w:r>
          </w:p>
        </w:tc>
        <w:tc>
          <w:tcPr>
            <w:tcW w:w="3455" w:type="dxa"/>
            <w:tcBorders/>
            <w:vAlign w:val="center"/>
          </w:tcPr>
          <w:p>
            <w:pPr>
              <w:pStyle w:val="TableContents"/>
              <w:bidi w:val="0"/>
              <w:spacing w:before="153" w:after="0"/>
              <w:ind w:left="0" w:right="0" w:hanging="0"/>
              <w:jc w:val="left"/>
              <w:rPr/>
            </w:pPr>
            <w:hyperlink w:anchor="General51">
              <w:r>
                <w:rPr>
                  <w:rStyle w:val="InternetLink"/>
                  <w:rFonts w:ascii="Arial" w:hAnsi="Arial"/>
                  <w:sz w:val="18"/>
                </w:rPr>
                <w:t>General</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3</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5.2</w:t>
            </w:r>
          </w:p>
        </w:tc>
        <w:tc>
          <w:tcPr>
            <w:tcW w:w="3455" w:type="dxa"/>
            <w:tcBorders/>
            <w:vAlign w:val="center"/>
          </w:tcPr>
          <w:p>
            <w:pPr>
              <w:pStyle w:val="TableContents"/>
              <w:bidi w:val="0"/>
              <w:spacing w:before="48" w:after="0"/>
              <w:ind w:left="0" w:right="0" w:hanging="0"/>
              <w:jc w:val="left"/>
              <w:rPr/>
            </w:pPr>
            <w:hyperlink w:anchor="Survival52">
              <w:r>
                <w:rPr>
                  <w:rStyle w:val="InternetLink"/>
                  <w:rFonts w:ascii="Arial" w:hAnsi="Arial"/>
                  <w:sz w:val="18"/>
                </w:rPr>
                <w:t>Survival of representations and warranties</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3</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6</w:t>
            </w:r>
          </w:p>
        </w:tc>
        <w:tc>
          <w:tcPr>
            <w:tcW w:w="3730" w:type="dxa"/>
            <w:gridSpan w:val="2"/>
            <w:tcBorders/>
            <w:vAlign w:val="center"/>
          </w:tcPr>
          <w:p>
            <w:pPr>
              <w:pStyle w:val="TableContents"/>
              <w:bidi w:val="0"/>
              <w:spacing w:before="249" w:after="0"/>
              <w:ind w:left="0" w:right="0" w:hanging="0"/>
              <w:jc w:val="left"/>
              <w:rPr/>
            </w:pPr>
            <w:hyperlink w:anchor="Acknowledgments">
              <w:r>
                <w:rPr>
                  <w:rStyle w:val="InternetLink"/>
                  <w:rFonts w:ascii="Arial" w:hAnsi="Arial"/>
                  <w:b/>
                  <w:sz w:val="18"/>
                </w:rPr>
                <w:t>Acknowledgments</w:t>
              </w:r>
            </w:hyperlink>
          </w:p>
        </w:tc>
        <w:tc>
          <w:tcPr>
            <w:tcW w:w="230" w:type="dxa"/>
            <w:tcBorders/>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3</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7</w:t>
            </w:r>
          </w:p>
        </w:tc>
        <w:tc>
          <w:tcPr>
            <w:tcW w:w="3730" w:type="dxa"/>
            <w:gridSpan w:val="2"/>
            <w:tcBorders>
              <w:top w:val="single" w:sz="8" w:space="0" w:color="000000"/>
              <w:bottom w:val="single" w:sz="8" w:space="0" w:color="000000"/>
            </w:tcBorders>
            <w:tcMar>
              <w:top w:w="28" w:type="dxa"/>
              <w:bottom w:w="28" w:type="dxa"/>
            </w:tcMar>
            <w:vAlign w:val="center"/>
          </w:tcPr>
          <w:p>
            <w:pPr>
              <w:pStyle w:val="TableContents"/>
              <w:bidi w:val="0"/>
              <w:spacing w:before="249" w:after="0"/>
              <w:ind w:left="0" w:right="0" w:hanging="0"/>
              <w:jc w:val="left"/>
              <w:rPr/>
            </w:pPr>
            <w:hyperlink w:anchor="General">
              <w:r>
                <w:rPr>
                  <w:rStyle w:val="InternetLink"/>
                  <w:rFonts w:ascii="Arial" w:hAnsi="Arial"/>
                  <w:b/>
                  <w:sz w:val="18"/>
                </w:rPr>
                <w:t>General</w:t>
              </w:r>
            </w:hyperlink>
          </w:p>
        </w:tc>
        <w:tc>
          <w:tcPr>
            <w:tcW w:w="23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7.1</w:t>
            </w:r>
          </w:p>
        </w:tc>
        <w:tc>
          <w:tcPr>
            <w:tcW w:w="3455" w:type="dxa"/>
            <w:tcBorders/>
            <w:vAlign w:val="center"/>
          </w:tcPr>
          <w:p>
            <w:pPr>
              <w:pStyle w:val="TableContents"/>
              <w:bidi w:val="0"/>
              <w:spacing w:before="153" w:after="0"/>
              <w:ind w:left="0" w:right="0" w:hanging="0"/>
              <w:jc w:val="left"/>
              <w:rPr/>
            </w:pPr>
            <w:hyperlink w:anchor="Amendment71">
              <w:r>
                <w:rPr>
                  <w:rStyle w:val="InternetLink"/>
                  <w:rFonts w:ascii="Arial" w:hAnsi="Arial"/>
                  <w:sz w:val="18"/>
                </w:rPr>
                <w:t>Amendment</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7.2</w:t>
            </w:r>
          </w:p>
        </w:tc>
        <w:tc>
          <w:tcPr>
            <w:tcW w:w="3455" w:type="dxa"/>
            <w:tcBorders/>
            <w:vAlign w:val="center"/>
          </w:tcPr>
          <w:p>
            <w:pPr>
              <w:pStyle w:val="TableContents"/>
              <w:bidi w:val="0"/>
              <w:spacing w:before="48" w:after="0"/>
              <w:ind w:left="0" w:right="0" w:hanging="0"/>
              <w:jc w:val="left"/>
              <w:rPr/>
            </w:pPr>
            <w:hyperlink w:anchor="Construction72">
              <w:r>
                <w:rPr>
                  <w:rStyle w:val="InternetLink"/>
                  <w:rFonts w:ascii="Arial" w:hAnsi="Arial"/>
                  <w:sz w:val="18"/>
                </w:rPr>
                <w:t>Construction</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7.3</w:t>
            </w:r>
          </w:p>
        </w:tc>
        <w:tc>
          <w:tcPr>
            <w:tcW w:w="3455" w:type="dxa"/>
            <w:tcBorders/>
            <w:vAlign w:val="center"/>
          </w:tcPr>
          <w:p>
            <w:pPr>
              <w:pStyle w:val="TableContents"/>
              <w:bidi w:val="0"/>
              <w:spacing w:before="48" w:after="0"/>
              <w:ind w:left="0" w:right="0" w:hanging="0"/>
              <w:jc w:val="left"/>
              <w:rPr/>
            </w:pPr>
            <w:hyperlink w:anchor="Counterparts73">
              <w:r>
                <w:rPr>
                  <w:rStyle w:val="InternetLink"/>
                  <w:rFonts w:ascii="Arial" w:hAnsi="Arial"/>
                  <w:sz w:val="18"/>
                </w:rPr>
                <w:t>Counterparts</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7.4</w:t>
            </w:r>
          </w:p>
        </w:tc>
        <w:tc>
          <w:tcPr>
            <w:tcW w:w="3455" w:type="dxa"/>
            <w:tcBorders/>
            <w:vAlign w:val="center"/>
          </w:tcPr>
          <w:p>
            <w:pPr>
              <w:pStyle w:val="TableContents"/>
              <w:bidi w:val="0"/>
              <w:spacing w:before="48" w:after="0"/>
              <w:ind w:left="0" w:right="0" w:hanging="0"/>
              <w:jc w:val="left"/>
              <w:rPr/>
            </w:pPr>
            <w:hyperlink w:anchor="Deed74">
              <w:r>
                <w:rPr>
                  <w:rStyle w:val="InternetLink"/>
                  <w:rFonts w:ascii="Arial" w:hAnsi="Arial"/>
                  <w:sz w:val="18"/>
                </w:rPr>
                <w:t>Deed</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7.5</w:t>
            </w:r>
          </w:p>
        </w:tc>
        <w:tc>
          <w:tcPr>
            <w:tcW w:w="3455" w:type="dxa"/>
            <w:tcBorders/>
            <w:vAlign w:val="center"/>
          </w:tcPr>
          <w:p>
            <w:pPr>
              <w:pStyle w:val="TableContents"/>
              <w:bidi w:val="0"/>
              <w:spacing w:before="48" w:after="0"/>
              <w:ind w:left="0" w:right="0" w:hanging="0"/>
              <w:jc w:val="left"/>
              <w:rPr/>
            </w:pPr>
            <w:hyperlink w:anchor="Duty75">
              <w:r>
                <w:rPr>
                  <w:rStyle w:val="InternetLink"/>
                  <w:rFonts w:ascii="Arial" w:hAnsi="Arial"/>
                  <w:sz w:val="18"/>
                </w:rPr>
                <w:t>Duty</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7.6</w:t>
            </w:r>
          </w:p>
        </w:tc>
        <w:tc>
          <w:tcPr>
            <w:tcW w:w="3455" w:type="dxa"/>
            <w:tcBorders/>
            <w:vAlign w:val="center"/>
          </w:tcPr>
          <w:p>
            <w:pPr>
              <w:pStyle w:val="TableContents"/>
              <w:bidi w:val="0"/>
              <w:spacing w:before="48" w:after="0"/>
              <w:ind w:left="0" w:right="0" w:hanging="0"/>
              <w:jc w:val="left"/>
              <w:rPr/>
            </w:pPr>
            <w:hyperlink w:anchor="Entire_understanding76">
              <w:r>
                <w:rPr>
                  <w:rStyle w:val="InternetLink"/>
                  <w:rFonts w:ascii="Arial" w:hAnsi="Arial"/>
                  <w:sz w:val="18"/>
                </w:rPr>
                <w:t>Entire understanding</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7.7</w:t>
            </w:r>
          </w:p>
        </w:tc>
        <w:tc>
          <w:tcPr>
            <w:tcW w:w="3455" w:type="dxa"/>
            <w:tcBorders/>
            <w:vAlign w:val="center"/>
          </w:tcPr>
          <w:p>
            <w:pPr>
              <w:pStyle w:val="TableContents"/>
              <w:bidi w:val="0"/>
              <w:spacing w:before="48" w:after="0"/>
              <w:ind w:left="0" w:right="0" w:hanging="0"/>
              <w:jc w:val="left"/>
              <w:rPr/>
            </w:pPr>
            <w:hyperlink w:anchor="Further_steps77">
              <w:r>
                <w:rPr>
                  <w:rStyle w:val="InternetLink"/>
                  <w:rFonts w:ascii="Arial" w:hAnsi="Arial"/>
                  <w:sz w:val="18"/>
                </w:rPr>
                <w:t>Further steps</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7.8</w:t>
            </w:r>
          </w:p>
        </w:tc>
        <w:tc>
          <w:tcPr>
            <w:tcW w:w="3455" w:type="dxa"/>
            <w:tcBorders/>
            <w:vAlign w:val="center"/>
          </w:tcPr>
          <w:p>
            <w:pPr>
              <w:pStyle w:val="TableContents"/>
              <w:bidi w:val="0"/>
              <w:spacing w:before="48" w:after="0"/>
              <w:ind w:left="0" w:right="0" w:hanging="0"/>
              <w:jc w:val="left"/>
              <w:rPr/>
            </w:pPr>
            <w:hyperlink w:anchor="Governing_law_and_jurisdiction78">
              <w:r>
                <w:rPr>
                  <w:rStyle w:val="InternetLink"/>
                  <w:rFonts w:ascii="Arial" w:hAnsi="Arial"/>
                  <w:sz w:val="18"/>
                </w:rPr>
                <w:t>Governing law and jurisdiction</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4</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 w:hAnsi="Arial"/>
                <w:color w:val="000000"/>
                <w:sz w:val="18"/>
              </w:rPr>
            </w:pPr>
            <w:r>
              <w:rPr>
                <w:rFonts w:ascii="Arial" w:hAnsi="Arial"/>
                <w:color w:val="000000"/>
                <w:sz w:val="18"/>
              </w:rPr>
              <w:t>7.9</w:t>
            </w:r>
          </w:p>
        </w:tc>
        <w:tc>
          <w:tcPr>
            <w:tcW w:w="3455" w:type="dxa"/>
            <w:tcBorders/>
            <w:vAlign w:val="center"/>
          </w:tcPr>
          <w:p>
            <w:pPr>
              <w:pStyle w:val="TableContents"/>
              <w:bidi w:val="0"/>
              <w:spacing w:before="48" w:after="0"/>
              <w:ind w:left="0" w:right="0" w:hanging="0"/>
              <w:jc w:val="left"/>
              <w:rPr/>
            </w:pPr>
            <w:hyperlink w:anchor="Legal_costs">
              <w:r>
                <w:rPr>
                  <w:rStyle w:val="InternetLink"/>
                  <w:rFonts w:ascii="Arial" w:hAnsi="Arial"/>
                  <w:sz w:val="18"/>
                </w:rPr>
                <w:t>Legal costs</w:t>
              </w:r>
            </w:hyperlink>
          </w:p>
        </w:tc>
        <w:tc>
          <w:tcPr>
            <w:tcW w:w="230" w:type="dxa"/>
            <w:tcBorders/>
            <w:vAlign w:val="center"/>
          </w:tcPr>
          <w:p>
            <w:pPr>
              <w:pStyle w:val="TableContents"/>
              <w:bidi w:val="0"/>
              <w:spacing w:before="0" w:after="0"/>
              <w:ind w:left="0" w:right="0" w:hanging="0"/>
              <w:jc w:val="center"/>
              <w:rPr>
                <w:rFonts w:ascii="Arial" w:hAnsi="Arial"/>
                <w:color w:val="000000"/>
                <w:sz w:val="18"/>
              </w:rPr>
            </w:pPr>
            <w:r>
              <w:rPr>
                <w:rFonts w:ascii="Arial" w:hAnsi="Arial"/>
                <w:color w:val="000000"/>
                <w:sz w:val="18"/>
              </w:rPr>
              <w:t>5</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color w:val="000000"/>
                <w:szCs w:val="18"/>
              </w:rPr>
            </w:pPr>
            <w:r>
              <w:rPr>
                <w:rFonts w:cs="Arial"/>
                <w:color w:val="000000"/>
                <w:szCs w:val="18"/>
              </w:rPr>
              <w:t>﻿</w:t>
            </w:r>
          </w:p>
        </w:tc>
        <w:tc>
          <w:tcPr>
            <w:tcW w:w="125" w:type="dxa"/>
            <w:tcBorders/>
            <w:vAlign w:val="bottom"/>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345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center"/>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right"/>
              <w:rPr>
                <w:rFonts w:cs="Arial"/>
                <w:szCs w:val="18"/>
              </w:rPr>
            </w:pPr>
            <w:r>
              <w:rPr>
                <w:rFonts w:cs="Arial"/>
                <w:szCs w:val="18"/>
              </w:rPr>
              <w:t>﻿</w:t>
            </w:r>
          </w:p>
        </w:tc>
        <w:tc>
          <w:tcPr>
            <w:tcW w:w="3855"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
              <w:r>
                <w:rPr>
                  <w:rStyle w:val="InternetLink"/>
                  <w:rFonts w:ascii="Arial" w:hAnsi="Arial"/>
                  <w:b/>
                  <w:sz w:val="18"/>
                </w:rPr>
                <w:t>Schedule - Corporate Guarantors</w:t>
              </w:r>
            </w:hyperlink>
          </w:p>
        </w:tc>
        <w:tc>
          <w:tcPr>
            <w:tcW w:w="230" w:type="dxa"/>
            <w:tcBorders>
              <w:bottom w:val="single" w:sz="8" w:space="0" w:color="000000"/>
            </w:tcBorders>
            <w:tcMar>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6</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3855" w:type="dxa"/>
            <w:gridSpan w:val="3"/>
            <w:tcBorders/>
            <w:vAlign w:val="center"/>
          </w:tcPr>
          <w:p>
            <w:pPr>
              <w:pStyle w:val="TableContents"/>
              <w:bidi w:val="0"/>
              <w:spacing w:before="0" w:after="0"/>
              <w:ind w:left="0" w:right="0" w:hanging="0"/>
              <w:jc w:val="left"/>
              <w:rPr/>
            </w:pPr>
            <w:r>
              <w:rPr/>
              <w:t> </w:t>
            </w:r>
          </w:p>
        </w:tc>
        <w:tc>
          <w:tcPr>
            <w:tcW w:w="230" w:type="dxa"/>
            <w:tcBorders/>
            <w:vAlign w:val="bottom"/>
          </w:tcPr>
          <w:p>
            <w:pPr>
              <w:pStyle w:val="TableContents"/>
              <w:bidi w:val="0"/>
              <w:spacing w:before="0" w:after="0"/>
              <w:ind w:left="0" w:right="0" w:hanging="0"/>
              <w:jc w:val="center"/>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right"/>
              <w:rPr>
                <w:rFonts w:cs="Arial"/>
                <w:szCs w:val="18"/>
              </w:rPr>
            </w:pPr>
            <w:r>
              <w:rPr>
                <w:rFonts w:cs="Arial"/>
                <w:szCs w:val="18"/>
              </w:rPr>
              <w:t>﻿</w:t>
            </w:r>
          </w:p>
        </w:tc>
        <w:tc>
          <w:tcPr>
            <w:tcW w:w="3855"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Execution">
              <w:r>
                <w:rPr>
                  <w:rStyle w:val="InternetLink"/>
                  <w:rFonts w:ascii="Arial" w:hAnsi="Arial"/>
                  <w:b/>
                  <w:sz w:val="18"/>
                </w:rPr>
                <w:t>Execution</w:t>
              </w:r>
            </w:hyperlink>
          </w:p>
        </w:tc>
        <w:tc>
          <w:tcPr>
            <w:tcW w:w="230" w:type="dxa"/>
            <w:tcBorders>
              <w:bottom w:val="single" w:sz="8" w:space="0" w:color="000000"/>
            </w:tcBorders>
            <w:tcMar>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7</w:t>
            </w:r>
          </w:p>
        </w:tc>
        <w:tc>
          <w:tcPr>
            <w:tcW w:w="75" w:type="dxa"/>
            <w:tcBorders/>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right"/>
              <w:rPr>
                <w:rFonts w:cs="Arial"/>
                <w:bCs/>
                <w:color w:val="000000"/>
                <w:szCs w:val="18"/>
              </w:rPr>
            </w:pPr>
            <w:r>
              <w:rPr>
                <w:rFonts w:cs="Arial"/>
                <w:bCs/>
                <w:color w:val="000000"/>
                <w:szCs w:val="18"/>
              </w:rPr>
              <w:t>﻿</w:t>
            </w:r>
          </w:p>
        </w:tc>
        <w:tc>
          <w:tcPr>
            <w:tcW w:w="12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3455" w:type="dxa"/>
            <w:tcBorders/>
            <w:vAlign w:val="bottom"/>
          </w:tcPr>
          <w:p>
            <w:pPr>
              <w:pStyle w:val="TableContents"/>
              <w:bidi w:val="0"/>
              <w:spacing w:before="0" w:after="0"/>
              <w:ind w:left="0" w:right="0" w:hanging="0"/>
              <w:jc w:val="left"/>
              <w:rPr/>
            </w:pPr>
            <w:r>
              <w:rPr/>
              <w:t> </w:t>
            </w:r>
          </w:p>
        </w:tc>
        <w:tc>
          <w:tcPr>
            <w:tcW w:w="230" w:type="dxa"/>
            <w:tcBorders/>
            <w:vAlign w:val="bottom"/>
          </w:tcPr>
          <w:p>
            <w:pPr>
              <w:pStyle w:val="TableContents"/>
              <w:bidi w:val="0"/>
              <w:spacing w:before="0" w:after="0"/>
              <w:ind w:left="0" w:right="0" w:hanging="0"/>
              <w:jc w:val="center"/>
              <w:rPr/>
            </w:pPr>
            <w:r>
              <w:rPr/>
              <w:t> </w:t>
            </w:r>
          </w:p>
        </w:tc>
        <w:tc>
          <w:tcPr>
            <w:tcW w:w="75" w:type="dxa"/>
            <w:tcBorders/>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right"/>
              <w:rPr>
                <w:rFonts w:cs="Arial"/>
                <w:szCs w:val="18"/>
              </w:rPr>
            </w:pPr>
            <w:r>
              <w:rPr>
                <w:rFonts w:cs="Arial"/>
                <w:szCs w:val="18"/>
              </w:rPr>
              <w:t>﻿</w:t>
            </w:r>
          </w:p>
        </w:tc>
        <w:tc>
          <w:tcPr>
            <w:tcW w:w="3855"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Annexure">
              <w:r>
                <w:rPr>
                  <w:rStyle w:val="InternetLink"/>
                  <w:rFonts w:ascii="Arial" w:hAnsi="Arial"/>
                  <w:b/>
                  <w:sz w:val="18"/>
                </w:rPr>
                <w:t>Annexure</w:t>
              </w:r>
            </w:hyperlink>
          </w:p>
        </w:tc>
        <w:tc>
          <w:tcPr>
            <w:tcW w:w="230" w:type="dxa"/>
            <w:tcBorders>
              <w:bottom w:val="single" w:sz="8" w:space="0" w:color="000000"/>
            </w:tcBorders>
            <w:tcMar>
              <w:bottom w:w="28" w:type="dxa"/>
            </w:tcMar>
            <w:vAlign w:val="center"/>
          </w:tcPr>
          <w:p>
            <w:pPr>
              <w:pStyle w:val="TableContents"/>
              <w:bidi w:val="0"/>
              <w:spacing w:before="0" w:after="0"/>
              <w:ind w:left="0" w:right="0" w:hanging="0"/>
              <w:jc w:val="center"/>
              <w:rPr>
                <w:rFonts w:ascii="Arial" w:hAnsi="Arial"/>
                <w:b/>
                <w:color w:val="000000"/>
                <w:sz w:val="18"/>
              </w:rPr>
            </w:pPr>
            <w:r>
              <w:rPr>
                <w:rFonts w:ascii="Arial" w:hAnsi="Arial"/>
                <w:b/>
                <w:color w:val="000000"/>
                <w:sz w:val="18"/>
              </w:rPr>
              <w:t>11</w:t>
            </w:r>
          </w:p>
        </w:tc>
        <w:tc>
          <w:tcPr>
            <w:tcW w:w="75" w:type="dxa"/>
            <w:tcBorders/>
          </w:tcPr>
          <w:p>
            <w:pPr>
              <w:pStyle w:val="TableContents"/>
              <w:bidi w:val="0"/>
              <w:spacing w:before="0" w:after="0"/>
              <w:ind w:left="0" w:right="0" w:hanging="0"/>
              <w:jc w:val="right"/>
              <w:rPr/>
            </w:pPr>
            <w:r>
              <w:rPr/>
              <w:t> </w:t>
            </w:r>
          </w:p>
        </w:tc>
      </w:tr>
    </w:tbl>
    <w:p>
      <w:pPr>
        <w:pStyle w:val="TextBody"/>
        <w:bidi w:val="0"/>
        <w:spacing w:before="0" w:after="0"/>
        <w:ind w:left="1700" w:right="980" w:hanging="0"/>
        <w:jc w:val="left"/>
        <w:rPr>
          <w:rFonts w:cs="Arial"/>
          <w:szCs w:val="20"/>
        </w:rPr>
      </w:pPr>
      <w:r>
        <w:rPr>
          <w:rFonts w:cs="Arial"/>
          <w:bCs/>
          <w:szCs w:val="20"/>
        </w:rPr>
        <w:t>﻿</w:t>
      </w:r>
      <w:r>
        <w:rPr>
          <w:rFonts w:cs="Arial"/>
          <w:szCs w:val="20"/>
        </w:rPr>
        <w:t xml:space="preserve"> </w:t>
      </w:r>
    </w:p>
    <w:p>
      <w:pPr>
        <w:pStyle w:val="TextBody"/>
        <w:bidi w:val="0"/>
        <w:spacing w:before="0" w:after="0"/>
        <w:ind w:left="1700" w:right="980" w:hanging="0"/>
        <w:jc w:val="left"/>
        <w:rPr>
          <w:rFonts w:cs="Arial"/>
          <w:szCs w:val="20"/>
        </w:rPr>
      </w:pPr>
      <w:r>
        <w:rPr>
          <w:rFonts w:cs="Arial"/>
          <w:bCs/>
          <w:szCs w:val="20"/>
        </w:rPr>
        <w:t>﻿</w:t>
      </w:r>
      <w:r>
        <w:rPr>
          <w:rFonts w:cs="Arial"/>
          <w:szCs w:val="20"/>
        </w:rPr>
        <w:t xml:space="preserve"> </w:t>
      </w:r>
    </w:p>
    <w:p>
      <w:pPr>
        <w:pStyle w:val="TextBody"/>
        <w:bidi w:val="0"/>
        <w:spacing w:before="0" w:after="0"/>
        <w:ind w:left="1700" w:right="980" w:hanging="0"/>
        <w:jc w:val="left"/>
        <w:rPr/>
      </w:pPr>
      <w:r>
        <w:rPr/>
        <w:t xml:space="preserve">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24"/>
        </w:rPr>
      </w:pPr>
      <w:r>
        <w:rPr>
          <w:rFonts w:cs="Arial"/>
          <w:szCs w:val="24"/>
        </w:rPr>
        <w:t xml:space="preserve">﻿ </w:t>
      </w:r>
    </w:p>
    <w:p>
      <w:pPr>
        <w:pStyle w:val="TextBody"/>
        <w:pBdr/>
        <w:bidi w:val="0"/>
        <w:spacing w:before="0" w:after="0"/>
        <w:ind w:left="1700" w:right="1260" w:hanging="0"/>
        <w:jc w:val="left"/>
        <w:rPr>
          <w:rFonts w:cs="Arial"/>
          <w:szCs w:val="24"/>
        </w:rPr>
      </w:pPr>
      <w:r>
        <w:rPr>
          <w:rFonts w:cs="Arial"/>
          <w:szCs w:val="24"/>
        </w:rPr>
        <w:t xml:space="preserve">﻿ </w:t>
      </w:r>
    </w:p>
    <w:p>
      <w:pPr>
        <w:pStyle w:val="TextBody"/>
        <w:pBdr/>
        <w:bidi w:val="0"/>
        <w:spacing w:before="0" w:after="0"/>
        <w:ind w:left="1700" w:right="1260" w:hanging="0"/>
        <w:jc w:val="left"/>
        <w:rPr>
          <w:rFonts w:cs="Arial"/>
          <w:szCs w:val="24"/>
        </w:rPr>
      </w:pPr>
      <w:r>
        <w:rPr>
          <w:rFonts w:cs="Arial"/>
          <w:szCs w:val="24"/>
        </w:rPr>
        <w:t xml:space="preserve">﻿ </w:t>
      </w:r>
    </w:p>
    <w:p>
      <w:pPr>
        <w:pStyle w:val="TextBody"/>
        <w:pBdr/>
        <w:bidi w:val="0"/>
        <w:spacing w:before="44" w:after="0"/>
        <w:ind w:left="1700" w:right="1260" w:hanging="0"/>
        <w:jc w:val="left"/>
        <w:rPr>
          <w:rFonts w:cs="Arial"/>
          <w:szCs w:val="24"/>
        </w:rPr>
      </w:pPr>
      <w:r>
        <w:rPr>
          <w:rFonts w:cs="Arial"/>
          <w:szCs w:val="24"/>
        </w:rPr>
        <w:t xml:space="preserve">﻿ </w:t>
      </w:r>
    </w:p>
    <w:p>
      <w:pPr>
        <w:pStyle w:val="TextBody"/>
        <w:bidi w:val="0"/>
        <w:spacing w:before="0" w:after="0"/>
        <w:ind w:left="2268" w:right="1260" w:hanging="0"/>
        <w:jc w:val="left"/>
        <w:rPr>
          <w:rFonts w:ascii="Arial" w:hAnsi="Arial"/>
          <w:sz w:val="24"/>
        </w:rPr>
      </w:pPr>
      <w:r>
        <w:rPr>
          <w:rFonts w:ascii="Arial" w:hAnsi="Arial"/>
          <w:b/>
          <w:sz w:val="24"/>
        </w:rPr>
        <w:t>Date 28 April 2025</w:t>
      </w:r>
      <w:r>
        <w:rPr>
          <w:rFonts w:ascii="Arial" w:hAnsi="Arial"/>
          <w:sz w:val="24"/>
        </w:rPr>
        <w:t xml:space="preserve"> </w:t>
      </w:r>
    </w:p>
    <w:p>
      <w:pPr>
        <w:pStyle w:val="TextBody"/>
        <w:bidi w:val="0"/>
        <w:spacing w:before="85" w:after="0"/>
        <w:ind w:left="1700" w:right="1260" w:hanging="0"/>
        <w:jc w:val="left"/>
        <w:rPr>
          <w:rFonts w:cs="Arial"/>
          <w:szCs w:val="24"/>
        </w:rPr>
      </w:pPr>
      <w:r>
        <w:rPr>
          <w:rFonts w:cs="Arial"/>
          <w:bCs/>
          <w:szCs w:val="24"/>
        </w:rPr>
        <w:t>﻿</w:t>
      </w:r>
      <w:r>
        <w:rPr>
          <w:rFonts w:cs="Arial"/>
          <w:szCs w:val="24"/>
        </w:rPr>
        <w:t xml:space="preserve"> </w:t>
      </w:r>
    </w:p>
    <w:p>
      <w:pPr>
        <w:pStyle w:val="TextBody"/>
        <w:bidi w:val="0"/>
        <w:spacing w:before="0" w:after="0"/>
        <w:ind w:left="2268" w:right="1260" w:hanging="0"/>
        <w:jc w:val="left"/>
        <w:rPr>
          <w:rFonts w:ascii="Arial" w:hAnsi="Arial"/>
          <w:sz w:val="40"/>
        </w:rPr>
      </w:pPr>
      <w:r>
        <w:rPr>
          <w:rFonts w:ascii="Arial" w:hAnsi="Arial"/>
          <w:sz w:val="40"/>
        </w:rPr>
        <w:t xml:space="preserve">Parties </w:t>
      </w:r>
    </w:p>
    <w:p>
      <w:pPr>
        <w:pStyle w:val="TextBody"/>
        <w:bidi w:val="0"/>
        <w:spacing w:lineRule="auto" w:line="266" w:before="266" w:after="0"/>
        <w:ind w:left="2268" w:right="1490" w:hanging="0"/>
        <w:jc w:val="left"/>
        <w:rPr>
          <w:rFonts w:ascii="Arial" w:hAnsi="Arial"/>
          <w:sz w:val="20"/>
        </w:rPr>
      </w:pPr>
      <w:r>
        <w:rPr>
          <w:rFonts w:ascii="Arial" w:hAnsi="Arial"/>
          <w:b/>
          <w:sz w:val="21"/>
        </w:rPr>
        <w:t>National</w:t>
      </w:r>
      <w:r>
        <w:rPr>
          <w:rFonts w:ascii="Arial" w:hAnsi="Arial"/>
          <w:sz w:val="20"/>
        </w:rPr>
        <w:t> </w:t>
      </w:r>
      <w:r>
        <w:rPr>
          <w:rFonts w:ascii="Arial" w:hAnsi="Arial"/>
          <w:b/>
          <w:sz w:val="21"/>
        </w:rPr>
        <w:t>Australia</w:t>
      </w:r>
      <w:r>
        <w:rPr>
          <w:rFonts w:ascii="Arial" w:hAnsi="Arial"/>
          <w:sz w:val="20"/>
        </w:rPr>
        <w:t> </w:t>
      </w:r>
      <w:r>
        <w:rPr>
          <w:rFonts w:ascii="Arial" w:hAnsi="Arial"/>
          <w:b/>
          <w:sz w:val="21"/>
        </w:rPr>
        <w:t>Bank</w:t>
      </w:r>
      <w:r>
        <w:rPr>
          <w:rFonts w:ascii="Arial" w:hAnsi="Arial"/>
          <w:sz w:val="20"/>
        </w:rPr>
        <w:t> </w:t>
      </w:r>
      <w:r>
        <w:rPr>
          <w:rFonts w:ascii="Arial" w:hAnsi="Arial"/>
          <w:b/>
          <w:sz w:val="21"/>
        </w:rPr>
        <w:t xml:space="preserve">Limited </w:t>
      </w:r>
      <w:r>
        <w:rPr>
          <w:rFonts w:ascii="Arial" w:hAnsi="Arial"/>
          <w:sz w:val="21"/>
        </w:rPr>
        <w:t>ABN</w:t>
      </w:r>
      <w:r>
        <w:rPr>
          <w:rFonts w:ascii="Arial" w:hAnsi="Arial"/>
          <w:sz w:val="20"/>
        </w:rPr>
        <w:t> </w:t>
      </w:r>
      <w:r>
        <w:rPr>
          <w:rFonts w:ascii="Arial" w:hAnsi="Arial"/>
          <w:sz w:val="21"/>
        </w:rPr>
        <w:t>12</w:t>
      </w:r>
      <w:r>
        <w:rPr>
          <w:rFonts w:ascii="Arial" w:hAnsi="Arial"/>
          <w:sz w:val="20"/>
        </w:rPr>
        <w:t> </w:t>
      </w:r>
      <w:r>
        <w:rPr>
          <w:rFonts w:ascii="Arial" w:hAnsi="Arial"/>
          <w:sz w:val="21"/>
        </w:rPr>
        <w:t>004</w:t>
      </w:r>
      <w:r>
        <w:rPr>
          <w:rFonts w:ascii="Arial" w:hAnsi="Arial"/>
          <w:sz w:val="20"/>
        </w:rPr>
        <w:t> </w:t>
      </w:r>
      <w:r>
        <w:rPr>
          <w:rFonts w:ascii="Arial" w:hAnsi="Arial"/>
          <w:sz w:val="21"/>
        </w:rPr>
        <w:t>044</w:t>
      </w:r>
      <w:r>
        <w:rPr>
          <w:rFonts w:ascii="Arial" w:hAnsi="Arial"/>
          <w:sz w:val="20"/>
        </w:rPr>
        <w:t> </w:t>
      </w:r>
      <w:r>
        <w:rPr>
          <w:rFonts w:ascii="Arial" w:hAnsi="Arial"/>
          <w:sz w:val="21"/>
        </w:rPr>
        <w:t>937</w:t>
      </w:r>
      <w:r>
        <w:rPr>
          <w:rFonts w:ascii="Arial" w:hAnsi="Arial"/>
          <w:sz w:val="20"/>
        </w:rPr>
        <w:t> </w:t>
      </w:r>
      <w:r>
        <w:rPr>
          <w:rFonts w:ascii="Arial" w:hAnsi="Arial"/>
          <w:sz w:val="21"/>
        </w:rPr>
        <w:t>of</w:t>
      </w:r>
      <w:r>
        <w:rPr>
          <w:rFonts w:ascii="Arial" w:hAnsi="Arial"/>
          <w:sz w:val="20"/>
        </w:rPr>
        <w:t> </w:t>
      </w:r>
      <w:r>
        <w:rPr>
          <w:rFonts w:ascii="Arial" w:hAnsi="Arial"/>
          <w:sz w:val="21"/>
        </w:rPr>
        <w:t>Level 17,</w:t>
      </w:r>
      <w:r>
        <w:rPr>
          <w:rFonts w:ascii="Arial" w:hAnsi="Arial"/>
          <w:sz w:val="20"/>
        </w:rPr>
        <w:t> </w:t>
      </w:r>
      <w:r>
        <w:rPr>
          <w:rFonts w:ascii="Arial" w:hAnsi="Arial"/>
          <w:sz w:val="21"/>
        </w:rPr>
        <w:t>395</w:t>
      </w:r>
      <w:r>
        <w:rPr>
          <w:rFonts w:ascii="Arial" w:hAnsi="Arial"/>
          <w:sz w:val="20"/>
        </w:rPr>
        <w:t> </w:t>
      </w:r>
      <w:r>
        <w:rPr>
          <w:rFonts w:ascii="Arial" w:hAnsi="Arial"/>
          <w:sz w:val="21"/>
        </w:rPr>
        <w:t>Bourke</w:t>
      </w:r>
      <w:r>
        <w:rPr>
          <w:rFonts w:ascii="Arial" w:hAnsi="Arial"/>
          <w:sz w:val="20"/>
        </w:rPr>
        <w:t> </w:t>
      </w:r>
      <w:r>
        <w:rPr>
          <w:rFonts w:ascii="Arial" w:hAnsi="Arial"/>
          <w:sz w:val="21"/>
        </w:rPr>
        <w:t>Street, Melbourne, Victoria 3000 (</w:t>
      </w:r>
      <w:r>
        <w:rPr>
          <w:rFonts w:ascii="Arial" w:hAnsi="Arial"/>
          <w:b/>
          <w:sz w:val="21"/>
        </w:rPr>
        <w:t>Bank</w:t>
      </w:r>
      <w:r>
        <w:rPr>
          <w:rFonts w:ascii="Arial" w:hAnsi="Arial"/>
          <w:sz w:val="21"/>
        </w:rPr>
        <w:t>)</w:t>
      </w:r>
      <w:r>
        <w:rPr>
          <w:rFonts w:ascii="Arial" w:hAnsi="Arial"/>
          <w:sz w:val="20"/>
        </w:rPr>
        <w:t xml:space="preserve"> </w:t>
      </w:r>
    </w:p>
    <w:p>
      <w:pPr>
        <w:pStyle w:val="TextBody"/>
        <w:bidi w:val="0"/>
        <w:spacing w:lineRule="auto" w:line="266" w:before="239" w:after="0"/>
        <w:ind w:left="2268" w:right="1260" w:hanging="0"/>
        <w:jc w:val="left"/>
        <w:rPr>
          <w:rFonts w:ascii="Arial" w:hAnsi="Arial"/>
          <w:sz w:val="20"/>
        </w:rPr>
      </w:pPr>
      <w:r>
        <w:rPr>
          <w:rFonts w:ascii="Arial" w:hAnsi="Arial"/>
          <w:b/>
          <w:sz w:val="21"/>
        </w:rPr>
        <w:t>Reading</w:t>
      </w:r>
      <w:r>
        <w:rPr>
          <w:rFonts w:ascii="Arial" w:hAnsi="Arial"/>
          <w:sz w:val="20"/>
        </w:rPr>
        <w:t> </w:t>
      </w:r>
      <w:r>
        <w:rPr>
          <w:rFonts w:ascii="Arial" w:hAnsi="Arial"/>
          <w:b/>
          <w:sz w:val="21"/>
        </w:rPr>
        <w:t>Entertainment</w:t>
      </w:r>
      <w:r>
        <w:rPr>
          <w:rFonts w:ascii="Arial" w:hAnsi="Arial"/>
          <w:sz w:val="20"/>
        </w:rPr>
        <w:t> </w:t>
      </w:r>
      <w:r>
        <w:rPr>
          <w:rFonts w:ascii="Arial" w:hAnsi="Arial"/>
          <w:b/>
          <w:sz w:val="21"/>
        </w:rPr>
        <w:t>Australia</w:t>
      </w:r>
      <w:r>
        <w:rPr>
          <w:rFonts w:ascii="Arial" w:hAnsi="Arial"/>
          <w:sz w:val="20"/>
        </w:rPr>
        <w:t> </w:t>
      </w:r>
      <w:r>
        <w:rPr>
          <w:rFonts w:ascii="Arial" w:hAnsi="Arial"/>
          <w:b/>
          <w:sz w:val="21"/>
        </w:rPr>
        <w:t>Pty</w:t>
      </w:r>
      <w:r>
        <w:rPr>
          <w:rFonts w:ascii="Arial" w:hAnsi="Arial"/>
          <w:sz w:val="20"/>
        </w:rPr>
        <w:t> </w:t>
      </w:r>
      <w:r>
        <w:rPr>
          <w:rFonts w:ascii="Arial" w:hAnsi="Arial"/>
          <w:b/>
          <w:sz w:val="21"/>
        </w:rPr>
        <w:t>Ltd</w:t>
      </w:r>
      <w:r>
        <w:rPr>
          <w:rFonts w:ascii="Arial" w:hAnsi="Arial"/>
          <w:sz w:val="20"/>
        </w:rPr>
        <w:t> </w:t>
      </w:r>
      <w:r>
        <w:rPr>
          <w:rFonts w:ascii="Arial" w:hAnsi="Arial"/>
          <w:sz w:val="21"/>
        </w:rPr>
        <w:t>ACN</w:t>
      </w:r>
      <w:r>
        <w:rPr>
          <w:rFonts w:ascii="Arial" w:hAnsi="Arial"/>
          <w:sz w:val="20"/>
        </w:rPr>
        <w:t> </w:t>
      </w:r>
      <w:r>
        <w:rPr>
          <w:rFonts w:ascii="Arial" w:hAnsi="Arial"/>
          <w:sz w:val="21"/>
        </w:rPr>
        <w:t>070</w:t>
      </w:r>
      <w:r>
        <w:rPr>
          <w:rFonts w:ascii="Arial" w:hAnsi="Arial"/>
          <w:sz w:val="20"/>
        </w:rPr>
        <w:t> </w:t>
      </w:r>
      <w:r>
        <w:rPr>
          <w:rFonts w:ascii="Arial" w:hAnsi="Arial"/>
          <w:sz w:val="21"/>
        </w:rPr>
        <w:t>893</w:t>
      </w:r>
      <w:r>
        <w:rPr>
          <w:rFonts w:ascii="Arial" w:hAnsi="Arial"/>
          <w:sz w:val="20"/>
        </w:rPr>
        <w:t> </w:t>
      </w:r>
      <w:r>
        <w:rPr>
          <w:rFonts w:ascii="Arial" w:hAnsi="Arial"/>
          <w:sz w:val="21"/>
        </w:rPr>
        <w:t>908</w:t>
      </w:r>
      <w:r>
        <w:rPr>
          <w:rFonts w:ascii="Arial" w:hAnsi="Arial"/>
          <w:sz w:val="20"/>
        </w:rPr>
        <w:t> </w:t>
      </w:r>
      <w:r>
        <w:rPr>
          <w:rFonts w:ascii="Arial" w:hAnsi="Arial"/>
          <w:sz w:val="21"/>
        </w:rPr>
        <w:t>of</w:t>
      </w:r>
      <w:r>
        <w:rPr>
          <w:rFonts w:ascii="Arial" w:hAnsi="Arial"/>
          <w:sz w:val="20"/>
        </w:rPr>
        <w:t> </w:t>
      </w:r>
      <w:r>
        <w:rPr>
          <w:rFonts w:ascii="Arial" w:hAnsi="Arial"/>
          <w:sz w:val="21"/>
        </w:rPr>
        <w:t>98</w:t>
      </w:r>
      <w:r>
        <w:rPr>
          <w:rFonts w:ascii="Arial" w:hAnsi="Arial"/>
          <w:sz w:val="20"/>
        </w:rPr>
        <w:t> </w:t>
      </w:r>
      <w:r>
        <w:rPr>
          <w:rFonts w:ascii="Arial" w:hAnsi="Arial"/>
          <w:sz w:val="21"/>
        </w:rPr>
        <w:t>York</w:t>
      </w:r>
      <w:r>
        <w:rPr>
          <w:rFonts w:ascii="Arial" w:hAnsi="Arial"/>
          <w:sz w:val="20"/>
        </w:rPr>
        <w:t> </w:t>
      </w:r>
      <w:r>
        <w:rPr>
          <w:rFonts w:ascii="Arial" w:hAnsi="Arial"/>
          <w:sz w:val="21"/>
        </w:rPr>
        <w:t>Street,</w:t>
      </w:r>
      <w:r>
        <w:rPr>
          <w:rFonts w:ascii="Arial" w:hAnsi="Arial"/>
          <w:sz w:val="20"/>
        </w:rPr>
        <w:t> </w:t>
      </w:r>
      <w:r>
        <w:rPr>
          <w:rFonts w:ascii="Arial" w:hAnsi="Arial"/>
          <w:sz w:val="21"/>
        </w:rPr>
        <w:t>South Melbourne, Victoria 3205 (</w:t>
      </w:r>
      <w:r>
        <w:rPr>
          <w:rFonts w:ascii="Arial" w:hAnsi="Arial"/>
          <w:b/>
          <w:sz w:val="21"/>
        </w:rPr>
        <w:t>Borrower</w:t>
      </w:r>
      <w:r>
        <w:rPr>
          <w:rFonts w:ascii="Arial" w:hAnsi="Arial"/>
          <w:sz w:val="21"/>
        </w:rPr>
        <w:t>)</w:t>
      </w:r>
      <w:r>
        <w:rPr>
          <w:rFonts w:ascii="Arial" w:hAnsi="Arial"/>
          <w:sz w:val="20"/>
        </w:rPr>
        <w:t xml:space="preserve"> </w:t>
      </w:r>
    </w:p>
    <w:p>
      <w:pPr>
        <w:pStyle w:val="TextBody"/>
        <w:bidi w:val="0"/>
        <w:spacing w:before="215" w:after="0"/>
        <w:ind w:left="2268" w:right="1260" w:hanging="0"/>
        <w:jc w:val="left"/>
        <w:rPr>
          <w:rFonts w:ascii="Arial" w:hAnsi="Arial"/>
          <w:b/>
          <w:sz w:val="22"/>
        </w:rPr>
      </w:pPr>
      <w:r>
        <w:rPr>
          <w:rFonts w:ascii="Arial" w:hAnsi="Arial"/>
          <w:b/>
          <w:sz w:val="22"/>
        </w:rPr>
        <w:t>Each entity listed in the schedule </w:t>
      </w:r>
      <w:r>
        <w:rPr>
          <w:rFonts w:ascii="Arial" w:hAnsi="Arial"/>
          <w:b w:val="false"/>
          <w:sz w:val="22"/>
        </w:rPr>
        <w:t>(</w:t>
      </w:r>
      <w:r>
        <w:rPr>
          <w:rFonts w:ascii="Arial" w:hAnsi="Arial"/>
          <w:b/>
          <w:sz w:val="22"/>
        </w:rPr>
        <w:t>Corporate Guarantor</w:t>
      </w:r>
      <w:r>
        <w:rPr>
          <w:rFonts w:ascii="Arial" w:hAnsi="Arial"/>
          <w:b w:val="false"/>
          <w:sz w:val="22"/>
        </w:rPr>
        <w:t>)</w:t>
      </w:r>
      <w:r>
        <w:rPr>
          <w:rFonts w:ascii="Arial" w:hAnsi="Arial"/>
          <w:b/>
          <w:sz w:val="22"/>
        </w:rPr>
        <w:t xml:space="preserve"> </w:t>
      </w:r>
    </w:p>
    <w:p>
      <w:pPr>
        <w:pStyle w:val="TextBody"/>
        <w:pBdr>
          <w:bottom w:val="single" w:sz="8" w:space="1" w:color="000000"/>
        </w:pBdr>
        <w:bidi w:val="0"/>
        <w:spacing w:before="59" w:after="0"/>
        <w:ind w:left="1700" w:right="1260" w:hanging="0"/>
        <w:jc w:val="left"/>
        <w:rPr>
          <w:rFonts w:cs="Arial"/>
          <w:szCs w:val="20"/>
        </w:rPr>
      </w:pPr>
      <w:r>
        <w:rPr>
          <w:rFonts w:cs="Arial"/>
          <w:szCs w:val="20"/>
        </w:rPr>
        <w:t xml:space="preserve">﻿ </w:t>
      </w:r>
    </w:p>
    <w:p>
      <w:pPr>
        <w:pStyle w:val="TextBody"/>
        <w:bidi w:val="0"/>
        <w:spacing w:before="283" w:after="0"/>
        <w:ind w:left="1700" w:right="1260" w:hanging="0"/>
        <w:jc w:val="left"/>
        <w:rPr>
          <w:rFonts w:cs="Arial"/>
          <w:szCs w:val="40"/>
        </w:rPr>
      </w:pPr>
      <w:r>
        <w:rPr>
          <w:rFonts w:cs="Arial"/>
          <w:szCs w:val="40"/>
        </w:rPr>
        <w:t xml:space="preserve">﻿ </w:t>
      </w:r>
    </w:p>
    <w:p>
      <w:pPr>
        <w:pStyle w:val="TextBody"/>
        <w:bidi w:val="0"/>
        <w:spacing w:before="0" w:after="0"/>
        <w:ind w:left="2268" w:right="1260" w:hanging="0"/>
        <w:jc w:val="left"/>
        <w:rPr>
          <w:rFonts w:ascii="Arial" w:hAnsi="Arial"/>
          <w:sz w:val="40"/>
        </w:rPr>
      </w:pPr>
      <w:r>
        <w:rPr>
          <w:rFonts w:ascii="Arial" w:hAnsi="Arial"/>
          <w:sz w:val="40"/>
        </w:rPr>
        <w:t xml:space="preserve">Agreed terms </w:t>
      </w:r>
    </w:p>
    <w:p>
      <w:pPr>
        <w:pStyle w:val="TextBody"/>
        <w:bidi w:val="0"/>
        <w:spacing w:before="79" w:after="0"/>
        <w:ind w:left="1700" w:right="1260" w:hanging="0"/>
        <w:jc w:val="left"/>
        <w:rPr>
          <w:rFonts w:cs="Arial"/>
          <w:szCs w:val="40"/>
        </w:rPr>
      </w:pPr>
      <w:r>
        <w:rPr>
          <w:rFonts w:cs="Arial"/>
          <w:szCs w:val="40"/>
        </w:rPr>
        <w:t xml:space="preserve">﻿ </w:t>
      </w:r>
    </w:p>
    <w:p>
      <w:pPr>
        <w:pStyle w:val="TextBody"/>
        <w:bidi w:val="0"/>
        <w:spacing w:before="0" w:after="0"/>
        <w:ind w:left="3230" w:right="1260" w:hanging="0"/>
        <w:jc w:val="left"/>
        <w:rPr>
          <w:rFonts w:ascii="Arial" w:hAnsi="Arial"/>
          <w:sz w:val="32"/>
        </w:rPr>
      </w:pPr>
      <w:bookmarkStart w:id="374" w:name="Definitions1"/>
      <w:bookmarkEnd w:id="374"/>
      <w:r>
        <w:rPr>
          <w:rFonts w:ascii="Arial" w:hAnsi="Arial"/>
          <w:color w:val="000000"/>
          <w:sz w:val="32"/>
        </w:rPr>
        <w:t>1Definitions</w:t>
      </w:r>
      <w:r>
        <w:rPr>
          <w:rFonts w:ascii="Arial" w:hAnsi="Arial"/>
          <w:sz w:val="32"/>
        </w:rPr>
        <w:t xml:space="preserve"> </w:t>
      </w:r>
    </w:p>
    <w:p>
      <w:pPr>
        <w:pStyle w:val="TextBody"/>
        <w:pBdr/>
        <w:bidi w:val="0"/>
        <w:spacing w:lineRule="auto" w:line="266" w:before="88" w:after="0"/>
        <w:ind w:left="3120" w:right="1376" w:hanging="0"/>
        <w:jc w:val="left"/>
        <w:rPr>
          <w:rFonts w:ascii="Arial" w:hAnsi="Arial"/>
          <w:sz w:val="22"/>
        </w:rPr>
      </w:pPr>
      <w:r>
        <w:rPr>
          <w:rFonts w:ascii="Arial" w:hAnsi="Arial"/>
          <w:color w:val="000000"/>
          <w:sz w:val="22"/>
        </w:rPr>
        <w:t>In this deed words and expressions which are defined or given a specific meaning in the Amended Facility Agreement but which are not defined or given a specific meaning in this deed have the same meaning as in the Amended Facility Agreement. Otherwise, terms have the following meanings:</w:t>
      </w:r>
      <w:r>
        <w:rPr>
          <w:rFonts w:ascii="Arial" w:hAnsi="Arial"/>
          <w:sz w:val="22"/>
        </w:rPr>
        <w:t xml:space="preserve"> </w:t>
      </w:r>
    </w:p>
    <w:p>
      <w:pPr>
        <w:pStyle w:val="TextBody"/>
        <w:pBdr/>
        <w:bidi w:val="0"/>
        <w:spacing w:lineRule="auto" w:line="266" w:before="0" w:after="0"/>
        <w:ind w:left="1700" w:right="1260" w:hanging="0"/>
        <w:jc w:val="left"/>
        <w:rPr>
          <w:rFonts w:cs="Arial"/>
          <w:szCs w:val="22"/>
        </w:rPr>
      </w:pPr>
      <w:r>
        <w:rPr>
          <w:rFonts w:cs="Arial"/>
          <w:color w:val="000000"/>
          <w:szCs w:val="22"/>
        </w:rPr>
        <w:t>﻿</w:t>
      </w:r>
      <w:r>
        <w:rPr>
          <w:rFonts w:cs="Arial"/>
          <w:szCs w:val="22"/>
        </w:rPr>
        <w:t xml:space="preserve"> </w:t>
      </w:r>
    </w:p>
    <w:tbl>
      <w:tblPr>
        <w:tblW w:w="7245" w:type="dxa"/>
        <w:jc w:val="left"/>
        <w:tblInd w:w="1700" w:type="dxa"/>
        <w:tblLayout w:type="fixed"/>
        <w:tblCellMar>
          <w:top w:w="0" w:type="dxa"/>
          <w:left w:w="0" w:type="dxa"/>
          <w:bottom w:w="0" w:type="dxa"/>
          <w:right w:w="0" w:type="dxa"/>
        </w:tblCellMar>
      </w:tblPr>
      <w:tblGrid>
        <w:gridCol w:w="38"/>
        <w:gridCol w:w="1069"/>
        <w:gridCol w:w="6062"/>
        <w:gridCol w:w="76"/>
      </w:tblGrid>
      <w:tr>
        <w:trPr/>
        <w:tc>
          <w:tcPr>
            <w:tcW w:w="38" w:type="dxa"/>
            <w:tcBorders/>
          </w:tcPr>
          <w:p>
            <w:pPr>
              <w:pStyle w:val="TableContents"/>
              <w:bidi w:val="0"/>
              <w:spacing w:before="0" w:after="0"/>
              <w:ind w:left="0" w:right="0" w:hanging="0"/>
              <w:jc w:val="left"/>
              <w:rPr>
                <w:rFonts w:cs="Arial"/>
                <w:color w:val="000000"/>
                <w:szCs w:val="20"/>
              </w:rPr>
            </w:pPr>
            <w:r>
              <w:rPr>
                <w:rFonts w:cs="Arial"/>
                <w:color w:val="000000"/>
                <w:szCs w:val="20"/>
              </w:rPr>
              <w:t>﻿</w:t>
            </w:r>
          </w:p>
        </w:tc>
        <w:tc>
          <w:tcPr>
            <w:tcW w:w="1069" w:type="dxa"/>
            <w:tcBorders/>
          </w:tcPr>
          <w:p>
            <w:pPr>
              <w:pStyle w:val="TableContents"/>
              <w:bidi w:val="0"/>
              <w:spacing w:before="0" w:after="0"/>
              <w:ind w:left="0" w:right="0" w:hanging="0"/>
              <w:jc w:val="left"/>
              <w:rPr>
                <w:rFonts w:ascii="Arial" w:hAnsi="Arial"/>
                <w:b/>
                <w:color w:val="000000"/>
                <w:sz w:val="20"/>
              </w:rPr>
            </w:pPr>
            <w:r>
              <w:rPr>
                <w:rFonts w:ascii="Arial" w:hAnsi="Arial"/>
                <w:b/>
                <w:color w:val="000000"/>
                <w:sz w:val="20"/>
              </w:rPr>
              <w:t xml:space="preserve">Amended </w:t>
            </w:r>
          </w:p>
          <w:p>
            <w:pPr>
              <w:pStyle w:val="TableContents"/>
              <w:bidi w:val="0"/>
              <w:spacing w:before="0" w:after="0"/>
              <w:ind w:left="0" w:right="0" w:hanging="0"/>
              <w:jc w:val="left"/>
              <w:rPr>
                <w:rFonts w:ascii="Arial" w:hAnsi="Arial"/>
                <w:b/>
                <w:color w:val="000000"/>
                <w:sz w:val="20"/>
              </w:rPr>
            </w:pPr>
            <w:r>
              <w:rPr>
                <w:rFonts w:ascii="Arial" w:hAnsi="Arial"/>
                <w:b/>
                <w:color w:val="000000"/>
                <w:sz w:val="20"/>
              </w:rPr>
              <w:t>Facility</w:t>
            </w:r>
          </w:p>
          <w:p>
            <w:pPr>
              <w:pStyle w:val="TableContents"/>
              <w:bidi w:val="0"/>
              <w:spacing w:before="0" w:after="0"/>
              <w:ind w:left="0" w:right="0" w:hanging="0"/>
              <w:jc w:val="left"/>
              <w:rPr>
                <w:rFonts w:ascii="Arial" w:hAnsi="Arial"/>
                <w:b/>
                <w:color w:val="000000"/>
                <w:sz w:val="20"/>
              </w:rPr>
            </w:pPr>
            <w:r>
              <w:rPr>
                <w:rFonts w:ascii="Arial" w:hAnsi="Arial"/>
                <w:b/>
                <w:color w:val="000000"/>
                <w:sz w:val="20"/>
              </w:rPr>
              <w:t>Agreement</w:t>
            </w:r>
          </w:p>
          <w:p>
            <w:pPr>
              <w:pStyle w:val="TableContents"/>
              <w:bidi w:val="0"/>
              <w:spacing w:before="0" w:after="0"/>
              <w:ind w:left="0" w:right="0" w:hanging="0"/>
              <w:jc w:val="left"/>
              <w:rPr/>
            </w:pPr>
            <w:r>
              <w:rPr/>
              <w:t> </w:t>
            </w:r>
          </w:p>
        </w:tc>
        <w:tc>
          <w:tcPr>
            <w:tcW w:w="6062" w:type="dxa"/>
            <w:tcBorders/>
          </w:tcPr>
          <w:p>
            <w:pPr>
              <w:pStyle w:val="TableContents"/>
              <w:bidi w:val="0"/>
              <w:spacing w:before="0" w:after="0"/>
              <w:ind w:left="0" w:right="0" w:hanging="0"/>
              <w:jc w:val="left"/>
              <w:rPr>
                <w:rFonts w:ascii="Arial" w:hAnsi="Arial"/>
                <w:color w:val="000000"/>
                <w:sz w:val="20"/>
              </w:rPr>
            </w:pPr>
            <w:r>
              <w:rPr>
                <w:rFonts w:ascii="Arial" w:hAnsi="Arial"/>
                <w:color w:val="000000"/>
                <w:sz w:val="20"/>
              </w:rPr>
              <w:t>The Facility Agreement as amended in accordance with this deed.</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color w:val="000000"/>
                <w:szCs w:val="20"/>
              </w:rPr>
            </w:pPr>
            <w:r>
              <w:rPr>
                <w:rFonts w:cs="Arial"/>
                <w:color w:val="000000"/>
                <w:szCs w:val="20"/>
              </w:rPr>
              <w:t>﻿</w:t>
            </w:r>
          </w:p>
        </w:tc>
        <w:tc>
          <w:tcPr>
            <w:tcW w:w="1069" w:type="dxa"/>
            <w:tcBorders/>
          </w:tcPr>
          <w:p>
            <w:pPr>
              <w:pStyle w:val="TableContents"/>
              <w:bidi w:val="0"/>
              <w:spacing w:before="0" w:after="0"/>
              <w:ind w:left="0" w:right="0" w:hanging="0"/>
              <w:jc w:val="left"/>
              <w:rPr>
                <w:rFonts w:ascii="Arial" w:hAnsi="Arial"/>
                <w:b/>
                <w:color w:val="000000"/>
                <w:sz w:val="20"/>
              </w:rPr>
            </w:pPr>
            <w:r>
              <w:rPr>
                <w:rFonts w:ascii="Arial" w:hAnsi="Arial"/>
                <w:b/>
                <w:color w:val="000000"/>
                <w:sz w:val="20"/>
              </w:rPr>
              <w:t>Effective Date</w:t>
            </w:r>
          </w:p>
        </w:tc>
        <w:tc>
          <w:tcPr>
            <w:tcW w:w="6062" w:type="dxa"/>
            <w:tcBorders/>
          </w:tcPr>
          <w:p>
            <w:pPr>
              <w:pStyle w:val="TableContents"/>
              <w:bidi w:val="0"/>
              <w:spacing w:before="0" w:after="0"/>
              <w:ind w:left="0" w:right="0" w:hanging="0"/>
              <w:jc w:val="left"/>
              <w:rPr>
                <w:rFonts w:ascii="Arial" w:hAnsi="Arial"/>
                <w:color w:val="000000"/>
                <w:sz w:val="20"/>
              </w:rPr>
            </w:pPr>
            <w:r>
              <w:rPr>
                <w:rFonts w:ascii="Arial" w:hAnsi="Arial"/>
                <w:color w:val="000000"/>
                <w:sz w:val="20"/>
              </w:rPr>
              <w:t>The date on which each of the conditions precedent set out in clause 3 have been satisfied (subject to clause 3.2(d)).</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color w:val="000000"/>
                <w:szCs w:val="20"/>
              </w:rPr>
            </w:pPr>
            <w:r>
              <w:rPr>
                <w:rFonts w:cs="Arial"/>
                <w:color w:val="000000"/>
                <w:szCs w:val="20"/>
              </w:rPr>
              <w:t>﻿</w:t>
            </w:r>
          </w:p>
        </w:tc>
        <w:tc>
          <w:tcPr>
            <w:tcW w:w="1069" w:type="dxa"/>
            <w:tcBorders/>
          </w:tcPr>
          <w:p>
            <w:pPr>
              <w:pStyle w:val="TableContents"/>
              <w:bidi w:val="0"/>
              <w:spacing w:before="0" w:after="0"/>
              <w:ind w:left="0" w:right="0" w:hanging="0"/>
              <w:jc w:val="left"/>
              <w:rPr>
                <w:rFonts w:ascii="Arial" w:hAnsi="Arial"/>
                <w:b/>
                <w:color w:val="000000"/>
                <w:sz w:val="20"/>
              </w:rPr>
            </w:pPr>
            <w:r>
              <w:rPr>
                <w:rFonts w:ascii="Arial" w:hAnsi="Arial"/>
                <w:b/>
                <w:color w:val="000000"/>
                <w:sz w:val="20"/>
              </w:rPr>
              <w:t>Facility</w:t>
            </w:r>
          </w:p>
          <w:p>
            <w:pPr>
              <w:pStyle w:val="TableContents"/>
              <w:bidi w:val="0"/>
              <w:spacing w:before="0" w:after="0"/>
              <w:ind w:left="0" w:right="0" w:hanging="0"/>
              <w:jc w:val="left"/>
              <w:rPr>
                <w:rFonts w:ascii="Arial" w:hAnsi="Arial"/>
                <w:b/>
                <w:color w:val="000000"/>
                <w:sz w:val="20"/>
              </w:rPr>
            </w:pPr>
            <w:r>
              <w:rPr>
                <w:rFonts w:ascii="Arial" w:hAnsi="Arial"/>
                <w:b/>
                <w:color w:val="000000"/>
                <w:sz w:val="20"/>
              </w:rPr>
              <w:t>Agreement</w:t>
            </w:r>
          </w:p>
        </w:tc>
        <w:tc>
          <w:tcPr>
            <w:tcW w:w="6062" w:type="dxa"/>
            <w:tcBorders/>
          </w:tcPr>
          <w:p>
            <w:pPr>
              <w:pStyle w:val="TableContents"/>
              <w:bidi w:val="0"/>
              <w:spacing w:before="0" w:after="0"/>
              <w:ind w:left="0" w:right="0" w:hanging="0"/>
              <w:jc w:val="left"/>
              <w:rPr>
                <w:rFonts w:ascii="Arial" w:hAnsi="Arial"/>
                <w:color w:val="000000"/>
                <w:sz w:val="20"/>
              </w:rPr>
            </w:pPr>
            <w:r>
              <w:rPr>
                <w:rFonts w:ascii="Arial" w:hAnsi="Arial"/>
                <w:color w:val="000000"/>
                <w:sz w:val="20"/>
              </w:rPr>
              <w:t>The Facility Agreement between the Bank, the Borrower, the Corporate Guarantors, dated 24 June 2011, as amended from time to time.</w:t>
            </w:r>
          </w:p>
        </w:tc>
        <w:tc>
          <w:tcPr>
            <w:tcW w:w="76" w:type="dxa"/>
            <w:tcBorders/>
          </w:tcPr>
          <w:p>
            <w:pPr>
              <w:pStyle w:val="TableContents"/>
              <w:bidi w:val="0"/>
              <w:spacing w:before="0" w:after="0"/>
              <w:ind w:left="0" w:right="0" w:hanging="0"/>
              <w:jc w:val="left"/>
              <w:rPr/>
            </w:pPr>
            <w:r>
              <w:rPr/>
              <w:t> </w:t>
            </w:r>
          </w:p>
        </w:tc>
      </w:tr>
    </w:tbl>
    <w:p>
      <w:pPr>
        <w:pStyle w:val="TextBody"/>
        <w:pBdr/>
        <w:bidi w:val="0"/>
        <w:spacing w:lineRule="auto" w:line="266" w:before="0" w:after="0"/>
        <w:ind w:left="1700" w:right="1260" w:hanging="0"/>
        <w:jc w:val="left"/>
        <w:rPr>
          <w:rFonts w:cs="Arial"/>
          <w:szCs w:val="22"/>
        </w:rPr>
      </w:pPr>
      <w:r>
        <w:rPr>
          <w:rFonts w:cs="Arial"/>
          <w:color w:val="000000"/>
          <w:szCs w:val="22"/>
        </w:rPr>
        <w:t>﻿</w:t>
      </w:r>
      <w:r>
        <w:rPr>
          <w:rFonts w:cs="Arial"/>
          <w:szCs w:val="22"/>
        </w:rPr>
        <w:t xml:space="preserve"> </w:t>
      </w:r>
    </w:p>
    <w:p>
      <w:pPr>
        <w:pStyle w:val="TextBody"/>
        <w:pBdr/>
        <w:bidi w:val="0"/>
        <w:spacing w:before="83" w:after="0"/>
        <w:ind w:left="1700" w:right="1260" w:hanging="0"/>
        <w:jc w:val="left"/>
        <w:rPr>
          <w:rFonts w:cs="Arial"/>
          <w:szCs w:val="32"/>
        </w:rPr>
      </w:pPr>
      <w:r>
        <w:rPr>
          <w:rFonts w:cs="Arial"/>
          <w:color w:val="000000"/>
          <w:szCs w:val="32"/>
        </w:rPr>
        <w:t>﻿</w:t>
      </w:r>
      <w:r>
        <w:rPr>
          <w:rFonts w:cs="Arial"/>
          <w:szCs w:val="32"/>
        </w:rPr>
        <w:t xml:space="preserve"> </w:t>
      </w:r>
    </w:p>
    <w:p>
      <w:pPr>
        <w:pStyle w:val="TextBody"/>
        <w:bidi w:val="0"/>
        <w:spacing w:before="0" w:after="0"/>
        <w:ind w:left="3230" w:right="1260" w:hanging="0"/>
        <w:jc w:val="left"/>
        <w:rPr>
          <w:rFonts w:ascii="Arial" w:hAnsi="Arial"/>
          <w:sz w:val="32"/>
        </w:rPr>
      </w:pPr>
      <w:bookmarkStart w:id="375" w:name="Consideration1"/>
      <w:bookmarkEnd w:id="375"/>
      <w:r>
        <w:rPr>
          <w:rFonts w:ascii="Arial" w:hAnsi="Arial"/>
          <w:color w:val="000000"/>
          <w:sz w:val="32"/>
        </w:rPr>
        <w:t>2Consideration</w:t>
      </w:r>
      <w:r>
        <w:rPr>
          <w:rFonts w:ascii="Arial" w:hAnsi="Arial"/>
          <w:sz w:val="32"/>
        </w:rPr>
        <w:t xml:space="preserve"> </w:t>
      </w:r>
    </w:p>
    <w:p>
      <w:pPr>
        <w:pStyle w:val="TextBody"/>
        <w:pBdr/>
        <w:bidi w:val="0"/>
        <w:spacing w:lineRule="auto" w:line="266" w:before="85" w:after="0"/>
        <w:ind w:left="3120" w:right="1260" w:hanging="0"/>
        <w:jc w:val="left"/>
        <w:rPr>
          <w:rFonts w:ascii="Arial" w:hAnsi="Arial"/>
          <w:sz w:val="22"/>
        </w:rPr>
      </w:pPr>
      <w:r>
        <w:rPr>
          <w:rFonts w:ascii="Arial" w:hAnsi="Arial"/>
          <w:color w:val="000000"/>
          <w:sz w:val="22"/>
        </w:rPr>
        <w:t>The Borrower and each Corporate Guarantor have entered into this deed in consideration of the Bank agreeing to amend the Facility Agreement in accordance with this deed.</w:t>
      </w:r>
      <w:r>
        <w:rPr>
          <w:rFonts w:ascii="Arial" w:hAnsi="Arial"/>
          <w:sz w:val="22"/>
        </w:rPr>
        <w:t xml:space="preserve"> </w:t>
      </w:r>
    </w:p>
    <w:p>
      <w:pPr>
        <w:pStyle w:val="TextBody"/>
        <w:pBdr/>
        <w:bidi w:val="0"/>
        <w:spacing w:lineRule="auto" w:line="266" w:before="0" w:after="0"/>
        <w:ind w:left="1700" w:right="1260" w:hanging="0"/>
        <w:jc w:val="left"/>
        <w:rPr/>
      </w:pPr>
      <w:r>
        <w:rPr/>
        <w:t xml:space="preserve">  </w:t>
      </w:r>
    </w:p>
    <w:p>
      <w:pPr>
        <w:pStyle w:val="TextBody"/>
        <w:pBdr>
          <w:top w:val="single" w:sz="8" w:space="1" w:color="000000"/>
        </w:pBdr>
        <w:bidi w:val="0"/>
        <w:spacing w:before="0" w:after="0"/>
        <w:ind w:left="2240" w:right="1260" w:hanging="0"/>
        <w:jc w:val="left"/>
        <w:rPr>
          <w:rFonts w:ascii="Arial" w:hAnsi="Arial"/>
          <w:sz w:val="14"/>
        </w:rPr>
      </w:pPr>
      <w:r>
        <w:rPr>
          <w:rFonts w:ascii="Arial" w:hAnsi="Arial"/>
          <w:sz w:val="15"/>
        </w:rPr>
        <w:t>3465-2397-4201v1</w:t>
      </w:r>
      <w:r>
        <w:rPr>
          <w:rFonts w:ascii="Arial" w:hAnsi="Arial"/>
          <w:sz w:val="14"/>
        </w:rPr>
        <w:t xml:space="preserve"> </w:t>
      </w:r>
    </w:p>
    <w:p>
      <w:pPr>
        <w:pStyle w:val="TextBody"/>
        <w:bidi w:val="0"/>
        <w:spacing w:before="0" w:after="0"/>
        <w:ind w:left="2240" w:right="1260" w:hanging="0"/>
        <w:jc w:val="left"/>
        <w:rPr>
          <w:rFonts w:ascii="Arial" w:hAnsi="Arial"/>
          <w:sz w:val="14"/>
        </w:rPr>
      </w:pPr>
      <w:r>
        <w:rPr>
          <w:rFonts w:ascii="Arial" w:hAnsi="Arial"/>
          <w:sz w:val="15"/>
        </w:rPr>
        <w:t>Amendment Deed</w:t>
      </w:r>
      <w:r>
        <w:rPr>
          <w:rFonts w:ascii="Arial" w:hAnsi="Arial"/>
          <w:sz w:val="14"/>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32"/>
        </w:rPr>
      </w:pPr>
      <w:r>
        <w:rPr>
          <w:rFonts w:cs="Arial"/>
          <w:szCs w:val="32"/>
        </w:rPr>
        <w:t xml:space="preserve">﻿ </w:t>
      </w:r>
    </w:p>
    <w:p>
      <w:pPr>
        <w:pStyle w:val="TextBody"/>
        <w:pBdr/>
        <w:bidi w:val="0"/>
        <w:spacing w:before="0" w:after="0"/>
        <w:ind w:left="1700" w:right="1260" w:hanging="0"/>
        <w:jc w:val="left"/>
        <w:rPr>
          <w:rFonts w:cs="Arial"/>
          <w:szCs w:val="32"/>
        </w:rPr>
      </w:pPr>
      <w:r>
        <w:rPr>
          <w:rFonts w:cs="Arial"/>
          <w:szCs w:val="32"/>
        </w:rPr>
        <w:t xml:space="preserve">﻿ </w:t>
      </w:r>
    </w:p>
    <w:p>
      <w:pPr>
        <w:pStyle w:val="TextBody"/>
        <w:pBdr/>
        <w:bidi w:val="0"/>
        <w:spacing w:before="43" w:after="0"/>
        <w:ind w:left="1700" w:right="1260" w:hanging="0"/>
        <w:jc w:val="left"/>
        <w:rPr>
          <w:rFonts w:cs="Arial"/>
          <w:szCs w:val="32"/>
        </w:rPr>
      </w:pPr>
      <w:r>
        <w:rPr>
          <w:rFonts w:cs="Arial"/>
          <w:szCs w:val="32"/>
        </w:rPr>
        <w:t xml:space="preserve">﻿ </w:t>
      </w:r>
    </w:p>
    <w:p>
      <w:pPr>
        <w:pStyle w:val="TextBody"/>
        <w:bidi w:val="0"/>
        <w:spacing w:before="0" w:after="0"/>
        <w:ind w:left="3230" w:right="1260" w:hanging="0"/>
        <w:jc w:val="left"/>
        <w:rPr>
          <w:rFonts w:ascii="Arial" w:hAnsi="Arial"/>
          <w:sz w:val="32"/>
        </w:rPr>
      </w:pPr>
      <w:bookmarkStart w:id="376" w:name="Conditions_precedent1"/>
      <w:bookmarkEnd w:id="376"/>
      <w:r>
        <w:rPr>
          <w:rFonts w:ascii="Arial" w:hAnsi="Arial"/>
          <w:color w:val="000000"/>
          <w:sz w:val="32"/>
        </w:rPr>
        <w:t>3Conditions precedent</w:t>
      </w:r>
      <w:r>
        <w:rPr>
          <w:rFonts w:ascii="Arial" w:hAnsi="Arial"/>
          <w:sz w:val="32"/>
        </w:rPr>
        <w:t xml:space="preserve"> </w:t>
      </w:r>
    </w:p>
    <w:p>
      <w:pPr>
        <w:pStyle w:val="TextBody"/>
        <w:bidi w:val="0"/>
        <w:spacing w:before="214" w:after="0"/>
        <w:ind w:left="3725" w:right="1260" w:hanging="0"/>
        <w:jc w:val="left"/>
        <w:rPr>
          <w:rFonts w:ascii="Arial" w:hAnsi="Arial"/>
          <w:b/>
          <w:sz w:val="24"/>
        </w:rPr>
      </w:pPr>
      <w:bookmarkStart w:id="377" w:name="Conditions31"/>
      <w:bookmarkEnd w:id="377"/>
      <w:r>
        <w:rPr>
          <w:rFonts w:ascii="Arial" w:hAnsi="Arial"/>
          <w:b/>
          <w:color w:val="000000"/>
          <w:sz w:val="24"/>
        </w:rPr>
        <w:t>3.1Conditions precedent to Effective Date</w:t>
      </w:r>
      <w:r>
        <w:rPr>
          <w:rFonts w:ascii="Arial" w:hAnsi="Arial"/>
          <w:b/>
          <w:sz w:val="24"/>
        </w:rPr>
        <w:t xml:space="preserve"> </w:t>
      </w:r>
    </w:p>
    <w:p>
      <w:pPr>
        <w:pStyle w:val="TextBody"/>
        <w:bidi w:val="0"/>
        <w:spacing w:lineRule="auto" w:line="266" w:before="93" w:after="0"/>
        <w:ind w:left="3118" w:right="1490" w:hanging="0"/>
        <w:jc w:val="left"/>
        <w:rPr>
          <w:rFonts w:ascii="Arial" w:hAnsi="Arial"/>
          <w:sz w:val="22"/>
        </w:rPr>
      </w:pPr>
      <w:r>
        <w:rPr>
          <w:rFonts w:ascii="Arial" w:hAnsi="Arial"/>
          <w:color w:val="000000"/>
          <w:sz w:val="22"/>
        </w:rPr>
        <w:t>The amendments to the Facility Agreement effected by this deed, and the occurrence of the Effective Date, are subject to the following conditions precedent that:</w:t>
      </w:r>
      <w:r>
        <w:rPr>
          <w:rFonts w:ascii="Arial" w:hAnsi="Arial"/>
          <w:sz w:val="22"/>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(a)at least two clear Business Days (or such shorter period as the 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agree)</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received,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and substance satisfactory to the Bank:</w:t>
      </w:r>
      <w:r>
        <w:rPr>
          <w:rFonts w:ascii="Arial" w:hAnsi="Arial"/>
          <w:sz w:val="20"/>
        </w:rPr>
        <w:t xml:space="preserve"> </w:t>
      </w:r>
    </w:p>
    <w:p>
      <w:pPr>
        <w:pStyle w:val="TextBody"/>
        <w:bidi w:val="0"/>
        <w:spacing w:lineRule="auto" w:line="268" w:before="120" w:after="0"/>
        <w:ind w:left="4253" w:right="1756" w:hanging="0"/>
        <w:jc w:val="left"/>
        <w:rPr>
          <w:rFonts w:ascii="Arial" w:hAnsi="Arial"/>
          <w:sz w:val="20"/>
        </w:rPr>
      </w:pPr>
      <w:r>
        <w:rPr>
          <w:rFonts w:ascii="Arial" w:hAnsi="Arial"/>
          <w:color w:val="000000"/>
          <w:sz w:val="21"/>
        </w:rPr>
        <w:t>(i)a</w:t>
      </w:r>
      <w:r>
        <w:rPr>
          <w:rFonts w:ascii="Arial" w:hAnsi="Arial"/>
          <w:color w:val="000000"/>
          <w:sz w:val="20"/>
        </w:rPr>
        <w:t> </w:t>
      </w:r>
      <w:r>
        <w:rPr>
          <w:rFonts w:ascii="Arial" w:hAnsi="Arial"/>
          <w:color w:val="000000"/>
          <w:sz w:val="21"/>
        </w:rPr>
        <w:t>fully</w:t>
      </w:r>
      <w:r>
        <w:rPr>
          <w:rFonts w:ascii="Arial" w:hAnsi="Arial"/>
          <w:color w:val="000000"/>
          <w:sz w:val="20"/>
        </w:rPr>
        <w:t> </w:t>
      </w:r>
      <w:r>
        <w:rPr>
          <w:rFonts w:ascii="Arial" w:hAnsi="Arial"/>
          <w:color w:val="000000"/>
          <w:sz w:val="21"/>
        </w:rPr>
        <w:t>executed</w:t>
      </w:r>
      <w:r>
        <w:rPr>
          <w:rFonts w:ascii="Arial" w:hAnsi="Arial"/>
          <w:color w:val="000000"/>
          <w:sz w:val="20"/>
        </w:rPr>
        <w:t> </w:t>
      </w:r>
      <w:r>
        <w:rPr>
          <w:rFonts w:ascii="Arial" w:hAnsi="Arial"/>
          <w:color w:val="000000"/>
          <w:sz w:val="21"/>
        </w:rPr>
        <w:t>original</w:t>
      </w:r>
      <w:r>
        <w:rPr>
          <w:rFonts w:ascii="Arial" w:hAnsi="Arial"/>
          <w:color w:val="000000"/>
          <w:sz w:val="20"/>
        </w:rPr>
        <w:t> </w:t>
      </w:r>
      <w:r>
        <w:rPr>
          <w:rFonts w:ascii="Arial" w:hAnsi="Arial"/>
          <w:color w:val="000000"/>
          <w:sz w:val="21"/>
        </w:rPr>
        <w:t>copy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duly</w:t>
      </w:r>
      <w:r>
        <w:rPr>
          <w:rFonts w:ascii="Arial" w:hAnsi="Arial"/>
          <w:color w:val="000000"/>
          <w:sz w:val="20"/>
        </w:rPr>
        <w:t> </w:t>
      </w:r>
      <w:r>
        <w:rPr>
          <w:rFonts w:ascii="Arial" w:hAnsi="Arial"/>
          <w:color w:val="000000"/>
          <w:sz w:val="21"/>
        </w:rPr>
        <w:t>executed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Borrower and each Corporate Guarantor; and</w:t>
      </w:r>
      <w:r>
        <w:rPr>
          <w:rFonts w:ascii="Arial" w:hAnsi="Arial"/>
          <w:sz w:val="20"/>
        </w:rPr>
        <w:t xml:space="preserve"> </w:t>
      </w:r>
    </w:p>
    <w:p>
      <w:pPr>
        <w:pStyle w:val="TextBody"/>
        <w:bidi w:val="0"/>
        <w:spacing w:lineRule="auto" w:line="266" w:before="114" w:after="0"/>
        <w:ind w:left="4253" w:right="1625" w:hanging="0"/>
        <w:jc w:val="left"/>
        <w:rPr>
          <w:rFonts w:ascii="Arial" w:hAnsi="Arial"/>
          <w:sz w:val="20"/>
        </w:rPr>
      </w:pPr>
      <w:r>
        <w:rPr>
          <w:rFonts w:ascii="Arial" w:hAnsi="Arial"/>
          <w:color w:val="000000"/>
          <w:sz w:val="21"/>
        </w:rPr>
        <w:t>(ii)anything which the Bank has reasonably requested that the Borrower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Transaction Document;</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(b)the representations and warranties set out in clauses 8.1 and 8.2 of the Amended</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correct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misleading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 that the Borrower and each Corporate Guarantor execute this deed;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(c)no</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and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(d)the</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later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29</w:t>
      </w:r>
      <w:r>
        <w:rPr>
          <w:rFonts w:ascii="Arial" w:hAnsi="Arial"/>
          <w:color w:val="000000"/>
          <w:sz w:val="20"/>
        </w:rPr>
        <w:t> </w:t>
      </w:r>
      <w:r>
        <w:rPr>
          <w:rFonts w:ascii="Arial" w:hAnsi="Arial"/>
          <w:color w:val="000000"/>
          <w:sz w:val="21"/>
        </w:rPr>
        <w:t>April</w:t>
      </w:r>
      <w:r>
        <w:rPr>
          <w:rFonts w:ascii="Arial" w:hAnsi="Arial"/>
          <w:color w:val="000000"/>
          <w:sz w:val="20"/>
        </w:rPr>
        <w:t> </w:t>
      </w:r>
      <w:r>
        <w:rPr>
          <w:rFonts w:ascii="Arial" w:hAnsi="Arial"/>
          <w:color w:val="000000"/>
          <w:sz w:val="21"/>
        </w:rPr>
        <w:t>2025,</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later</w:t>
      </w:r>
      <w:r>
        <w:rPr>
          <w:rFonts w:ascii="Arial" w:hAnsi="Arial"/>
          <w:color w:val="000000"/>
          <w:sz w:val="20"/>
        </w:rPr>
        <w:t> </w:t>
      </w:r>
      <w:r>
        <w:rPr>
          <w:rFonts w:ascii="Arial" w:hAnsi="Arial"/>
          <w:color w:val="000000"/>
          <w:sz w:val="21"/>
        </w:rPr>
        <w:t>date agreed by the Bank.</w:t>
      </w:r>
      <w:r>
        <w:rPr>
          <w:rFonts w:ascii="Arial" w:hAnsi="Arial"/>
          <w:sz w:val="20"/>
        </w:rPr>
        <w:t xml:space="preserve"> </w:t>
      </w:r>
    </w:p>
    <w:p>
      <w:pPr>
        <w:pStyle w:val="TextBody"/>
        <w:bidi w:val="0"/>
        <w:spacing w:before="214" w:after="0"/>
        <w:ind w:left="3725" w:right="1260" w:hanging="0"/>
        <w:jc w:val="left"/>
        <w:rPr>
          <w:rFonts w:ascii="Arial" w:hAnsi="Arial"/>
          <w:b/>
          <w:sz w:val="24"/>
        </w:rPr>
      </w:pPr>
      <w:bookmarkStart w:id="378" w:name="Satisfaction32"/>
      <w:bookmarkEnd w:id="378"/>
      <w:r>
        <w:rPr>
          <w:rFonts w:ascii="Arial" w:hAnsi="Arial"/>
          <w:b/>
          <w:color w:val="000000"/>
          <w:sz w:val="24"/>
        </w:rPr>
        <w:t>3.2Satisfaction of conditions precedent</w:t>
      </w:r>
      <w:r>
        <w:rPr>
          <w:rFonts w:ascii="Arial" w:hAnsi="Arial"/>
          <w:b/>
          <w:sz w:val="24"/>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use</w:t>
      </w:r>
      <w:r>
        <w:rPr>
          <w:rFonts w:ascii="Arial" w:hAnsi="Arial"/>
          <w:color w:val="000000"/>
          <w:sz w:val="20"/>
        </w:rPr>
        <w:t> </w:t>
      </w:r>
      <w:r>
        <w:rPr>
          <w:rFonts w:ascii="Arial" w:hAnsi="Arial"/>
          <w:color w:val="000000"/>
          <w:sz w:val="21"/>
        </w:rPr>
        <w:t>their</w:t>
      </w:r>
      <w:r>
        <w:rPr>
          <w:rFonts w:ascii="Arial" w:hAnsi="Arial"/>
          <w:color w:val="000000"/>
          <w:sz w:val="20"/>
        </w:rPr>
        <w:t> </w:t>
      </w:r>
      <w:r>
        <w:rPr>
          <w:rFonts w:ascii="Arial" w:hAnsi="Arial"/>
          <w:color w:val="000000"/>
          <w:sz w:val="21"/>
        </w:rPr>
        <w:t>best endeavours to satisfy the conditions precedent.</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(b)Any</w:t>
      </w:r>
      <w:r>
        <w:rPr>
          <w:rFonts w:ascii="Arial" w:hAnsi="Arial"/>
          <w:color w:val="000000"/>
          <w:sz w:val="20"/>
        </w:rPr>
        <w:t> </w:t>
      </w:r>
      <w:r>
        <w:rPr>
          <w:rFonts w:ascii="Arial" w:hAnsi="Arial"/>
          <w:color w:val="000000"/>
          <w:sz w:val="21"/>
        </w:rPr>
        <w:t>certificates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copies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referred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 xml:space="preserve">in </w:t>
      </w:r>
      <w:r>
        <w:rPr>
          <w:rFonts w:ascii="Arial" w:hAnsi="Arial"/>
          <w:b/>
          <w:color w:val="000000"/>
          <w:sz w:val="21"/>
        </w:rPr>
        <w:t>clause</w:t>
      </w:r>
      <w:r>
        <w:rPr>
          <w:rFonts w:ascii="Arial" w:hAnsi="Arial"/>
          <w:color w:val="000000"/>
          <w:sz w:val="20"/>
        </w:rPr>
        <w:t> </w:t>
      </w:r>
      <w:r>
        <w:rPr>
          <w:rFonts w:ascii="Arial" w:hAnsi="Arial"/>
          <w:b/>
          <w:color w:val="000000"/>
          <w:sz w:val="21"/>
        </w:rPr>
        <w:t>3.1</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 certified by a company secretary or director of the Borrower or a Corporate</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true,</w:t>
      </w:r>
      <w:r>
        <w:rPr>
          <w:rFonts w:ascii="Arial" w:hAnsi="Arial"/>
          <w:color w:val="000000"/>
          <w:sz w:val="20"/>
        </w:rPr>
        <w:t> </w:t>
      </w:r>
      <w:r>
        <w:rPr>
          <w:rFonts w:ascii="Arial" w:hAnsi="Arial"/>
          <w:color w:val="000000"/>
          <w:sz w:val="21"/>
        </w:rPr>
        <w:t>complete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current.</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conditions</w:t>
      </w:r>
      <w:r>
        <w:rPr>
          <w:rFonts w:ascii="Arial" w:hAnsi="Arial"/>
          <w:color w:val="000000"/>
          <w:sz w:val="20"/>
        </w:rPr>
        <w:t> </w:t>
      </w:r>
      <w:r>
        <w:rPr>
          <w:rFonts w:ascii="Arial" w:hAnsi="Arial"/>
          <w:color w:val="000000"/>
          <w:sz w:val="21"/>
        </w:rPr>
        <w:t>precedent</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(d)The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waive,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agree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delay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satisfaction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conditions precedent in writing at any time before or after the time by which they must be satisfied.</w:t>
      </w:r>
      <w:r>
        <w:rPr>
          <w:rFonts w:ascii="Arial" w:hAnsi="Arial"/>
          <w:sz w:val="20"/>
        </w:rPr>
        <w:t xml:space="preserve"> </w:t>
      </w:r>
    </w:p>
    <w:p>
      <w:pPr>
        <w:pStyle w:val="TextBody"/>
        <w:bidi w:val="0"/>
        <w:spacing w:before="210" w:after="0"/>
        <w:ind w:left="1700" w:right="126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1260" w:hanging="0"/>
        <w:jc w:val="left"/>
        <w:rPr>
          <w:rFonts w:ascii="Arial" w:hAnsi="Arial"/>
          <w:sz w:val="32"/>
        </w:rPr>
      </w:pPr>
      <w:bookmarkStart w:id="379" w:name="Amendment"/>
      <w:bookmarkEnd w:id="379"/>
      <w:r>
        <w:rPr>
          <w:rFonts w:ascii="Arial" w:hAnsi="Arial"/>
          <w:color w:val="000000"/>
          <w:sz w:val="32"/>
        </w:rPr>
        <w:t>4Amendment of Facility Agreement</w:t>
      </w:r>
      <w:r>
        <w:rPr>
          <w:rFonts w:ascii="Arial" w:hAnsi="Arial"/>
          <w:sz w:val="32"/>
        </w:rPr>
        <w:t xml:space="preserve"> </w:t>
      </w:r>
    </w:p>
    <w:p>
      <w:pPr>
        <w:pStyle w:val="TextBody"/>
        <w:bidi w:val="0"/>
        <w:spacing w:before="214" w:after="0"/>
        <w:ind w:left="3725" w:right="1260" w:hanging="0"/>
        <w:jc w:val="left"/>
        <w:rPr>
          <w:rFonts w:ascii="Arial" w:hAnsi="Arial"/>
          <w:b/>
          <w:sz w:val="24"/>
        </w:rPr>
      </w:pPr>
      <w:bookmarkStart w:id="380" w:name="Amendment411"/>
      <w:bookmarkEnd w:id="380"/>
      <w:r>
        <w:rPr>
          <w:rFonts w:ascii="Arial" w:hAnsi="Arial"/>
          <w:b/>
          <w:color w:val="000000"/>
          <w:sz w:val="24"/>
        </w:rPr>
        <w:t>4.1Amendment</w:t>
      </w:r>
      <w:r>
        <w:rPr>
          <w:rFonts w:ascii="Arial" w:hAnsi="Arial"/>
          <w:b/>
          <w:sz w:val="24"/>
        </w:rPr>
        <w:t xml:space="preserve"> </w:t>
      </w:r>
    </w:p>
    <w:p>
      <w:pPr>
        <w:pStyle w:val="TextBody"/>
        <w:bidi w:val="0"/>
        <w:spacing w:lineRule="auto" w:line="266" w:before="93" w:after="0"/>
        <w:ind w:left="3120" w:right="1476" w:hanging="0"/>
        <w:jc w:val="both"/>
        <w:rPr>
          <w:rFonts w:ascii="Arial" w:hAnsi="Arial"/>
          <w:sz w:val="22"/>
        </w:rPr>
      </w:pPr>
      <w:r>
        <w:rPr>
          <w:rFonts w:ascii="Arial" w:hAnsi="Arial"/>
          <w:color w:val="000000"/>
          <w:sz w:val="22"/>
        </w:rPr>
        <w:t>On and from the Effective Date, the Facility Agreement is amended in the form of the </w:t>
      </w:r>
      <w:r>
        <w:rPr>
          <w:rFonts w:ascii="Arial" w:hAnsi="Arial"/>
          <w:b/>
          <w:color w:val="000000"/>
          <w:sz w:val="22"/>
        </w:rPr>
        <w:t>annexure</w:t>
      </w:r>
      <w:r>
        <w:rPr>
          <w:rFonts w:ascii="Arial" w:hAnsi="Arial"/>
          <w:color w:val="000000"/>
          <w:sz w:val="22"/>
        </w:rPr>
        <w:t>, by deleting the items struck through, and by adding the items underlined.</w:t>
      </w:r>
      <w:r>
        <w:rPr>
          <w:rFonts w:ascii="Arial" w:hAnsi="Arial"/>
          <w:sz w:val="22"/>
        </w:rPr>
        <w:t xml:space="preserve"> </w:t>
      </w:r>
    </w:p>
    <w:p>
      <w:pPr>
        <w:pStyle w:val="TextBody"/>
        <w:bidi w:val="0"/>
        <w:spacing w:before="214" w:after="0"/>
        <w:ind w:left="3725" w:right="1260" w:hanging="0"/>
        <w:jc w:val="left"/>
        <w:rPr>
          <w:rFonts w:ascii="Arial" w:hAnsi="Arial"/>
          <w:b/>
          <w:sz w:val="24"/>
        </w:rPr>
      </w:pPr>
      <w:bookmarkStart w:id="381" w:name="Parties_bound421"/>
      <w:bookmarkEnd w:id="381"/>
      <w:r>
        <w:rPr>
          <w:rFonts w:ascii="Arial" w:hAnsi="Arial"/>
          <w:b/>
          <w:color w:val="000000"/>
          <w:sz w:val="24"/>
        </w:rPr>
        <w:t>4.2Parties bound</w:t>
      </w:r>
      <w:r>
        <w:rPr>
          <w:rFonts w:ascii="Arial" w:hAnsi="Arial"/>
          <w:b/>
          <w:sz w:val="24"/>
        </w:rPr>
        <w:t xml:space="preserve"> </w:t>
      </w:r>
    </w:p>
    <w:p>
      <w:pPr>
        <w:pStyle w:val="TextBody"/>
        <w:pBdr/>
        <w:bidi w:val="0"/>
        <w:spacing w:lineRule="auto" w:line="266" w:before="93" w:after="0"/>
        <w:ind w:left="3120" w:right="1522" w:hanging="0"/>
        <w:jc w:val="both"/>
        <w:rPr>
          <w:rFonts w:ascii="Arial" w:hAnsi="Arial"/>
          <w:sz w:val="22"/>
        </w:rPr>
      </w:pPr>
      <w:r>
        <w:rPr>
          <w:rFonts w:ascii="Arial" w:hAnsi="Arial"/>
          <w:color w:val="000000"/>
          <w:sz w:val="22"/>
        </w:rPr>
        <w:t>The parties will be bound by the Amended Facility Agreement on and from the Effective Date.</w:t>
      </w:r>
      <w:r>
        <w:rPr>
          <w:rFonts w:ascii="Arial" w:hAnsi="Arial"/>
          <w:sz w:val="22"/>
        </w:rPr>
        <w:t xml:space="preserve"> </w:t>
      </w:r>
    </w:p>
    <w:p>
      <w:pPr>
        <w:pStyle w:val="TextBody"/>
        <w:pBdr/>
        <w:bidi w:val="0"/>
        <w:spacing w:lineRule="auto" w:line="266" w:before="0" w:after="0"/>
        <w:ind w:left="1700" w:right="1260" w:hanging="0"/>
        <w:jc w:val="both"/>
        <w:rPr/>
      </w:pPr>
      <w:r>
        <w:rPr/>
        <w:t xml:space="preserve">  </w:t>
      </w:r>
    </w:p>
    <w:tbl>
      <w:tblPr>
        <w:tblW w:w="1900" w:type="dxa"/>
        <w:jc w:val="left"/>
        <w:tblInd w:w="1700" w:type="dxa"/>
        <w:tblLayout w:type="fixed"/>
        <w:tblCellMar>
          <w:top w:w="0" w:type="dxa"/>
          <w:left w:w="0" w:type="dxa"/>
          <w:bottom w:w="28" w:type="dxa"/>
          <w:right w:w="0" w:type="dxa"/>
        </w:tblCellMar>
      </w:tblPr>
      <w:tblGrid>
        <w:gridCol w:w="1370"/>
        <w:gridCol w:w="53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53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2</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32"/>
        </w:rPr>
      </w:pPr>
      <w:r>
        <w:rPr>
          <w:rFonts w:cs="Arial"/>
          <w:szCs w:val="32"/>
        </w:rPr>
        <w:t xml:space="preserve">﻿ </w:t>
      </w:r>
    </w:p>
    <w:p>
      <w:pPr>
        <w:pStyle w:val="TextBody"/>
        <w:pBdr/>
        <w:bidi w:val="0"/>
        <w:spacing w:before="0" w:after="0"/>
        <w:ind w:left="1700" w:right="1260" w:hanging="0"/>
        <w:jc w:val="left"/>
        <w:rPr>
          <w:rFonts w:cs="Arial"/>
          <w:szCs w:val="32"/>
        </w:rPr>
      </w:pPr>
      <w:r>
        <w:rPr>
          <w:rFonts w:cs="Arial"/>
          <w:szCs w:val="32"/>
        </w:rPr>
        <w:t xml:space="preserve">﻿ </w:t>
      </w:r>
    </w:p>
    <w:p>
      <w:pPr>
        <w:pStyle w:val="TextBody"/>
        <w:pBdr/>
        <w:bidi w:val="0"/>
        <w:spacing w:before="43" w:after="0"/>
        <w:ind w:left="1700" w:right="1260" w:hanging="0"/>
        <w:jc w:val="left"/>
        <w:rPr>
          <w:rFonts w:cs="Arial"/>
          <w:szCs w:val="32"/>
        </w:rPr>
      </w:pPr>
      <w:r>
        <w:rPr>
          <w:rFonts w:cs="Arial"/>
          <w:szCs w:val="32"/>
        </w:rPr>
        <w:t xml:space="preserve">﻿ </w:t>
      </w:r>
    </w:p>
    <w:p>
      <w:pPr>
        <w:pStyle w:val="TextBody"/>
        <w:bidi w:val="0"/>
        <w:spacing w:before="0" w:after="0"/>
        <w:ind w:left="3230" w:right="1260" w:hanging="0"/>
        <w:jc w:val="left"/>
        <w:rPr>
          <w:rFonts w:ascii="Arial" w:hAnsi="Arial"/>
          <w:sz w:val="32"/>
        </w:rPr>
      </w:pPr>
      <w:bookmarkStart w:id="382" w:name="Representations_and_warranties1"/>
      <w:bookmarkEnd w:id="382"/>
      <w:r>
        <w:rPr>
          <w:rFonts w:ascii="Arial" w:hAnsi="Arial"/>
          <w:color w:val="000000"/>
          <w:sz w:val="32"/>
        </w:rPr>
        <w:t>5Representations and warranties</w:t>
      </w:r>
      <w:r>
        <w:rPr>
          <w:rFonts w:ascii="Arial" w:hAnsi="Arial"/>
          <w:sz w:val="32"/>
        </w:rPr>
        <w:t xml:space="preserve"> </w:t>
      </w:r>
    </w:p>
    <w:p>
      <w:pPr>
        <w:pStyle w:val="TextBody"/>
        <w:bidi w:val="0"/>
        <w:spacing w:before="214" w:after="0"/>
        <w:ind w:left="3725" w:right="1260" w:hanging="0"/>
        <w:jc w:val="left"/>
        <w:rPr>
          <w:rFonts w:ascii="Arial" w:hAnsi="Arial"/>
          <w:b/>
          <w:sz w:val="24"/>
        </w:rPr>
      </w:pPr>
      <w:bookmarkStart w:id="383" w:name="General511"/>
      <w:bookmarkEnd w:id="383"/>
      <w:r>
        <w:rPr>
          <w:rFonts w:ascii="Arial" w:hAnsi="Arial"/>
          <w:b/>
          <w:color w:val="000000"/>
          <w:sz w:val="24"/>
        </w:rPr>
        <w:t>5.1General</w:t>
      </w:r>
      <w:r>
        <w:rPr>
          <w:rFonts w:ascii="Arial" w:hAnsi="Arial"/>
          <w:b/>
          <w:sz w:val="24"/>
        </w:rPr>
        <w:t xml:space="preserve"> </w:t>
      </w:r>
    </w:p>
    <w:p>
      <w:pPr>
        <w:pStyle w:val="TextBody"/>
        <w:bidi w:val="0"/>
        <w:spacing w:lineRule="auto" w:line="266" w:before="93" w:after="0"/>
        <w:ind w:left="3118" w:right="1490" w:hanging="0"/>
        <w:jc w:val="left"/>
        <w:rPr>
          <w:rFonts w:ascii="Arial" w:hAnsi="Arial"/>
          <w:sz w:val="22"/>
        </w:rPr>
      </w:pPr>
      <w:r>
        <w:rPr>
          <w:rFonts w:ascii="Arial" w:hAnsi="Arial"/>
          <w:color w:val="000000"/>
          <w:sz w:val="22"/>
        </w:rPr>
        <w:t>The Borrower and the Corporate Guarantors each represent and warrant that at the time of its execution of this deed:</w:t>
      </w:r>
      <w:r>
        <w:rPr>
          <w:rFonts w:ascii="Arial" w:hAnsi="Arial"/>
          <w:sz w:val="22"/>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(a)it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capacity</w:t>
      </w:r>
      <w:r>
        <w:rPr>
          <w:rFonts w:ascii="Arial" w:hAnsi="Arial"/>
          <w:color w:val="000000"/>
          <w:sz w:val="20"/>
        </w:rPr>
        <w:t> </w:t>
      </w:r>
      <w:r>
        <w:rPr>
          <w:rFonts w:ascii="Arial" w:hAnsi="Arial"/>
          <w:color w:val="000000"/>
          <w:sz w:val="21"/>
        </w:rPr>
        <w:t>unconditionally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execute,</w:t>
      </w:r>
      <w:r>
        <w:rPr>
          <w:rFonts w:ascii="Arial" w:hAnsi="Arial"/>
          <w:color w:val="000000"/>
          <w:sz w:val="20"/>
        </w:rPr>
        <w:t> </w:t>
      </w:r>
      <w:r>
        <w:rPr>
          <w:rFonts w:ascii="Arial" w:hAnsi="Arial"/>
          <w:color w:val="000000"/>
          <w:sz w:val="21"/>
        </w:rPr>
        <w:t>deliver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 obligations under this deed;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(b)it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taken</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action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authorise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unconditional</w:t>
      </w:r>
      <w:r>
        <w:rPr>
          <w:rFonts w:ascii="Arial" w:hAnsi="Arial"/>
          <w:color w:val="000000"/>
          <w:sz w:val="20"/>
        </w:rPr>
        <w:t> </w:t>
      </w:r>
      <w:r>
        <w:rPr>
          <w:rFonts w:ascii="Arial" w:hAnsi="Arial"/>
          <w:color w:val="000000"/>
          <w:sz w:val="21"/>
        </w:rPr>
        <w:t>execution and delivery of, and compliance with, its obligations under this deed;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(c)this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constitutes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valid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legally</w:t>
      </w:r>
      <w:r>
        <w:rPr>
          <w:rFonts w:ascii="Arial" w:hAnsi="Arial"/>
          <w:color w:val="000000"/>
          <w:sz w:val="20"/>
        </w:rPr>
        <w:t> </w:t>
      </w:r>
      <w:r>
        <w:rPr>
          <w:rFonts w:ascii="Arial" w:hAnsi="Arial"/>
          <w:color w:val="000000"/>
          <w:sz w:val="21"/>
        </w:rPr>
        <w:t>binding</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is enforceable against it in accordance with its terms;</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(d)it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duly</w:t>
      </w:r>
      <w:r>
        <w:rPr>
          <w:rFonts w:ascii="Arial" w:hAnsi="Arial"/>
          <w:color w:val="000000"/>
          <w:sz w:val="20"/>
        </w:rPr>
        <w:t> </w:t>
      </w:r>
      <w:r>
        <w:rPr>
          <w:rFonts w:ascii="Arial" w:hAnsi="Arial"/>
          <w:color w:val="000000"/>
          <w:sz w:val="21"/>
        </w:rPr>
        <w:t>executed</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 expressed to be a party;</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(e)the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valid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enforceable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 their respective terms; and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(f)its unconditional execution and delivery of, and compliance with its 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do</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contravene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constituent</w:t>
      </w:r>
      <w:r>
        <w:rPr>
          <w:rFonts w:ascii="Arial" w:hAnsi="Arial"/>
          <w:color w:val="000000"/>
          <w:sz w:val="20"/>
        </w:rPr>
        <w:t> </w:t>
      </w:r>
      <w:r>
        <w:rPr>
          <w:rFonts w:ascii="Arial" w:hAnsi="Arial"/>
          <w:color w:val="000000"/>
          <w:sz w:val="21"/>
        </w:rPr>
        <w:t>documents or any obligation of it under any law or to any other person.</w:t>
      </w:r>
      <w:r>
        <w:rPr>
          <w:rFonts w:ascii="Arial" w:hAnsi="Arial"/>
          <w:sz w:val="20"/>
        </w:rPr>
        <w:t xml:space="preserve"> </w:t>
      </w:r>
    </w:p>
    <w:p>
      <w:pPr>
        <w:pStyle w:val="TextBody"/>
        <w:bidi w:val="0"/>
        <w:spacing w:before="214" w:after="0"/>
        <w:ind w:left="3725" w:right="1260" w:hanging="0"/>
        <w:jc w:val="left"/>
        <w:rPr>
          <w:rFonts w:ascii="Arial" w:hAnsi="Arial"/>
          <w:b/>
          <w:sz w:val="24"/>
        </w:rPr>
      </w:pPr>
      <w:bookmarkStart w:id="384" w:name="Survival52"/>
      <w:bookmarkEnd w:id="384"/>
      <w:r>
        <w:rPr>
          <w:rFonts w:ascii="Arial" w:hAnsi="Arial"/>
          <w:b/>
          <w:color w:val="000000"/>
          <w:sz w:val="24"/>
        </w:rPr>
        <w:t>5.2Survival of representations and warranties</w:t>
      </w:r>
      <w:r>
        <w:rPr>
          <w:rFonts w:ascii="Arial" w:hAnsi="Arial"/>
          <w:b/>
          <w:sz w:val="24"/>
        </w:rPr>
        <w:t xml:space="preserve"> </w:t>
      </w:r>
    </w:p>
    <w:p>
      <w:pPr>
        <w:pStyle w:val="TextBody"/>
        <w:pBdr/>
        <w:bidi w:val="0"/>
        <w:spacing w:lineRule="auto" w:line="266" w:before="93" w:after="0"/>
        <w:ind w:left="3118" w:right="1260" w:hanging="0"/>
        <w:jc w:val="left"/>
        <w:rPr>
          <w:rFonts w:ascii="Arial" w:hAnsi="Arial"/>
          <w:sz w:val="22"/>
        </w:rPr>
      </w:pPr>
      <w:r>
        <w:rPr>
          <w:rFonts w:ascii="Arial" w:hAnsi="Arial"/>
          <w:color w:val="000000"/>
          <w:sz w:val="22"/>
        </w:rPr>
        <w:t>The representations and warranties in </w:t>
      </w:r>
      <w:r>
        <w:rPr>
          <w:rFonts w:ascii="Arial" w:hAnsi="Arial"/>
          <w:b/>
          <w:color w:val="000000"/>
          <w:sz w:val="22"/>
        </w:rPr>
        <w:t>clause</w:t>
      </w:r>
      <w:r>
        <w:rPr>
          <w:rFonts w:ascii="Arial" w:hAnsi="Arial"/>
          <w:color w:val="000000"/>
          <w:sz w:val="22"/>
        </w:rPr>
        <w:t> </w:t>
      </w:r>
      <w:r>
        <w:rPr>
          <w:rFonts w:ascii="Arial" w:hAnsi="Arial"/>
          <w:b/>
          <w:color w:val="000000"/>
          <w:sz w:val="22"/>
        </w:rPr>
        <w:t>5.1</w:t>
      </w:r>
      <w:r>
        <w:rPr>
          <w:rFonts w:ascii="Arial" w:hAnsi="Arial"/>
          <w:color w:val="000000"/>
          <w:sz w:val="22"/>
        </w:rPr>
        <w:t> survive the execution of this deed and the amendment of the Facility Agreement.</w:t>
      </w:r>
      <w:r>
        <w:rPr>
          <w:rFonts w:ascii="Arial" w:hAnsi="Arial"/>
          <w:sz w:val="22"/>
        </w:rPr>
        <w:t xml:space="preserve"> </w:t>
      </w:r>
    </w:p>
    <w:p>
      <w:pPr>
        <w:pStyle w:val="TextBody"/>
        <w:pBdr/>
        <w:bidi w:val="0"/>
        <w:spacing w:before="212" w:after="0"/>
        <w:ind w:left="1700" w:right="126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1260" w:hanging="0"/>
        <w:jc w:val="left"/>
        <w:rPr>
          <w:rFonts w:ascii="Arial" w:hAnsi="Arial"/>
          <w:sz w:val="32"/>
        </w:rPr>
      </w:pPr>
      <w:bookmarkStart w:id="385" w:name="Acknowledgments1"/>
      <w:bookmarkEnd w:id="385"/>
      <w:r>
        <w:rPr>
          <w:rFonts w:ascii="Arial" w:hAnsi="Arial"/>
          <w:color w:val="000000"/>
          <w:sz w:val="32"/>
        </w:rPr>
        <w:t>6Acknowledgments</w:t>
      </w:r>
      <w:r>
        <w:rPr>
          <w:rFonts w:ascii="Arial" w:hAnsi="Arial"/>
          <w:sz w:val="32"/>
        </w:rPr>
        <w:t xml:space="preserve"> </w:t>
      </w:r>
    </w:p>
    <w:p>
      <w:pPr>
        <w:pStyle w:val="TextBody"/>
        <w:bidi w:val="0"/>
        <w:spacing w:before="88" w:after="0"/>
        <w:ind w:left="3118" w:right="1260" w:hanging="0"/>
        <w:jc w:val="left"/>
        <w:rPr>
          <w:rFonts w:ascii="Arial" w:hAnsi="Arial"/>
          <w:sz w:val="22"/>
        </w:rPr>
      </w:pPr>
      <w:r>
        <w:rPr>
          <w:rFonts w:ascii="Arial" w:hAnsi="Arial"/>
          <w:color w:val="000000"/>
          <w:sz w:val="22"/>
        </w:rPr>
        <w:t>The Borrower and each Corporate Guarantor:</w:t>
      </w:r>
      <w:r>
        <w:rPr>
          <w:rFonts w:ascii="Arial" w:hAnsi="Arial"/>
          <w:sz w:val="22"/>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(a)agree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amendment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effected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this</w:t>
      </w:r>
      <w:r>
        <w:rPr>
          <w:rFonts w:ascii="Arial" w:hAnsi="Arial"/>
          <w:color w:val="000000"/>
          <w:sz w:val="20"/>
        </w:rPr>
        <w:t xml:space="preserve"> </w:t>
      </w:r>
      <w:r>
        <w:rPr>
          <w:rFonts w:ascii="Arial" w:hAnsi="Arial"/>
          <w:color w:val="000000"/>
          <w:sz w:val="21"/>
        </w:rPr>
        <w:t>deed;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(b)agree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Amended Facility Agreement;</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(c)acknowledge that the Bank has agreed to execute this deed at the request of the Borrower and the Corporate Guarantors and that, except as</w:t>
      </w:r>
      <w:r>
        <w:rPr>
          <w:rFonts w:ascii="Arial" w:hAnsi="Arial"/>
          <w:color w:val="000000"/>
          <w:sz w:val="20"/>
        </w:rPr>
        <w:t> </w:t>
      </w:r>
      <w:r>
        <w:rPr>
          <w:rFonts w:ascii="Arial" w:hAnsi="Arial"/>
          <w:color w:val="000000"/>
          <w:sz w:val="21"/>
        </w:rPr>
        <w:t>expressly</w:t>
      </w:r>
      <w:r>
        <w:rPr>
          <w:rFonts w:ascii="Arial" w:hAnsi="Arial"/>
          <w:color w:val="000000"/>
          <w:sz w:val="20"/>
        </w:rPr>
        <w:t> </w:t>
      </w:r>
      <w:r>
        <w:rPr>
          <w:rFonts w:ascii="Arial" w:hAnsi="Arial"/>
          <w:color w:val="000000"/>
          <w:sz w:val="21"/>
        </w:rPr>
        <w:t>set</w:t>
      </w:r>
      <w:r>
        <w:rPr>
          <w:rFonts w:ascii="Arial" w:hAnsi="Arial"/>
          <w:color w:val="000000"/>
          <w:sz w:val="20"/>
        </w:rPr>
        <w:t> </w:t>
      </w:r>
      <w:r>
        <w:rPr>
          <w:rFonts w:ascii="Arial" w:hAnsi="Arial"/>
          <w:color w:val="000000"/>
          <w:sz w:val="21"/>
        </w:rPr>
        <w:t>forth</w:t>
      </w:r>
      <w:r>
        <w:rPr>
          <w:rFonts w:ascii="Arial" w:hAnsi="Arial"/>
          <w:color w:val="000000"/>
          <w:sz w:val="20"/>
        </w:rPr>
        <w:t> </w:t>
      </w:r>
      <w:r>
        <w:rPr>
          <w:rFonts w:ascii="Arial" w:hAnsi="Arial"/>
          <w:color w:val="000000"/>
          <w:sz w:val="21"/>
        </w:rPr>
        <w:t>herein,</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prejudice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current or future right the Bank may have against the Borrower or a Corporate Guarantor, or any other Security Provider or under or in connection with any Transaction Document; and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(d)agree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Collateral</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extends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and secures its obligations to the Bank under the Amended Facility Agreement.</w:t>
      </w:r>
      <w:r>
        <w:rPr>
          <w:rFonts w:ascii="Arial" w:hAnsi="Arial"/>
          <w:sz w:val="20"/>
        </w:rPr>
        <w:t xml:space="preserve"> </w:t>
      </w:r>
    </w:p>
    <w:p>
      <w:pPr>
        <w:pStyle w:val="TextBody"/>
        <w:bidi w:val="0"/>
        <w:spacing w:lineRule="auto" w:line="266" w:before="119" w:after="0"/>
        <w:ind w:left="3646" w:right="1260" w:hanging="567"/>
        <w:jc w:val="left"/>
        <w:rPr/>
      </w:pPr>
      <w:r>
        <w:rPr/>
        <w:t xml:space="preserve">  </w:t>
      </w:r>
    </w:p>
    <w:tbl>
      <w:tblPr>
        <w:tblW w:w="1900" w:type="dxa"/>
        <w:jc w:val="left"/>
        <w:tblInd w:w="1700" w:type="dxa"/>
        <w:tblLayout w:type="fixed"/>
        <w:tblCellMar>
          <w:top w:w="0" w:type="dxa"/>
          <w:left w:w="0" w:type="dxa"/>
          <w:bottom w:w="28" w:type="dxa"/>
          <w:right w:w="0" w:type="dxa"/>
        </w:tblCellMar>
      </w:tblPr>
      <w:tblGrid>
        <w:gridCol w:w="1370"/>
        <w:gridCol w:w="53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53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3</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32"/>
        </w:rPr>
      </w:pPr>
      <w:r>
        <w:rPr>
          <w:rFonts w:cs="Arial"/>
          <w:szCs w:val="32"/>
        </w:rPr>
        <w:t xml:space="preserve">﻿ </w:t>
      </w:r>
    </w:p>
    <w:p>
      <w:pPr>
        <w:pStyle w:val="TextBody"/>
        <w:pBdr/>
        <w:bidi w:val="0"/>
        <w:spacing w:before="43" w:after="0"/>
        <w:ind w:left="1700" w:right="1260" w:hanging="0"/>
        <w:jc w:val="left"/>
        <w:rPr>
          <w:rFonts w:cs="Arial"/>
          <w:szCs w:val="32"/>
        </w:rPr>
      </w:pPr>
      <w:r>
        <w:rPr>
          <w:rFonts w:cs="Arial"/>
          <w:szCs w:val="32"/>
        </w:rPr>
        <w:t xml:space="preserve">﻿ </w:t>
      </w:r>
    </w:p>
    <w:p>
      <w:pPr>
        <w:pStyle w:val="TextBody"/>
        <w:bidi w:val="0"/>
        <w:spacing w:before="0" w:after="0"/>
        <w:ind w:left="3230" w:right="1260" w:hanging="0"/>
        <w:jc w:val="left"/>
        <w:rPr>
          <w:rFonts w:ascii="Arial" w:hAnsi="Arial"/>
          <w:sz w:val="32"/>
        </w:rPr>
      </w:pPr>
      <w:bookmarkStart w:id="386" w:name="General1"/>
      <w:bookmarkEnd w:id="386"/>
      <w:r>
        <w:rPr>
          <w:rFonts w:ascii="Arial" w:hAnsi="Arial"/>
          <w:color w:val="000000"/>
          <w:sz w:val="32"/>
        </w:rPr>
        <w:t>7General</w:t>
      </w:r>
      <w:r>
        <w:rPr>
          <w:rFonts w:ascii="Arial" w:hAnsi="Arial"/>
          <w:sz w:val="32"/>
        </w:rPr>
        <w:t xml:space="preserve"> </w:t>
      </w:r>
    </w:p>
    <w:p>
      <w:pPr>
        <w:pStyle w:val="TextBody"/>
        <w:bidi w:val="0"/>
        <w:spacing w:before="214" w:after="0"/>
        <w:ind w:left="3725" w:right="1260" w:hanging="0"/>
        <w:jc w:val="left"/>
        <w:rPr>
          <w:rFonts w:ascii="Arial" w:hAnsi="Arial"/>
          <w:b/>
          <w:sz w:val="24"/>
        </w:rPr>
      </w:pPr>
      <w:bookmarkStart w:id="387" w:name="Amendment711"/>
      <w:bookmarkEnd w:id="387"/>
      <w:r>
        <w:rPr>
          <w:rFonts w:ascii="Arial" w:hAnsi="Arial"/>
          <w:b/>
          <w:color w:val="000000"/>
          <w:sz w:val="24"/>
        </w:rPr>
        <w:t>7.1Amendment</w:t>
      </w:r>
      <w:r>
        <w:rPr>
          <w:rFonts w:ascii="Arial" w:hAnsi="Arial"/>
          <w:b/>
          <w:sz w:val="24"/>
        </w:rPr>
        <w:t xml:space="preserve"> </w:t>
      </w:r>
    </w:p>
    <w:p>
      <w:pPr>
        <w:pStyle w:val="TextBody"/>
        <w:bidi w:val="0"/>
        <w:spacing w:lineRule="auto" w:line="266" w:before="93" w:after="0"/>
        <w:ind w:left="3118" w:right="1376" w:hanging="0"/>
        <w:jc w:val="left"/>
        <w:rPr>
          <w:rFonts w:ascii="Arial" w:hAnsi="Arial"/>
          <w:sz w:val="22"/>
        </w:rPr>
      </w:pPr>
      <w:r>
        <w:rPr>
          <w:rFonts w:ascii="Arial" w:hAnsi="Arial"/>
          <w:color w:val="000000"/>
          <w:sz w:val="22"/>
        </w:rPr>
        <w:t>This deed may only be varied or replaced by a deed executed by all of the parties to this deed.</w:t>
      </w:r>
      <w:r>
        <w:rPr>
          <w:rFonts w:ascii="Arial" w:hAnsi="Arial"/>
          <w:sz w:val="22"/>
        </w:rPr>
        <w:t xml:space="preserve"> </w:t>
      </w:r>
    </w:p>
    <w:p>
      <w:pPr>
        <w:pStyle w:val="TextBody"/>
        <w:bidi w:val="0"/>
        <w:spacing w:before="214" w:after="0"/>
        <w:ind w:left="3725" w:right="1260" w:hanging="0"/>
        <w:jc w:val="left"/>
        <w:rPr>
          <w:rFonts w:ascii="Arial" w:hAnsi="Arial"/>
          <w:b/>
          <w:sz w:val="24"/>
        </w:rPr>
      </w:pPr>
      <w:bookmarkStart w:id="388" w:name="Construction721"/>
      <w:bookmarkEnd w:id="388"/>
      <w:r>
        <w:rPr>
          <w:rFonts w:ascii="Arial" w:hAnsi="Arial"/>
          <w:b/>
          <w:color w:val="000000"/>
          <w:sz w:val="24"/>
        </w:rPr>
        <w:t>7.2Construction</w:t>
      </w:r>
      <w:r>
        <w:rPr>
          <w:rFonts w:ascii="Arial" w:hAnsi="Arial"/>
          <w:b/>
          <w:sz w:val="24"/>
        </w:rPr>
        <w:t xml:space="preserve"> </w:t>
      </w:r>
    </w:p>
    <w:p>
      <w:pPr>
        <w:pStyle w:val="TextBody"/>
        <w:bidi w:val="0"/>
        <w:spacing w:lineRule="auto" w:line="266" w:before="93" w:after="0"/>
        <w:ind w:left="3120" w:right="1376" w:hanging="0"/>
        <w:jc w:val="left"/>
        <w:rPr>
          <w:rFonts w:ascii="Arial" w:hAnsi="Arial"/>
          <w:sz w:val="22"/>
        </w:rPr>
      </w:pPr>
      <w:r>
        <w:rPr>
          <w:rFonts w:ascii="Arial" w:hAnsi="Arial"/>
          <w:color w:val="000000"/>
          <w:sz w:val="22"/>
        </w:rPr>
        <w:t>Clause 1.2 of the Facility Agreement applies to this deed as if set out in full in this deed with such changes as are necessary.</w:t>
      </w:r>
      <w:r>
        <w:rPr>
          <w:rFonts w:ascii="Arial" w:hAnsi="Arial"/>
          <w:sz w:val="22"/>
        </w:rPr>
        <w:t xml:space="preserve"> </w:t>
      </w:r>
    </w:p>
    <w:p>
      <w:pPr>
        <w:pStyle w:val="TextBody"/>
        <w:bidi w:val="0"/>
        <w:spacing w:before="214" w:after="0"/>
        <w:ind w:left="3725" w:right="1260" w:hanging="0"/>
        <w:jc w:val="left"/>
        <w:rPr>
          <w:rFonts w:ascii="Arial" w:hAnsi="Arial"/>
          <w:b/>
          <w:sz w:val="24"/>
        </w:rPr>
      </w:pPr>
      <w:bookmarkStart w:id="389" w:name="Counterparts731"/>
      <w:bookmarkEnd w:id="389"/>
      <w:r>
        <w:rPr>
          <w:rFonts w:ascii="Arial" w:hAnsi="Arial"/>
          <w:b/>
          <w:color w:val="000000"/>
          <w:sz w:val="24"/>
        </w:rPr>
        <w:t>7.3Counterparts</w:t>
      </w:r>
      <w:r>
        <w:rPr>
          <w:rFonts w:ascii="Arial" w:hAnsi="Arial"/>
          <w:b/>
          <w:sz w:val="24"/>
        </w:rPr>
        <w:t xml:space="preserve"> </w:t>
      </w:r>
    </w:p>
    <w:p>
      <w:pPr>
        <w:pStyle w:val="TextBody"/>
        <w:bidi w:val="0"/>
        <w:spacing w:lineRule="auto" w:line="266" w:before="94" w:after="0"/>
        <w:ind w:left="3118" w:right="1490" w:hanging="0"/>
        <w:jc w:val="left"/>
        <w:rPr>
          <w:rFonts w:ascii="Arial" w:hAnsi="Arial"/>
          <w:sz w:val="22"/>
        </w:rPr>
      </w:pPr>
      <w:r>
        <w:rPr>
          <w:rFonts w:ascii="Arial" w:hAnsi="Arial"/>
          <w:color w:val="000000"/>
          <w:sz w:val="22"/>
        </w:rPr>
        <w:t>This deed may consist of a number of counterparts and, if so, the counterparts taken together constitute one deed.</w:t>
      </w:r>
      <w:r>
        <w:rPr>
          <w:rFonts w:ascii="Arial" w:hAnsi="Arial"/>
          <w:sz w:val="22"/>
        </w:rPr>
        <w:t xml:space="preserve"> </w:t>
      </w:r>
    </w:p>
    <w:p>
      <w:pPr>
        <w:pStyle w:val="TextBody"/>
        <w:bidi w:val="0"/>
        <w:spacing w:before="214" w:after="0"/>
        <w:ind w:left="3725" w:right="1260" w:hanging="0"/>
        <w:jc w:val="left"/>
        <w:rPr>
          <w:rFonts w:ascii="Arial" w:hAnsi="Arial"/>
          <w:b/>
          <w:sz w:val="24"/>
        </w:rPr>
      </w:pPr>
      <w:bookmarkStart w:id="390" w:name="Deed741"/>
      <w:bookmarkEnd w:id="390"/>
      <w:r>
        <w:rPr>
          <w:rFonts w:ascii="Arial" w:hAnsi="Arial"/>
          <w:b/>
          <w:color w:val="000000"/>
          <w:sz w:val="24"/>
        </w:rPr>
        <w:t>7.4Deed</w:t>
      </w:r>
      <w:r>
        <w:rPr>
          <w:rFonts w:ascii="Arial" w:hAnsi="Arial"/>
          <w:b/>
          <w:sz w:val="24"/>
        </w:rPr>
        <w:t xml:space="preserve"> </w:t>
      </w:r>
    </w:p>
    <w:p>
      <w:pPr>
        <w:pStyle w:val="TextBody"/>
        <w:bidi w:val="0"/>
        <w:spacing w:lineRule="auto" w:line="266" w:before="91" w:after="0"/>
        <w:ind w:left="3120" w:right="1260" w:hanging="0"/>
        <w:jc w:val="left"/>
        <w:rPr>
          <w:rFonts w:ascii="Arial" w:hAnsi="Arial"/>
          <w:sz w:val="22"/>
        </w:rPr>
      </w:pPr>
      <w:r>
        <w:rPr>
          <w:rFonts w:ascii="Arial" w:hAnsi="Arial"/>
          <w:color w:val="000000"/>
          <w:sz w:val="22"/>
        </w:rPr>
        <w:t>This document is a deed. Factors which might suggest otherwise are to be disregarded.</w:t>
      </w:r>
      <w:r>
        <w:rPr>
          <w:rFonts w:ascii="Arial" w:hAnsi="Arial"/>
          <w:sz w:val="22"/>
        </w:rPr>
        <w:t xml:space="preserve"> </w:t>
      </w:r>
    </w:p>
    <w:p>
      <w:pPr>
        <w:pStyle w:val="TextBody"/>
        <w:bidi w:val="0"/>
        <w:spacing w:before="214" w:after="0"/>
        <w:ind w:left="3725" w:right="1260" w:hanging="0"/>
        <w:jc w:val="left"/>
        <w:rPr>
          <w:rFonts w:ascii="Arial" w:hAnsi="Arial"/>
          <w:b/>
          <w:sz w:val="24"/>
        </w:rPr>
      </w:pPr>
      <w:bookmarkStart w:id="391" w:name="Duty751"/>
      <w:bookmarkEnd w:id="391"/>
      <w:r>
        <w:rPr>
          <w:rFonts w:ascii="Arial" w:hAnsi="Arial"/>
          <w:b/>
          <w:color w:val="000000"/>
          <w:sz w:val="24"/>
        </w:rPr>
        <w:t>7.5Duty</w:t>
      </w:r>
      <w:r>
        <w:rPr>
          <w:rFonts w:ascii="Arial" w:hAnsi="Arial"/>
          <w:b/>
          <w:sz w:val="24"/>
        </w:rPr>
        <w:t xml:space="preserve"> </w:t>
      </w:r>
    </w:p>
    <w:p>
      <w:pPr>
        <w:pStyle w:val="TextBody"/>
        <w:bidi w:val="0"/>
        <w:spacing w:lineRule="auto" w:line="266" w:before="93" w:after="0"/>
        <w:ind w:left="3118" w:right="1260" w:hanging="0"/>
        <w:jc w:val="left"/>
        <w:rPr>
          <w:rFonts w:ascii="Arial" w:hAnsi="Arial"/>
          <w:sz w:val="22"/>
        </w:rPr>
      </w:pPr>
      <w:r>
        <w:rPr>
          <w:rFonts w:ascii="Arial" w:hAnsi="Arial"/>
          <w:color w:val="000000"/>
          <w:sz w:val="22"/>
        </w:rPr>
        <w:t>The Borrower, as between the parties, is liable for and must pay all duty (including any fine, interest or penalty except where it arises from default by the other party) on or relating to this deed, any document executed under it or any dutiable transaction evidenced or effected by it.</w:t>
      </w:r>
      <w:r>
        <w:rPr>
          <w:rFonts w:ascii="Arial" w:hAnsi="Arial"/>
          <w:sz w:val="22"/>
        </w:rPr>
        <w:t xml:space="preserve"> </w:t>
      </w:r>
    </w:p>
    <w:p>
      <w:pPr>
        <w:pStyle w:val="TextBody"/>
        <w:bidi w:val="0"/>
        <w:spacing w:before="214" w:after="0"/>
        <w:ind w:left="3725" w:right="1260" w:hanging="0"/>
        <w:jc w:val="left"/>
        <w:rPr>
          <w:rFonts w:ascii="Arial" w:hAnsi="Arial"/>
          <w:b/>
          <w:sz w:val="24"/>
        </w:rPr>
      </w:pPr>
      <w:bookmarkStart w:id="392" w:name="Entire_understanding761"/>
      <w:bookmarkEnd w:id="392"/>
      <w:r>
        <w:rPr>
          <w:rFonts w:ascii="Arial" w:hAnsi="Arial"/>
          <w:b/>
          <w:color w:val="000000"/>
          <w:sz w:val="24"/>
        </w:rPr>
        <w:t>7.6Entire understanding</w:t>
      </w:r>
      <w:r>
        <w:rPr>
          <w:rFonts w:ascii="Arial" w:hAnsi="Arial"/>
          <w:b/>
          <w:sz w:val="24"/>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(a)This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contains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entire</w:t>
      </w:r>
      <w:r>
        <w:rPr>
          <w:rFonts w:ascii="Arial" w:hAnsi="Arial"/>
          <w:color w:val="000000"/>
          <w:sz w:val="20"/>
        </w:rPr>
        <w:t> </w:t>
      </w:r>
      <w:r>
        <w:rPr>
          <w:rFonts w:ascii="Arial" w:hAnsi="Arial"/>
          <w:color w:val="000000"/>
          <w:sz w:val="21"/>
        </w:rPr>
        <w:t>understanding</w:t>
      </w:r>
      <w:r>
        <w:rPr>
          <w:rFonts w:ascii="Arial" w:hAnsi="Arial"/>
          <w:color w:val="000000"/>
          <w:sz w:val="20"/>
        </w:rPr>
        <w:t> </w:t>
      </w:r>
      <w:r>
        <w:rPr>
          <w:rFonts w:ascii="Arial" w:hAnsi="Arial"/>
          <w:color w:val="000000"/>
          <w:sz w:val="21"/>
        </w:rPr>
        <w:t>between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to the subject matter of this deed.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(b)All previous negotiations, understandings, representations, warranties, memoranda</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commitments</w:t>
      </w:r>
      <w:r>
        <w:rPr>
          <w:rFonts w:ascii="Arial" w:hAnsi="Arial"/>
          <w:color w:val="000000"/>
          <w:sz w:val="20"/>
        </w:rPr>
        <w:t> </w:t>
      </w:r>
      <w:r>
        <w:rPr>
          <w:rFonts w:ascii="Arial" w:hAnsi="Arial"/>
          <w:color w:val="000000"/>
          <w:sz w:val="21"/>
        </w:rPr>
        <w:t>concerning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matter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 are merged in and superseded by this deed and are of no effect.</w:t>
      </w:r>
      <w:r>
        <w:rPr>
          <w:rFonts w:ascii="Arial" w:hAnsi="Arial"/>
          <w:color w:val="000000"/>
          <w:sz w:val="20"/>
        </w:rPr>
        <w:t> </w:t>
      </w:r>
      <w:r>
        <w:rPr>
          <w:rFonts w:ascii="Arial" w:hAnsi="Arial"/>
          <w:color w:val="000000"/>
          <w:sz w:val="21"/>
        </w:rPr>
        <w:t>No party is liable to any other party in respect of those matters.</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(c)No</w:t>
      </w:r>
      <w:r>
        <w:rPr>
          <w:rFonts w:ascii="Arial" w:hAnsi="Arial"/>
          <w:color w:val="000000"/>
          <w:sz w:val="20"/>
        </w:rPr>
        <w:t> </w:t>
      </w:r>
      <w:r>
        <w:rPr>
          <w:rFonts w:ascii="Arial" w:hAnsi="Arial"/>
          <w:color w:val="000000"/>
          <w:sz w:val="21"/>
        </w:rPr>
        <w:t>oral</w:t>
      </w:r>
      <w:r>
        <w:rPr>
          <w:rFonts w:ascii="Arial" w:hAnsi="Arial"/>
          <w:color w:val="000000"/>
          <w:sz w:val="20"/>
        </w:rPr>
        <w:t> </w:t>
      </w:r>
      <w:r>
        <w:rPr>
          <w:rFonts w:ascii="Arial" w:hAnsi="Arial"/>
          <w:color w:val="000000"/>
          <w:sz w:val="21"/>
        </w:rPr>
        <w:t>explanation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information</w:t>
      </w:r>
      <w:r>
        <w:rPr>
          <w:rFonts w:ascii="Arial" w:hAnsi="Arial"/>
          <w:color w:val="000000"/>
          <w:sz w:val="20"/>
        </w:rPr>
        <w:t> </w:t>
      </w:r>
      <w:r>
        <w:rPr>
          <w:rFonts w:ascii="Arial" w:hAnsi="Arial"/>
          <w:color w:val="000000"/>
          <w:sz w:val="21"/>
        </w:rPr>
        <w:t>provided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another:</w:t>
      </w:r>
      <w:r>
        <w:rPr>
          <w:rFonts w:ascii="Arial" w:hAnsi="Arial"/>
          <w:sz w:val="20"/>
        </w:rPr>
        <w:t xml:space="preserve"> </w:t>
      </w:r>
    </w:p>
    <w:p>
      <w:pPr>
        <w:pStyle w:val="TextBody"/>
        <w:bidi w:val="0"/>
        <w:spacing w:before="147" w:after="0"/>
        <w:ind w:left="4253" w:right="1260" w:hanging="0"/>
        <w:jc w:val="left"/>
        <w:rPr>
          <w:rFonts w:ascii="Arial" w:hAnsi="Arial"/>
          <w:sz w:val="20"/>
        </w:rPr>
      </w:pPr>
      <w:r>
        <w:rPr>
          <w:rFonts w:ascii="Arial" w:hAnsi="Arial"/>
          <w:color w:val="000000"/>
          <w:sz w:val="21"/>
        </w:rPr>
        <w:t>(i)affects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meaning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interpretation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or</w:t>
      </w:r>
      <w:r>
        <w:rPr>
          <w:rFonts w:ascii="Arial" w:hAnsi="Arial"/>
          <w:sz w:val="20"/>
        </w:rPr>
        <w:t xml:space="preserve"> </w:t>
      </w:r>
    </w:p>
    <w:p>
      <w:pPr>
        <w:pStyle w:val="TextBody"/>
        <w:bidi w:val="0"/>
        <w:spacing w:lineRule="auto" w:line="266" w:before="147" w:after="0"/>
        <w:ind w:left="4253" w:right="1720" w:hanging="0"/>
        <w:jc w:val="left"/>
        <w:rPr>
          <w:rFonts w:ascii="Arial" w:hAnsi="Arial"/>
          <w:sz w:val="20"/>
        </w:rPr>
      </w:pPr>
      <w:r>
        <w:rPr>
          <w:rFonts w:ascii="Arial" w:hAnsi="Arial"/>
          <w:color w:val="000000"/>
          <w:sz w:val="21"/>
        </w:rPr>
        <w:t>(ii)constitutes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collateral</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warranty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understanding between any of the parties.</w:t>
      </w:r>
      <w:r>
        <w:rPr>
          <w:rFonts w:ascii="Arial" w:hAnsi="Arial"/>
          <w:sz w:val="20"/>
        </w:rPr>
        <w:t xml:space="preserve"> </w:t>
      </w:r>
    </w:p>
    <w:p>
      <w:pPr>
        <w:pStyle w:val="TextBody"/>
        <w:bidi w:val="0"/>
        <w:spacing w:before="214" w:after="0"/>
        <w:ind w:left="3725" w:right="1260" w:hanging="0"/>
        <w:jc w:val="left"/>
        <w:rPr>
          <w:rFonts w:ascii="Arial" w:hAnsi="Arial"/>
          <w:b/>
          <w:sz w:val="24"/>
        </w:rPr>
      </w:pPr>
      <w:bookmarkStart w:id="393" w:name="Further_steps771"/>
      <w:bookmarkEnd w:id="393"/>
      <w:r>
        <w:rPr>
          <w:rFonts w:ascii="Arial" w:hAnsi="Arial"/>
          <w:b/>
          <w:color w:val="000000"/>
          <w:sz w:val="24"/>
        </w:rPr>
        <w:t>7.7Further steps</w:t>
      </w:r>
      <w:r>
        <w:rPr>
          <w:rFonts w:ascii="Arial" w:hAnsi="Arial"/>
          <w:b/>
          <w:sz w:val="24"/>
        </w:rPr>
        <w:t xml:space="preserve"> </w:t>
      </w:r>
    </w:p>
    <w:p>
      <w:pPr>
        <w:pStyle w:val="TextBody"/>
        <w:bidi w:val="0"/>
        <w:spacing w:lineRule="auto" w:line="266" w:before="93" w:after="0"/>
        <w:ind w:left="3118" w:right="1376" w:hanging="0"/>
        <w:jc w:val="left"/>
        <w:rPr>
          <w:rFonts w:ascii="Arial" w:hAnsi="Arial"/>
          <w:sz w:val="22"/>
        </w:rPr>
      </w:pPr>
      <w:r>
        <w:rPr>
          <w:rFonts w:ascii="Arial" w:hAnsi="Arial"/>
          <w:color w:val="000000"/>
          <w:sz w:val="22"/>
        </w:rPr>
        <w:t>Each party must promptly do whatever any other party reasonably requires of it to give effect to this deed and to perform its obligations under it.</w:t>
      </w:r>
      <w:r>
        <w:rPr>
          <w:rFonts w:ascii="Arial" w:hAnsi="Arial"/>
          <w:sz w:val="22"/>
        </w:rPr>
        <w:t xml:space="preserve"> </w:t>
      </w:r>
    </w:p>
    <w:p>
      <w:pPr>
        <w:pStyle w:val="TextBody"/>
        <w:bidi w:val="0"/>
        <w:spacing w:before="214" w:after="0"/>
        <w:ind w:left="3725" w:right="1260" w:hanging="0"/>
        <w:jc w:val="left"/>
        <w:rPr>
          <w:rFonts w:ascii="Arial" w:hAnsi="Arial"/>
          <w:b/>
          <w:sz w:val="24"/>
        </w:rPr>
      </w:pPr>
      <w:bookmarkStart w:id="394" w:name="Governing_law_and_jurisdiction781"/>
      <w:bookmarkEnd w:id="394"/>
      <w:r>
        <w:rPr>
          <w:rFonts w:ascii="Arial" w:hAnsi="Arial"/>
          <w:b/>
          <w:color w:val="000000"/>
          <w:sz w:val="24"/>
        </w:rPr>
        <w:t>7.8Governing law and jurisdiction</w:t>
      </w:r>
      <w:r>
        <w:rPr>
          <w:rFonts w:ascii="Arial" w:hAnsi="Arial"/>
          <w:b/>
          <w:sz w:val="24"/>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(a)This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governed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construed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 laws applicable in the Relevant Jurisdiction.</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(b)Each</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unconditionally</w:t>
      </w:r>
      <w:r>
        <w:rPr>
          <w:rFonts w:ascii="Arial" w:hAnsi="Arial"/>
          <w:color w:val="000000"/>
          <w:sz w:val="20"/>
        </w:rPr>
        <w:t> </w:t>
      </w:r>
      <w:r>
        <w:rPr>
          <w:rFonts w:ascii="Arial" w:hAnsi="Arial"/>
          <w:color w:val="000000"/>
          <w:sz w:val="21"/>
        </w:rPr>
        <w:t>submits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non-exclusive jurisdiction of the courts exercising jurisdiction in the Relevant Jurisdiction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courts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jurisdiction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hear</w:t>
      </w:r>
      <w:r>
        <w:rPr>
          <w:rFonts w:ascii="Arial" w:hAnsi="Arial"/>
          <w:color w:val="000000"/>
          <w:sz w:val="20"/>
        </w:rPr>
        <w:t> </w:t>
      </w:r>
      <w:r>
        <w:rPr>
          <w:rFonts w:ascii="Arial" w:hAnsi="Arial"/>
          <w:color w:val="000000"/>
          <w:sz w:val="21"/>
        </w:rPr>
        <w:t>appeals</w:t>
      </w:r>
      <w:r>
        <w:rPr>
          <w:rFonts w:ascii="Arial" w:hAnsi="Arial"/>
          <w:color w:val="000000"/>
          <w:sz w:val="20"/>
        </w:rPr>
        <w:t> </w:t>
      </w:r>
      <w:r>
        <w:rPr>
          <w:rFonts w:ascii="Arial" w:hAnsi="Arial"/>
          <w:color w:val="000000"/>
          <w:sz w:val="21"/>
        </w:rPr>
        <w:t>from</w:t>
      </w:r>
      <w:r>
        <w:rPr>
          <w:rFonts w:ascii="Arial" w:hAnsi="Arial"/>
          <w:sz w:val="20"/>
        </w:rPr>
        <w:t xml:space="preserve"> </w:t>
      </w:r>
    </w:p>
    <w:p>
      <w:pPr>
        <w:pStyle w:val="TextBody"/>
        <w:bidi w:val="0"/>
        <w:spacing w:lineRule="auto" w:line="266" w:before="119" w:after="0"/>
        <w:ind w:left="3646" w:right="1260" w:hanging="567"/>
        <w:jc w:val="left"/>
        <w:rPr/>
      </w:pPr>
      <w:r>
        <w:rPr/>
        <w:t xml:space="preserve">  </w:t>
      </w:r>
    </w:p>
    <w:tbl>
      <w:tblPr>
        <w:tblW w:w="1900" w:type="dxa"/>
        <w:jc w:val="left"/>
        <w:tblInd w:w="1700" w:type="dxa"/>
        <w:tblLayout w:type="fixed"/>
        <w:tblCellMar>
          <w:top w:w="0" w:type="dxa"/>
          <w:left w:w="0" w:type="dxa"/>
          <w:bottom w:w="28" w:type="dxa"/>
          <w:right w:w="0" w:type="dxa"/>
        </w:tblCellMar>
      </w:tblPr>
      <w:tblGrid>
        <w:gridCol w:w="1370"/>
        <w:gridCol w:w="53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53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4</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22"/>
        </w:rPr>
      </w:pPr>
      <w:r>
        <w:rPr>
          <w:rFonts w:cs="Arial"/>
          <w:szCs w:val="22"/>
        </w:rPr>
        <w:t xml:space="preserve">﻿ </w:t>
      </w:r>
    </w:p>
    <w:p>
      <w:pPr>
        <w:pStyle w:val="TextBody"/>
        <w:pBdr/>
        <w:bidi w:val="0"/>
        <w:spacing w:before="0" w:after="0"/>
        <w:ind w:left="1700" w:right="1260" w:hanging="0"/>
        <w:jc w:val="left"/>
        <w:rPr>
          <w:rFonts w:cs="Arial"/>
          <w:szCs w:val="22"/>
        </w:rPr>
      </w:pPr>
      <w:r>
        <w:rPr>
          <w:rFonts w:cs="Arial"/>
          <w:szCs w:val="22"/>
        </w:rPr>
        <w:t xml:space="preserve">﻿ </w:t>
      </w:r>
    </w:p>
    <w:p>
      <w:pPr>
        <w:pStyle w:val="TextBody"/>
        <w:pBdr/>
        <w:bidi w:val="0"/>
        <w:spacing w:before="0" w:after="0"/>
        <w:ind w:left="1700" w:right="1260" w:hanging="0"/>
        <w:jc w:val="left"/>
        <w:rPr>
          <w:rFonts w:cs="Arial"/>
          <w:szCs w:val="22"/>
        </w:rPr>
      </w:pPr>
      <w:r>
        <w:rPr>
          <w:rFonts w:cs="Arial"/>
          <w:szCs w:val="22"/>
        </w:rPr>
        <w:t xml:space="preserve">﻿ </w:t>
      </w:r>
    </w:p>
    <w:p>
      <w:pPr>
        <w:pStyle w:val="TextBody"/>
        <w:pBdr/>
        <w:bidi w:val="0"/>
        <w:spacing w:before="208" w:after="0"/>
        <w:ind w:left="1700" w:right="1260" w:hanging="0"/>
        <w:jc w:val="left"/>
        <w:rPr>
          <w:rFonts w:cs="Arial"/>
          <w:szCs w:val="22"/>
        </w:rPr>
      </w:pPr>
      <w:r>
        <w:rPr>
          <w:rFonts w:cs="Arial"/>
          <w:szCs w:val="22"/>
        </w:rPr>
        <w:t xml:space="preserve">﻿ </w:t>
      </w:r>
    </w:p>
    <w:p>
      <w:pPr>
        <w:pStyle w:val="TextBody"/>
        <w:pBdr/>
        <w:bidi w:val="0"/>
        <w:spacing w:lineRule="auto" w:line="266" w:before="0" w:after="0"/>
        <w:ind w:left="3687" w:right="1376" w:hanging="0"/>
        <w:jc w:val="left"/>
        <w:rPr>
          <w:rFonts w:ascii="Arial" w:hAnsi="Arial"/>
          <w:sz w:val="22"/>
        </w:rPr>
      </w:pPr>
      <w:r>
        <w:rPr>
          <w:rFonts w:ascii="Arial" w:hAnsi="Arial"/>
          <w:sz w:val="22"/>
        </w:rPr>
        <w:t xml:space="preserve">any of those courts and waives any right to object to any proceedings being brought in those courts. </w:t>
      </w:r>
    </w:p>
    <w:p>
      <w:pPr>
        <w:pStyle w:val="TextBody"/>
        <w:bidi w:val="0"/>
        <w:spacing w:before="214" w:after="0"/>
        <w:ind w:left="3725" w:right="1260" w:hanging="0"/>
        <w:jc w:val="left"/>
        <w:rPr>
          <w:rFonts w:ascii="Arial" w:hAnsi="Arial"/>
          <w:b/>
          <w:sz w:val="24"/>
        </w:rPr>
      </w:pPr>
      <w:bookmarkStart w:id="395" w:name="Legal_costs"/>
      <w:bookmarkEnd w:id="395"/>
      <w:r>
        <w:rPr>
          <w:rFonts w:ascii="Arial" w:hAnsi="Arial"/>
          <w:b/>
          <w:color w:val="000000"/>
          <w:sz w:val="24"/>
        </w:rPr>
        <w:t>7.9Legal costs</w:t>
      </w:r>
      <w:r>
        <w:rPr>
          <w:rFonts w:ascii="Arial" w:hAnsi="Arial"/>
          <w:b/>
          <w:sz w:val="24"/>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reimburse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the cost of stamping and registering this deed and the reasonable legal and other costs and expenses of the Bank in relation to:</w:t>
      </w:r>
      <w:r>
        <w:rPr>
          <w:rFonts w:ascii="Arial" w:hAnsi="Arial"/>
          <w:sz w:val="20"/>
        </w:rPr>
        <w:t xml:space="preserve"> </w:t>
      </w:r>
    </w:p>
    <w:p>
      <w:pPr>
        <w:pStyle w:val="TextBody"/>
        <w:bidi w:val="0"/>
        <w:spacing w:before="120" w:after="0"/>
        <w:ind w:left="4253" w:right="1260"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negotiation,</w:t>
      </w:r>
      <w:r>
        <w:rPr>
          <w:rFonts w:ascii="Arial" w:hAnsi="Arial"/>
          <w:color w:val="000000"/>
          <w:sz w:val="20"/>
        </w:rPr>
        <w:t> </w:t>
      </w:r>
      <w:r>
        <w:rPr>
          <w:rFonts w:ascii="Arial" w:hAnsi="Arial"/>
          <w:color w:val="000000"/>
          <w:sz w:val="21"/>
        </w:rPr>
        <w:t>preparation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and</w:t>
      </w:r>
      <w:r>
        <w:rPr>
          <w:rFonts w:ascii="Arial" w:hAnsi="Arial"/>
          <w:sz w:val="20"/>
        </w:rPr>
        <w:t xml:space="preserve"> </w:t>
      </w:r>
    </w:p>
    <w:p>
      <w:pPr>
        <w:pStyle w:val="TextBody"/>
        <w:bidi w:val="0"/>
        <w:spacing w:before="147" w:after="0"/>
        <w:ind w:left="4253" w:right="1260"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performance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sz w:val="20"/>
        </w:rPr>
        <w:t xml:space="preserve"> </w:t>
      </w:r>
    </w:p>
    <w:p>
      <w:pPr>
        <w:pStyle w:val="TextBody"/>
        <w:bidi w:val="0"/>
        <w:spacing w:lineRule="auto" w:line="266" w:before="118" w:after="0"/>
        <w:ind w:left="3687" w:right="1414" w:hanging="0"/>
        <w:jc w:val="left"/>
        <w:rPr>
          <w:rFonts w:ascii="Arial" w:hAnsi="Arial"/>
          <w:sz w:val="20"/>
        </w:rPr>
      </w:pPr>
      <w:r>
        <w:rPr>
          <w:rFonts w:ascii="Arial" w:hAnsi="Arial"/>
          <w:color w:val="000000"/>
          <w:sz w:val="21"/>
        </w:rPr>
        <w:t>(b)Except as expressly stated otherwise in this deed, each party</w:t>
      </w:r>
      <w:r>
        <w:rPr>
          <w:rFonts w:ascii="Arial" w:hAnsi="Arial"/>
          <w:color w:val="000000"/>
          <w:sz w:val="20"/>
        </w:rPr>
        <w:t> </w:t>
      </w:r>
      <w:r>
        <w:rPr>
          <w:rFonts w:ascii="Arial" w:hAnsi="Arial"/>
          <w:color w:val="000000"/>
          <w:sz w:val="21"/>
        </w:rPr>
        <w:t>must pay its</w:t>
      </w:r>
      <w:r>
        <w:rPr>
          <w:rFonts w:ascii="Arial" w:hAnsi="Arial"/>
          <w:color w:val="000000"/>
          <w:sz w:val="20"/>
        </w:rPr>
        <w:t> </w:t>
      </w:r>
      <w:r>
        <w:rPr>
          <w:rFonts w:ascii="Arial" w:hAnsi="Arial"/>
          <w:color w:val="000000"/>
          <w:sz w:val="21"/>
        </w:rPr>
        <w:t>own</w:t>
      </w:r>
      <w:r>
        <w:rPr>
          <w:rFonts w:ascii="Arial" w:hAnsi="Arial"/>
          <w:color w:val="000000"/>
          <w:sz w:val="20"/>
        </w:rPr>
        <w:t> </w:t>
      </w:r>
      <w:r>
        <w:rPr>
          <w:rFonts w:ascii="Arial" w:hAnsi="Arial"/>
          <w:color w:val="000000"/>
          <w:sz w:val="21"/>
        </w:rPr>
        <w:t>legal</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expenses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performing</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 under this deed.</w:t>
      </w:r>
      <w:r>
        <w:rPr>
          <w:rFonts w:ascii="Arial" w:hAnsi="Arial"/>
          <w:sz w:val="20"/>
        </w:rPr>
        <w:t xml:space="preserve"> </w:t>
      </w:r>
    </w:p>
    <w:p>
      <w:pPr>
        <w:pStyle w:val="TextBody"/>
        <w:bidi w:val="0"/>
        <w:spacing w:lineRule="auto" w:line="266" w:before="119" w:after="0"/>
        <w:ind w:left="3646" w:right="1260" w:hanging="567"/>
        <w:jc w:val="both"/>
        <w:rPr/>
      </w:pPr>
      <w:r>
        <w:rPr/>
        <w:t xml:space="preserve">  </w:t>
      </w:r>
    </w:p>
    <w:tbl>
      <w:tblPr>
        <w:tblW w:w="1900" w:type="dxa"/>
        <w:jc w:val="left"/>
        <w:tblInd w:w="1700" w:type="dxa"/>
        <w:tblLayout w:type="fixed"/>
        <w:tblCellMar>
          <w:top w:w="0" w:type="dxa"/>
          <w:left w:w="0" w:type="dxa"/>
          <w:bottom w:w="28" w:type="dxa"/>
          <w:right w:w="0" w:type="dxa"/>
        </w:tblCellMar>
      </w:tblPr>
      <w:tblGrid>
        <w:gridCol w:w="1370"/>
        <w:gridCol w:w="53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53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5</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9" w:after="0"/>
        <w:ind w:left="1700" w:right="1260" w:hanging="0"/>
        <w:jc w:val="left"/>
        <w:rPr>
          <w:rFonts w:cs="Arial"/>
          <w:szCs w:val="6"/>
        </w:rPr>
      </w:pPr>
      <w:r>
        <w:rPr>
          <w:rFonts w:cs="Arial"/>
          <w:szCs w:val="7"/>
        </w:rPr>
        <w:t>﻿</w:t>
      </w:r>
      <w:r>
        <w:rPr>
          <w:rFonts w:cs="Arial"/>
          <w:szCs w:val="6"/>
        </w:rPr>
        <w:t xml:space="preserve"> </w:t>
      </w:r>
    </w:p>
    <w:tbl>
      <w:tblPr>
        <w:tblW w:w="2135" w:type="dxa"/>
        <w:jc w:val="left"/>
        <w:tblInd w:w="1700" w:type="dxa"/>
        <w:tblLayout w:type="fixed"/>
        <w:tblCellMar>
          <w:top w:w="0" w:type="dxa"/>
          <w:left w:w="0" w:type="dxa"/>
          <w:bottom w:w="0" w:type="dxa"/>
          <w:right w:w="0" w:type="dxa"/>
        </w:tblCellMar>
      </w:tblPr>
      <w:tblGrid>
        <w:gridCol w:w="2060"/>
        <w:gridCol w:w="75"/>
      </w:tblGrid>
      <w:tr>
        <w:trPr/>
        <w:tc>
          <w:tcPr>
            <w:tcW w:w="2060" w:type="dxa"/>
            <w:tcBorders/>
          </w:tcPr>
          <w:p>
            <w:pPr>
              <w:pStyle w:val="TableContents"/>
              <w:bidi w:val="0"/>
              <w:spacing w:lineRule="atLeast" w:line="179" w:before="0" w:after="0"/>
              <w:ind w:left="122" w:right="0" w:hanging="0"/>
              <w:jc w:val="left"/>
              <w:rPr>
                <w:rFonts w:ascii="Arial" w:hAnsi="Arial"/>
                <w:sz w:val="16"/>
              </w:rPr>
            </w:pPr>
            <w:r>
              <w:rPr>
                <w:rFonts w:ascii="Arial" w:hAnsi="Arial"/>
                <w:sz w:val="16"/>
              </w:rPr>
              <w:t>Corrs Chambers Westgarth</w:t>
            </w:r>
          </w:p>
        </w:tc>
        <w:tc>
          <w:tcPr>
            <w:tcW w:w="75" w:type="dxa"/>
            <w:vMerge w:val="restart"/>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108" w:after="0"/>
              <w:ind w:left="0" w:right="0" w:hanging="0"/>
              <w:jc w:val="left"/>
              <w:rPr>
                <w:rFonts w:cs="Arial"/>
                <w:szCs w:val="40"/>
              </w:rPr>
            </w:pPr>
            <w:r>
              <w:rPr>
                <w:rFonts w:cs="Arial"/>
                <w:szCs w:val="40"/>
              </w:rPr>
              <w:t>﻿</w:t>
            </w:r>
          </w:p>
          <w:p>
            <w:pPr>
              <w:pStyle w:val="TableContents"/>
              <w:bidi w:val="0"/>
              <w:spacing w:before="0" w:after="0"/>
              <w:ind w:left="122" w:right="0" w:hanging="0"/>
              <w:jc w:val="left"/>
              <w:rPr>
                <w:rFonts w:ascii="Arial" w:hAnsi="Arial"/>
                <w:sz w:val="40"/>
              </w:rPr>
            </w:pPr>
            <w:bookmarkStart w:id="396" w:name="Schedule"/>
            <w:bookmarkEnd w:id="396"/>
            <w:r>
              <w:rPr>
                <w:rFonts w:ascii="Arial" w:hAnsi="Arial"/>
                <w:sz w:val="40"/>
              </w:rPr>
              <w:t>Schedule</w:t>
            </w:r>
          </w:p>
          <w:p>
            <w:pPr>
              <w:pStyle w:val="TableContents"/>
              <w:bidi w:val="0"/>
              <w:spacing w:lineRule="atLeast" w:line="420" w:before="0" w:after="0"/>
              <w:ind w:left="103" w:right="0" w:hanging="0"/>
              <w:jc w:val="left"/>
              <w:rPr/>
            </w:pPr>
            <w:r>
              <w:rPr/>
              <w:t> </w:t>
            </w:r>
          </w:p>
          <w:p>
            <w:pPr>
              <w:pStyle w:val="TableContents"/>
              <w:bidi w:val="0"/>
              <w:spacing w:before="0" w:after="0"/>
              <w:ind w:left="122" w:right="0" w:hanging="0"/>
              <w:jc w:val="left"/>
              <w:rPr>
                <w:rFonts w:ascii="Arial" w:hAnsi="Arial"/>
                <w:sz w:val="37"/>
              </w:rPr>
            </w:pPr>
            <w:r>
              <w:rPr>
                <w:rFonts w:ascii="Arial" w:hAnsi="Arial"/>
                <w:sz w:val="37"/>
              </w:rPr>
              <w:t>[***]</w:t>
            </w:r>
          </w:p>
        </w:tc>
        <w:tc>
          <w:tcPr>
            <w:tcW w:w="75" w:type="dxa"/>
            <w:vMerge w:val="continue"/>
            <w:tcBorders/>
          </w:tcPr>
          <w:p>
            <w:pPr>
              <w:pStyle w:val="Normal"/>
              <w:bidi w:val="0"/>
              <w:jc w:val="left"/>
              <w:rPr/>
            </w:pPr>
            <w:r>
              <w:rPr/>
            </w:r>
          </w:p>
        </w:tc>
      </w:tr>
    </w:tbl>
    <w:p>
      <w:pPr>
        <w:pStyle w:val="TextBody"/>
        <w:bidi w:val="0"/>
        <w:spacing w:before="0" w:after="0"/>
        <w:ind w:left="1700" w:right="1260" w:hanging="0"/>
        <w:jc w:val="left"/>
        <w:rPr/>
      </w:pPr>
      <w:r>
        <w:rPr/>
        <w:t xml:space="preserve">  </w:t>
      </w:r>
    </w:p>
    <w:tbl>
      <w:tblPr>
        <w:tblW w:w="1900" w:type="dxa"/>
        <w:jc w:val="left"/>
        <w:tblInd w:w="1700" w:type="dxa"/>
        <w:tblLayout w:type="fixed"/>
        <w:tblCellMar>
          <w:top w:w="0" w:type="dxa"/>
          <w:left w:w="0" w:type="dxa"/>
          <w:bottom w:w="28" w:type="dxa"/>
          <w:right w:w="0" w:type="dxa"/>
        </w:tblCellMar>
      </w:tblPr>
      <w:tblGrid>
        <w:gridCol w:w="1370"/>
        <w:gridCol w:w="53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53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6</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229" w:after="0"/>
        <w:ind w:left="1700" w:right="1260" w:hanging="0"/>
        <w:jc w:val="left"/>
        <w:rPr>
          <w:rFonts w:cs="Arial"/>
          <w:szCs w:val="40"/>
        </w:rPr>
      </w:pPr>
      <w:r>
        <w:rPr>
          <w:rFonts w:cs="Arial"/>
          <w:szCs w:val="40"/>
        </w:rPr>
        <w:t xml:space="preserve">﻿ </w:t>
      </w:r>
    </w:p>
    <w:p>
      <w:pPr>
        <w:pStyle w:val="TextBody"/>
        <w:bidi w:val="0"/>
        <w:spacing w:before="0" w:after="0"/>
        <w:ind w:left="1790" w:right="1260" w:hanging="0"/>
        <w:jc w:val="left"/>
        <w:rPr>
          <w:rFonts w:ascii="Arial" w:hAnsi="Arial"/>
          <w:sz w:val="40"/>
        </w:rPr>
      </w:pPr>
      <w:bookmarkStart w:id="397" w:name="Execution1"/>
      <w:bookmarkEnd w:id="397"/>
      <w:r>
        <w:rPr>
          <w:rFonts w:ascii="Arial" w:hAnsi="Arial"/>
          <w:sz w:val="40"/>
        </w:rPr>
        <w:t xml:space="preserve">Execution </w:t>
      </w:r>
    </w:p>
    <w:p>
      <w:pPr>
        <w:pStyle w:val="TextBody"/>
        <w:bidi w:val="0"/>
        <w:spacing w:before="50" w:after="0"/>
        <w:ind w:left="1700" w:right="1260" w:hanging="0"/>
        <w:jc w:val="left"/>
        <w:rPr>
          <w:rFonts w:cs="Arial"/>
          <w:szCs w:val="24"/>
        </w:rPr>
      </w:pPr>
      <w:r>
        <w:rPr>
          <w:rFonts w:cs="Arial"/>
          <w:szCs w:val="24"/>
        </w:rPr>
        <w:t xml:space="preserve">﻿ </w:t>
      </w:r>
    </w:p>
    <w:p>
      <w:pPr>
        <w:pStyle w:val="TextBody"/>
        <w:bidi w:val="0"/>
        <w:spacing w:before="0" w:after="0"/>
        <w:ind w:left="1790" w:right="1260" w:hanging="0"/>
        <w:jc w:val="left"/>
        <w:rPr>
          <w:rFonts w:ascii="Arial" w:hAnsi="Arial"/>
          <w:sz w:val="24"/>
        </w:rPr>
      </w:pPr>
      <w:r>
        <w:rPr>
          <w:rFonts w:ascii="Arial" w:hAnsi="Arial"/>
          <w:b/>
          <w:sz w:val="24"/>
        </w:rPr>
        <w:t>Executed</w:t>
      </w:r>
      <w:r>
        <w:rPr>
          <w:rFonts w:ascii="Arial" w:hAnsi="Arial"/>
          <w:sz w:val="24"/>
        </w:rPr>
        <w:t> </w:t>
      </w:r>
      <w:r>
        <w:rPr>
          <w:rFonts w:ascii="Arial" w:hAnsi="Arial"/>
          <w:sz w:val="21"/>
        </w:rPr>
        <w:t>as</w:t>
      </w:r>
      <w:r>
        <w:rPr>
          <w:rFonts w:ascii="Arial" w:hAnsi="Arial"/>
          <w:sz w:val="24"/>
        </w:rPr>
        <w:t> </w:t>
      </w:r>
      <w:r>
        <w:rPr>
          <w:rFonts w:ascii="Arial" w:hAnsi="Arial"/>
          <w:sz w:val="21"/>
        </w:rPr>
        <w:t>a</w:t>
      </w:r>
      <w:r>
        <w:rPr>
          <w:rFonts w:ascii="Arial" w:hAnsi="Arial"/>
          <w:sz w:val="24"/>
        </w:rPr>
        <w:t> </w:t>
      </w:r>
      <w:r>
        <w:rPr>
          <w:rFonts w:ascii="Arial" w:hAnsi="Arial"/>
          <w:sz w:val="21"/>
        </w:rPr>
        <w:t>deed</w:t>
      </w:r>
      <w:r>
        <w:rPr>
          <w:rFonts w:ascii="Arial" w:hAnsi="Arial"/>
          <w:sz w:val="24"/>
        </w:rPr>
        <w:t xml:space="preserve"> </w:t>
      </w:r>
    </w:p>
    <w:tbl>
      <w:tblPr>
        <w:tblW w:w="3850" w:type="dxa"/>
        <w:jc w:val="left"/>
        <w:tblInd w:w="1700" w:type="dxa"/>
        <w:tblLayout w:type="fixed"/>
        <w:tblCellMar>
          <w:top w:w="0" w:type="dxa"/>
          <w:left w:w="0" w:type="dxa"/>
          <w:bottom w:w="0" w:type="dxa"/>
          <w:right w:w="0" w:type="dxa"/>
        </w:tblCellMar>
      </w:tblPr>
      <w:tblGrid>
        <w:gridCol w:w="3635"/>
        <w:gridCol w:w="215"/>
      </w:tblGrid>
      <w:tr>
        <w:trPr/>
        <w:tc>
          <w:tcPr>
            <w:tcW w:w="3635" w:type="dxa"/>
            <w:tcBorders/>
          </w:tcPr>
          <w:p>
            <w:pPr>
              <w:pStyle w:val="TableContents"/>
              <w:bidi w:val="0"/>
              <w:spacing w:before="0" w:after="0"/>
              <w:ind w:left="0" w:right="0" w:hanging="0"/>
              <w:jc w:val="left"/>
              <w:rPr>
                <w:rFonts w:cs="Arial"/>
                <w:szCs w:val="2"/>
              </w:rPr>
            </w:pPr>
            <w:r>
              <w:rPr>
                <w:rFonts w:cs="Arial"/>
                <w:szCs w:val="2"/>
              </w:rPr>
              <w:t>﻿</w:t>
            </w:r>
          </w:p>
        </w:tc>
        <w:tc>
          <w:tcPr>
            <w:tcW w:w="215" w:type="dxa"/>
            <w:tcBorders/>
          </w:tcPr>
          <w:p>
            <w:pPr>
              <w:pStyle w:val="TableContents"/>
              <w:bidi w:val="0"/>
              <w:spacing w:before="0" w:after="0"/>
              <w:ind w:left="0" w:right="0" w:hanging="0"/>
              <w:jc w:val="left"/>
              <w:rPr/>
            </w:pPr>
            <w:r>
              <w:rPr/>
              <w:t> </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Executed</w:t>
            </w:r>
            <w:r>
              <w:rPr>
                <w:rFonts w:ascii="Arial" w:hAnsi="Arial"/>
                <w:sz w:val="20"/>
              </w:rPr>
              <w:t> by</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Entertainment</w:t>
            </w:r>
            <w:r>
              <w:rPr>
                <w:rFonts w:ascii="Arial" w:hAnsi="Arial"/>
                <w:sz w:val="20"/>
              </w:rPr>
              <w:t> </w:t>
            </w:r>
            <w:r>
              <w:rPr>
                <w:rFonts w:ascii="Arial" w:hAnsi="Arial"/>
                <w:b/>
                <w:sz w:val="20"/>
              </w:rPr>
              <w:t>Australia</w:t>
            </w:r>
            <w:r>
              <w:rPr>
                <w:rFonts w:ascii="Arial" w:hAnsi="Arial"/>
                <w:sz w:val="20"/>
              </w:rPr>
              <w:t> </w:t>
            </w:r>
            <w:r>
              <w:rPr>
                <w:rFonts w:ascii="Arial" w:hAnsi="Arial"/>
                <w:b/>
                <w:sz w:val="20"/>
              </w:rPr>
              <w:t>Pty</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Ltd</w:t>
            </w:r>
            <w:r>
              <w:rPr>
                <w:rFonts w:ascii="Arial" w:hAnsi="Arial"/>
                <w:sz w:val="20"/>
              </w:rPr>
              <w:t> ACN 070 893 908</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b/>
                <w:sz w:val="20"/>
              </w:rPr>
            </w:pPr>
            <w:r>
              <w:rPr>
                <w:rFonts w:ascii="Arial" w:hAnsi="Arial"/>
                <w:b/>
                <w:sz w:val="20"/>
              </w:rPr>
              <w:t>Australia Country Cinemas Pty 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  </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076 276 349</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Cinemas</w:t>
            </w:r>
            <w:r>
              <w:rPr>
                <w:rFonts w:ascii="Arial" w:hAnsi="Arial"/>
                <w:sz w:val="20"/>
              </w:rPr>
              <w:t> </w:t>
            </w:r>
            <w:r>
              <w:rPr>
                <w:rFonts w:ascii="Arial" w:hAnsi="Arial"/>
                <w:b/>
                <w:sz w:val="20"/>
              </w:rPr>
              <w:t>Asset</w:t>
            </w:r>
            <w:r>
              <w:rPr>
                <w:rFonts w:ascii="Arial" w:hAnsi="Arial"/>
                <w:sz w:val="20"/>
              </w:rPr>
              <w:t> </w:t>
            </w:r>
            <w:r>
              <w:rPr>
                <w:rFonts w:ascii="Arial" w:hAnsi="Arial"/>
                <w:b/>
                <w:sz w:val="20"/>
              </w:rPr>
              <w:t>Management</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Pty</w:t>
            </w:r>
            <w:r>
              <w:rPr>
                <w:rFonts w:ascii="Arial" w:hAnsi="Arial"/>
                <w:sz w:val="20"/>
              </w:rPr>
              <w:t> </w:t>
            </w:r>
            <w:r>
              <w:rPr>
                <w:rFonts w:ascii="Arial" w:hAnsi="Arial"/>
                <w:b/>
                <w:sz w:val="20"/>
              </w:rPr>
              <w:t>Ltd</w:t>
            </w:r>
            <w:r>
              <w:rPr>
                <w:rFonts w:ascii="Arial" w:hAnsi="Arial"/>
                <w:sz w:val="20"/>
              </w:rPr>
              <w:t> ACN 122 571 420</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Burwood</w:t>
            </w:r>
            <w:r>
              <w:rPr>
                <w:rFonts w:ascii="Arial" w:hAnsi="Arial"/>
                <w:sz w:val="20"/>
              </w:rPr>
              <w:t> </w:t>
            </w:r>
            <w:r>
              <w:rPr>
                <w:rFonts w:ascii="Arial" w:hAnsi="Arial"/>
                <w:b/>
                <w:sz w:val="20"/>
              </w:rPr>
              <w:t>Developments</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105 384 905</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Epping</w:t>
            </w:r>
            <w:r>
              <w:rPr>
                <w:rFonts w:ascii="Arial" w:hAnsi="Arial"/>
                <w:sz w:val="20"/>
              </w:rPr>
              <w:t> </w:t>
            </w:r>
            <w:r>
              <w:rPr>
                <w:rFonts w:ascii="Arial" w:hAnsi="Arial"/>
                <w:b/>
                <w:sz w:val="20"/>
              </w:rPr>
              <w:t>Cinemas</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073 997 172</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Hotel</w:t>
            </w:r>
            <w:r>
              <w:rPr>
                <w:rFonts w:ascii="Arial" w:hAnsi="Arial"/>
                <w:sz w:val="20"/>
              </w:rPr>
              <w:t> </w:t>
            </w:r>
            <w:r>
              <w:rPr>
                <w:rFonts w:ascii="Arial" w:hAnsi="Arial"/>
                <w:b/>
                <w:sz w:val="20"/>
              </w:rPr>
              <w:t>Newmarket</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094 367 969</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Newmarket</w:t>
            </w:r>
            <w:r>
              <w:rPr>
                <w:rFonts w:ascii="Arial" w:hAnsi="Arial"/>
                <w:sz w:val="20"/>
              </w:rPr>
              <w:t> </w:t>
            </w:r>
            <w:r>
              <w:rPr>
                <w:rFonts w:ascii="Arial" w:hAnsi="Arial"/>
                <w:b/>
                <w:sz w:val="20"/>
              </w:rPr>
              <w:t>Properties</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105 386 409</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b/>
                <w:sz w:val="20"/>
              </w:rPr>
            </w:pPr>
            <w:r>
              <w:rPr>
                <w:rFonts w:ascii="Arial" w:hAnsi="Arial"/>
                <w:b/>
                <w:sz w:val="20"/>
              </w:rPr>
              <w:t>Newmarket Properties No. 2 Pty 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  </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109 038 806</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Newmarket</w:t>
            </w:r>
            <w:r>
              <w:rPr>
                <w:rFonts w:ascii="Arial" w:hAnsi="Arial"/>
                <w:sz w:val="20"/>
              </w:rPr>
              <w:t> </w:t>
            </w:r>
            <w:r>
              <w:rPr>
                <w:rFonts w:ascii="Arial" w:hAnsi="Arial"/>
                <w:b/>
                <w:sz w:val="20"/>
              </w:rPr>
              <w:t>Properties</w:t>
            </w:r>
            <w:r>
              <w:rPr>
                <w:rFonts w:ascii="Arial" w:hAnsi="Arial"/>
                <w:sz w:val="20"/>
              </w:rPr>
              <w:t> </w:t>
            </w:r>
            <w:r>
              <w:rPr>
                <w:rFonts w:ascii="Arial" w:hAnsi="Arial"/>
                <w:b/>
                <w:sz w:val="20"/>
              </w:rPr>
              <w:t>#3</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126 697 505</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Armadale</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107 939 211</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Belmont</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126 697 498</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Bundaberg</w:t>
            </w:r>
            <w:r>
              <w:rPr>
                <w:rFonts w:ascii="Arial" w:hAnsi="Arial"/>
                <w:sz w:val="20"/>
              </w:rPr>
              <w:t> </w:t>
            </w:r>
            <w:r>
              <w:rPr>
                <w:rFonts w:ascii="Arial" w:hAnsi="Arial"/>
                <w:b/>
                <w:sz w:val="20"/>
              </w:rPr>
              <w:t>2012</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122 406 320</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Charlestown</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123 938 483</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Cinemas</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073 808 643</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b/>
                <w:sz w:val="20"/>
              </w:rPr>
            </w:pPr>
            <w:r>
              <w:rPr>
                <w:rFonts w:ascii="Arial" w:hAnsi="Arial"/>
                <w:b/>
                <w:sz w:val="20"/>
              </w:rPr>
              <w:t>Reading Cinemas Management Pty 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122 406 311</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State</w:t>
            </w:r>
            <w:r>
              <w:rPr>
                <w:rFonts w:ascii="Arial" w:hAnsi="Arial"/>
                <w:sz w:val="20"/>
              </w:rPr>
              <w:t> </w:t>
            </w:r>
            <w:r>
              <w:rPr>
                <w:rFonts w:ascii="Arial" w:hAnsi="Arial"/>
                <w:b/>
                <w:sz w:val="20"/>
              </w:rPr>
              <w:t>Cinema</w:t>
            </w:r>
            <w:r>
              <w:rPr>
                <w:rFonts w:ascii="Arial" w:hAnsi="Arial"/>
                <w:sz w:val="20"/>
              </w:rPr>
              <w:t> </w:t>
            </w:r>
            <w:r>
              <w:rPr>
                <w:rFonts w:ascii="Arial" w:hAnsi="Arial"/>
                <w:b/>
                <w:sz w:val="20"/>
              </w:rPr>
              <w:t>Hobart</w:t>
            </w:r>
            <w:r>
              <w:rPr>
                <w:rFonts w:ascii="Arial" w:hAnsi="Arial"/>
                <w:sz w:val="20"/>
              </w:rPr>
              <w:t> </w:t>
            </w:r>
            <w:r>
              <w:rPr>
                <w:rFonts w:ascii="Arial" w:hAnsi="Arial"/>
                <w:b/>
                <w:sz w:val="20"/>
              </w:rPr>
              <w:t>Pty</w:t>
            </w:r>
            <w:r>
              <w:rPr>
                <w:rFonts w:ascii="Arial" w:hAnsi="Arial"/>
                <w:sz w:val="20"/>
              </w:rPr>
              <w:t xml:space="preserve">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108 861 061</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Dandenong</w:t>
            </w:r>
            <w:r>
              <w:rPr>
                <w:rFonts w:ascii="Arial" w:hAnsi="Arial"/>
                <w:sz w:val="20"/>
              </w:rPr>
              <w:t> </w:t>
            </w:r>
            <w:r>
              <w:rPr>
                <w:rFonts w:ascii="Arial" w:hAnsi="Arial"/>
                <w:b/>
                <w:sz w:val="20"/>
              </w:rPr>
              <w:t>Pty</w:t>
            </w:r>
            <w:r>
              <w:rPr>
                <w:rFonts w:ascii="Arial" w:hAnsi="Arial"/>
                <w:sz w:val="20"/>
              </w:rPr>
              <w:t xml:space="preserve"> </w:t>
            </w:r>
            <w:r>
              <w:rPr>
                <w:rFonts w:ascii="Arial" w:hAnsi="Arial"/>
                <w:b/>
                <w:sz w:val="20"/>
              </w:rPr>
              <w:t>Ltd</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35" w:type="dxa"/>
            <w:tcBorders/>
          </w:tcPr>
          <w:p>
            <w:pPr>
              <w:pStyle w:val="TableContents"/>
              <w:bidi w:val="0"/>
              <w:spacing w:before="0" w:after="0"/>
              <w:ind w:left="0" w:right="0" w:hanging="0"/>
              <w:jc w:val="left"/>
              <w:rPr>
                <w:rFonts w:ascii="Arial" w:hAnsi="Arial"/>
                <w:sz w:val="20"/>
              </w:rPr>
            </w:pPr>
            <w:r>
              <w:rPr>
                <w:rFonts w:ascii="Arial" w:hAnsi="Arial"/>
                <w:sz w:val="20"/>
              </w:rPr>
              <w:t>ACN 129 018 739</w:t>
            </w:r>
          </w:p>
        </w:tc>
        <w:tc>
          <w:tcPr>
            <w:tcW w:w="215" w:type="dxa"/>
            <w:tcBorders/>
          </w:tcPr>
          <w:p>
            <w:pPr>
              <w:pStyle w:val="TableContents"/>
              <w:bidi w:val="0"/>
              <w:spacing w:before="0" w:after="0"/>
              <w:ind w:left="0" w:right="0" w:hanging="0"/>
              <w:jc w:val="left"/>
              <w:rPr>
                <w:rFonts w:ascii="Arial" w:hAnsi="Arial"/>
                <w:sz w:val="20"/>
              </w:rPr>
            </w:pPr>
            <w:r>
              <w:rPr>
                <w:rFonts w:ascii="Arial" w:hAnsi="Arial"/>
                <w:sz w:val="20"/>
              </w:rPr>
              <w:t>)</w:t>
            </w:r>
          </w:p>
        </w:tc>
      </w:tr>
    </w:tbl>
    <w:p>
      <w:pPr>
        <w:pStyle w:val="TextBody"/>
        <w:bidi w:val="0"/>
        <w:spacing w:before="0" w:after="0"/>
        <w:ind w:left="1700" w:right="1260" w:hanging="0"/>
        <w:jc w:val="left"/>
        <w:rPr>
          <w:rFonts w:cs="Arial"/>
          <w:szCs w:val="22"/>
        </w:rPr>
      </w:pPr>
      <w:r>
        <w:rPr>
          <w:rFonts w:cs="Arial"/>
          <w:szCs w:val="22"/>
        </w:rPr>
        <w:t xml:space="preserve">﻿ </w:t>
      </w:r>
    </w:p>
    <w:p>
      <w:pPr>
        <w:pStyle w:val="TextBody"/>
        <w:bidi w:val="0"/>
        <w:spacing w:before="30" w:after="0"/>
        <w:ind w:left="2268" w:right="1260" w:hanging="0"/>
        <w:jc w:val="left"/>
        <w:rPr>
          <w:rFonts w:cs="Arial"/>
          <w:szCs w:val="20"/>
        </w:rPr>
      </w:pPr>
      <w:r>
        <w:rPr>
          <w:rFonts w:cs="Arial"/>
          <w:szCs w:val="20"/>
        </w:rPr>
        <w:t xml:space="preserve">﻿ </w:t>
      </w:r>
    </w:p>
    <w:tbl>
      <w:tblPr>
        <w:tblW w:w="7023" w:type="dxa"/>
        <w:jc w:val="left"/>
        <w:tblInd w:w="1700" w:type="dxa"/>
        <w:tblLayout w:type="fixed"/>
        <w:tblCellMar>
          <w:top w:w="0" w:type="dxa"/>
          <w:left w:w="0" w:type="dxa"/>
          <w:bottom w:w="0" w:type="dxa"/>
          <w:right w:w="0" w:type="dxa"/>
        </w:tblCellMar>
      </w:tblPr>
      <w:tblGrid>
        <w:gridCol w:w="38"/>
        <w:gridCol w:w="3425"/>
        <w:gridCol w:w="60"/>
        <w:gridCol w:w="3425"/>
        <w:gridCol w:w="75"/>
      </w:tblGrid>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Ellen Cotter</w:t>
            </w:r>
          </w:p>
        </w:tc>
        <w:tc>
          <w:tcPr>
            <w:tcW w:w="60" w:type="dxa"/>
            <w:tcBorders/>
          </w:tcPr>
          <w:p>
            <w:pPr>
              <w:pStyle w:val="TableContents"/>
              <w:bidi w:val="0"/>
              <w:spacing w:before="0" w:after="0"/>
              <w:ind w:left="720" w:right="0" w:hanging="0"/>
              <w:jc w:val="left"/>
              <w:rPr/>
            </w:pPr>
            <w:r>
              <w:rPr/>
              <w:t> </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Wayne Douglas Smith</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 xml:space="preserve">Ellen Cotter </w:t>
            </w:r>
          </w:p>
          <w:p>
            <w:pPr>
              <w:pStyle w:val="TableContents"/>
              <w:bidi w:val="0"/>
              <w:spacing w:before="0" w:after="0"/>
              <w:ind w:left="0" w:right="0" w:hanging="0"/>
              <w:jc w:val="left"/>
              <w:rPr>
                <w:rFonts w:ascii="Arial" w:hAnsi="Arial"/>
                <w:sz w:val="18"/>
              </w:rPr>
            </w:pPr>
            <w:r>
              <w:rPr>
                <w:rFonts w:ascii="Arial" w:hAnsi="Arial"/>
                <w:sz w:val="18"/>
              </w:rPr>
              <w:t>Director/Company Secretary</w:t>
            </w:r>
          </w:p>
        </w:tc>
        <w:tc>
          <w:tcPr>
            <w:tcW w:w="60" w:type="dxa"/>
            <w:tcBorders/>
          </w:tcPr>
          <w:p>
            <w:pPr>
              <w:pStyle w:val="TableContents"/>
              <w:bidi w:val="0"/>
              <w:spacing w:before="0" w:after="0"/>
              <w:ind w:left="0" w:right="0" w:hanging="0"/>
              <w:jc w:val="left"/>
              <w:rPr/>
            </w:pPr>
            <w:r>
              <w:rPr/>
              <w:t> </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Wayne Douglas Smith</w:t>
            </w:r>
          </w:p>
          <w:p>
            <w:pPr>
              <w:pStyle w:val="TableContents"/>
              <w:bidi w:val="0"/>
              <w:spacing w:before="0" w:after="0"/>
              <w:ind w:left="0" w:right="0" w:hanging="0"/>
              <w:jc w:val="left"/>
              <w:rPr>
                <w:rFonts w:ascii="Arial" w:hAnsi="Arial"/>
                <w:sz w:val="18"/>
              </w:rPr>
            </w:pPr>
            <w:r>
              <w:rPr>
                <w:rFonts w:ascii="Arial" w:hAnsi="Arial"/>
                <w:sz w:val="18"/>
              </w:rPr>
              <w:t>Director</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bCs/>
                <w:szCs w:val="17"/>
              </w:rPr>
            </w:pPr>
            <w:r>
              <w:rPr>
                <w:rFonts w:cs="Arial"/>
                <w:bCs/>
                <w:szCs w:val="17"/>
              </w:rPr>
              <w:t>﻿</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10"/>
                          <a:stretch>
                            <a:fillRect/>
                          </a:stretch>
                        </pic:blipFill>
                        <pic:spPr bwMode="auto">
                          <a:xfrm>
                            <a:off x="0" y="0"/>
                            <a:ext cx="76200" cy="114300"/>
                          </a:xfrm>
                          <a:prstGeom prst="rect">
                            <a:avLst/>
                          </a:prstGeom>
                        </pic:spPr>
                      </pic:pic>
                    </a:graphicData>
                  </a:graphic>
                </wp:inline>
              </w:drawing>
            </w:r>
            <w:r>
              <w:rPr/>
              <w:t xml:space="preserve">  </w:t>
            </w:r>
            <w:r>
              <w:rPr>
                <w:rFonts w:ascii="Arial" w:hAnsi="Arial"/>
                <w:b/>
                <w:i/>
                <w:sz w:val="17"/>
              </w:rPr>
              <w:t xml:space="preserve">Tick if signatory signing electronically. </w:t>
            </w:r>
          </w:p>
          <w:p>
            <w:pPr>
              <w:pStyle w:val="TableContents"/>
              <w:bidi w:val="0"/>
              <w:spacing w:before="0" w:after="0"/>
              <w:ind w:left="0" w:right="0" w:hanging="0"/>
              <w:jc w:val="left"/>
              <w:rPr>
                <w:rFonts w:ascii="Arial" w:hAnsi="Arial"/>
                <w:i/>
                <w:sz w:val="17"/>
              </w:rPr>
            </w:pPr>
            <w:r>
              <w:rPr>
                <w:rFonts w:ascii="Arial" w:hAnsi="Arial"/>
                <w:i/>
                <w:sz w:val="17"/>
              </w:rPr>
              <w:t xml:space="preserve">By ticking this box, the signatory warrants that </w:t>
            </w:r>
          </w:p>
          <w:p>
            <w:pPr>
              <w:pStyle w:val="TableContents"/>
              <w:bidi w:val="0"/>
              <w:spacing w:before="0" w:after="0"/>
              <w:ind w:left="0" w:right="0" w:hanging="0"/>
              <w:jc w:val="left"/>
              <w:rPr>
                <w:rFonts w:ascii="Arial" w:hAnsi="Arial"/>
                <w:i/>
                <w:sz w:val="17"/>
              </w:rPr>
            </w:pPr>
            <w:r>
              <w:rPr>
                <w:rFonts w:ascii="Arial" w:hAnsi="Arial"/>
                <w:i/>
                <w:sz w:val="17"/>
              </w:rPr>
              <w:t>they are signing this document in accordance</w:t>
            </w:r>
          </w:p>
          <w:p>
            <w:pPr>
              <w:pStyle w:val="TableContents"/>
              <w:bidi w:val="0"/>
              <w:spacing w:before="0" w:after="0"/>
              <w:ind w:left="0" w:right="0" w:hanging="0"/>
              <w:jc w:val="left"/>
              <w:rPr>
                <w:rFonts w:ascii="Arial" w:hAnsi="Arial"/>
                <w:i/>
                <w:sz w:val="17"/>
              </w:rPr>
            </w:pPr>
            <w:r>
              <w:rPr>
                <w:rFonts w:ascii="Arial" w:hAnsi="Arial"/>
                <w:i/>
                <w:sz w:val="17"/>
              </w:rPr>
              <w:t xml:space="preserve">with section 110A(2) of the Corporations Act </w:t>
            </w:r>
          </w:p>
          <w:p>
            <w:pPr>
              <w:pStyle w:val="TableContents"/>
              <w:bidi w:val="0"/>
              <w:spacing w:before="0" w:after="0"/>
              <w:ind w:left="0" w:right="0" w:hanging="0"/>
              <w:jc w:val="left"/>
              <w:rPr>
                <w:rFonts w:ascii="Arial" w:hAnsi="Arial"/>
                <w:i/>
                <w:sz w:val="17"/>
              </w:rPr>
            </w:pPr>
            <w:r>
              <w:rPr>
                <w:rFonts w:ascii="Arial" w:hAnsi="Arial"/>
                <w:i/>
                <w:sz w:val="17"/>
              </w:rPr>
              <w:t>2001 (Cth).</w:t>
            </w:r>
          </w:p>
        </w:tc>
        <w:tc>
          <w:tcPr>
            <w:tcW w:w="60" w:type="dxa"/>
            <w:tcBorders/>
          </w:tcPr>
          <w:p>
            <w:pPr>
              <w:pStyle w:val="TableContents"/>
              <w:bidi w:val="0"/>
              <w:spacing w:before="0" w:after="0"/>
              <w:ind w:left="0" w:right="0" w:hanging="0"/>
              <w:jc w:val="left"/>
              <w:rPr/>
            </w:pPr>
            <w:r>
              <w:rPr/>
              <w:t> </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1"/>
                          <a:stretch>
                            <a:fillRect/>
                          </a:stretch>
                        </pic:blipFill>
                        <pic:spPr bwMode="auto">
                          <a:xfrm>
                            <a:off x="0" y="0"/>
                            <a:ext cx="76200" cy="114300"/>
                          </a:xfrm>
                          <a:prstGeom prst="rect">
                            <a:avLst/>
                          </a:prstGeom>
                        </pic:spPr>
                      </pic:pic>
                    </a:graphicData>
                  </a:graphic>
                </wp:inline>
              </w:drawing>
            </w:r>
            <w:r>
              <w:rPr>
                <w:rFonts w:ascii="Arial" w:hAnsi="Arial"/>
                <w:b/>
                <w:i/>
                <w:sz w:val="17"/>
              </w:rPr>
              <w:t>Tick if signatory signing electronically.</w:t>
            </w:r>
          </w:p>
          <w:p>
            <w:pPr>
              <w:pStyle w:val="TableContents"/>
              <w:bidi w:val="0"/>
              <w:spacing w:before="0" w:after="0"/>
              <w:ind w:left="0" w:right="0" w:hanging="0"/>
              <w:jc w:val="left"/>
              <w:rPr>
                <w:rFonts w:ascii="Arial" w:hAnsi="Arial"/>
                <w:i/>
                <w:sz w:val="17"/>
              </w:rPr>
            </w:pPr>
            <w:r>
              <w:rPr>
                <w:rFonts w:ascii="Arial" w:hAnsi="Arial"/>
                <w:i/>
                <w:sz w:val="17"/>
              </w:rPr>
              <w:t xml:space="preserve">By ticking this box, the signatory warrants that </w:t>
            </w:r>
          </w:p>
          <w:p>
            <w:pPr>
              <w:pStyle w:val="TableContents"/>
              <w:bidi w:val="0"/>
              <w:spacing w:before="0" w:after="0"/>
              <w:ind w:left="0" w:right="0" w:hanging="0"/>
              <w:jc w:val="left"/>
              <w:rPr>
                <w:rFonts w:ascii="Arial" w:hAnsi="Arial"/>
                <w:i/>
                <w:sz w:val="17"/>
              </w:rPr>
            </w:pPr>
            <w:r>
              <w:rPr>
                <w:rFonts w:ascii="Arial" w:hAnsi="Arial"/>
                <w:i/>
                <w:sz w:val="17"/>
              </w:rPr>
              <w:t xml:space="preserve">they are signing this document in accordance </w:t>
            </w:r>
          </w:p>
          <w:p>
            <w:pPr>
              <w:pStyle w:val="TableContents"/>
              <w:bidi w:val="0"/>
              <w:spacing w:before="0" w:after="0"/>
              <w:ind w:left="0" w:right="0" w:hanging="0"/>
              <w:jc w:val="left"/>
              <w:rPr>
                <w:rFonts w:ascii="Arial" w:hAnsi="Arial"/>
                <w:i/>
                <w:sz w:val="17"/>
              </w:rPr>
            </w:pPr>
            <w:r>
              <w:rPr>
                <w:rFonts w:ascii="Arial" w:hAnsi="Arial"/>
                <w:i/>
                <w:sz w:val="17"/>
              </w:rPr>
              <w:t xml:space="preserve">with section 110A(2) of the Corporations Act </w:t>
            </w:r>
          </w:p>
          <w:p>
            <w:pPr>
              <w:pStyle w:val="TableContents"/>
              <w:bidi w:val="0"/>
              <w:spacing w:before="0" w:after="0"/>
              <w:ind w:left="0" w:right="0" w:hanging="0"/>
              <w:jc w:val="left"/>
              <w:rPr>
                <w:rFonts w:ascii="Arial" w:hAnsi="Arial"/>
                <w:i/>
                <w:sz w:val="17"/>
              </w:rPr>
            </w:pPr>
            <w:r>
              <w:rPr>
                <w:rFonts w:ascii="Arial" w:hAnsi="Arial"/>
                <w:i/>
                <w:sz w:val="17"/>
              </w:rPr>
              <w:t>2001 (Cth).</w:t>
            </w:r>
          </w:p>
        </w:tc>
        <w:tc>
          <w:tcPr>
            <w:tcW w:w="75" w:type="dxa"/>
            <w:tcBorders/>
          </w:tcPr>
          <w:p>
            <w:pPr>
              <w:pStyle w:val="TableContents"/>
              <w:bidi w:val="0"/>
              <w:spacing w:before="0" w:after="0"/>
              <w:ind w:left="0" w:right="0" w:hanging="0"/>
              <w:jc w:val="left"/>
              <w:rPr/>
            </w:pPr>
            <w:r>
              <w:rPr/>
              <w:t> </w:t>
            </w:r>
          </w:p>
        </w:tc>
      </w:tr>
    </w:tbl>
    <w:p>
      <w:pPr>
        <w:pStyle w:val="TextBody"/>
        <w:bidi w:val="0"/>
        <w:spacing w:before="30" w:after="0"/>
        <w:ind w:left="2268" w:right="1260" w:hanging="0"/>
        <w:jc w:val="left"/>
        <w:rPr>
          <w:rFonts w:cs="Arial"/>
          <w:szCs w:val="20"/>
        </w:rPr>
      </w:pPr>
      <w:r>
        <w:rPr>
          <w:rFonts w:cs="Arial"/>
          <w:szCs w:val="20"/>
        </w:rPr>
        <w:t xml:space="preserve">﻿ </w:t>
      </w:r>
    </w:p>
    <w:p>
      <w:pPr>
        <w:pStyle w:val="TextBody"/>
        <w:pBdr/>
        <w:bidi w:val="0"/>
        <w:spacing w:before="213"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pPr>
      <w:r>
        <w:rPr/>
        <w:t xml:space="preserve">  </w:t>
      </w:r>
    </w:p>
    <w:p>
      <w:pPr>
        <w:pStyle w:val="TextBody"/>
        <w:bidi w:val="0"/>
        <w:spacing w:lineRule="auto" w:line="300" w:before="0" w:after="0"/>
        <w:ind w:left="1700" w:right="1260" w:hanging="0"/>
        <w:jc w:val="left"/>
        <w:rPr/>
      </w:pPr>
      <w:r>
        <w:rPr/>
        <w:t xml:space="preserve">  </w:t>
      </w:r>
    </w:p>
    <w:tbl>
      <w:tblPr>
        <w:tblW w:w="1900" w:type="dxa"/>
        <w:jc w:val="left"/>
        <w:tblInd w:w="1700" w:type="dxa"/>
        <w:tblLayout w:type="fixed"/>
        <w:tblCellMar>
          <w:top w:w="0" w:type="dxa"/>
          <w:left w:w="0" w:type="dxa"/>
          <w:bottom w:w="28" w:type="dxa"/>
          <w:right w:w="0" w:type="dxa"/>
        </w:tblCellMar>
      </w:tblPr>
      <w:tblGrid>
        <w:gridCol w:w="1370"/>
        <w:gridCol w:w="53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53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7</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15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pPr>
      <w:r>
        <w:rPr/>
        <w:t xml:space="preserve">  </w:t>
      </w:r>
    </w:p>
    <w:tbl>
      <w:tblPr>
        <w:tblW w:w="3730" w:type="dxa"/>
        <w:jc w:val="left"/>
        <w:tblInd w:w="1700" w:type="dxa"/>
        <w:tblLayout w:type="fixed"/>
        <w:tblCellMar>
          <w:top w:w="0" w:type="dxa"/>
          <w:left w:w="0" w:type="dxa"/>
          <w:bottom w:w="0" w:type="dxa"/>
          <w:right w:w="0" w:type="dxa"/>
        </w:tblCellMar>
      </w:tblPr>
      <w:tblGrid>
        <w:gridCol w:w="3620"/>
        <w:gridCol w:w="110"/>
      </w:tblGrid>
      <w:tr>
        <w:trPr/>
        <w:tc>
          <w:tcPr>
            <w:tcW w:w="3620" w:type="dxa"/>
            <w:tcBorders/>
          </w:tcPr>
          <w:p>
            <w:pPr>
              <w:pStyle w:val="TableContents"/>
              <w:bidi w:val="0"/>
              <w:spacing w:before="0" w:after="0"/>
              <w:ind w:left="0" w:right="0" w:hanging="0"/>
              <w:jc w:val="left"/>
              <w:rPr>
                <w:rFonts w:cs="Arial"/>
                <w:szCs w:val="2"/>
              </w:rPr>
            </w:pPr>
            <w:r>
              <w:rPr>
                <w:rFonts w:cs="Arial"/>
                <w:szCs w:val="2"/>
              </w:rPr>
              <w:t>﻿</w:t>
            </w:r>
          </w:p>
        </w:tc>
        <w:tc>
          <w:tcPr>
            <w:tcW w:w="110" w:type="dxa"/>
            <w:tcBorders/>
          </w:tcPr>
          <w:p>
            <w:pPr>
              <w:pStyle w:val="TableContents"/>
              <w:bidi w:val="0"/>
              <w:spacing w:before="0" w:after="0"/>
              <w:ind w:left="0" w:right="0" w:hanging="0"/>
              <w:jc w:val="left"/>
              <w:rPr/>
            </w:pPr>
            <w:r>
              <w:rPr/>
              <w:t> </w:t>
            </w:r>
          </w:p>
        </w:tc>
      </w:tr>
      <w:tr>
        <w:trPr/>
        <w:tc>
          <w:tcPr>
            <w:tcW w:w="3620" w:type="dxa"/>
            <w:tcBorders/>
          </w:tcPr>
          <w:p>
            <w:pPr>
              <w:pStyle w:val="TableContents"/>
              <w:bidi w:val="0"/>
              <w:spacing w:before="97" w:after="0"/>
              <w:ind w:left="0" w:right="0" w:hanging="0"/>
              <w:jc w:val="left"/>
              <w:rPr>
                <w:rFonts w:ascii="Arial" w:hAnsi="Arial"/>
                <w:sz w:val="20"/>
              </w:rPr>
            </w:pPr>
            <w:r>
              <w:rPr>
                <w:rFonts w:ascii="Arial" w:hAnsi="Arial"/>
                <w:b/>
                <w:sz w:val="20"/>
              </w:rPr>
              <w:t>Executed</w:t>
            </w:r>
            <w:r>
              <w:rPr>
                <w:rFonts w:ascii="Arial" w:hAnsi="Arial"/>
                <w:sz w:val="20"/>
              </w:rPr>
              <w:t> by</w:t>
            </w:r>
          </w:p>
        </w:tc>
        <w:tc>
          <w:tcPr>
            <w:tcW w:w="110" w:type="dxa"/>
            <w:tcBorders/>
          </w:tcPr>
          <w:p>
            <w:pPr>
              <w:pStyle w:val="TableContents"/>
              <w:bidi w:val="0"/>
              <w:spacing w:before="97"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7"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Elizabeth</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7"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sz w:val="20"/>
              </w:rPr>
              <w:t>ACN 114 582 099</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Exhibition</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sz w:val="20"/>
              </w:rPr>
              <w:t>ACN 103 529 782</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Licences</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sz w:val="20"/>
              </w:rPr>
              <w:t>ACN 089 544 605</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7"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Maitland</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7"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1" w:after="0"/>
              <w:ind w:left="0" w:right="0" w:hanging="0"/>
              <w:jc w:val="left"/>
              <w:rPr>
                <w:rFonts w:ascii="Arial" w:hAnsi="Arial"/>
                <w:sz w:val="20"/>
              </w:rPr>
            </w:pPr>
            <w:r>
              <w:rPr>
                <w:rFonts w:ascii="Arial" w:hAnsi="Arial"/>
                <w:sz w:val="20"/>
              </w:rPr>
              <w:t>ACN 126 697 461</w:t>
            </w:r>
          </w:p>
        </w:tc>
        <w:tc>
          <w:tcPr>
            <w:tcW w:w="110" w:type="dxa"/>
            <w:tcBorders/>
          </w:tcPr>
          <w:p>
            <w:pPr>
              <w:pStyle w:val="TableContents"/>
              <w:bidi w:val="0"/>
              <w:spacing w:before="21"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7"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Melton</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7"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sz w:val="20"/>
              </w:rPr>
              <w:t>ACN 109 074 517</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1"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Properties</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21"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7" w:after="0"/>
              <w:ind w:left="0" w:right="0" w:hanging="0"/>
              <w:jc w:val="left"/>
              <w:rPr>
                <w:rFonts w:ascii="Arial" w:hAnsi="Arial"/>
                <w:sz w:val="20"/>
              </w:rPr>
            </w:pPr>
            <w:r>
              <w:rPr>
                <w:rFonts w:ascii="Arial" w:hAnsi="Arial"/>
                <w:sz w:val="20"/>
              </w:rPr>
              <w:t>ACN 071 195 429</w:t>
            </w:r>
          </w:p>
        </w:tc>
        <w:tc>
          <w:tcPr>
            <w:tcW w:w="110" w:type="dxa"/>
            <w:tcBorders/>
          </w:tcPr>
          <w:p>
            <w:pPr>
              <w:pStyle w:val="TableContents"/>
              <w:bidi w:val="0"/>
              <w:spacing w:before="17"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Properties</w:t>
            </w:r>
            <w:r>
              <w:rPr>
                <w:rFonts w:ascii="Arial" w:hAnsi="Arial"/>
                <w:sz w:val="20"/>
              </w:rPr>
              <w:t> </w:t>
            </w:r>
            <w:r>
              <w:rPr>
                <w:rFonts w:ascii="Arial" w:hAnsi="Arial"/>
                <w:b/>
                <w:sz w:val="20"/>
              </w:rPr>
              <w:t>Indooroopilly</w:t>
            </w:r>
            <w:r>
              <w:rPr>
                <w:rFonts w:ascii="Arial" w:hAnsi="Arial"/>
                <w:sz w:val="20"/>
              </w:rPr>
              <w:t> </w:t>
            </w:r>
            <w:r>
              <w:rPr>
                <w:rFonts w:ascii="Arial" w:hAnsi="Arial"/>
                <w:b/>
                <w:sz w:val="20"/>
              </w:rPr>
              <w:t>Pty</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b/>
                <w:sz w:val="20"/>
              </w:rPr>
              <w:t>Ltd</w:t>
            </w:r>
            <w:r>
              <w:rPr>
                <w:rFonts w:ascii="Arial" w:hAnsi="Arial"/>
                <w:sz w:val="20"/>
              </w:rPr>
              <w:t> ACN 121 284 884</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Noosa</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sz w:val="20"/>
              </w:rPr>
              <w:t>ACN 128 819 483</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Property</w:t>
            </w:r>
            <w:r>
              <w:rPr>
                <w:rFonts w:ascii="Arial" w:hAnsi="Arial"/>
                <w:sz w:val="20"/>
              </w:rPr>
              <w:t> </w:t>
            </w:r>
            <w:r>
              <w:rPr>
                <w:rFonts w:ascii="Arial" w:hAnsi="Arial"/>
                <w:b/>
                <w:sz w:val="20"/>
              </w:rPr>
              <w:t>Holdings</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sz w:val="20"/>
              </w:rPr>
              <w:t>ACN 126 289 772</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7"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Rouse</w:t>
            </w:r>
            <w:r>
              <w:rPr>
                <w:rFonts w:ascii="Arial" w:hAnsi="Arial"/>
                <w:sz w:val="20"/>
              </w:rPr>
              <w:t> </w:t>
            </w:r>
            <w:r>
              <w:rPr>
                <w:rFonts w:ascii="Arial" w:hAnsi="Arial"/>
                <w:b/>
                <w:sz w:val="20"/>
              </w:rPr>
              <w:t>Hill</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7"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sz w:val="20"/>
              </w:rPr>
              <w:t>ACN 123 245 885</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Sunbury</w:t>
            </w:r>
            <w:r>
              <w:rPr>
                <w:rFonts w:ascii="Arial" w:hAnsi="Arial"/>
                <w:sz w:val="20"/>
              </w:rPr>
              <w:t> </w:t>
            </w:r>
            <w:r>
              <w:rPr>
                <w:rFonts w:ascii="Arial" w:hAnsi="Arial"/>
                <w:b/>
                <w:sz w:val="20"/>
              </w:rPr>
              <w:t>Pty</w:t>
            </w:r>
            <w:r>
              <w:rPr>
                <w:rFonts w:ascii="Arial" w:hAnsi="Arial"/>
                <w:sz w:val="20"/>
              </w:rPr>
              <w:t> </w:t>
            </w:r>
            <w:r>
              <w:rPr>
                <w:rFonts w:ascii="Arial" w:hAnsi="Arial"/>
                <w:b/>
                <w:sz w:val="20"/>
              </w:rPr>
              <w:t>Limited</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sz w:val="20"/>
              </w:rPr>
              <w:t>ACN 109 074 571</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b/>
                <w:sz w:val="20"/>
              </w:rPr>
              <w:t>Rhodes</w:t>
            </w:r>
            <w:r>
              <w:rPr>
                <w:rFonts w:ascii="Arial" w:hAnsi="Arial"/>
                <w:sz w:val="20"/>
              </w:rPr>
              <w:t> </w:t>
            </w:r>
            <w:r>
              <w:rPr>
                <w:rFonts w:ascii="Arial" w:hAnsi="Arial"/>
                <w:b/>
                <w:sz w:val="20"/>
              </w:rPr>
              <w:t>Peninsula</w:t>
            </w:r>
            <w:r>
              <w:rPr>
                <w:rFonts w:ascii="Arial" w:hAnsi="Arial"/>
                <w:sz w:val="20"/>
              </w:rPr>
              <w:t> </w:t>
            </w:r>
            <w:r>
              <w:rPr>
                <w:rFonts w:ascii="Arial" w:hAnsi="Arial"/>
                <w:b/>
                <w:sz w:val="20"/>
              </w:rPr>
              <w:t>Cinema</w:t>
            </w:r>
            <w:r>
              <w:rPr>
                <w:rFonts w:ascii="Arial" w:hAnsi="Arial"/>
                <w:sz w:val="20"/>
              </w:rPr>
              <w:t> </w:t>
            </w:r>
            <w:r>
              <w:rPr>
                <w:rFonts w:ascii="Arial" w:hAnsi="Arial"/>
                <w:b/>
                <w:sz w:val="20"/>
              </w:rPr>
              <w:t>Pty</w:t>
            </w:r>
            <w:r>
              <w:rPr>
                <w:rFonts w:ascii="Arial" w:hAnsi="Arial"/>
                <w:sz w:val="20"/>
              </w:rPr>
              <w:t> </w:t>
            </w:r>
            <w:r>
              <w:rPr>
                <w:rFonts w:ascii="Arial" w:hAnsi="Arial"/>
                <w:b/>
                <w:sz w:val="20"/>
              </w:rPr>
              <w:t>Limited</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sz w:val="20"/>
              </w:rPr>
              <w:t>ACN 120 827 812</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b/>
                <w:sz w:val="20"/>
              </w:rPr>
              <w:t>Westlakes</w:t>
            </w:r>
            <w:r>
              <w:rPr>
                <w:rFonts w:ascii="Arial" w:hAnsi="Arial"/>
                <w:sz w:val="20"/>
              </w:rPr>
              <w:t> </w:t>
            </w:r>
            <w:r>
              <w:rPr>
                <w:rFonts w:ascii="Arial" w:hAnsi="Arial"/>
                <w:b/>
                <w:sz w:val="20"/>
              </w:rPr>
              <w:t>Cinema</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sz w:val="20"/>
              </w:rPr>
              <w:t>ACN 108 531 308</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Busselton</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7" w:after="0"/>
              <w:ind w:left="0" w:right="0" w:hanging="0"/>
              <w:jc w:val="left"/>
              <w:rPr>
                <w:rFonts w:ascii="Arial" w:hAnsi="Arial"/>
                <w:sz w:val="20"/>
              </w:rPr>
            </w:pPr>
            <w:r>
              <w:rPr>
                <w:rFonts w:ascii="Arial" w:hAnsi="Arial"/>
                <w:sz w:val="20"/>
              </w:rPr>
              <w:t>ACN 143 633 096</w:t>
            </w:r>
          </w:p>
        </w:tc>
        <w:tc>
          <w:tcPr>
            <w:tcW w:w="110" w:type="dxa"/>
            <w:tcBorders/>
          </w:tcPr>
          <w:p>
            <w:pPr>
              <w:pStyle w:val="TableContents"/>
              <w:bidi w:val="0"/>
              <w:spacing w:before="17"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Cannon</w:t>
            </w:r>
            <w:r>
              <w:rPr>
                <w:rFonts w:ascii="Arial" w:hAnsi="Arial"/>
                <w:sz w:val="20"/>
              </w:rPr>
              <w:t> </w:t>
            </w:r>
            <w:r>
              <w:rPr>
                <w:rFonts w:ascii="Arial" w:hAnsi="Arial"/>
                <w:b/>
                <w:sz w:val="20"/>
              </w:rPr>
              <w:t>Park</w:t>
            </w:r>
            <w:r>
              <w:rPr>
                <w:rFonts w:ascii="Arial" w:hAnsi="Arial"/>
                <w:sz w:val="20"/>
              </w:rPr>
              <w:t> </w:t>
            </w:r>
            <w:r>
              <w:rPr>
                <w:rFonts w:ascii="Arial" w:hAnsi="Arial"/>
                <w:b/>
                <w:sz w:val="20"/>
              </w:rPr>
              <w:t>Pty</w:t>
            </w:r>
            <w:r>
              <w:rPr>
                <w:rFonts w:ascii="Arial" w:hAnsi="Arial"/>
                <w:sz w:val="20"/>
              </w:rPr>
              <w:t xml:space="preserve"> </w:t>
            </w:r>
            <w:r>
              <w:rPr>
                <w:rFonts w:ascii="Arial" w:hAnsi="Arial"/>
                <w:b/>
                <w:sz w:val="20"/>
              </w:rPr>
              <w:t>Ltd</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sz w:val="20"/>
              </w:rPr>
              <w:t>ACN 609 837 569</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b/>
                <w:sz w:val="20"/>
              </w:rPr>
              <w:t>Angelika</w:t>
            </w:r>
            <w:r>
              <w:rPr>
                <w:rFonts w:ascii="Arial" w:hAnsi="Arial"/>
                <w:sz w:val="20"/>
              </w:rPr>
              <w:t> </w:t>
            </w:r>
            <w:r>
              <w:rPr>
                <w:rFonts w:ascii="Arial" w:hAnsi="Arial"/>
                <w:b/>
                <w:sz w:val="20"/>
              </w:rPr>
              <w:t>Anywhere</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0" w:after="0"/>
              <w:ind w:left="0" w:right="0" w:hanging="0"/>
              <w:jc w:val="left"/>
              <w:rPr>
                <w:rFonts w:ascii="Arial" w:hAnsi="Arial"/>
                <w:sz w:val="20"/>
              </w:rPr>
            </w:pPr>
            <w:r>
              <w:rPr>
                <w:rFonts w:ascii="Arial" w:hAnsi="Arial"/>
                <w:sz w:val="20"/>
              </w:rPr>
              <w:t>ACN 642 993 593</w:t>
            </w:r>
          </w:p>
        </w:tc>
        <w:tc>
          <w:tcPr>
            <w:tcW w:w="110" w:type="dxa"/>
            <w:tcBorders/>
          </w:tcPr>
          <w:p>
            <w:pPr>
              <w:pStyle w:val="TableContents"/>
              <w:bidi w:val="0"/>
              <w:spacing w:before="20"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8"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Jindalee</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18"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7" w:after="0"/>
              <w:ind w:left="0" w:right="0" w:hanging="0"/>
              <w:jc w:val="left"/>
              <w:rPr>
                <w:rFonts w:ascii="Arial" w:hAnsi="Arial"/>
                <w:sz w:val="20"/>
              </w:rPr>
            </w:pPr>
            <w:r>
              <w:rPr>
                <w:rFonts w:ascii="Arial" w:hAnsi="Arial"/>
                <w:sz w:val="20"/>
              </w:rPr>
              <w:t>ACN 629 483 914</w:t>
            </w:r>
          </w:p>
        </w:tc>
        <w:tc>
          <w:tcPr>
            <w:tcW w:w="110" w:type="dxa"/>
            <w:tcBorders/>
          </w:tcPr>
          <w:p>
            <w:pPr>
              <w:pStyle w:val="TableContents"/>
              <w:bidi w:val="0"/>
              <w:spacing w:before="17"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21"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Devonport</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110" w:type="dxa"/>
            <w:tcBorders/>
          </w:tcPr>
          <w:p>
            <w:pPr>
              <w:pStyle w:val="TableContents"/>
              <w:bidi w:val="0"/>
              <w:spacing w:before="21" w:after="0"/>
              <w:ind w:left="0" w:right="0" w:hanging="0"/>
              <w:jc w:val="left"/>
              <w:rPr>
                <w:rFonts w:ascii="Arial" w:hAnsi="Arial"/>
                <w:sz w:val="21"/>
              </w:rPr>
            </w:pPr>
            <w:r>
              <w:rPr>
                <w:rFonts w:ascii="Arial" w:hAnsi="Arial"/>
                <w:sz w:val="21"/>
              </w:rPr>
              <w:t>)</w:t>
            </w:r>
          </w:p>
        </w:tc>
      </w:tr>
      <w:tr>
        <w:trPr/>
        <w:tc>
          <w:tcPr>
            <w:tcW w:w="3620" w:type="dxa"/>
            <w:tcBorders/>
          </w:tcPr>
          <w:p>
            <w:pPr>
              <w:pStyle w:val="TableContents"/>
              <w:bidi w:val="0"/>
              <w:spacing w:before="17" w:after="0"/>
              <w:ind w:left="0" w:right="0" w:hanging="0"/>
              <w:jc w:val="left"/>
              <w:rPr>
                <w:rFonts w:ascii="Arial" w:hAnsi="Arial"/>
                <w:sz w:val="20"/>
              </w:rPr>
            </w:pPr>
            <w:r>
              <w:rPr>
                <w:rFonts w:ascii="Arial" w:hAnsi="Arial"/>
                <w:sz w:val="20"/>
              </w:rPr>
              <w:t>ACN 629 484 126</w:t>
            </w:r>
          </w:p>
        </w:tc>
        <w:tc>
          <w:tcPr>
            <w:tcW w:w="110" w:type="dxa"/>
            <w:tcBorders/>
          </w:tcPr>
          <w:p>
            <w:pPr>
              <w:pStyle w:val="TableContents"/>
              <w:bidi w:val="0"/>
              <w:spacing w:before="17" w:after="0"/>
              <w:ind w:left="0" w:right="0" w:hanging="0"/>
              <w:jc w:val="left"/>
              <w:rPr>
                <w:rFonts w:ascii="Arial" w:hAnsi="Arial"/>
                <w:sz w:val="21"/>
              </w:rPr>
            </w:pPr>
            <w:r>
              <w:rPr>
                <w:rFonts w:ascii="Arial" w:hAnsi="Arial"/>
                <w:sz w:val="21"/>
              </w:rPr>
              <w:t>)</w:t>
            </w:r>
          </w:p>
        </w:tc>
      </w:tr>
    </w:tbl>
    <w:p>
      <w:pPr>
        <w:pStyle w:val="TextBody"/>
        <w:bidi w:val="0"/>
        <w:spacing w:before="0" w:after="0"/>
        <w:ind w:left="1700" w:right="1260" w:hanging="0"/>
        <w:jc w:val="left"/>
        <w:rPr>
          <w:rFonts w:cs="Arial"/>
          <w:szCs w:val="22"/>
        </w:rPr>
      </w:pPr>
      <w:r>
        <w:rPr>
          <w:rFonts w:cs="Arial"/>
          <w:szCs w:val="22"/>
        </w:rPr>
        <w:t xml:space="preserve">﻿ </w:t>
      </w:r>
    </w:p>
    <w:p>
      <w:pPr>
        <w:pStyle w:val="TextBody"/>
        <w:bidi w:val="0"/>
        <w:spacing w:before="89" w:after="0"/>
        <w:ind w:left="1700" w:right="1260" w:hanging="0"/>
        <w:jc w:val="left"/>
        <w:rPr>
          <w:rFonts w:cs="Arial"/>
          <w:szCs w:val="20"/>
        </w:rPr>
      </w:pPr>
      <w:r>
        <w:rPr>
          <w:rFonts w:cs="Arial"/>
          <w:szCs w:val="20"/>
        </w:rPr>
        <w:t xml:space="preserve">﻿ </w:t>
      </w:r>
    </w:p>
    <w:tbl>
      <w:tblPr>
        <w:tblW w:w="7023" w:type="dxa"/>
        <w:jc w:val="left"/>
        <w:tblInd w:w="1700" w:type="dxa"/>
        <w:tblLayout w:type="fixed"/>
        <w:tblCellMar>
          <w:top w:w="0" w:type="dxa"/>
          <w:left w:w="0" w:type="dxa"/>
          <w:bottom w:w="0" w:type="dxa"/>
          <w:right w:w="0" w:type="dxa"/>
        </w:tblCellMar>
      </w:tblPr>
      <w:tblGrid>
        <w:gridCol w:w="38"/>
        <w:gridCol w:w="3425"/>
        <w:gridCol w:w="60"/>
        <w:gridCol w:w="3425"/>
        <w:gridCol w:w="75"/>
      </w:tblGrid>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Ellen Cotter</w:t>
            </w:r>
          </w:p>
        </w:tc>
        <w:tc>
          <w:tcPr>
            <w:tcW w:w="60" w:type="dxa"/>
            <w:tcBorders/>
          </w:tcPr>
          <w:p>
            <w:pPr>
              <w:pStyle w:val="TableContents"/>
              <w:bidi w:val="0"/>
              <w:spacing w:before="0" w:after="0"/>
              <w:ind w:left="720" w:right="0" w:hanging="0"/>
              <w:jc w:val="left"/>
              <w:rPr/>
            </w:pPr>
            <w:r>
              <w:rPr/>
              <w:t> </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Wayne Douglas Smith</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 xml:space="preserve">Ellen Cotter </w:t>
            </w:r>
          </w:p>
          <w:p>
            <w:pPr>
              <w:pStyle w:val="TableContents"/>
              <w:bidi w:val="0"/>
              <w:spacing w:before="0" w:after="0"/>
              <w:ind w:left="0" w:right="0" w:hanging="0"/>
              <w:jc w:val="left"/>
              <w:rPr>
                <w:rFonts w:ascii="Arial" w:hAnsi="Arial"/>
                <w:sz w:val="18"/>
              </w:rPr>
            </w:pPr>
            <w:r>
              <w:rPr>
                <w:rFonts w:ascii="Arial" w:hAnsi="Arial"/>
                <w:sz w:val="18"/>
              </w:rPr>
              <w:t>Director/Company Secretary</w:t>
            </w:r>
          </w:p>
        </w:tc>
        <w:tc>
          <w:tcPr>
            <w:tcW w:w="60" w:type="dxa"/>
            <w:tcBorders/>
          </w:tcPr>
          <w:p>
            <w:pPr>
              <w:pStyle w:val="TableContents"/>
              <w:bidi w:val="0"/>
              <w:spacing w:before="0" w:after="0"/>
              <w:ind w:left="0" w:right="0" w:hanging="0"/>
              <w:jc w:val="left"/>
              <w:rPr/>
            </w:pPr>
            <w:r>
              <w:rPr/>
              <w:t> </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Wayne Douglas Smith</w:t>
            </w:r>
          </w:p>
          <w:p>
            <w:pPr>
              <w:pStyle w:val="TableContents"/>
              <w:bidi w:val="0"/>
              <w:spacing w:before="0" w:after="0"/>
              <w:ind w:left="0" w:right="0" w:hanging="0"/>
              <w:jc w:val="left"/>
              <w:rPr>
                <w:rFonts w:ascii="Arial" w:hAnsi="Arial"/>
                <w:sz w:val="18"/>
              </w:rPr>
            </w:pPr>
            <w:r>
              <w:rPr>
                <w:rFonts w:ascii="Arial" w:hAnsi="Arial"/>
                <w:sz w:val="18"/>
              </w:rPr>
              <w:t>Director</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bCs/>
                <w:szCs w:val="17"/>
              </w:rPr>
            </w:pPr>
            <w:r>
              <w:rPr>
                <w:rFonts w:cs="Arial"/>
                <w:bCs/>
                <w:szCs w:val="17"/>
              </w:rPr>
              <w:t>﻿</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2"/>
                          <a:stretch>
                            <a:fillRect/>
                          </a:stretch>
                        </pic:blipFill>
                        <pic:spPr bwMode="auto">
                          <a:xfrm>
                            <a:off x="0" y="0"/>
                            <a:ext cx="76200" cy="114300"/>
                          </a:xfrm>
                          <a:prstGeom prst="rect">
                            <a:avLst/>
                          </a:prstGeom>
                        </pic:spPr>
                      </pic:pic>
                    </a:graphicData>
                  </a:graphic>
                </wp:inline>
              </w:drawing>
            </w:r>
            <w:r>
              <w:rPr/>
              <w:t xml:space="preserve">  </w:t>
            </w:r>
            <w:r>
              <w:rPr>
                <w:rFonts w:ascii="Arial" w:hAnsi="Arial"/>
                <w:b/>
                <w:i/>
                <w:sz w:val="17"/>
              </w:rPr>
              <w:t xml:space="preserve">Tick if signatory signing electronically. </w:t>
            </w:r>
          </w:p>
          <w:p>
            <w:pPr>
              <w:pStyle w:val="TableContents"/>
              <w:bidi w:val="0"/>
              <w:spacing w:before="0" w:after="0"/>
              <w:ind w:left="0" w:right="0" w:hanging="0"/>
              <w:jc w:val="left"/>
              <w:rPr>
                <w:rFonts w:ascii="Arial" w:hAnsi="Arial"/>
                <w:i/>
                <w:sz w:val="17"/>
              </w:rPr>
            </w:pPr>
            <w:r>
              <w:rPr>
                <w:rFonts w:ascii="Arial" w:hAnsi="Arial"/>
                <w:i/>
                <w:sz w:val="17"/>
              </w:rPr>
              <w:t xml:space="preserve">By ticking this box, the signatory warrants that </w:t>
            </w:r>
          </w:p>
          <w:p>
            <w:pPr>
              <w:pStyle w:val="TableContents"/>
              <w:bidi w:val="0"/>
              <w:spacing w:before="0" w:after="0"/>
              <w:ind w:left="0" w:right="0" w:hanging="0"/>
              <w:jc w:val="left"/>
              <w:rPr>
                <w:rFonts w:ascii="Arial" w:hAnsi="Arial"/>
                <w:i/>
                <w:sz w:val="17"/>
              </w:rPr>
            </w:pPr>
            <w:r>
              <w:rPr>
                <w:rFonts w:ascii="Arial" w:hAnsi="Arial"/>
                <w:i/>
                <w:sz w:val="17"/>
              </w:rPr>
              <w:t>they are signing this document in accordance</w:t>
            </w:r>
          </w:p>
          <w:p>
            <w:pPr>
              <w:pStyle w:val="TableContents"/>
              <w:bidi w:val="0"/>
              <w:spacing w:before="0" w:after="0"/>
              <w:ind w:left="0" w:right="0" w:hanging="0"/>
              <w:jc w:val="left"/>
              <w:rPr>
                <w:rFonts w:ascii="Arial" w:hAnsi="Arial"/>
                <w:i/>
                <w:sz w:val="17"/>
              </w:rPr>
            </w:pPr>
            <w:r>
              <w:rPr>
                <w:rFonts w:ascii="Arial" w:hAnsi="Arial"/>
                <w:i/>
                <w:sz w:val="17"/>
              </w:rPr>
              <w:t xml:space="preserve">with section 110A(2) of the Corporations Act </w:t>
            </w:r>
          </w:p>
          <w:p>
            <w:pPr>
              <w:pStyle w:val="TableContents"/>
              <w:bidi w:val="0"/>
              <w:spacing w:before="0" w:after="0"/>
              <w:ind w:left="0" w:right="0" w:hanging="0"/>
              <w:jc w:val="left"/>
              <w:rPr>
                <w:rFonts w:ascii="Arial" w:hAnsi="Arial"/>
                <w:i/>
                <w:sz w:val="17"/>
              </w:rPr>
            </w:pPr>
            <w:r>
              <w:rPr>
                <w:rFonts w:ascii="Arial" w:hAnsi="Arial"/>
                <w:i/>
                <w:sz w:val="17"/>
              </w:rPr>
              <w:t>2001 (Cth).</w:t>
            </w:r>
          </w:p>
        </w:tc>
        <w:tc>
          <w:tcPr>
            <w:tcW w:w="60" w:type="dxa"/>
            <w:tcBorders/>
          </w:tcPr>
          <w:p>
            <w:pPr>
              <w:pStyle w:val="TableContents"/>
              <w:bidi w:val="0"/>
              <w:spacing w:before="0" w:after="0"/>
              <w:ind w:left="0" w:right="0" w:hanging="0"/>
              <w:jc w:val="left"/>
              <w:rPr/>
            </w:pPr>
            <w:r>
              <w:rPr/>
              <w:t> </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3"/>
                          <a:stretch>
                            <a:fillRect/>
                          </a:stretch>
                        </pic:blipFill>
                        <pic:spPr bwMode="auto">
                          <a:xfrm>
                            <a:off x="0" y="0"/>
                            <a:ext cx="76200" cy="114300"/>
                          </a:xfrm>
                          <a:prstGeom prst="rect">
                            <a:avLst/>
                          </a:prstGeom>
                        </pic:spPr>
                      </pic:pic>
                    </a:graphicData>
                  </a:graphic>
                </wp:inline>
              </w:drawing>
            </w:r>
            <w:r>
              <w:rPr>
                <w:rFonts w:ascii="Arial" w:hAnsi="Arial"/>
                <w:b/>
                <w:i/>
                <w:sz w:val="17"/>
              </w:rPr>
              <w:t>Tick if signatory signing electronically.</w:t>
            </w:r>
          </w:p>
          <w:p>
            <w:pPr>
              <w:pStyle w:val="TableContents"/>
              <w:bidi w:val="0"/>
              <w:spacing w:before="0" w:after="0"/>
              <w:ind w:left="0" w:right="0" w:hanging="0"/>
              <w:jc w:val="left"/>
              <w:rPr>
                <w:rFonts w:ascii="Arial" w:hAnsi="Arial"/>
                <w:i/>
                <w:sz w:val="17"/>
              </w:rPr>
            </w:pPr>
            <w:r>
              <w:rPr>
                <w:rFonts w:ascii="Arial" w:hAnsi="Arial"/>
                <w:i/>
                <w:sz w:val="17"/>
              </w:rPr>
              <w:t xml:space="preserve">By ticking this box, the signatory warrants that </w:t>
            </w:r>
          </w:p>
          <w:p>
            <w:pPr>
              <w:pStyle w:val="TableContents"/>
              <w:bidi w:val="0"/>
              <w:spacing w:before="0" w:after="0"/>
              <w:ind w:left="0" w:right="0" w:hanging="0"/>
              <w:jc w:val="left"/>
              <w:rPr>
                <w:rFonts w:ascii="Arial" w:hAnsi="Arial"/>
                <w:i/>
                <w:sz w:val="17"/>
              </w:rPr>
            </w:pPr>
            <w:r>
              <w:rPr>
                <w:rFonts w:ascii="Arial" w:hAnsi="Arial"/>
                <w:i/>
                <w:sz w:val="17"/>
              </w:rPr>
              <w:t xml:space="preserve">they are signing this document in accordance </w:t>
            </w:r>
          </w:p>
          <w:p>
            <w:pPr>
              <w:pStyle w:val="TableContents"/>
              <w:bidi w:val="0"/>
              <w:spacing w:before="0" w:after="0"/>
              <w:ind w:left="0" w:right="0" w:hanging="0"/>
              <w:jc w:val="left"/>
              <w:rPr>
                <w:rFonts w:ascii="Arial" w:hAnsi="Arial"/>
                <w:i/>
                <w:sz w:val="17"/>
              </w:rPr>
            </w:pPr>
            <w:r>
              <w:rPr>
                <w:rFonts w:ascii="Arial" w:hAnsi="Arial"/>
                <w:i/>
                <w:sz w:val="17"/>
              </w:rPr>
              <w:t xml:space="preserve">with section 110A(2) of the Corporations Act </w:t>
            </w:r>
          </w:p>
          <w:p>
            <w:pPr>
              <w:pStyle w:val="TableContents"/>
              <w:bidi w:val="0"/>
              <w:spacing w:before="0" w:after="0"/>
              <w:ind w:left="0" w:right="0" w:hanging="0"/>
              <w:jc w:val="left"/>
              <w:rPr>
                <w:rFonts w:ascii="Arial" w:hAnsi="Arial"/>
                <w:i/>
                <w:sz w:val="17"/>
              </w:rPr>
            </w:pPr>
            <w:r>
              <w:rPr>
                <w:rFonts w:ascii="Arial" w:hAnsi="Arial"/>
                <w:i/>
                <w:sz w:val="17"/>
              </w:rPr>
              <w:t>2001 (Cth).</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700" w:right="1260" w:hanging="0"/>
        <w:jc w:val="left"/>
        <w:rPr>
          <w:rFonts w:cs="Arial"/>
          <w:szCs w:val="20"/>
        </w:rPr>
      </w:pPr>
      <w:r>
        <w:rPr>
          <w:rFonts w:cs="Arial"/>
          <w:szCs w:val="20"/>
        </w:rPr>
        <w:t xml:space="preserve">﻿ </w:t>
      </w:r>
    </w:p>
    <w:tbl>
      <w:tblPr>
        <w:tblW w:w="1900" w:type="dxa"/>
        <w:jc w:val="left"/>
        <w:tblInd w:w="1700" w:type="dxa"/>
        <w:tblLayout w:type="fixed"/>
        <w:tblCellMar>
          <w:top w:w="0" w:type="dxa"/>
          <w:left w:w="0" w:type="dxa"/>
          <w:bottom w:w="28" w:type="dxa"/>
          <w:right w:w="0" w:type="dxa"/>
        </w:tblCellMar>
      </w:tblPr>
      <w:tblGrid>
        <w:gridCol w:w="1370"/>
        <w:gridCol w:w="53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53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8</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0" w:after="0"/>
        <w:ind w:left="1700" w:right="1260" w:hanging="0"/>
        <w:jc w:val="left"/>
        <w:rPr/>
      </w:pPr>
      <w:r>
        <w:rPr/>
        <w:t xml:space="preserve">  </w:t>
      </w:r>
    </w:p>
    <w:tbl>
      <w:tblPr>
        <w:tblW w:w="1900" w:type="dxa"/>
        <w:jc w:val="left"/>
        <w:tblInd w:w="1700" w:type="dxa"/>
        <w:tblLayout w:type="fixed"/>
        <w:tblCellMar>
          <w:top w:w="0" w:type="dxa"/>
          <w:left w:w="0" w:type="dxa"/>
          <w:bottom w:w="28" w:type="dxa"/>
          <w:right w:w="0" w:type="dxa"/>
        </w:tblCellMar>
      </w:tblPr>
      <w:tblGrid>
        <w:gridCol w:w="1370"/>
        <w:gridCol w:w="53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53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53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9</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pPr>
      <w:r>
        <w:rPr/>
        <w:t xml:space="preserve">  </w:t>
      </w:r>
    </w:p>
    <w:tbl>
      <w:tblPr>
        <w:tblW w:w="3370" w:type="dxa"/>
        <w:jc w:val="left"/>
        <w:tblInd w:w="1700" w:type="dxa"/>
        <w:tblLayout w:type="fixed"/>
        <w:tblCellMar>
          <w:top w:w="0" w:type="dxa"/>
          <w:left w:w="0" w:type="dxa"/>
          <w:bottom w:w="0" w:type="dxa"/>
          <w:right w:w="0" w:type="dxa"/>
        </w:tblCellMar>
      </w:tblPr>
      <w:tblGrid>
        <w:gridCol w:w="3275"/>
        <w:gridCol w:w="95"/>
      </w:tblGrid>
      <w:tr>
        <w:trPr/>
        <w:tc>
          <w:tcPr>
            <w:tcW w:w="3275" w:type="dxa"/>
            <w:tcBorders/>
          </w:tcPr>
          <w:p>
            <w:pPr>
              <w:pStyle w:val="TableContents"/>
              <w:bidi w:val="0"/>
              <w:spacing w:before="0" w:after="0"/>
              <w:ind w:left="0" w:right="0" w:hanging="0"/>
              <w:jc w:val="left"/>
              <w:rPr>
                <w:rFonts w:cs="Arial"/>
                <w:szCs w:val="2"/>
              </w:rPr>
            </w:pPr>
            <w:r>
              <w:rPr>
                <w:rFonts w:cs="Arial"/>
                <w:szCs w:val="2"/>
              </w:rPr>
              <w:t>﻿</w:t>
            </w:r>
          </w:p>
        </w:tc>
        <w:tc>
          <w:tcPr>
            <w:tcW w:w="95" w:type="dxa"/>
            <w:tcBorders/>
          </w:tcPr>
          <w:p>
            <w:pPr>
              <w:pStyle w:val="TableContents"/>
              <w:bidi w:val="0"/>
              <w:spacing w:before="0" w:after="0"/>
              <w:ind w:left="0" w:right="0" w:hanging="0"/>
              <w:jc w:val="left"/>
              <w:rPr/>
            </w:pPr>
            <w:r>
              <w:rPr/>
              <w:t> </w:t>
            </w:r>
          </w:p>
        </w:tc>
      </w:tr>
      <w:tr>
        <w:trPr/>
        <w:tc>
          <w:tcPr>
            <w:tcW w:w="3275" w:type="dxa"/>
            <w:tcBorders/>
          </w:tcPr>
          <w:p>
            <w:pPr>
              <w:pStyle w:val="TableContents"/>
              <w:bidi w:val="0"/>
              <w:spacing w:before="93" w:after="0"/>
              <w:ind w:left="0" w:right="0" w:hanging="0"/>
              <w:jc w:val="left"/>
              <w:rPr>
                <w:rFonts w:ascii="Arial" w:hAnsi="Arial"/>
                <w:sz w:val="20"/>
              </w:rPr>
            </w:pPr>
            <w:r>
              <w:rPr>
                <w:rFonts w:ascii="Arial" w:hAnsi="Arial"/>
                <w:b/>
                <w:sz w:val="20"/>
              </w:rPr>
              <w:t>Executed</w:t>
            </w:r>
            <w:r>
              <w:rPr>
                <w:rFonts w:ascii="Arial" w:hAnsi="Arial"/>
                <w:sz w:val="20"/>
              </w:rPr>
              <w:t> by</w:t>
            </w:r>
          </w:p>
        </w:tc>
        <w:tc>
          <w:tcPr>
            <w:tcW w:w="95" w:type="dxa"/>
            <w:tcBorders/>
          </w:tcPr>
          <w:p>
            <w:pPr>
              <w:pStyle w:val="TableContents"/>
              <w:bidi w:val="0"/>
              <w:spacing w:before="93"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32"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Altona</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95" w:type="dxa"/>
            <w:tcBorders/>
          </w:tcPr>
          <w:p>
            <w:pPr>
              <w:pStyle w:val="TableContents"/>
              <w:bidi w:val="0"/>
              <w:spacing w:before="32"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29" w:after="0"/>
              <w:ind w:left="0" w:right="0" w:hanging="0"/>
              <w:jc w:val="left"/>
              <w:rPr>
                <w:rFonts w:ascii="Arial" w:hAnsi="Arial"/>
                <w:sz w:val="20"/>
              </w:rPr>
            </w:pPr>
            <w:r>
              <w:rPr>
                <w:rFonts w:ascii="Arial" w:hAnsi="Arial"/>
                <w:sz w:val="20"/>
              </w:rPr>
              <w:t>ACN 634 384 311</w:t>
            </w:r>
          </w:p>
        </w:tc>
        <w:tc>
          <w:tcPr>
            <w:tcW w:w="95" w:type="dxa"/>
            <w:tcBorders/>
          </w:tcPr>
          <w:p>
            <w:pPr>
              <w:pStyle w:val="TableContents"/>
              <w:bidi w:val="0"/>
              <w:spacing w:before="29"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29"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South</w:t>
            </w:r>
            <w:r>
              <w:rPr>
                <w:rFonts w:ascii="Arial" w:hAnsi="Arial"/>
                <w:sz w:val="20"/>
              </w:rPr>
              <w:t> </w:t>
            </w:r>
            <w:r>
              <w:rPr>
                <w:rFonts w:ascii="Arial" w:hAnsi="Arial"/>
                <w:b/>
                <w:sz w:val="20"/>
              </w:rPr>
              <w:t>City</w:t>
            </w:r>
            <w:r>
              <w:rPr>
                <w:rFonts w:ascii="Arial" w:hAnsi="Arial"/>
                <w:sz w:val="20"/>
              </w:rPr>
              <w:t> </w:t>
            </w:r>
            <w:r>
              <w:rPr>
                <w:rFonts w:ascii="Arial" w:hAnsi="Arial"/>
                <w:b/>
                <w:sz w:val="20"/>
              </w:rPr>
              <w:t>Square</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95" w:type="dxa"/>
            <w:tcBorders/>
          </w:tcPr>
          <w:p>
            <w:pPr>
              <w:pStyle w:val="TableContents"/>
              <w:bidi w:val="0"/>
              <w:spacing w:before="29"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32" w:after="0"/>
              <w:ind w:left="0" w:right="0" w:hanging="0"/>
              <w:jc w:val="left"/>
              <w:rPr>
                <w:rFonts w:ascii="Arial" w:hAnsi="Arial"/>
                <w:sz w:val="20"/>
              </w:rPr>
            </w:pPr>
            <w:r>
              <w:rPr>
                <w:rFonts w:ascii="Arial" w:hAnsi="Arial"/>
                <w:sz w:val="20"/>
              </w:rPr>
              <w:t>ACN 616 892 936</w:t>
            </w:r>
          </w:p>
        </w:tc>
        <w:tc>
          <w:tcPr>
            <w:tcW w:w="95" w:type="dxa"/>
            <w:tcBorders/>
          </w:tcPr>
          <w:p>
            <w:pPr>
              <w:pStyle w:val="TableContents"/>
              <w:bidi w:val="0"/>
              <w:spacing w:before="32"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29"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Traralgon</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95" w:type="dxa"/>
            <w:tcBorders/>
          </w:tcPr>
          <w:p>
            <w:pPr>
              <w:pStyle w:val="TableContents"/>
              <w:bidi w:val="0"/>
              <w:spacing w:before="29"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29" w:after="0"/>
              <w:ind w:left="0" w:right="0" w:hanging="0"/>
              <w:jc w:val="left"/>
              <w:rPr>
                <w:rFonts w:ascii="Arial" w:hAnsi="Arial"/>
                <w:sz w:val="20"/>
              </w:rPr>
            </w:pPr>
            <w:r>
              <w:rPr>
                <w:rFonts w:ascii="Arial" w:hAnsi="Arial"/>
                <w:sz w:val="20"/>
              </w:rPr>
              <w:t>ACN 618 457 202</w:t>
            </w:r>
          </w:p>
        </w:tc>
        <w:tc>
          <w:tcPr>
            <w:tcW w:w="95" w:type="dxa"/>
            <w:tcBorders/>
          </w:tcPr>
          <w:p>
            <w:pPr>
              <w:pStyle w:val="TableContents"/>
              <w:bidi w:val="0"/>
              <w:spacing w:before="29"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32"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Burwood</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95" w:type="dxa"/>
            <w:tcBorders/>
          </w:tcPr>
          <w:p>
            <w:pPr>
              <w:pStyle w:val="TableContents"/>
              <w:bidi w:val="0"/>
              <w:spacing w:before="32"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29" w:after="0"/>
              <w:ind w:left="0" w:right="0" w:hanging="0"/>
              <w:jc w:val="left"/>
              <w:rPr>
                <w:rFonts w:ascii="Arial" w:hAnsi="Arial"/>
                <w:sz w:val="20"/>
              </w:rPr>
            </w:pPr>
            <w:r>
              <w:rPr>
                <w:rFonts w:ascii="Arial" w:hAnsi="Arial"/>
                <w:sz w:val="20"/>
              </w:rPr>
              <w:t>ACN 619 050 396</w:t>
            </w:r>
          </w:p>
        </w:tc>
        <w:tc>
          <w:tcPr>
            <w:tcW w:w="95" w:type="dxa"/>
            <w:tcBorders/>
          </w:tcPr>
          <w:p>
            <w:pPr>
              <w:pStyle w:val="TableContents"/>
              <w:bidi w:val="0"/>
              <w:spacing w:before="29"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29"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Cinemas</w:t>
            </w:r>
            <w:r>
              <w:rPr>
                <w:rFonts w:ascii="Arial" w:hAnsi="Arial"/>
                <w:sz w:val="20"/>
              </w:rPr>
              <w:t> </w:t>
            </w:r>
            <w:r>
              <w:rPr>
                <w:rFonts w:ascii="Arial" w:hAnsi="Arial"/>
                <w:b/>
                <w:sz w:val="20"/>
              </w:rPr>
              <w:t>Auburn</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95" w:type="dxa"/>
            <w:tcBorders/>
          </w:tcPr>
          <w:p>
            <w:pPr>
              <w:pStyle w:val="TableContents"/>
              <w:bidi w:val="0"/>
              <w:spacing w:before="29"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33" w:after="0"/>
              <w:ind w:left="0" w:right="0" w:hanging="0"/>
              <w:jc w:val="left"/>
              <w:rPr>
                <w:rFonts w:ascii="Arial" w:hAnsi="Arial"/>
                <w:sz w:val="20"/>
              </w:rPr>
            </w:pPr>
            <w:r>
              <w:rPr>
                <w:rFonts w:ascii="Arial" w:hAnsi="Arial"/>
                <w:sz w:val="20"/>
              </w:rPr>
              <w:t>ACN 633 008 401</w:t>
            </w:r>
          </w:p>
        </w:tc>
        <w:tc>
          <w:tcPr>
            <w:tcW w:w="95" w:type="dxa"/>
            <w:tcBorders/>
          </w:tcPr>
          <w:p>
            <w:pPr>
              <w:pStyle w:val="TableContents"/>
              <w:bidi w:val="0"/>
              <w:spacing w:before="33"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29" w:after="0"/>
              <w:ind w:left="0" w:right="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Auburn</w:t>
            </w:r>
            <w:r>
              <w:rPr>
                <w:rFonts w:ascii="Arial" w:hAnsi="Arial"/>
                <w:sz w:val="20"/>
              </w:rPr>
              <w:t> </w:t>
            </w:r>
            <w:r>
              <w:rPr>
                <w:rFonts w:ascii="Arial" w:hAnsi="Arial"/>
                <w:b/>
                <w:sz w:val="20"/>
              </w:rPr>
              <w:t>Pty</w:t>
            </w:r>
            <w:r>
              <w:rPr>
                <w:rFonts w:ascii="Arial" w:hAnsi="Arial"/>
                <w:sz w:val="20"/>
              </w:rPr>
              <w:t> </w:t>
            </w:r>
            <w:r>
              <w:rPr>
                <w:rFonts w:ascii="Arial" w:hAnsi="Arial"/>
                <w:b/>
                <w:sz w:val="20"/>
              </w:rPr>
              <w:t>Ltd</w:t>
            </w:r>
          </w:p>
        </w:tc>
        <w:tc>
          <w:tcPr>
            <w:tcW w:w="95" w:type="dxa"/>
            <w:tcBorders/>
          </w:tcPr>
          <w:p>
            <w:pPr>
              <w:pStyle w:val="TableContents"/>
              <w:bidi w:val="0"/>
              <w:spacing w:before="29" w:after="0"/>
              <w:ind w:left="0" w:right="0" w:hanging="0"/>
              <w:jc w:val="left"/>
              <w:rPr>
                <w:rFonts w:ascii="Arial" w:hAnsi="Arial"/>
                <w:sz w:val="20"/>
              </w:rPr>
            </w:pPr>
            <w:r>
              <w:rPr>
                <w:rFonts w:ascii="Arial" w:hAnsi="Arial"/>
                <w:sz w:val="20"/>
              </w:rPr>
              <w:t>)</w:t>
            </w:r>
          </w:p>
        </w:tc>
      </w:tr>
      <w:tr>
        <w:trPr/>
        <w:tc>
          <w:tcPr>
            <w:tcW w:w="3275" w:type="dxa"/>
            <w:tcBorders/>
          </w:tcPr>
          <w:p>
            <w:pPr>
              <w:pStyle w:val="TableContents"/>
              <w:bidi w:val="0"/>
              <w:spacing w:before="29" w:after="0"/>
              <w:ind w:left="0" w:right="0" w:hanging="0"/>
              <w:jc w:val="left"/>
              <w:rPr>
                <w:rFonts w:ascii="Arial" w:hAnsi="Arial"/>
                <w:sz w:val="20"/>
              </w:rPr>
            </w:pPr>
            <w:r>
              <w:rPr>
                <w:rFonts w:ascii="Arial" w:hAnsi="Arial"/>
                <w:sz w:val="20"/>
              </w:rPr>
              <w:t>ACN 126 697 470</w:t>
            </w:r>
          </w:p>
        </w:tc>
        <w:tc>
          <w:tcPr>
            <w:tcW w:w="95" w:type="dxa"/>
            <w:tcBorders/>
          </w:tcPr>
          <w:p>
            <w:pPr>
              <w:pStyle w:val="TableContents"/>
              <w:bidi w:val="0"/>
              <w:spacing w:before="29" w:after="0"/>
              <w:ind w:left="0" w:right="0" w:hanging="0"/>
              <w:jc w:val="left"/>
              <w:rPr>
                <w:rFonts w:ascii="Arial" w:hAnsi="Arial"/>
                <w:sz w:val="20"/>
              </w:rPr>
            </w:pPr>
            <w:r>
              <w:rPr>
                <w:rFonts w:ascii="Arial" w:hAnsi="Arial"/>
                <w:sz w:val="20"/>
              </w:rPr>
              <w:t>)</w:t>
            </w:r>
          </w:p>
        </w:tc>
      </w:tr>
    </w:tbl>
    <w:p>
      <w:pPr>
        <w:pStyle w:val="TextBody"/>
        <w:bidi w:val="0"/>
        <w:spacing w:lineRule="auto" w:line="268" w:before="0" w:after="0"/>
        <w:ind w:left="1700" w:right="1260" w:hanging="0"/>
        <w:jc w:val="left"/>
        <w:rPr>
          <w:rFonts w:cs="Arial"/>
          <w:szCs w:val="20"/>
        </w:rPr>
      </w:pPr>
      <w:r>
        <w:rPr>
          <w:rFonts w:cs="Arial"/>
          <w:szCs w:val="20"/>
        </w:rPr>
        <w:t xml:space="preserve">﻿ </w:t>
      </w:r>
    </w:p>
    <w:p>
      <w:pPr>
        <w:pStyle w:val="TextBody"/>
        <w:bidi w:val="0"/>
        <w:spacing w:lineRule="auto" w:line="268" w:before="0" w:after="0"/>
        <w:ind w:left="1700" w:right="1260" w:hanging="0"/>
        <w:jc w:val="left"/>
        <w:rPr>
          <w:rFonts w:cs="Arial"/>
          <w:szCs w:val="20"/>
        </w:rPr>
      </w:pPr>
      <w:r>
        <w:rPr>
          <w:rFonts w:cs="Arial"/>
          <w:szCs w:val="20"/>
        </w:rPr>
        <w:t xml:space="preserve">﻿ </w:t>
      </w:r>
    </w:p>
    <w:p>
      <w:pPr>
        <w:pStyle w:val="TextBody"/>
        <w:bidi w:val="0"/>
        <w:spacing w:lineRule="auto" w:line="268" w:before="0" w:after="0"/>
        <w:ind w:left="1700" w:right="1260" w:hanging="0"/>
        <w:jc w:val="left"/>
        <w:rPr/>
      </w:pPr>
      <w:r>
        <w:rPr/>
        <w:t xml:space="preserve">  </w:t>
      </w:r>
    </w:p>
    <w:p>
      <w:pPr>
        <w:pStyle w:val="TextBody"/>
        <w:pBdr/>
        <w:bidi w:val="0"/>
        <w:spacing w:before="5" w:after="0"/>
        <w:ind w:left="1700" w:right="1260" w:hanging="0"/>
        <w:jc w:val="left"/>
        <w:rPr>
          <w:rFonts w:cs="Arial"/>
          <w:szCs w:val="16"/>
        </w:rPr>
      </w:pPr>
      <w:r>
        <w:rPr>
          <w:rFonts w:cs="Arial"/>
          <w:szCs w:val="16"/>
        </w:rPr>
        <w:t xml:space="preserve">﻿ </w:t>
      </w:r>
    </w:p>
    <w:p>
      <w:pPr>
        <w:pStyle w:val="TextBody"/>
        <w:pBdr/>
        <w:bidi w:val="0"/>
        <w:spacing w:before="5" w:after="0"/>
        <w:ind w:left="1700" w:right="1260" w:hanging="0"/>
        <w:jc w:val="left"/>
        <w:rPr>
          <w:rFonts w:cs="Arial"/>
          <w:szCs w:val="16"/>
        </w:rPr>
      </w:pPr>
      <w:r>
        <w:rPr>
          <w:rFonts w:cs="Arial"/>
          <w:szCs w:val="16"/>
        </w:rPr>
        <w:t xml:space="preserve">﻿ </w:t>
      </w:r>
    </w:p>
    <w:tbl>
      <w:tblPr>
        <w:tblW w:w="7023" w:type="dxa"/>
        <w:jc w:val="left"/>
        <w:tblInd w:w="1700" w:type="dxa"/>
        <w:tblLayout w:type="fixed"/>
        <w:tblCellMar>
          <w:top w:w="0" w:type="dxa"/>
          <w:left w:w="0" w:type="dxa"/>
          <w:bottom w:w="0" w:type="dxa"/>
          <w:right w:w="0" w:type="dxa"/>
        </w:tblCellMar>
      </w:tblPr>
      <w:tblGrid>
        <w:gridCol w:w="38"/>
        <w:gridCol w:w="3425"/>
        <w:gridCol w:w="60"/>
        <w:gridCol w:w="3425"/>
        <w:gridCol w:w="75"/>
      </w:tblGrid>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Ellen Cotter</w:t>
            </w:r>
          </w:p>
        </w:tc>
        <w:tc>
          <w:tcPr>
            <w:tcW w:w="60" w:type="dxa"/>
            <w:tcBorders/>
          </w:tcPr>
          <w:p>
            <w:pPr>
              <w:pStyle w:val="TableContents"/>
              <w:bidi w:val="0"/>
              <w:spacing w:before="0" w:after="0"/>
              <w:ind w:left="720" w:right="0" w:hanging="0"/>
              <w:jc w:val="left"/>
              <w:rPr/>
            </w:pPr>
            <w:r>
              <w:rPr/>
              <w:t> </w:t>
            </w:r>
          </w:p>
        </w:tc>
        <w:tc>
          <w:tcPr>
            <w:tcW w:w="342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Wayne Douglas Smith</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 xml:space="preserve">Ellen Cotter </w:t>
            </w:r>
          </w:p>
          <w:p>
            <w:pPr>
              <w:pStyle w:val="TableContents"/>
              <w:bidi w:val="0"/>
              <w:spacing w:before="0" w:after="0"/>
              <w:ind w:left="0" w:right="0" w:hanging="0"/>
              <w:jc w:val="left"/>
              <w:rPr>
                <w:rFonts w:ascii="Arial" w:hAnsi="Arial"/>
                <w:sz w:val="18"/>
              </w:rPr>
            </w:pPr>
            <w:r>
              <w:rPr>
                <w:rFonts w:ascii="Arial" w:hAnsi="Arial"/>
                <w:sz w:val="18"/>
              </w:rPr>
              <w:t>Director/Company Secretary</w:t>
            </w:r>
          </w:p>
        </w:tc>
        <w:tc>
          <w:tcPr>
            <w:tcW w:w="60" w:type="dxa"/>
            <w:tcBorders/>
          </w:tcPr>
          <w:p>
            <w:pPr>
              <w:pStyle w:val="TableContents"/>
              <w:bidi w:val="0"/>
              <w:spacing w:before="0" w:after="0"/>
              <w:ind w:left="0" w:right="0" w:hanging="0"/>
              <w:jc w:val="left"/>
              <w:rPr/>
            </w:pPr>
            <w:r>
              <w:rPr/>
              <w:t> </w:t>
            </w:r>
          </w:p>
        </w:tc>
        <w:tc>
          <w:tcPr>
            <w:tcW w:w="342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Wayne Douglas Smith</w:t>
            </w:r>
          </w:p>
          <w:p>
            <w:pPr>
              <w:pStyle w:val="TableContents"/>
              <w:bidi w:val="0"/>
              <w:spacing w:before="0" w:after="0"/>
              <w:ind w:left="0" w:right="0" w:hanging="0"/>
              <w:jc w:val="left"/>
              <w:rPr>
                <w:rFonts w:ascii="Arial" w:hAnsi="Arial"/>
                <w:sz w:val="18"/>
              </w:rPr>
            </w:pPr>
            <w:r>
              <w:rPr>
                <w:rFonts w:ascii="Arial" w:hAnsi="Arial"/>
                <w:sz w:val="18"/>
              </w:rPr>
              <w:t>Director</w:t>
            </w:r>
          </w:p>
        </w:tc>
        <w:tc>
          <w:tcPr>
            <w:tcW w:w="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bCs/>
                <w:szCs w:val="17"/>
              </w:rPr>
            </w:pPr>
            <w:r>
              <w:rPr>
                <w:rFonts w:cs="Arial"/>
                <w:bCs/>
                <w:szCs w:val="17"/>
              </w:rPr>
              <w:t>﻿</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4"/>
                          <a:stretch>
                            <a:fillRect/>
                          </a:stretch>
                        </pic:blipFill>
                        <pic:spPr bwMode="auto">
                          <a:xfrm>
                            <a:off x="0" y="0"/>
                            <a:ext cx="76200" cy="114300"/>
                          </a:xfrm>
                          <a:prstGeom prst="rect">
                            <a:avLst/>
                          </a:prstGeom>
                        </pic:spPr>
                      </pic:pic>
                    </a:graphicData>
                  </a:graphic>
                </wp:inline>
              </w:drawing>
            </w:r>
            <w:r>
              <w:rPr/>
              <w:t xml:space="preserve">  </w:t>
            </w:r>
            <w:r>
              <w:rPr>
                <w:rFonts w:ascii="Arial" w:hAnsi="Arial"/>
                <w:b/>
                <w:i/>
                <w:sz w:val="17"/>
              </w:rPr>
              <w:t xml:space="preserve">Tick if signatory signing electronically. </w:t>
            </w:r>
          </w:p>
          <w:p>
            <w:pPr>
              <w:pStyle w:val="TableContents"/>
              <w:bidi w:val="0"/>
              <w:spacing w:before="0" w:after="0"/>
              <w:ind w:left="0" w:right="0" w:hanging="0"/>
              <w:jc w:val="left"/>
              <w:rPr>
                <w:rFonts w:ascii="Arial" w:hAnsi="Arial"/>
                <w:i/>
                <w:sz w:val="17"/>
              </w:rPr>
            </w:pPr>
            <w:r>
              <w:rPr>
                <w:rFonts w:ascii="Arial" w:hAnsi="Arial"/>
                <w:i/>
                <w:sz w:val="17"/>
              </w:rPr>
              <w:t xml:space="preserve">By ticking this box, the signatory warrants that </w:t>
            </w:r>
          </w:p>
          <w:p>
            <w:pPr>
              <w:pStyle w:val="TableContents"/>
              <w:bidi w:val="0"/>
              <w:spacing w:before="0" w:after="0"/>
              <w:ind w:left="0" w:right="0" w:hanging="0"/>
              <w:jc w:val="left"/>
              <w:rPr>
                <w:rFonts w:ascii="Arial" w:hAnsi="Arial"/>
                <w:i/>
                <w:sz w:val="17"/>
              </w:rPr>
            </w:pPr>
            <w:r>
              <w:rPr>
                <w:rFonts w:ascii="Arial" w:hAnsi="Arial"/>
                <w:i/>
                <w:sz w:val="17"/>
              </w:rPr>
              <w:t>they are signing this document in accordance</w:t>
            </w:r>
          </w:p>
          <w:p>
            <w:pPr>
              <w:pStyle w:val="TableContents"/>
              <w:bidi w:val="0"/>
              <w:spacing w:before="0" w:after="0"/>
              <w:ind w:left="0" w:right="0" w:hanging="0"/>
              <w:jc w:val="left"/>
              <w:rPr>
                <w:rFonts w:ascii="Arial" w:hAnsi="Arial"/>
                <w:i/>
                <w:sz w:val="17"/>
              </w:rPr>
            </w:pPr>
            <w:r>
              <w:rPr>
                <w:rFonts w:ascii="Arial" w:hAnsi="Arial"/>
                <w:i/>
                <w:sz w:val="17"/>
              </w:rPr>
              <w:t xml:space="preserve">with section 110A(2) of the Corporations Act </w:t>
            </w:r>
          </w:p>
          <w:p>
            <w:pPr>
              <w:pStyle w:val="TableContents"/>
              <w:bidi w:val="0"/>
              <w:spacing w:before="0" w:after="0"/>
              <w:ind w:left="0" w:right="0" w:hanging="0"/>
              <w:jc w:val="left"/>
              <w:rPr>
                <w:rFonts w:ascii="Arial" w:hAnsi="Arial"/>
                <w:i/>
                <w:sz w:val="17"/>
              </w:rPr>
            </w:pPr>
            <w:r>
              <w:rPr>
                <w:rFonts w:ascii="Arial" w:hAnsi="Arial"/>
                <w:i/>
                <w:sz w:val="17"/>
              </w:rPr>
              <w:t>2001 (Cth).</w:t>
            </w:r>
          </w:p>
        </w:tc>
        <w:tc>
          <w:tcPr>
            <w:tcW w:w="60" w:type="dxa"/>
            <w:tcBorders/>
          </w:tcPr>
          <w:p>
            <w:pPr>
              <w:pStyle w:val="TableContents"/>
              <w:bidi w:val="0"/>
              <w:spacing w:before="0" w:after="0"/>
              <w:ind w:left="0" w:right="0" w:hanging="0"/>
              <w:jc w:val="left"/>
              <w:rPr/>
            </w:pPr>
            <w:r>
              <w:rPr/>
              <w:t> </w:t>
            </w:r>
          </w:p>
        </w:tc>
        <w:tc>
          <w:tcPr>
            <w:tcW w:w="3425" w:type="dxa"/>
            <w:tcBorders/>
          </w:tcPr>
          <w:p>
            <w:pPr>
              <w:pStyle w:val="TableContents"/>
              <w:bidi w:val="0"/>
              <w:spacing w:before="0" w:after="0"/>
              <w:ind w:left="0" w:right="0" w:hanging="0"/>
              <w:jc w:val="left"/>
              <w:rPr/>
            </w:pPr>
            <w:r>
              <w:rPr/>
              <w:drawing>
                <wp:inline distT="0" distB="0" distL="0" distR="0">
                  <wp:extent cx="76200" cy="114300"/>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5"/>
                          <a:stretch>
                            <a:fillRect/>
                          </a:stretch>
                        </pic:blipFill>
                        <pic:spPr bwMode="auto">
                          <a:xfrm>
                            <a:off x="0" y="0"/>
                            <a:ext cx="76200" cy="114300"/>
                          </a:xfrm>
                          <a:prstGeom prst="rect">
                            <a:avLst/>
                          </a:prstGeom>
                        </pic:spPr>
                      </pic:pic>
                    </a:graphicData>
                  </a:graphic>
                </wp:inline>
              </w:drawing>
            </w:r>
            <w:r>
              <w:rPr>
                <w:rFonts w:ascii="Arial" w:hAnsi="Arial"/>
                <w:b/>
                <w:i/>
                <w:sz w:val="17"/>
              </w:rPr>
              <w:t>Tick if signatory signing electronically.</w:t>
            </w:r>
          </w:p>
          <w:p>
            <w:pPr>
              <w:pStyle w:val="TableContents"/>
              <w:bidi w:val="0"/>
              <w:spacing w:before="0" w:after="0"/>
              <w:ind w:left="0" w:right="0" w:hanging="0"/>
              <w:jc w:val="left"/>
              <w:rPr>
                <w:rFonts w:ascii="Arial" w:hAnsi="Arial"/>
                <w:i/>
                <w:sz w:val="17"/>
              </w:rPr>
            </w:pPr>
            <w:r>
              <w:rPr>
                <w:rFonts w:ascii="Arial" w:hAnsi="Arial"/>
                <w:i/>
                <w:sz w:val="17"/>
              </w:rPr>
              <w:t xml:space="preserve">By ticking this box, the signatory warrants that </w:t>
            </w:r>
          </w:p>
          <w:p>
            <w:pPr>
              <w:pStyle w:val="TableContents"/>
              <w:bidi w:val="0"/>
              <w:spacing w:before="0" w:after="0"/>
              <w:ind w:left="0" w:right="0" w:hanging="0"/>
              <w:jc w:val="left"/>
              <w:rPr>
                <w:rFonts w:ascii="Arial" w:hAnsi="Arial"/>
                <w:i/>
                <w:sz w:val="17"/>
              </w:rPr>
            </w:pPr>
            <w:r>
              <w:rPr>
                <w:rFonts w:ascii="Arial" w:hAnsi="Arial"/>
                <w:i/>
                <w:sz w:val="17"/>
              </w:rPr>
              <w:t xml:space="preserve">they are signing this document in accordance </w:t>
            </w:r>
          </w:p>
          <w:p>
            <w:pPr>
              <w:pStyle w:val="TableContents"/>
              <w:bidi w:val="0"/>
              <w:spacing w:before="0" w:after="0"/>
              <w:ind w:left="0" w:right="0" w:hanging="0"/>
              <w:jc w:val="left"/>
              <w:rPr>
                <w:rFonts w:ascii="Arial" w:hAnsi="Arial"/>
                <w:i/>
                <w:sz w:val="17"/>
              </w:rPr>
            </w:pPr>
            <w:r>
              <w:rPr>
                <w:rFonts w:ascii="Arial" w:hAnsi="Arial"/>
                <w:i/>
                <w:sz w:val="17"/>
              </w:rPr>
              <w:t xml:space="preserve">with section 110A(2) of the Corporations Act </w:t>
            </w:r>
          </w:p>
          <w:p>
            <w:pPr>
              <w:pStyle w:val="TableContents"/>
              <w:bidi w:val="0"/>
              <w:spacing w:before="0" w:after="0"/>
              <w:ind w:left="0" w:right="0" w:hanging="0"/>
              <w:jc w:val="left"/>
              <w:rPr>
                <w:rFonts w:ascii="Arial" w:hAnsi="Arial"/>
                <w:i/>
                <w:sz w:val="17"/>
              </w:rPr>
            </w:pPr>
            <w:r>
              <w:rPr>
                <w:rFonts w:ascii="Arial" w:hAnsi="Arial"/>
                <w:i/>
                <w:sz w:val="17"/>
              </w:rPr>
              <w:t>2001 (Cth).</w:t>
            </w:r>
          </w:p>
        </w:tc>
        <w:tc>
          <w:tcPr>
            <w:tcW w:w="75" w:type="dxa"/>
            <w:tcBorders/>
          </w:tcPr>
          <w:p>
            <w:pPr>
              <w:pStyle w:val="TableContents"/>
              <w:bidi w:val="0"/>
              <w:spacing w:before="0" w:after="0"/>
              <w:ind w:left="0" w:right="0" w:hanging="0"/>
              <w:jc w:val="left"/>
              <w:rPr/>
            </w:pPr>
            <w:r>
              <w:rPr/>
              <w:t> </w:t>
            </w:r>
          </w:p>
        </w:tc>
      </w:tr>
    </w:tbl>
    <w:p>
      <w:pPr>
        <w:pStyle w:val="TextBody"/>
        <w:pBdr/>
        <w:bidi w:val="0"/>
        <w:spacing w:before="5" w:after="0"/>
        <w:ind w:left="1700" w:right="1260" w:hanging="0"/>
        <w:jc w:val="left"/>
        <w:rPr>
          <w:rFonts w:cs="Arial"/>
          <w:szCs w:val="16"/>
        </w:rPr>
      </w:pPr>
      <w:r>
        <w:rPr>
          <w:rFonts w:cs="Arial"/>
          <w:szCs w:val="16"/>
        </w:rPr>
        <w:t xml:space="preserve">﻿ </w:t>
      </w:r>
    </w:p>
    <w:p>
      <w:pPr>
        <w:pStyle w:val="TextBody"/>
        <w:pBdr/>
        <w:bidi w:val="0"/>
        <w:spacing w:before="5" w:after="0"/>
        <w:ind w:left="1700" w:right="1260" w:hanging="0"/>
        <w:jc w:val="left"/>
        <w:rPr>
          <w:rFonts w:cs="Arial"/>
          <w:szCs w:val="16"/>
        </w:rPr>
      </w:pPr>
      <w:r>
        <w:rPr>
          <w:rFonts w:cs="Arial"/>
          <w:szCs w:val="16"/>
        </w:rPr>
        <w:t xml:space="preserve">﻿ </w:t>
      </w:r>
    </w:p>
    <w:p>
      <w:pPr>
        <w:pStyle w:val="TextBody"/>
        <w:pBdr/>
        <w:bidi w:val="0"/>
        <w:spacing w:before="0" w:after="0"/>
        <w:ind w:left="1700" w:right="1260" w:hanging="0"/>
        <w:jc w:val="left"/>
        <w:rPr/>
      </w:pPr>
      <w:r>
        <w:rPr/>
        <w:t xml:space="preserve">  </w:t>
      </w:r>
    </w:p>
    <w:p>
      <w:pPr>
        <w:pStyle w:val="TextBody"/>
        <w:bidi w:val="0"/>
        <w:spacing w:lineRule="auto" w:line="300" w:before="0" w:after="0"/>
        <w:ind w:left="1700" w:right="1260" w:hanging="0"/>
        <w:jc w:val="left"/>
        <w:rPr/>
      </w:pPr>
      <w:r>
        <w:rPr/>
        <w:t xml:space="preserve">  </w:t>
      </w:r>
    </w:p>
    <w:tbl>
      <w:tblPr>
        <w:tblW w:w="1990" w:type="dxa"/>
        <w:jc w:val="left"/>
        <w:tblInd w:w="1700" w:type="dxa"/>
        <w:tblLayout w:type="fixed"/>
        <w:tblCellMar>
          <w:top w:w="0" w:type="dxa"/>
          <w:left w:w="0" w:type="dxa"/>
          <w:bottom w:w="28" w:type="dxa"/>
          <w:right w:w="0" w:type="dxa"/>
        </w:tblCellMar>
      </w:tblPr>
      <w:tblGrid>
        <w:gridCol w:w="1370"/>
        <w:gridCol w:w="62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62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62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10</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rFonts w:cs="Arial"/>
          <w:szCs w:val="20"/>
        </w:rPr>
      </w:pPr>
      <w:r>
        <w:rPr>
          <w:rFonts w:cs="Arial"/>
          <w:szCs w:val="20"/>
        </w:rPr>
        <w:t xml:space="preserve">﻿ </w:t>
      </w:r>
    </w:p>
    <w:p>
      <w:pPr>
        <w:pStyle w:val="TextBody"/>
        <w:pBdr/>
        <w:bidi w:val="0"/>
        <w:spacing w:before="134" w:after="0"/>
        <w:ind w:left="1700" w:right="1260" w:hanging="0"/>
        <w:jc w:val="left"/>
        <w:rPr>
          <w:rFonts w:cs="Arial"/>
          <w:szCs w:val="20"/>
        </w:rPr>
      </w:pPr>
      <w:r>
        <w:rPr>
          <w:rFonts w:cs="Arial"/>
          <w:szCs w:val="20"/>
        </w:rPr>
        <w:t xml:space="preserve">﻿ </w:t>
      </w:r>
    </w:p>
    <w:p>
      <w:pPr>
        <w:pStyle w:val="TextBody"/>
        <w:pBdr/>
        <w:bidi w:val="0"/>
        <w:spacing w:before="0" w:after="0"/>
        <w:ind w:left="1700" w:right="1260" w:hanging="0"/>
        <w:jc w:val="left"/>
        <w:rPr/>
      </w:pPr>
      <w:r>
        <w:rPr/>
        <w:t xml:space="preserve">  </w:t>
      </w:r>
    </w:p>
    <w:tbl>
      <w:tblPr>
        <w:tblW w:w="3775" w:type="dxa"/>
        <w:jc w:val="left"/>
        <w:tblInd w:w="1700" w:type="dxa"/>
        <w:tblLayout w:type="fixed"/>
        <w:tblCellMar>
          <w:top w:w="0" w:type="dxa"/>
          <w:left w:w="0" w:type="dxa"/>
          <w:bottom w:w="0" w:type="dxa"/>
          <w:right w:w="0" w:type="dxa"/>
        </w:tblCellMar>
      </w:tblPr>
      <w:tblGrid>
        <w:gridCol w:w="3680"/>
        <w:gridCol w:w="95"/>
      </w:tblGrid>
      <w:tr>
        <w:trPr/>
        <w:tc>
          <w:tcPr>
            <w:tcW w:w="3680" w:type="dxa"/>
            <w:tcBorders/>
          </w:tcPr>
          <w:p>
            <w:pPr>
              <w:pStyle w:val="TableContents"/>
              <w:bidi w:val="0"/>
              <w:spacing w:before="0" w:after="0"/>
              <w:ind w:left="0" w:right="0" w:hanging="0"/>
              <w:jc w:val="left"/>
              <w:rPr>
                <w:rFonts w:cs="Arial"/>
                <w:szCs w:val="2"/>
              </w:rPr>
            </w:pPr>
            <w:r>
              <w:rPr>
                <w:rFonts w:cs="Arial"/>
                <w:szCs w:val="2"/>
              </w:rPr>
              <w:t>﻿</w:t>
            </w:r>
          </w:p>
        </w:tc>
        <w:tc>
          <w:tcPr>
            <w:tcW w:w="95" w:type="dxa"/>
            <w:tcBorders/>
          </w:tcPr>
          <w:p>
            <w:pPr>
              <w:pStyle w:val="TableContents"/>
              <w:bidi w:val="0"/>
              <w:spacing w:before="0" w:after="0"/>
              <w:ind w:left="0" w:right="0" w:hanging="0"/>
              <w:jc w:val="left"/>
              <w:rPr/>
            </w:pPr>
            <w:r>
              <w:rPr/>
              <w:t> </w:t>
            </w:r>
          </w:p>
        </w:tc>
      </w:tr>
      <w:tr>
        <w:trPr/>
        <w:tc>
          <w:tcPr>
            <w:tcW w:w="3680" w:type="dxa"/>
            <w:tcBorders/>
          </w:tcPr>
          <w:p>
            <w:pPr>
              <w:pStyle w:val="TableContents"/>
              <w:bidi w:val="0"/>
              <w:spacing w:before="0" w:after="0"/>
              <w:ind w:left="0" w:right="0" w:hanging="0"/>
              <w:jc w:val="left"/>
              <w:rPr>
                <w:rFonts w:ascii="Arial" w:hAnsi="Arial"/>
                <w:sz w:val="20"/>
              </w:rPr>
            </w:pPr>
            <w:r>
              <w:rPr>
                <w:rFonts w:ascii="Arial" w:hAnsi="Arial"/>
                <w:b/>
                <w:sz w:val="20"/>
              </w:rPr>
              <w:t>Executed</w:t>
            </w:r>
            <w:r>
              <w:rPr>
                <w:rFonts w:ascii="Arial" w:hAnsi="Arial"/>
                <w:sz w:val="20"/>
              </w:rPr>
              <w:t> by </w:t>
            </w:r>
            <w:r>
              <w:rPr>
                <w:rFonts w:ascii="Arial" w:hAnsi="Arial"/>
                <w:b/>
                <w:sz w:val="20"/>
              </w:rPr>
              <w:t>National</w:t>
            </w:r>
            <w:r>
              <w:rPr>
                <w:rFonts w:ascii="Arial" w:hAnsi="Arial"/>
                <w:sz w:val="20"/>
              </w:rPr>
              <w:t> </w:t>
            </w:r>
            <w:r>
              <w:rPr>
                <w:rFonts w:ascii="Arial" w:hAnsi="Arial"/>
                <w:b/>
                <w:sz w:val="20"/>
              </w:rPr>
              <w:t>Australia</w:t>
            </w:r>
            <w:r>
              <w:rPr>
                <w:rFonts w:ascii="Arial" w:hAnsi="Arial"/>
                <w:sz w:val="20"/>
              </w:rPr>
              <w:t> </w:t>
            </w:r>
            <w:r>
              <w:rPr>
                <w:rFonts w:ascii="Arial" w:hAnsi="Arial"/>
                <w:b/>
                <w:sz w:val="20"/>
              </w:rPr>
              <w:t>Bank</w:t>
            </w:r>
          </w:p>
        </w:tc>
        <w:tc>
          <w:tcPr>
            <w:tcW w:w="9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80" w:type="dxa"/>
            <w:tcBorders/>
          </w:tcPr>
          <w:p>
            <w:pPr>
              <w:pStyle w:val="TableContents"/>
              <w:bidi w:val="0"/>
              <w:spacing w:before="0" w:after="0"/>
              <w:ind w:left="0" w:right="0" w:hanging="0"/>
              <w:jc w:val="left"/>
              <w:rPr>
                <w:rFonts w:ascii="Arial" w:hAnsi="Arial"/>
                <w:sz w:val="20"/>
              </w:rPr>
            </w:pPr>
            <w:r>
              <w:rPr>
                <w:rFonts w:ascii="Arial" w:hAnsi="Arial"/>
                <w:b/>
                <w:sz w:val="20"/>
              </w:rPr>
              <w:t xml:space="preserve">Limited </w:t>
            </w:r>
            <w:r>
              <w:rPr>
                <w:rFonts w:ascii="Arial" w:hAnsi="Arial"/>
                <w:sz w:val="20"/>
              </w:rPr>
              <w:t>ABN 12 004 044 937 by its</w:t>
            </w:r>
          </w:p>
        </w:tc>
        <w:tc>
          <w:tcPr>
            <w:tcW w:w="9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80" w:type="dxa"/>
            <w:tcBorders/>
          </w:tcPr>
          <w:p>
            <w:pPr>
              <w:pStyle w:val="TableContents"/>
              <w:bidi w:val="0"/>
              <w:spacing w:before="0" w:after="0"/>
              <w:ind w:left="0" w:right="0" w:hanging="0"/>
              <w:jc w:val="left"/>
              <w:rPr>
                <w:rFonts w:ascii="Arial" w:hAnsi="Arial"/>
                <w:sz w:val="20"/>
              </w:rPr>
            </w:pPr>
            <w:r>
              <w:rPr>
                <w:rFonts w:ascii="Arial" w:hAnsi="Arial"/>
                <w:sz w:val="20"/>
              </w:rPr>
              <w:t>Attorney who holds the position of Level 2</w:t>
            </w:r>
          </w:p>
        </w:tc>
        <w:tc>
          <w:tcPr>
            <w:tcW w:w="9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80" w:type="dxa"/>
            <w:tcBorders/>
          </w:tcPr>
          <w:p>
            <w:pPr>
              <w:pStyle w:val="TableContents"/>
              <w:bidi w:val="0"/>
              <w:spacing w:before="0" w:after="0"/>
              <w:ind w:left="0" w:right="0" w:hanging="0"/>
              <w:jc w:val="left"/>
              <w:rPr>
                <w:rFonts w:ascii="Arial" w:hAnsi="Arial"/>
                <w:sz w:val="20"/>
              </w:rPr>
            </w:pPr>
            <w:r>
              <w:rPr>
                <w:rFonts w:ascii="Arial" w:hAnsi="Arial"/>
                <w:sz w:val="20"/>
              </w:rPr>
              <w:t>Attorney under Power of Attorney dated 1</w:t>
            </w:r>
          </w:p>
        </w:tc>
        <w:tc>
          <w:tcPr>
            <w:tcW w:w="9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80" w:type="dxa"/>
            <w:tcBorders/>
          </w:tcPr>
          <w:p>
            <w:pPr>
              <w:pStyle w:val="TableContents"/>
              <w:bidi w:val="0"/>
              <w:spacing w:before="0" w:after="0"/>
              <w:ind w:left="0" w:right="0" w:hanging="0"/>
              <w:jc w:val="left"/>
              <w:rPr>
                <w:rFonts w:ascii="Arial" w:hAnsi="Arial"/>
                <w:sz w:val="20"/>
              </w:rPr>
            </w:pPr>
            <w:r>
              <w:rPr>
                <w:rFonts w:ascii="Arial" w:hAnsi="Arial"/>
                <w:sz w:val="20"/>
              </w:rPr>
              <w:t>March 2007 in the presence of:</w:t>
            </w:r>
          </w:p>
        </w:tc>
        <w:tc>
          <w:tcPr>
            <w:tcW w:w="95" w:type="dxa"/>
            <w:tcBorders/>
          </w:tcPr>
          <w:p>
            <w:pPr>
              <w:pStyle w:val="TableContents"/>
              <w:bidi w:val="0"/>
              <w:spacing w:before="0" w:after="0"/>
              <w:ind w:left="0" w:right="0" w:hanging="0"/>
              <w:jc w:val="left"/>
              <w:rPr>
                <w:rFonts w:ascii="Arial" w:hAnsi="Arial"/>
                <w:sz w:val="20"/>
              </w:rPr>
            </w:pPr>
            <w:r>
              <w:rPr>
                <w:rFonts w:ascii="Arial" w:hAnsi="Arial"/>
                <w:sz w:val="20"/>
              </w:rPr>
              <w:t>)</w:t>
            </w:r>
          </w:p>
        </w:tc>
      </w:tr>
      <w:tr>
        <w:trPr/>
        <w:tc>
          <w:tcPr>
            <w:tcW w:w="3680" w:type="dxa"/>
            <w:tcBorders/>
          </w:tcPr>
          <w:p>
            <w:pPr>
              <w:pStyle w:val="TableContents"/>
              <w:bidi w:val="0"/>
              <w:spacing w:before="0" w:after="0"/>
              <w:ind w:left="0" w:right="0" w:hanging="0"/>
              <w:jc w:val="left"/>
              <w:rPr>
                <w:rFonts w:cs="Arial"/>
                <w:szCs w:val="20"/>
              </w:rPr>
            </w:pPr>
            <w:r>
              <w:rPr>
                <w:rFonts w:cs="Arial"/>
                <w:szCs w:val="20"/>
              </w:rPr>
              <w:t>﻿</w:t>
            </w:r>
          </w:p>
        </w:tc>
        <w:tc>
          <w:tcPr>
            <w:tcW w:w="95" w:type="dxa"/>
            <w:tcBorders/>
          </w:tcPr>
          <w:p>
            <w:pPr>
              <w:pStyle w:val="TableContents"/>
              <w:bidi w:val="0"/>
              <w:spacing w:before="0" w:after="0"/>
              <w:ind w:left="0" w:right="0" w:hanging="0"/>
              <w:jc w:val="left"/>
              <w:rPr/>
            </w:pPr>
            <w:r>
              <w:rPr/>
              <w:t> </w:t>
            </w:r>
          </w:p>
        </w:tc>
      </w:tr>
    </w:tbl>
    <w:p>
      <w:pPr>
        <w:pStyle w:val="TextBody"/>
        <w:bidi w:val="0"/>
        <w:spacing w:before="0" w:after="0"/>
        <w:ind w:left="1700" w:right="1260" w:hanging="0"/>
        <w:jc w:val="left"/>
        <w:rPr>
          <w:rFonts w:cs="Arial"/>
          <w:szCs w:val="22"/>
        </w:rPr>
      </w:pPr>
      <w:r>
        <w:rPr>
          <w:rFonts w:cs="Arial"/>
          <w:szCs w:val="22"/>
        </w:rPr>
        <w:t xml:space="preserve">﻿ </w:t>
      </w:r>
    </w:p>
    <w:p>
      <w:pPr>
        <w:pStyle w:val="TextBody"/>
        <w:bidi w:val="0"/>
        <w:spacing w:before="0" w:after="0"/>
        <w:ind w:left="1700" w:right="1260" w:hanging="0"/>
        <w:jc w:val="left"/>
        <w:rPr>
          <w:rFonts w:cs="Arial"/>
          <w:szCs w:val="20"/>
        </w:rPr>
      </w:pPr>
      <w:r>
        <w:rPr>
          <w:rFonts w:cs="Arial"/>
          <w:szCs w:val="20"/>
        </w:rPr>
        <w:t xml:space="preserve">﻿ </w:t>
      </w:r>
    </w:p>
    <w:tbl>
      <w:tblPr>
        <w:tblW w:w="7245" w:type="dxa"/>
        <w:jc w:val="left"/>
        <w:tblInd w:w="1700" w:type="dxa"/>
        <w:tblLayout w:type="fixed"/>
        <w:tblCellMar>
          <w:top w:w="0" w:type="dxa"/>
          <w:left w:w="0" w:type="dxa"/>
          <w:bottom w:w="0" w:type="dxa"/>
          <w:right w:w="0" w:type="dxa"/>
        </w:tblCellMar>
      </w:tblPr>
      <w:tblGrid>
        <w:gridCol w:w="38"/>
        <w:gridCol w:w="3896"/>
        <w:gridCol w:w="60"/>
        <w:gridCol w:w="3175"/>
        <w:gridCol w:w="76"/>
      </w:tblGrid>
      <w:tr>
        <w:trPr/>
        <w:tc>
          <w:tcPr>
            <w:tcW w:w="38" w:type="dxa"/>
            <w:tcBorders/>
          </w:tcPr>
          <w:p>
            <w:pPr>
              <w:pStyle w:val="TableContents"/>
              <w:bidi w:val="0"/>
              <w:spacing w:before="0" w:after="0"/>
              <w:ind w:left="0" w:right="0" w:hanging="0"/>
              <w:jc w:val="left"/>
              <w:rPr>
                <w:rFonts w:cs="Arial"/>
                <w:szCs w:val="2"/>
              </w:rPr>
            </w:pPr>
            <w:r>
              <w:rPr>
                <w:rFonts w:cs="Arial"/>
                <w:szCs w:val="2"/>
              </w:rPr>
              <w:t>﻿</w:t>
            </w:r>
          </w:p>
        </w:tc>
        <w:tc>
          <w:tcPr>
            <w:tcW w:w="3896"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3175" w:type="dxa"/>
            <w:tcBorders/>
          </w:tcPr>
          <w:p>
            <w:pPr>
              <w:pStyle w:val="TableContents"/>
              <w:bidi w:val="0"/>
              <w:spacing w:before="0" w:after="0"/>
              <w:ind w:left="0" w:right="0" w:hanging="0"/>
              <w:jc w:val="left"/>
              <w:rPr/>
            </w:pPr>
            <w:r>
              <w:rPr/>
              <w:t> </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bookmarkStart w:id="398" w:name="_Hlk206069955"/>
            <w:bookmarkEnd w:id="398"/>
          </w:p>
        </w:tc>
        <w:tc>
          <w:tcPr>
            <w:tcW w:w="3896"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Joshua Manzo</w:t>
            </w:r>
          </w:p>
        </w:tc>
        <w:tc>
          <w:tcPr>
            <w:tcW w:w="60" w:type="dxa"/>
            <w:tcBorders/>
          </w:tcPr>
          <w:p>
            <w:pPr>
              <w:pStyle w:val="TableContents"/>
              <w:bidi w:val="0"/>
              <w:spacing w:before="0" w:after="0"/>
              <w:ind w:left="720" w:right="0" w:hanging="0"/>
              <w:jc w:val="left"/>
              <w:rPr/>
            </w:pPr>
            <w:r>
              <w:rPr/>
              <w:t> </w:t>
            </w:r>
          </w:p>
        </w:tc>
        <w:tc>
          <w:tcPr>
            <w:tcW w:w="3175" w:type="dxa"/>
            <w:tcBorders>
              <w:bottom w:val="dotted" w:sz="8" w:space="0" w:color="000000"/>
            </w:tcBorders>
            <w:tcMar>
              <w:bottom w:w="28" w:type="dxa"/>
            </w:tcMar>
          </w:tcPr>
          <w:p>
            <w:pPr>
              <w:pStyle w:val="TableContents"/>
              <w:bidi w:val="0"/>
              <w:spacing w:before="0" w:after="0"/>
              <w:ind w:left="720" w:right="0" w:hanging="0"/>
              <w:jc w:val="left"/>
              <w:rPr>
                <w:rFonts w:ascii="Arial" w:hAnsi="Arial"/>
                <w:sz w:val="18"/>
              </w:rPr>
            </w:pPr>
            <w:r>
              <w:rPr>
                <w:rFonts w:ascii="Arial" w:hAnsi="Arial"/>
                <w:sz w:val="18"/>
              </w:rPr>
              <w:t>/s/ Daniel Launchbury</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18"/>
              </w:rPr>
            </w:pPr>
            <w:r>
              <w:rPr>
                <w:rFonts w:cs="Arial"/>
                <w:szCs w:val="18"/>
              </w:rPr>
              <w:t>﻿</w:t>
            </w:r>
          </w:p>
        </w:tc>
        <w:tc>
          <w:tcPr>
            <w:tcW w:w="3896"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Joshua Manzo</w:t>
            </w:r>
          </w:p>
          <w:p>
            <w:pPr>
              <w:pStyle w:val="TableContents"/>
              <w:bidi w:val="0"/>
              <w:spacing w:before="0" w:after="0"/>
              <w:ind w:left="0" w:right="0" w:hanging="0"/>
              <w:jc w:val="left"/>
              <w:rPr>
                <w:rFonts w:ascii="Arial" w:hAnsi="Arial"/>
                <w:sz w:val="18"/>
              </w:rPr>
            </w:pPr>
            <w:r>
              <w:rPr>
                <w:rFonts w:ascii="Arial" w:hAnsi="Arial"/>
                <w:sz w:val="18"/>
              </w:rPr>
              <w:t>Witness</w:t>
            </w:r>
          </w:p>
        </w:tc>
        <w:tc>
          <w:tcPr>
            <w:tcW w:w="60" w:type="dxa"/>
            <w:tcBorders/>
          </w:tcPr>
          <w:p>
            <w:pPr>
              <w:pStyle w:val="TableContents"/>
              <w:bidi w:val="0"/>
              <w:spacing w:before="0" w:after="0"/>
              <w:ind w:left="0" w:right="0" w:hanging="0"/>
              <w:jc w:val="left"/>
              <w:rPr/>
            </w:pPr>
            <w:r>
              <w:rPr/>
              <w:t> </w:t>
            </w:r>
          </w:p>
        </w:tc>
        <w:tc>
          <w:tcPr>
            <w:tcW w:w="3175" w:type="dxa"/>
            <w:tcBorders>
              <w:top w:val="dotted" w:sz="8" w:space="0" w:color="000000"/>
            </w:tcBorders>
            <w:tcMar>
              <w:top w:w="28" w:type="dxa"/>
            </w:tcMar>
          </w:tcPr>
          <w:p>
            <w:pPr>
              <w:pStyle w:val="TableContents"/>
              <w:bidi w:val="0"/>
              <w:spacing w:before="0" w:after="0"/>
              <w:ind w:left="0" w:right="0" w:hanging="0"/>
              <w:jc w:val="left"/>
              <w:rPr>
                <w:rFonts w:ascii="Arial" w:hAnsi="Arial"/>
                <w:sz w:val="18"/>
              </w:rPr>
            </w:pPr>
            <w:r>
              <w:rPr>
                <w:rFonts w:ascii="Arial" w:hAnsi="Arial"/>
                <w:sz w:val="18"/>
              </w:rPr>
              <w:t xml:space="preserve">Daniel Launchbury </w:t>
            </w:r>
          </w:p>
          <w:p>
            <w:pPr>
              <w:pStyle w:val="TableContents"/>
              <w:bidi w:val="0"/>
              <w:spacing w:before="0" w:after="0"/>
              <w:ind w:left="0" w:right="0" w:hanging="0"/>
              <w:jc w:val="left"/>
              <w:rPr>
                <w:rFonts w:ascii="Arial" w:hAnsi="Arial"/>
                <w:sz w:val="18"/>
              </w:rPr>
            </w:pPr>
            <w:r>
              <w:rPr>
                <w:rFonts w:ascii="Arial" w:hAnsi="Arial"/>
                <w:sz w:val="18"/>
              </w:rPr>
              <w:t>Attoreny</w:t>
            </w:r>
          </w:p>
        </w:tc>
        <w:tc>
          <w:tcPr>
            <w:tcW w:w="76"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bCs/>
                <w:szCs w:val="17"/>
              </w:rPr>
            </w:pPr>
            <w:r>
              <w:rPr>
                <w:rFonts w:cs="Arial"/>
                <w:bCs/>
                <w:szCs w:val="17"/>
              </w:rPr>
              <w:t>﻿</w:t>
            </w:r>
          </w:p>
        </w:tc>
        <w:tc>
          <w:tcPr>
            <w:tcW w:w="3896" w:type="dxa"/>
            <w:tcBorders/>
          </w:tcPr>
          <w:p>
            <w:pPr>
              <w:pStyle w:val="TableContents"/>
              <w:bidi w:val="0"/>
              <w:spacing w:before="0" w:after="0"/>
              <w:ind w:left="0" w:right="0" w:hanging="0"/>
              <w:jc w:val="left"/>
              <w:rPr/>
            </w:pPr>
            <w:r>
              <w:rPr/>
              <w:drawing>
                <wp:inline distT="0" distB="0" distL="0" distR="0">
                  <wp:extent cx="76200" cy="76200"/>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6"/>
                          <a:stretch>
                            <a:fillRect/>
                          </a:stretch>
                        </pic:blipFill>
                        <pic:spPr bwMode="auto">
                          <a:xfrm>
                            <a:off x="0" y="0"/>
                            <a:ext cx="76200" cy="76200"/>
                          </a:xfrm>
                          <a:prstGeom prst="rect">
                            <a:avLst/>
                          </a:prstGeom>
                        </pic:spPr>
                      </pic:pic>
                    </a:graphicData>
                  </a:graphic>
                </wp:inline>
              </w:drawing>
            </w:r>
            <w:r>
              <w:rPr>
                <w:rFonts w:ascii="Arial" w:hAnsi="Arial"/>
                <w:b/>
                <w:i/>
                <w:sz w:val="17"/>
              </w:rPr>
              <w:t>The witness was physically present when the signatory signed the document</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 w:hAnsi="Arial"/>
                <w:sz w:val="17"/>
              </w:rPr>
            </w:pPr>
            <w:r>
              <w:rPr>
                <w:rFonts w:ascii="Arial" w:hAnsi="Arial"/>
                <w:sz w:val="17"/>
              </w:rPr>
              <w:t>OR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drawing>
                <wp:inline distT="0" distB="0" distL="0" distR="0">
                  <wp:extent cx="95250" cy="142875"/>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17"/>
                          <a:stretch>
                            <a:fillRect/>
                          </a:stretch>
                        </pic:blipFill>
                        <pic:spPr bwMode="auto">
                          <a:xfrm>
                            <a:off x="0" y="0"/>
                            <a:ext cx="95250" cy="142875"/>
                          </a:xfrm>
                          <a:prstGeom prst="rect">
                            <a:avLst/>
                          </a:prstGeom>
                        </pic:spPr>
                      </pic:pic>
                    </a:graphicData>
                  </a:graphic>
                </wp:inline>
              </w:drawing>
            </w:r>
            <w:r>
              <w:rPr/>
              <w:t> </w:t>
            </w:r>
            <w:r>
              <w:rPr>
                <w:rFonts w:ascii="Arial" w:hAnsi="Arial"/>
                <w:b/>
                <w:i/>
                <w:sz w:val="17"/>
              </w:rPr>
              <w:t>The witness was not physically present when the signatory signed the</w:t>
            </w:r>
          </w:p>
          <w:p>
            <w:pPr>
              <w:pStyle w:val="TableContents"/>
              <w:bidi w:val="0"/>
              <w:spacing w:before="0" w:after="0"/>
              <w:ind w:left="0" w:right="0" w:hanging="0"/>
              <w:jc w:val="left"/>
              <w:rPr>
                <w:rFonts w:ascii="Arial" w:hAnsi="Arial"/>
                <w:sz w:val="16"/>
              </w:rPr>
            </w:pPr>
            <w:r>
              <w:rPr>
                <w:rFonts w:ascii="Arial" w:hAnsi="Arial"/>
                <w:b/>
                <w:i/>
                <w:sz w:val="17"/>
              </w:rPr>
              <w:t xml:space="preserve">document. </w:t>
            </w:r>
            <w:r>
              <w:rPr>
                <w:rFonts w:ascii="Arial" w:hAnsi="Arial"/>
                <w:i/>
                <w:sz w:val="17"/>
              </w:rPr>
              <w:t>By ticking this box, the signatory warrants that they observed the signatory signing the document by audio visual link in accordance with the Electronic Transactions (Victoria) Act 2000.</w:t>
            </w:r>
          </w:p>
        </w:tc>
        <w:tc>
          <w:tcPr>
            <w:tcW w:w="60" w:type="dxa"/>
            <w:tcBorders/>
          </w:tcPr>
          <w:p>
            <w:pPr>
              <w:pStyle w:val="TableContents"/>
              <w:bidi w:val="0"/>
              <w:spacing w:before="0" w:after="0"/>
              <w:ind w:left="0" w:right="0" w:hanging="0"/>
              <w:jc w:val="left"/>
              <w:rPr/>
            </w:pPr>
            <w:r>
              <w:rPr/>
              <w:t> </w:t>
            </w:r>
          </w:p>
        </w:tc>
        <w:tc>
          <w:tcPr>
            <w:tcW w:w="3175" w:type="dxa"/>
            <w:tcBorders/>
          </w:tcPr>
          <w:p>
            <w:pPr>
              <w:pStyle w:val="TableContents"/>
              <w:bidi w:val="0"/>
              <w:spacing w:before="0" w:after="0"/>
              <w:ind w:left="0" w:right="0" w:hanging="0"/>
              <w:jc w:val="left"/>
              <w:rPr/>
            </w:pPr>
            <w:r>
              <w:rPr/>
              <w:drawing>
                <wp:inline distT="0" distB="0" distL="0" distR="0">
                  <wp:extent cx="95250" cy="95250"/>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18"/>
                          <a:stretch>
                            <a:fillRect/>
                          </a:stretch>
                        </pic:blipFill>
                        <pic:spPr bwMode="auto">
                          <a:xfrm>
                            <a:off x="0" y="0"/>
                            <a:ext cx="95250" cy="95250"/>
                          </a:xfrm>
                          <a:prstGeom prst="rect">
                            <a:avLst/>
                          </a:prstGeom>
                        </pic:spPr>
                      </pic:pic>
                    </a:graphicData>
                  </a:graphic>
                </wp:inline>
              </w:drawing>
            </w:r>
            <w:r>
              <w:rPr/>
              <w:t xml:space="preserve"> </w:t>
            </w:r>
            <w:r>
              <w:rPr>
                <w:rFonts w:ascii="Arial" w:hAnsi="Arial"/>
                <w:b/>
                <w:i/>
                <w:sz w:val="17"/>
              </w:rPr>
              <w:t xml:space="preserve">Tick if signatory signing electronically. </w:t>
            </w:r>
          </w:p>
          <w:p>
            <w:pPr>
              <w:pStyle w:val="TableContents"/>
              <w:bidi w:val="0"/>
              <w:spacing w:before="0" w:after="0"/>
              <w:ind w:left="0" w:right="0" w:hanging="0"/>
              <w:jc w:val="left"/>
              <w:rPr>
                <w:rFonts w:ascii="Arial" w:hAnsi="Arial"/>
                <w:i/>
                <w:sz w:val="17"/>
              </w:rPr>
            </w:pPr>
            <w:r>
              <w:rPr>
                <w:rFonts w:ascii="Arial" w:hAnsi="Arial"/>
                <w:i/>
                <w:sz w:val="17"/>
              </w:rPr>
              <w:t>By ticking this box, the signatory warrants that they are signing this document in accordance with the Electronic Transactions (Victoria) Act 2000</w:t>
            </w:r>
          </w:p>
        </w:tc>
        <w:tc>
          <w:tcPr>
            <w:tcW w:w="76" w:type="dxa"/>
            <w:tcBorders/>
          </w:tcPr>
          <w:p>
            <w:pPr>
              <w:pStyle w:val="TableContents"/>
              <w:bidi w:val="0"/>
              <w:spacing w:before="0" w:after="0"/>
              <w:ind w:left="0" w:right="0" w:hanging="0"/>
              <w:jc w:val="left"/>
              <w:rPr/>
            </w:pPr>
            <w:r>
              <w:rPr/>
              <w:t> </w:t>
            </w:r>
          </w:p>
        </w:tc>
      </w:tr>
    </w:tbl>
    <w:p>
      <w:pPr>
        <w:pStyle w:val="TextBody"/>
        <w:bidi w:val="0"/>
        <w:spacing w:before="0" w:after="0"/>
        <w:ind w:left="1700" w:right="1260" w:hanging="0"/>
        <w:jc w:val="left"/>
        <w:rPr>
          <w:rFonts w:cs="Arial"/>
          <w:szCs w:val="22"/>
        </w:rPr>
      </w:pPr>
      <w:r>
        <w:rPr>
          <w:rFonts w:cs="Arial"/>
          <w:szCs w:val="22"/>
        </w:rPr>
        <w:t xml:space="preserve">﻿ </w:t>
      </w:r>
    </w:p>
    <w:tbl>
      <w:tblPr>
        <w:tblW w:w="1990" w:type="dxa"/>
        <w:jc w:val="left"/>
        <w:tblInd w:w="1700" w:type="dxa"/>
        <w:tblLayout w:type="fixed"/>
        <w:tblCellMar>
          <w:top w:w="0" w:type="dxa"/>
          <w:left w:w="0" w:type="dxa"/>
          <w:bottom w:w="28" w:type="dxa"/>
          <w:right w:w="0" w:type="dxa"/>
        </w:tblCellMar>
      </w:tblPr>
      <w:tblGrid>
        <w:gridCol w:w="1370"/>
        <w:gridCol w:w="62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62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62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11</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lineRule="auto" w:line="292" w:before="0" w:after="0"/>
        <w:ind w:left="1700" w:right="1260" w:hanging="0"/>
        <w:jc w:val="left"/>
        <w:rPr/>
      </w:pPr>
      <w:r>
        <w:rPr/>
        <w:t xml:space="preserve">  </w:t>
      </w:r>
    </w:p>
    <w:tbl>
      <w:tblPr>
        <w:tblW w:w="1990" w:type="dxa"/>
        <w:jc w:val="left"/>
        <w:tblInd w:w="1700" w:type="dxa"/>
        <w:tblLayout w:type="fixed"/>
        <w:tblCellMar>
          <w:top w:w="0" w:type="dxa"/>
          <w:left w:w="0" w:type="dxa"/>
          <w:bottom w:w="28" w:type="dxa"/>
          <w:right w:w="0" w:type="dxa"/>
        </w:tblCellMar>
      </w:tblPr>
      <w:tblGrid>
        <w:gridCol w:w="1370"/>
        <w:gridCol w:w="62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62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62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12</w:t>
            </w:r>
          </w:p>
        </w:tc>
      </w:tr>
    </w:tbl>
    <w:p>
      <w:pPr>
        <w:pStyle w:val="TextBody"/>
        <w:bidi w:val="0"/>
        <w:spacing w:before="0" w:after="0"/>
        <w:ind w:left="1700" w:right="1260" w:hanging="0"/>
        <w:jc w:val="left"/>
        <w:rPr/>
      </w:pPr>
      <w:r>
        <w:rPr/>
        <w:t xml:space="preserve">  </w:t>
      </w:r>
    </w:p>
    <w:p>
      <w:pPr>
        <w:pStyle w:val="HorizontalLine"/>
        <w:pBdr>
          <w:bottom w:val="double" w:sz="6" w:space="0" w:color="808080"/>
        </w:pBdr>
        <w:bidi w:val="0"/>
        <w:ind w:left="1700" w:right="1260" w:hanging="0"/>
        <w:jc w:val="left"/>
        <w:rPr/>
      </w:pPr>
      <w:r>
        <w:rPr/>
      </w:r>
    </w:p>
    <w:p>
      <w:pPr>
        <w:pStyle w:val="TextBody"/>
        <w:bidi w:val="0"/>
        <w:ind w:left="1700" w:right="1260" w:hanging="0"/>
        <w:jc w:val="left"/>
        <w:rPr/>
      </w:pPr>
      <w:r>
        <w:rPr/>
        <w:t> </w:t>
      </w:r>
      <w:r>
        <w:br w:type="page"/>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126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126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1260" w:hanging="0"/>
        <w:jc w:val="left"/>
        <w:rPr>
          <w:rFonts w:cs="Arial"/>
          <w:szCs w:val="40"/>
        </w:rPr>
      </w:pPr>
      <w:r>
        <w:rPr>
          <w:rFonts w:cs="Arial"/>
          <w:szCs w:val="40"/>
        </w:rPr>
        <w:t xml:space="preserve">﻿ </w:t>
      </w:r>
    </w:p>
    <w:p>
      <w:pPr>
        <w:pStyle w:val="TextBody"/>
        <w:pBdr/>
        <w:bidi w:val="0"/>
        <w:spacing w:before="229" w:after="0"/>
        <w:ind w:left="1700" w:right="1260" w:hanging="0"/>
        <w:jc w:val="left"/>
        <w:rPr>
          <w:rFonts w:cs="Arial"/>
          <w:szCs w:val="40"/>
        </w:rPr>
      </w:pPr>
      <w:r>
        <w:rPr>
          <w:rFonts w:cs="Arial"/>
          <w:szCs w:val="40"/>
        </w:rPr>
        <w:t xml:space="preserve">﻿ </w:t>
      </w:r>
    </w:p>
    <w:p>
      <w:pPr>
        <w:pStyle w:val="TextBody"/>
        <w:bidi w:val="0"/>
        <w:spacing w:before="0" w:after="0"/>
        <w:ind w:left="2268" w:right="1260" w:hanging="0"/>
        <w:jc w:val="left"/>
        <w:rPr>
          <w:rFonts w:ascii="Arial" w:hAnsi="Arial"/>
          <w:sz w:val="40"/>
        </w:rPr>
      </w:pPr>
      <w:bookmarkStart w:id="399" w:name="Annexure1"/>
      <w:bookmarkEnd w:id="399"/>
      <w:r>
        <w:rPr>
          <w:rFonts w:ascii="Arial" w:hAnsi="Arial"/>
          <w:sz w:val="40"/>
        </w:rPr>
        <w:t xml:space="preserve">Annexure </w:t>
      </w:r>
    </w:p>
    <w:p>
      <w:pPr>
        <w:pStyle w:val="TextBody"/>
        <w:bidi w:val="0"/>
        <w:spacing w:before="359" w:after="0"/>
        <w:ind w:left="2268" w:right="1260" w:hanging="0"/>
        <w:jc w:val="left"/>
        <w:rPr>
          <w:rFonts w:ascii="Arial" w:hAnsi="Arial"/>
          <w:sz w:val="32"/>
        </w:rPr>
      </w:pPr>
      <w:r>
        <w:rPr>
          <w:rFonts w:ascii="Arial" w:hAnsi="Arial"/>
          <w:sz w:val="32"/>
        </w:rPr>
        <w:t xml:space="preserve">Amended Facility Agreement </w:t>
      </w:r>
    </w:p>
    <w:p>
      <w:pPr>
        <w:pStyle w:val="TextBody"/>
        <w:bidi w:val="0"/>
        <w:spacing w:before="0" w:after="0"/>
        <w:ind w:left="1700" w:right="1260" w:hanging="0"/>
        <w:jc w:val="left"/>
        <w:rPr/>
      </w:pPr>
      <w:r>
        <w:rPr/>
        <w:t xml:space="preserve">  </w:t>
      </w:r>
    </w:p>
    <w:tbl>
      <w:tblPr>
        <w:tblW w:w="1990" w:type="dxa"/>
        <w:jc w:val="left"/>
        <w:tblInd w:w="1700" w:type="dxa"/>
        <w:tblLayout w:type="fixed"/>
        <w:tblCellMar>
          <w:top w:w="0" w:type="dxa"/>
          <w:left w:w="0" w:type="dxa"/>
          <w:bottom w:w="28" w:type="dxa"/>
          <w:right w:w="0" w:type="dxa"/>
        </w:tblCellMar>
      </w:tblPr>
      <w:tblGrid>
        <w:gridCol w:w="1370"/>
        <w:gridCol w:w="620"/>
      </w:tblGrid>
      <w:tr>
        <w:trPr/>
        <w:tc>
          <w:tcPr>
            <w:tcW w:w="1370" w:type="dxa"/>
            <w:tcBorders>
              <w:bottom w:val="single" w:sz="8" w:space="0" w:color="000000"/>
            </w:tcBorders>
          </w:tcPr>
          <w:p>
            <w:pPr>
              <w:pStyle w:val="TableContents"/>
              <w:bidi w:val="0"/>
              <w:spacing w:before="0" w:after="0"/>
              <w:ind w:left="0" w:right="0" w:hanging="0"/>
              <w:jc w:val="left"/>
              <w:rPr/>
            </w:pPr>
            <w:r>
              <w:rPr/>
              <w:t> </w:t>
            </w:r>
          </w:p>
        </w:tc>
        <w:tc>
          <w:tcPr>
            <w:tcW w:w="620" w:type="dxa"/>
            <w:tcBorders>
              <w:bottom w:val="single" w:sz="8" w:space="0" w:color="000000"/>
            </w:tcBorders>
          </w:tcPr>
          <w:p>
            <w:pPr>
              <w:pStyle w:val="TableContents"/>
              <w:bidi w:val="0"/>
              <w:spacing w:before="0" w:after="0"/>
              <w:ind w:left="0" w:right="0" w:hanging="0"/>
              <w:jc w:val="left"/>
              <w:rPr/>
            </w:pPr>
            <w:r>
              <w:rPr/>
              <w:t> </w:t>
            </w:r>
          </w:p>
        </w:tc>
      </w:tr>
      <w:tr>
        <w:trPr/>
        <w:tc>
          <w:tcPr>
            <w:tcW w:w="1370" w:type="dxa"/>
            <w:tcBorders>
              <w:top w:val="single" w:sz="8" w:space="0" w:color="000000"/>
            </w:tcBorders>
            <w:tcMar>
              <w:top w:w="28" w:type="dxa"/>
              <w:bottom w:w="0" w:type="dxa"/>
            </w:tcMar>
          </w:tcPr>
          <w:p>
            <w:pPr>
              <w:pStyle w:val="TableContents"/>
              <w:bidi w:val="0"/>
              <w:spacing w:before="0" w:after="0"/>
              <w:ind w:left="0" w:right="0" w:hanging="0"/>
              <w:jc w:val="left"/>
              <w:rPr>
                <w:rFonts w:ascii="Arial" w:hAnsi="Arial"/>
                <w:sz w:val="15"/>
              </w:rPr>
            </w:pPr>
            <w:r>
              <w:rPr>
                <w:rFonts w:ascii="Arial" w:hAnsi="Arial"/>
                <w:sz w:val="15"/>
              </w:rPr>
              <w:t>3465-2397-4201v1</w:t>
            </w:r>
          </w:p>
          <w:p>
            <w:pPr>
              <w:pStyle w:val="TableContents"/>
              <w:bidi w:val="0"/>
              <w:spacing w:before="0" w:after="0"/>
              <w:ind w:left="0" w:right="0" w:hanging="0"/>
              <w:jc w:val="left"/>
              <w:rPr>
                <w:rFonts w:ascii="Arial" w:hAnsi="Arial"/>
                <w:sz w:val="15"/>
              </w:rPr>
            </w:pPr>
            <w:r>
              <w:rPr>
                <w:rFonts w:ascii="Arial" w:hAnsi="Arial"/>
                <w:sz w:val="15"/>
              </w:rPr>
              <w:t>Amendment Deed</w:t>
            </w:r>
          </w:p>
        </w:tc>
        <w:tc>
          <w:tcPr>
            <w:tcW w:w="620" w:type="dxa"/>
            <w:tcBorders>
              <w:top w:val="single" w:sz="8" w:space="0" w:color="000000"/>
            </w:tcBorders>
            <w:tcMar>
              <w:top w:w="28" w:type="dxa"/>
              <w:bottom w:w="0" w:type="dxa"/>
            </w:tcMar>
          </w:tcPr>
          <w:p>
            <w:pPr>
              <w:pStyle w:val="TableContents"/>
              <w:bidi w:val="0"/>
              <w:spacing w:before="0" w:after="0"/>
              <w:ind w:left="0" w:right="0" w:hanging="0"/>
              <w:jc w:val="right"/>
              <w:rPr>
                <w:rFonts w:ascii="Arial" w:hAnsi="Arial"/>
                <w:sz w:val="15"/>
              </w:rPr>
            </w:pPr>
            <w:r>
              <w:rPr>
                <w:rFonts w:ascii="Arial" w:hAnsi="Arial"/>
                <w:sz w:val="15"/>
              </w:rPr>
              <w:t>page 13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4" w:after="0"/>
        <w:ind w:left="1700" w:right="700" w:hanging="0"/>
        <w:jc w:val="right"/>
        <w:rPr>
          <w:rFonts w:cs="Arial"/>
          <w:szCs w:val="16"/>
        </w:rPr>
      </w:pPr>
      <w:r>
        <w:rPr>
          <w:rFonts w:cs="Arial"/>
          <w:bCs/>
          <w:szCs w:val="17"/>
        </w:rPr>
        <w:t>﻿</w:t>
      </w:r>
      <w:r>
        <w:rPr>
          <w:rFonts w:cs="Arial"/>
          <w:szCs w:val="16"/>
        </w:rPr>
        <w:t xml:space="preserve"> </w:t>
      </w:r>
      <w:r>
        <mc:AlternateContent>
          <mc:Choice Requires="wps">
            <w:drawing>
              <wp:anchor behindDoc="0" distT="0" distB="0" distL="0" distR="0" simplePos="0" locked="0" layoutInCell="1" allowOverlap="1" relativeHeight="221">
                <wp:simplePos x="0" y="0"/>
                <wp:positionH relativeFrom="column">
                  <wp:align>right</wp:align>
                </wp:positionH>
                <wp:positionV relativeFrom="line">
                  <wp:posOffset>635</wp:posOffset>
                </wp:positionV>
                <wp:extent cx="4584700" cy="708660"/>
                <wp:effectExtent l="0" t="0" r="0" b="0"/>
                <wp:wrapSquare wrapText="left"/>
                <wp:docPr id="220" name="Frame3"/>
                <a:graphic xmlns:a="http://schemas.openxmlformats.org/drawingml/2006/main">
                  <a:graphicData uri="http://schemas.microsoft.com/office/word/2010/wordprocessingShape">
                    <wps:wsp>
                      <wps:cNvSpPr txBox="1"/>
                      <wps:spPr>
                        <a:xfrm>
                          <a:off x="0" y="0"/>
                          <a:ext cx="4584700" cy="708660"/>
                        </a:xfrm>
                        <a:prstGeom prst="rect"/>
                        <a:solidFill>
                          <a:srgbClr val="FFFFFF"/>
                        </a:solidFill>
                      </wps:spPr>
                      <wps:txbx>
                        <w:txbxContent>
                          <w:tbl>
                            <w:tblPr>
                              <w:tblW w:w="7220" w:type="dxa"/>
                              <w:jc w:val="left"/>
                              <w:tblInd w:w="0" w:type="dxa"/>
                              <w:tblLayout w:type="fixed"/>
                              <w:tblCellMar>
                                <w:top w:w="0" w:type="dxa"/>
                                <w:left w:w="0" w:type="dxa"/>
                                <w:bottom w:w="0" w:type="dxa"/>
                                <w:right w:w="0" w:type="dxa"/>
                              </w:tblCellMar>
                            </w:tblPr>
                            <w:tblGrid>
                              <w:gridCol w:w="38"/>
                              <w:gridCol w:w="60"/>
                              <w:gridCol w:w="60"/>
                              <w:gridCol w:w="7062"/>
                            </w:tblGrid>
                            <w:tr>
                              <w:trPr/>
                              <w:tc>
                                <w:tcPr>
                                  <w:tcW w:w="38" w:type="dxa"/>
                                  <w:tcBorders/>
                                </w:tcPr>
                                <w:p>
                                  <w:pPr>
                                    <w:pStyle w:val="TableContents"/>
                                    <w:bidi w:val="0"/>
                                    <w:spacing w:before="0" w:after="0"/>
                                    <w:ind w:left="0" w:right="0" w:hanging="0"/>
                                    <w:jc w:val="left"/>
                                    <w:rPr>
                                      <w:rFonts w:cs="Arial"/>
                                      <w:szCs w:val="16"/>
                                    </w:rPr>
                                  </w:pPr>
                                  <w:r>
                                    <w:rPr>
                                      <w:rFonts w:cs="Arial"/>
                                      <w:szCs w:val="16"/>
                                    </w:rPr>
                                    <w:t>﻿</w:t>
                                  </w:r>
                                </w:p>
                              </w:tc>
                              <w:tc>
                                <w:tcPr>
                                  <w:tcW w:w="60" w:type="dxa"/>
                                  <w:tcBorders/>
                                </w:tcPr>
                                <w:p>
                                  <w:pPr>
                                    <w:pStyle w:val="TableContents"/>
                                    <w:bidi w:val="0"/>
                                    <w:spacing w:before="0" w:after="0"/>
                                    <w:ind w:left="0" w:right="0" w:hanging="0"/>
                                    <w:jc w:val="right"/>
                                    <w:rPr/>
                                  </w:pPr>
                                  <w:r>
                                    <w:rPr/>
                                    <w:t> </w:t>
                                  </w:r>
                                </w:p>
                              </w:tc>
                              <w:tc>
                                <w:tcPr>
                                  <w:tcW w:w="60" w:type="dxa"/>
                                  <w:tcBorders/>
                                </w:tcPr>
                                <w:p>
                                  <w:pPr>
                                    <w:pStyle w:val="TableContents"/>
                                    <w:bidi w:val="0"/>
                                    <w:spacing w:before="0" w:after="0"/>
                                    <w:ind w:left="0" w:right="0" w:hanging="0"/>
                                    <w:jc w:val="right"/>
                                    <w:rPr/>
                                  </w:pPr>
                                  <w:r>
                                    <w:rPr/>
                                    <w:t> </w:t>
                                  </w:r>
                                </w:p>
                              </w:tc>
                              <w:tc>
                                <w:tcPr>
                                  <w:tcW w:w="7062" w:type="dxa"/>
                                  <w:tcBorders/>
                                </w:tcPr>
                                <w:p>
                                  <w:pPr>
                                    <w:pStyle w:val="TableContents"/>
                                    <w:bidi w:val="0"/>
                                    <w:spacing w:lineRule="auto" w:line="242" w:before="95" w:after="0"/>
                                    <w:ind w:left="0" w:right="7" w:hanging="0"/>
                                    <w:jc w:val="left"/>
                                    <w:rPr>
                                      <w:rFonts w:ascii="Arial" w:hAnsi="Arial"/>
                                      <w:sz w:val="16"/>
                                    </w:rPr>
                                  </w:pPr>
                                  <w:r>
                                    <w:rPr>
                                      <w:rFonts w:ascii="Arial" w:hAnsi="Arial"/>
                                      <w:sz w:val="16"/>
                                    </w:rPr>
                                    <w:t>567 Collins Street, Melbourne VIC 3000, Australia GPO Box 9925, Melbourne VIC 3001, Australia</w:t>
                                  </w:r>
                                </w:p>
                                <w:p>
                                  <w:pPr>
                                    <w:pStyle w:val="TableContents"/>
                                    <w:bidi w:val="0"/>
                                    <w:spacing w:before="2" w:after="0"/>
                                    <w:ind w:left="0" w:right="0" w:hanging="0"/>
                                    <w:jc w:val="left"/>
                                    <w:rPr>
                                      <w:rFonts w:ascii="Arial" w:hAnsi="Arial"/>
                                      <w:sz w:val="16"/>
                                    </w:rPr>
                                  </w:pPr>
                                  <w:r>
                                    <w:rPr>
                                      <w:rFonts w:ascii="Arial" w:hAnsi="Arial"/>
                                      <w:sz w:val="16"/>
                                    </w:rPr>
                                    <w:t>Tel +61 3 9672 3000</w:t>
                                  </w:r>
                                </w:p>
                                <w:p>
                                  <w:pPr>
                                    <w:pStyle w:val="TableContents"/>
                                    <w:bidi w:val="0"/>
                                    <w:spacing w:before="3" w:after="0"/>
                                    <w:ind w:left="0" w:right="1" w:hanging="0"/>
                                    <w:jc w:val="left"/>
                                    <w:rPr>
                                      <w:rFonts w:ascii="Arial" w:hAnsi="Arial"/>
                                      <w:sz w:val="16"/>
                                    </w:rPr>
                                  </w:pPr>
                                  <w:r>
                                    <w:rPr>
                                      <w:rFonts w:ascii="Arial" w:hAnsi="Arial"/>
                                      <w:sz w:val="16"/>
                                    </w:rPr>
                                    <w:t>Fax +61 3 9672 3010</w:t>
                                  </w:r>
                                </w:p>
                                <w:p>
                                  <w:pPr>
                                    <w:pStyle w:val="TableContents"/>
                                    <w:bidi w:val="0"/>
                                    <w:spacing w:before="3" w:after="0"/>
                                    <w:ind w:left="0" w:right="0" w:hanging="0"/>
                                    <w:jc w:val="left"/>
                                    <w:rPr>
                                      <w:rFonts w:ascii="Arial" w:hAnsi="Arial"/>
                                      <w:b/>
                                      <w:sz w:val="16"/>
                                    </w:rPr>
                                  </w:pPr>
                                  <w:r>
                                    <w:rPr>
                                      <w:rFonts w:ascii="Arial" w:hAnsi="Arial"/>
                                      <w:b/>
                                      <w:sz w:val="16"/>
                                    </w:rPr>
                                    <w:t>www.corrs.com.au</w:t>
                                  </w:r>
                                </w:p>
                                <w:p>
                                  <w:pPr>
                                    <w:pStyle w:val="TableContents"/>
                                    <w:bidi w:val="0"/>
                                    <w:spacing w:before="0" w:after="0"/>
                                    <w:ind w:left="0" w:right="0" w:hanging="0"/>
                                    <w:jc w:val="center"/>
                                    <w:rPr/>
                                  </w:pPr>
                                  <w:r>
                                    <w:rPr/>
                                    <w:t> </w:t>
                                  </w:r>
                                </w:p>
                              </w:tc>
                            </w:tr>
                          </w:tbl>
                        </w:txbxContent>
                      </wps:txbx>
                      <wps:bodyPr anchor="t" lIns="0" tIns="0" rIns="0" bIns="0">
                        <a:noAutofit/>
                      </wps:bodyPr>
                    </wps:wsp>
                  </a:graphicData>
                </a:graphic>
              </wp:anchor>
            </w:drawing>
          </mc:Choice>
          <mc:Fallback>
            <w:pict>
              <v:rect style="position:absolute;rotation:-0;width:361pt;height:55.8pt;mso-wrap-distance-left:0pt;mso-wrap-distance-right:0pt;mso-wrap-distance-top:0pt;mso-wrap-distance-bottom:0pt;margin-top:0pt;mso-position-vertical:top;mso-position-vertical-relative:text;margin-left:29.25pt;mso-position-horizontal:right;mso-position-horizontal-relative:text">
                <v:textbox>
                  <w:txbxContent>
                    <w:tbl>
                      <w:tblPr>
                        <w:tblW w:w="7220" w:type="dxa"/>
                        <w:jc w:val="left"/>
                        <w:tblInd w:w="0" w:type="dxa"/>
                        <w:tblLayout w:type="fixed"/>
                        <w:tblCellMar>
                          <w:top w:w="0" w:type="dxa"/>
                          <w:left w:w="0" w:type="dxa"/>
                          <w:bottom w:w="0" w:type="dxa"/>
                          <w:right w:w="0" w:type="dxa"/>
                        </w:tblCellMar>
                      </w:tblPr>
                      <w:tblGrid>
                        <w:gridCol w:w="38"/>
                        <w:gridCol w:w="60"/>
                        <w:gridCol w:w="60"/>
                        <w:gridCol w:w="7062"/>
                      </w:tblGrid>
                      <w:tr>
                        <w:trPr/>
                        <w:tc>
                          <w:tcPr>
                            <w:tcW w:w="38" w:type="dxa"/>
                            <w:tcBorders/>
                          </w:tcPr>
                          <w:p>
                            <w:pPr>
                              <w:pStyle w:val="TableContents"/>
                              <w:bidi w:val="0"/>
                              <w:spacing w:before="0" w:after="0"/>
                              <w:ind w:left="0" w:right="0" w:hanging="0"/>
                              <w:jc w:val="left"/>
                              <w:rPr>
                                <w:rFonts w:cs="Arial"/>
                                <w:szCs w:val="16"/>
                              </w:rPr>
                            </w:pPr>
                            <w:r>
                              <w:rPr>
                                <w:rFonts w:cs="Arial"/>
                                <w:szCs w:val="16"/>
                              </w:rPr>
                              <w:t>﻿</w:t>
                            </w:r>
                          </w:p>
                        </w:tc>
                        <w:tc>
                          <w:tcPr>
                            <w:tcW w:w="60" w:type="dxa"/>
                            <w:tcBorders/>
                          </w:tcPr>
                          <w:p>
                            <w:pPr>
                              <w:pStyle w:val="TableContents"/>
                              <w:bidi w:val="0"/>
                              <w:spacing w:before="0" w:after="0"/>
                              <w:ind w:left="0" w:right="0" w:hanging="0"/>
                              <w:jc w:val="right"/>
                              <w:rPr/>
                            </w:pPr>
                            <w:r>
                              <w:rPr/>
                              <w:t> </w:t>
                            </w:r>
                          </w:p>
                        </w:tc>
                        <w:tc>
                          <w:tcPr>
                            <w:tcW w:w="60" w:type="dxa"/>
                            <w:tcBorders/>
                          </w:tcPr>
                          <w:p>
                            <w:pPr>
                              <w:pStyle w:val="TableContents"/>
                              <w:bidi w:val="0"/>
                              <w:spacing w:before="0" w:after="0"/>
                              <w:ind w:left="0" w:right="0" w:hanging="0"/>
                              <w:jc w:val="right"/>
                              <w:rPr/>
                            </w:pPr>
                            <w:r>
                              <w:rPr/>
                              <w:t> </w:t>
                            </w:r>
                          </w:p>
                        </w:tc>
                        <w:tc>
                          <w:tcPr>
                            <w:tcW w:w="7062" w:type="dxa"/>
                            <w:tcBorders/>
                          </w:tcPr>
                          <w:p>
                            <w:pPr>
                              <w:pStyle w:val="TableContents"/>
                              <w:bidi w:val="0"/>
                              <w:spacing w:lineRule="auto" w:line="242" w:before="95" w:after="0"/>
                              <w:ind w:left="0" w:right="7" w:hanging="0"/>
                              <w:jc w:val="left"/>
                              <w:rPr>
                                <w:rFonts w:ascii="Arial" w:hAnsi="Arial"/>
                                <w:sz w:val="16"/>
                              </w:rPr>
                            </w:pPr>
                            <w:r>
                              <w:rPr>
                                <w:rFonts w:ascii="Arial" w:hAnsi="Arial"/>
                                <w:sz w:val="16"/>
                              </w:rPr>
                              <w:t>567 Collins Street, Melbourne VIC 3000, Australia GPO Box 9925, Melbourne VIC 3001, Australia</w:t>
                            </w:r>
                          </w:p>
                          <w:p>
                            <w:pPr>
                              <w:pStyle w:val="TableContents"/>
                              <w:bidi w:val="0"/>
                              <w:spacing w:before="2" w:after="0"/>
                              <w:ind w:left="0" w:right="0" w:hanging="0"/>
                              <w:jc w:val="left"/>
                              <w:rPr>
                                <w:rFonts w:ascii="Arial" w:hAnsi="Arial"/>
                                <w:sz w:val="16"/>
                              </w:rPr>
                            </w:pPr>
                            <w:r>
                              <w:rPr>
                                <w:rFonts w:ascii="Arial" w:hAnsi="Arial"/>
                                <w:sz w:val="16"/>
                              </w:rPr>
                              <w:t>Tel +61 3 9672 3000</w:t>
                            </w:r>
                          </w:p>
                          <w:p>
                            <w:pPr>
                              <w:pStyle w:val="TableContents"/>
                              <w:bidi w:val="0"/>
                              <w:spacing w:before="3" w:after="0"/>
                              <w:ind w:left="0" w:right="1" w:hanging="0"/>
                              <w:jc w:val="left"/>
                              <w:rPr>
                                <w:rFonts w:ascii="Arial" w:hAnsi="Arial"/>
                                <w:sz w:val="16"/>
                              </w:rPr>
                            </w:pPr>
                            <w:r>
                              <w:rPr>
                                <w:rFonts w:ascii="Arial" w:hAnsi="Arial"/>
                                <w:sz w:val="16"/>
                              </w:rPr>
                              <w:t>Fax +61 3 9672 3010</w:t>
                            </w:r>
                          </w:p>
                          <w:p>
                            <w:pPr>
                              <w:pStyle w:val="TableContents"/>
                              <w:bidi w:val="0"/>
                              <w:spacing w:before="3" w:after="0"/>
                              <w:ind w:left="0" w:right="0" w:hanging="0"/>
                              <w:jc w:val="left"/>
                              <w:rPr>
                                <w:rFonts w:ascii="Arial" w:hAnsi="Arial"/>
                                <w:b/>
                                <w:sz w:val="16"/>
                              </w:rPr>
                            </w:pPr>
                            <w:r>
                              <w:rPr>
                                <w:rFonts w:ascii="Arial" w:hAnsi="Arial"/>
                                <w:b/>
                                <w:sz w:val="16"/>
                              </w:rPr>
                              <w:t>www.corrs.com.au</w:t>
                            </w:r>
                          </w:p>
                          <w:p>
                            <w:pPr>
                              <w:pStyle w:val="TableContents"/>
                              <w:bidi w:val="0"/>
                              <w:spacing w:before="0" w:after="0"/>
                              <w:ind w:left="0" w:right="0" w:hanging="0"/>
                              <w:jc w:val="center"/>
                              <w:rPr/>
                            </w:pPr>
                            <w:r>
                              <w:rPr/>
                              <w:t> </w:t>
                            </w:r>
                          </w:p>
                        </w:tc>
                      </w:tr>
                    </w:tbl>
                  </w:txbxContent>
                </v:textbox>
                <w10:wrap type="square" side="left"/>
              </v:rect>
            </w:pict>
          </mc:Fallback>
        </mc:AlternateContent>
      </w:r>
    </w:p>
    <w:p>
      <w:pPr>
        <w:pStyle w:val="TextBody"/>
        <w:pBdr/>
        <w:bidi w:val="0"/>
        <w:spacing w:before="0" w:after="0"/>
        <w:ind w:left="2220" w:right="700" w:hanging="0"/>
        <w:jc w:val="left"/>
        <w:rPr/>
      </w:pPr>
      <w:r>
        <w:rPr/>
        <w:drawing>
          <wp:inline distT="0" distB="0" distL="0" distR="0">
            <wp:extent cx="1170305" cy="655955"/>
            <wp:effectExtent l="0" t="0" r="0" b="0"/>
            <wp:docPr id="22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7" descr=""/>
                    <pic:cNvPicPr>
                      <a:picLocks noChangeAspect="1" noChangeArrowheads="1"/>
                    </pic:cNvPicPr>
                  </pic:nvPicPr>
                  <pic:blipFill>
                    <a:blip r:embed="rId219"/>
                    <a:stretch>
                      <a:fillRect/>
                    </a:stretch>
                  </pic:blipFill>
                  <pic:spPr bwMode="auto">
                    <a:xfrm>
                      <a:off x="0" y="0"/>
                      <a:ext cx="1170305" cy="655955"/>
                    </a:xfrm>
                    <a:prstGeom prst="rect">
                      <a:avLst/>
                    </a:prstGeom>
                  </pic:spPr>
                </pic:pic>
              </a:graphicData>
            </a:graphic>
          </wp:inline>
        </w:drawing>
      </w:r>
      <w:r>
        <w:rPr/>
        <w:t xml:space="preserve"> </w:t>
      </w:r>
    </w:p>
    <w:p>
      <w:pPr>
        <w:pStyle w:val="TextBody"/>
        <w:pBdr/>
        <w:bidi w:val="0"/>
        <w:spacing w:before="179" w:after="0"/>
        <w:ind w:left="1700" w:right="700" w:hanging="0"/>
        <w:jc w:val="left"/>
        <w:rPr>
          <w:rFonts w:cs="Arial"/>
          <w:szCs w:val="16"/>
        </w:rPr>
      </w:pPr>
      <w:r>
        <w:rPr>
          <w:rFonts w:cs="Arial"/>
          <w:bCs/>
          <w:szCs w:val="17"/>
        </w:rPr>
        <w:t>﻿</w:t>
      </w:r>
      <w:r>
        <w:rPr>
          <w:rFonts w:cs="Arial"/>
          <w:szCs w:val="16"/>
        </w:rPr>
        <w:t xml:space="preserve"> </w:t>
      </w:r>
    </w:p>
    <w:p>
      <w:pPr>
        <w:pStyle w:val="TextBody"/>
        <w:bidi w:val="0"/>
        <w:spacing w:lineRule="auto" w:line="259" w:before="0" w:after="0"/>
        <w:ind w:left="3268" w:right="1038" w:firstLine="237"/>
        <w:jc w:val="right"/>
        <w:rPr>
          <w:rFonts w:ascii="Arial" w:hAnsi="Arial"/>
          <w:sz w:val="16"/>
        </w:rPr>
      </w:pPr>
      <w:r>
        <w:rPr>
          <w:rFonts w:ascii="Arial" w:hAnsi="Arial"/>
          <w:color w:val="808080"/>
          <w:sz w:val="17"/>
        </w:rPr>
        <w:t>Sydney Melbourne Brisbane</w:t>
      </w:r>
      <w:r>
        <w:rPr>
          <w:rFonts w:ascii="Arial" w:hAnsi="Arial"/>
          <w:sz w:val="16"/>
        </w:rPr>
        <w:t xml:space="preserve"> </w:t>
      </w:r>
    </w:p>
    <w:p>
      <w:pPr>
        <w:pStyle w:val="TextBody"/>
        <w:bidi w:val="0"/>
        <w:spacing w:lineRule="auto" w:line="259" w:before="4" w:after="0"/>
        <w:ind w:left="3062" w:right="1038" w:firstLine="604"/>
        <w:jc w:val="right"/>
        <w:rPr>
          <w:rFonts w:ascii="Arial" w:hAnsi="Arial"/>
          <w:sz w:val="16"/>
        </w:rPr>
      </w:pPr>
      <w:r>
        <w:rPr>
          <w:rFonts w:ascii="Arial" w:hAnsi="Arial"/>
          <w:color w:val="808080"/>
          <w:sz w:val="17"/>
        </w:rPr>
        <w:t>Perth Port</w:t>
      </w:r>
      <w:r>
        <w:rPr>
          <w:rFonts w:ascii="Arial" w:hAnsi="Arial"/>
          <w:color w:val="808080"/>
          <w:sz w:val="16"/>
        </w:rPr>
        <w:t> </w:t>
      </w:r>
      <w:r>
        <w:rPr>
          <w:rFonts w:ascii="Arial" w:hAnsi="Arial"/>
          <w:color w:val="808080"/>
          <w:sz w:val="17"/>
        </w:rPr>
        <w:t>Moresby</w:t>
      </w:r>
      <w:r>
        <w:rPr>
          <w:rFonts w:ascii="Arial" w:hAnsi="Arial"/>
          <w:sz w:val="16"/>
        </w:rPr>
        <w:t xml:space="preserve"> </w:t>
      </w:r>
    </w:p>
    <w:p>
      <w:pPr>
        <w:pStyle w:val="TextBody"/>
        <w:bidi w:val="0"/>
        <w:spacing w:lineRule="auto" w:line="259" w:before="0" w:after="0"/>
        <w:ind w:left="1700" w:right="700" w:hanging="0"/>
        <w:jc w:val="right"/>
        <w:rPr/>
      </w:pPr>
      <w:r>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ottom w:val="single" w:sz="8" w:space="1" w:color="000000"/>
        </w:pBdr>
        <w:bidi w:val="0"/>
        <w:spacing w:before="0" w:after="0"/>
        <w:ind w:left="1700" w:right="2140" w:hanging="0"/>
        <w:jc w:val="left"/>
        <w:rPr>
          <w:rFonts w:ascii="Arial" w:hAnsi="Arial"/>
          <w:sz w:val="22"/>
        </w:rPr>
      </w:pPr>
      <w:r>
        <w:rPr>
          <w:rFonts w:ascii="Arial" w:hAnsi="Arial"/>
          <w:sz w:val="22"/>
        </w:rPr>
        <w:t xml:space="preserve">Annexure A  -  Amended Facility Agreement </w:t>
      </w:r>
    </w:p>
    <w:p>
      <w:pPr>
        <w:pStyle w:val="TextBody"/>
        <w:bidi w:val="0"/>
        <w:spacing w:before="7" w:after="0"/>
        <w:ind w:left="1700" w:right="700" w:hanging="0"/>
        <w:jc w:val="left"/>
        <w:rPr>
          <w:rFonts w:cs="Arial"/>
          <w:szCs w:val="16"/>
        </w:rPr>
      </w:pPr>
      <w:r>
        <w:rPr>
          <w:rFonts w:cs="Arial"/>
          <w:szCs w:val="17"/>
        </w:rPr>
        <w:t>﻿</w:t>
      </w:r>
      <w:r>
        <w:rPr>
          <w:rFonts w:cs="Arial"/>
          <w:szCs w:val="16"/>
        </w:rPr>
        <w:t xml:space="preserve"> </w:t>
      </w:r>
    </w:p>
    <w:p>
      <w:pPr>
        <w:pStyle w:val="TextBody"/>
        <w:pBdr>
          <w:bottom w:val="single" w:sz="8" w:space="1" w:color="000000"/>
        </w:pBdr>
        <w:bidi w:val="0"/>
        <w:spacing w:before="72" w:after="0"/>
        <w:ind w:left="1700" w:right="2140" w:hanging="0"/>
        <w:jc w:val="left"/>
        <w:rPr>
          <w:rFonts w:ascii="Arial" w:hAnsi="Arial"/>
          <w:sz w:val="34"/>
        </w:rPr>
      </w:pPr>
      <w:r>
        <w:rPr>
          <w:rFonts w:ascii="Arial" w:hAnsi="Arial"/>
          <w:sz w:val="34"/>
        </w:rPr>
        <w:t xml:space="preserve">National Australia Bank Limited </w:t>
      </w:r>
    </w:p>
    <w:p>
      <w:pPr>
        <w:pStyle w:val="TextBody"/>
        <w:bidi w:val="0"/>
        <w:spacing w:before="1" w:after="0"/>
        <w:ind w:left="1700" w:right="700" w:hanging="0"/>
        <w:jc w:val="left"/>
        <w:rPr>
          <w:rFonts w:cs="Arial"/>
          <w:szCs w:val="16"/>
        </w:rPr>
      </w:pPr>
      <w:r>
        <w:rPr>
          <w:rFonts w:cs="Arial"/>
          <w:szCs w:val="16"/>
        </w:rPr>
        <w:t xml:space="preserve">﻿ </w:t>
      </w:r>
    </w:p>
    <w:p>
      <w:pPr>
        <w:pStyle w:val="TextBody"/>
        <w:pBdr>
          <w:bottom w:val="single" w:sz="8" w:space="1" w:color="000000"/>
        </w:pBdr>
        <w:bidi w:val="0"/>
        <w:spacing w:before="187" w:after="0"/>
        <w:ind w:left="1700" w:right="2140" w:hanging="0"/>
        <w:jc w:val="left"/>
        <w:rPr>
          <w:rFonts w:ascii="Arial" w:hAnsi="Arial"/>
          <w:sz w:val="34"/>
        </w:rPr>
      </w:pPr>
      <w:r>
        <w:rPr>
          <w:rFonts w:ascii="Arial" w:hAnsi="Arial"/>
          <w:sz w:val="34"/>
        </w:rPr>
        <w:t xml:space="preserve">Reading Entertainment Australia Group </w:t>
      </w:r>
    </w:p>
    <w:p>
      <w:pPr>
        <w:pStyle w:val="TextBody"/>
        <w:pBdr/>
        <w:bidi w:val="0"/>
        <w:spacing w:before="72" w:after="0"/>
        <w:ind w:left="1700" w:right="700" w:hanging="0"/>
        <w:jc w:val="left"/>
        <w:rPr>
          <w:rFonts w:cs="Arial"/>
          <w:szCs w:val="22"/>
        </w:rPr>
      </w:pPr>
      <w:r>
        <w:rPr>
          <w:rFonts w:cs="Arial"/>
          <w:szCs w:val="22"/>
        </w:rPr>
        <w:t xml:space="preserve">﻿ </w:t>
      </w:r>
    </w:p>
    <w:p>
      <w:pPr>
        <w:pStyle w:val="TextBody"/>
        <w:pBdr/>
        <w:bidi w:val="0"/>
        <w:spacing w:before="161" w:after="0"/>
        <w:ind w:left="1700" w:right="700" w:hanging="0"/>
        <w:jc w:val="left"/>
        <w:rPr>
          <w:rFonts w:cs="Arial"/>
          <w:szCs w:val="80"/>
        </w:rPr>
      </w:pPr>
      <w:r>
        <w:rPr>
          <w:rFonts w:cs="Arial"/>
          <w:szCs w:val="80"/>
        </w:rPr>
        <w:t xml:space="preserve">﻿ </w:t>
      </w:r>
    </w:p>
    <w:p>
      <w:pPr>
        <w:pStyle w:val="TextBody"/>
        <w:bidi w:val="0"/>
        <w:spacing w:before="0" w:after="0"/>
        <w:ind w:left="2268" w:right="1486" w:hanging="0"/>
        <w:jc w:val="left"/>
        <w:rPr>
          <w:rFonts w:ascii="Arial" w:hAnsi="Arial"/>
          <w:sz w:val="80"/>
        </w:rPr>
      </w:pPr>
      <w:r>
        <w:rPr>
          <w:rFonts w:ascii="Arial" w:hAnsi="Arial"/>
          <w:color w:val="12395C"/>
          <w:sz w:val="80"/>
        </w:rPr>
        <w:t>Corporate Markets Loan &amp; Bank Guarantee Facility Agreement</w:t>
      </w:r>
      <w:r>
        <w:rPr>
          <w:rFonts w:ascii="Arial" w:hAnsi="Arial"/>
          <w:sz w:val="80"/>
        </w:rPr>
        <w:t xml:space="preserve"> </w:t>
      </w:r>
    </w:p>
    <w:p>
      <w:pPr>
        <w:pStyle w:val="TextBody"/>
        <w:bidi w:val="0"/>
        <w:spacing w:before="0" w:after="0"/>
        <w:ind w:left="1700" w:right="700" w:hanging="0"/>
        <w:jc w:val="left"/>
        <w:rPr/>
      </w:pPr>
      <w:r>
        <w:rPr/>
        <w:t xml:space="preserve">  </w:t>
      </w:r>
    </w:p>
    <w:p>
      <w:pPr>
        <w:pStyle w:val="TextBody"/>
        <w:bidi w:val="0"/>
        <w:spacing w:before="16" w:after="0"/>
        <w:ind w:left="1720" w:right="700" w:hanging="0"/>
        <w:jc w:val="left"/>
        <w:rPr>
          <w:rFonts w:ascii="Arial" w:hAnsi="Arial"/>
          <w:sz w:val="12"/>
        </w:rPr>
      </w:pPr>
      <w:r>
        <w:rPr>
          <w:rFonts w:ascii="Arial" w:hAnsi="Arial"/>
          <w:sz w:val="12"/>
        </w:rPr>
        <w:t xml:space="preserve">Ref: BMH/OSM 9143151 3439-0662-6617v1 </w:t>
      </w:r>
    </w:p>
    <w:p>
      <w:pPr>
        <w:pStyle w:val="TextBody"/>
        <w:bidi w:val="0"/>
        <w:spacing w:before="68" w:after="0"/>
        <w:ind w:left="1720" w:right="700" w:hanging="0"/>
        <w:jc w:val="left"/>
        <w:rPr>
          <w:rFonts w:ascii="Arial" w:hAnsi="Arial"/>
          <w:sz w:val="12"/>
        </w:rPr>
      </w:pPr>
      <w:r>
        <w:rPr>
          <w:rFonts w:ascii="Arial" w:hAnsi="Arial"/>
          <w:sz w:val="12"/>
        </w:rPr>
        <w:t xml:space="preserve">© Corrs Chambers Westgarth </w:t>
      </w:r>
    </w:p>
    <w:p>
      <w:pPr>
        <w:pStyle w:val="TextBody"/>
        <w:bidi w:val="0"/>
        <w:spacing w:before="16" w:after="0"/>
        <w:ind w:left="1720" w:right="700" w:hanging="0"/>
        <w:jc w:val="left"/>
        <w:rPr>
          <w:rFonts w:ascii="Arial" w:hAnsi="Arial"/>
          <w:sz w:val="12"/>
        </w:rPr>
      </w:pPr>
      <w:r>
        <w:rPr>
          <w:rFonts w:ascii="Arial" w:hAnsi="Arial"/>
          <w:sz w:val="12"/>
        </w:rPr>
        <w:t xml:space="preserve">Ref: BMH/OSM 9143151 3439-0662-6617v1 </w:t>
      </w:r>
    </w:p>
    <w:p>
      <w:pPr>
        <w:pStyle w:val="TextBody"/>
        <w:bidi w:val="0"/>
        <w:spacing w:before="68" w:after="0"/>
        <w:ind w:left="1720" w:right="700" w:hanging="0"/>
        <w:jc w:val="left"/>
        <w:rPr>
          <w:rFonts w:ascii="Arial" w:hAnsi="Arial"/>
          <w:sz w:val="12"/>
        </w:rPr>
      </w:pPr>
      <w:r>
        <w:rPr>
          <w:rFonts w:ascii="Arial" w:hAnsi="Arial"/>
          <w:sz w:val="12"/>
        </w:rPr>
        <w:t xml:space="preserve">© Corrs Chambers Westgarth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120" w:after="0"/>
        <w:ind w:left="1700" w:right="700" w:hanging="0"/>
        <w:jc w:val="left"/>
        <w:rPr>
          <w:rFonts w:cs="Arial"/>
          <w:szCs w:val="32"/>
        </w:rPr>
      </w:pPr>
      <w:r>
        <w:rPr>
          <w:rFonts w:cs="Arial"/>
          <w:szCs w:val="32"/>
        </w:rPr>
        <w:t xml:space="preserve">﻿ </w:t>
      </w:r>
    </w:p>
    <w:p>
      <w:pPr>
        <w:pStyle w:val="TextBody"/>
        <w:bidi w:val="0"/>
        <w:spacing w:before="0" w:after="0"/>
        <w:ind w:left="2268" w:right="700" w:hanging="0"/>
        <w:jc w:val="left"/>
        <w:rPr>
          <w:rFonts w:ascii="Arial" w:hAnsi="Arial"/>
          <w:sz w:val="32"/>
        </w:rPr>
      </w:pPr>
      <w:r>
        <w:rPr>
          <w:rFonts w:ascii="Arial" w:hAnsi="Arial"/>
          <w:sz w:val="32"/>
        </w:rPr>
        <w:t xml:space="preserve">Contents </w:t>
      </w:r>
    </w:p>
    <w:tbl>
      <w:tblPr>
        <w:tblW w:w="5788" w:type="dxa"/>
        <w:jc w:val="left"/>
        <w:tblInd w:w="1700" w:type="dxa"/>
        <w:tblLayout w:type="fixed"/>
        <w:tblCellMar>
          <w:top w:w="0" w:type="dxa"/>
          <w:left w:w="0" w:type="dxa"/>
          <w:bottom w:w="0" w:type="dxa"/>
          <w:right w:w="0" w:type="dxa"/>
        </w:tblCellMar>
      </w:tblPr>
      <w:tblGrid>
        <w:gridCol w:w="38"/>
        <w:gridCol w:w="125"/>
        <w:gridCol w:w="380"/>
        <w:gridCol w:w="4850"/>
        <w:gridCol w:w="320"/>
        <w:gridCol w:w="75"/>
      </w:tblGrid>
      <w:tr>
        <w:trPr/>
        <w:tc>
          <w:tcPr>
            <w:tcW w:w="38" w:type="dxa"/>
            <w:tcBorders/>
            <w:vAlign w:val="bottom"/>
          </w:tcPr>
          <w:p>
            <w:pPr>
              <w:pStyle w:val="TableContents"/>
              <w:bidi w:val="0"/>
              <w:spacing w:before="0" w:after="0"/>
              <w:ind w:left="0" w:right="0" w:hanging="0"/>
              <w:jc w:val="left"/>
              <w:rPr>
                <w:rFonts w:cs="Times New Roman"/>
                <w:szCs w:val="24"/>
              </w:rPr>
            </w:pPr>
            <w:r>
              <w:rPr>
                <w:rFonts w:cs="Times New Roman"/>
                <w:szCs w:val="24"/>
              </w:rPr>
              <w:t>﻿</w:t>
            </w:r>
          </w:p>
        </w:tc>
        <w:tc>
          <w:tcPr>
            <w:tcW w:w="125" w:type="dxa"/>
            <w:tcBorders>
              <w:bottom w:val="single" w:sz="8" w:space="0" w:color="000000"/>
            </w:tcBorders>
            <w:tcMar>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1</w:t>
            </w:r>
          </w:p>
        </w:tc>
        <w:tc>
          <w:tcPr>
            <w:tcW w:w="5230"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hyperlink w:anchor="Interpretation1">
              <w:r>
                <w:rPr>
                  <w:rStyle w:val="InternetLink"/>
                  <w:rFonts w:ascii="Arial" w:hAnsi="Arial"/>
                  <w:b/>
                  <w:sz w:val="18"/>
                </w:rPr>
                <w:t>Interpretation</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4 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1.1</w:t>
            </w:r>
          </w:p>
        </w:tc>
        <w:tc>
          <w:tcPr>
            <w:tcW w:w="4850" w:type="dxa"/>
            <w:tcBorders/>
            <w:vAlign w:val="center"/>
          </w:tcPr>
          <w:p>
            <w:pPr>
              <w:pStyle w:val="TableContents"/>
              <w:bidi w:val="0"/>
              <w:spacing w:before="47" w:after="0"/>
              <w:ind w:left="0" w:right="0" w:hanging="0"/>
              <w:jc w:val="left"/>
              <w:rPr/>
            </w:pPr>
            <w:hyperlink w:anchor="Definitions11">
              <w:r>
                <w:rPr>
                  <w:rStyle w:val="InternetLink"/>
                  <w:rFonts w:ascii="Arial" w:hAnsi="Arial"/>
                  <w:sz w:val="18"/>
                </w:rPr>
                <w:t>Definitions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w:t>
            </w:r>
          </w:p>
        </w:tc>
        <w:tc>
          <w:tcPr>
            <w:tcW w:w="4850" w:type="dxa"/>
            <w:tcBorders/>
            <w:vAlign w:val="center"/>
          </w:tcPr>
          <w:p>
            <w:pPr>
              <w:pStyle w:val="TableContents"/>
              <w:bidi w:val="0"/>
              <w:spacing w:before="47" w:after="0"/>
              <w:ind w:left="0" w:right="0" w:hanging="0"/>
              <w:jc w:val="left"/>
              <w:rPr/>
            </w:pPr>
            <w:hyperlink w:anchor="Construction12">
              <w:r>
                <w:rPr>
                  <w:rStyle w:val="InternetLink"/>
                  <w:rFonts w:ascii="Arial" w:hAnsi="Arial"/>
                  <w:sz w:val="18"/>
                </w:rPr>
                <w:t>Construction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1.3</w:t>
            </w:r>
          </w:p>
        </w:tc>
        <w:tc>
          <w:tcPr>
            <w:tcW w:w="4850" w:type="dxa"/>
            <w:tcBorders/>
            <w:vAlign w:val="center"/>
          </w:tcPr>
          <w:p>
            <w:pPr>
              <w:pStyle w:val="TableContents"/>
              <w:bidi w:val="0"/>
              <w:spacing w:before="47" w:after="0"/>
              <w:ind w:left="0" w:right="0" w:hanging="0"/>
              <w:jc w:val="left"/>
              <w:rPr/>
            </w:pPr>
            <w:hyperlink w:anchor="Headings13">
              <w:r>
                <w:rPr>
                  <w:rStyle w:val="InternetLink"/>
                  <w:rFonts w:ascii="Arial" w:hAnsi="Arial"/>
                  <w:sz w:val="18"/>
                </w:rPr>
                <w:t>Headings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1.4</w:t>
            </w:r>
          </w:p>
        </w:tc>
        <w:tc>
          <w:tcPr>
            <w:tcW w:w="4850" w:type="dxa"/>
            <w:tcBorders/>
            <w:vAlign w:val="center"/>
          </w:tcPr>
          <w:p>
            <w:pPr>
              <w:pStyle w:val="TableContents"/>
              <w:bidi w:val="0"/>
              <w:spacing w:before="47" w:after="0"/>
              <w:ind w:left="0" w:right="0" w:hanging="0"/>
              <w:jc w:val="left"/>
              <w:rPr/>
            </w:pPr>
            <w:hyperlink w:anchor="Corporations14">
              <w:r>
                <w:rPr>
                  <w:rStyle w:val="InternetLink"/>
                  <w:rFonts w:ascii="Arial" w:hAnsi="Arial"/>
                  <w:sz w:val="18"/>
                </w:rPr>
                <w:t>Corporations Act, GST and Accounting Standards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1.5</w:t>
            </w:r>
          </w:p>
        </w:tc>
        <w:tc>
          <w:tcPr>
            <w:tcW w:w="4850" w:type="dxa"/>
            <w:tcBorders/>
            <w:vAlign w:val="center"/>
          </w:tcPr>
          <w:p>
            <w:pPr>
              <w:pStyle w:val="TableContents"/>
              <w:bidi w:val="0"/>
              <w:spacing w:before="47" w:after="0"/>
              <w:ind w:left="0" w:right="0" w:hanging="0"/>
              <w:jc w:val="left"/>
              <w:rPr/>
            </w:pPr>
            <w:hyperlink w:anchor="SubsistingEvents15">
              <w:r>
                <w:rPr>
                  <w:rStyle w:val="InternetLink"/>
                  <w:rFonts w:ascii="Arial" w:hAnsi="Arial"/>
                  <w:sz w:val="18"/>
                </w:rPr>
                <w:t>Subsisting Events of Default and Potential Events of Default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w:t>
            </w:r>
          </w:p>
        </w:tc>
        <w:tc>
          <w:tcPr>
            <w:tcW w:w="4850" w:type="dxa"/>
            <w:tcBorders/>
            <w:vAlign w:val="center"/>
          </w:tcPr>
          <w:p>
            <w:pPr>
              <w:pStyle w:val="TableContents"/>
              <w:bidi w:val="0"/>
              <w:spacing w:before="47" w:after="0"/>
              <w:ind w:left="0" w:right="0" w:hanging="0"/>
              <w:jc w:val="left"/>
              <w:rPr/>
            </w:pPr>
            <w:hyperlink w:anchor="Notused16">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1.7</w:t>
            </w:r>
          </w:p>
        </w:tc>
        <w:tc>
          <w:tcPr>
            <w:tcW w:w="4850" w:type="dxa"/>
            <w:tcBorders/>
            <w:vAlign w:val="center"/>
          </w:tcPr>
          <w:p>
            <w:pPr>
              <w:pStyle w:val="TableContents"/>
              <w:bidi w:val="0"/>
              <w:spacing w:before="47" w:after="0"/>
              <w:ind w:left="0" w:right="0" w:hanging="0"/>
              <w:jc w:val="left"/>
              <w:rPr/>
            </w:pPr>
            <w:hyperlink w:anchor="Inconsistency17">
              <w:r>
                <w:rPr>
                  <w:rStyle w:val="InternetLink"/>
                  <w:rFonts w:ascii="Arial" w:hAnsi="Arial"/>
                  <w:sz w:val="18"/>
                </w:rPr>
                <w:t>Inconsistency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2</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Consideration2">
              <w:r>
                <w:rPr>
                  <w:rStyle w:val="InternetLink"/>
                  <w:rFonts w:ascii="Arial" w:hAnsi="Arial"/>
                  <w:b/>
                  <w:sz w:val="18"/>
                </w:rPr>
                <w:t>Consideration</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25 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3</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Conditions_precedent3">
              <w:r>
                <w:rPr>
                  <w:rStyle w:val="InternetLink"/>
                  <w:rFonts w:ascii="Arial" w:hAnsi="Arial"/>
                  <w:b/>
                  <w:sz w:val="18"/>
                </w:rPr>
                <w:t>Conditions precedent</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25 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3.1</w:t>
            </w:r>
          </w:p>
        </w:tc>
        <w:tc>
          <w:tcPr>
            <w:tcW w:w="4850" w:type="dxa"/>
            <w:tcBorders/>
            <w:vAlign w:val="center"/>
          </w:tcPr>
          <w:p>
            <w:pPr>
              <w:pStyle w:val="TableContents"/>
              <w:bidi w:val="0"/>
              <w:spacing w:before="47" w:after="0"/>
              <w:ind w:left="0" w:right="0" w:hanging="0"/>
              <w:jc w:val="left"/>
              <w:rPr/>
            </w:pPr>
            <w:hyperlink w:anchor="Not_used31">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3.2</w:t>
            </w:r>
          </w:p>
        </w:tc>
        <w:tc>
          <w:tcPr>
            <w:tcW w:w="4850" w:type="dxa"/>
            <w:tcBorders/>
            <w:vAlign w:val="center"/>
          </w:tcPr>
          <w:p>
            <w:pPr>
              <w:pStyle w:val="TableContents"/>
              <w:bidi w:val="0"/>
              <w:spacing w:before="47" w:after="0"/>
              <w:ind w:left="0" w:right="0" w:hanging="0"/>
              <w:jc w:val="left"/>
              <w:rPr/>
            </w:pPr>
            <w:hyperlink w:anchor="Conditions_precedent32">
              <w:r>
                <w:rPr>
                  <w:rStyle w:val="InternetLink"/>
                  <w:rFonts w:ascii="Arial" w:hAnsi="Arial"/>
                  <w:sz w:val="18"/>
                </w:rPr>
                <w:t>Conditions precedent to Advances and Drawings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4</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Facility4">
              <w:r>
                <w:rPr>
                  <w:rStyle w:val="InternetLink"/>
                  <w:rFonts w:ascii="Arial" w:hAnsi="Arial"/>
                  <w:b/>
                  <w:sz w:val="18"/>
                </w:rPr>
                <w:t>Facility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25 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w:t>
            </w:r>
          </w:p>
        </w:tc>
        <w:tc>
          <w:tcPr>
            <w:tcW w:w="4850" w:type="dxa"/>
            <w:tcBorders/>
            <w:vAlign w:val="center"/>
          </w:tcPr>
          <w:p>
            <w:pPr>
              <w:pStyle w:val="TableContents"/>
              <w:bidi w:val="0"/>
              <w:spacing w:before="47" w:after="0"/>
              <w:ind w:left="0" w:right="0" w:hanging="0"/>
              <w:jc w:val="left"/>
              <w:rPr/>
            </w:pPr>
            <w:hyperlink w:anchor="Nature41">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4.2</w:t>
            </w:r>
          </w:p>
        </w:tc>
        <w:tc>
          <w:tcPr>
            <w:tcW w:w="4850" w:type="dxa"/>
            <w:tcBorders/>
            <w:vAlign w:val="center"/>
          </w:tcPr>
          <w:p>
            <w:pPr>
              <w:pStyle w:val="TableContents"/>
              <w:bidi w:val="0"/>
              <w:spacing w:before="47" w:after="0"/>
              <w:ind w:left="0" w:right="0" w:hanging="0"/>
              <w:jc w:val="left"/>
              <w:rPr/>
            </w:pPr>
            <w:hyperlink w:anchor="Purpose42">
              <w:r>
                <w:rPr>
                  <w:rStyle w:val="InternetLink"/>
                  <w:rFonts w:ascii="Arial" w:hAnsi="Arial"/>
                  <w:sz w:val="18"/>
                </w:rPr>
                <w:t>Purpose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4.3</w:t>
            </w:r>
          </w:p>
        </w:tc>
        <w:tc>
          <w:tcPr>
            <w:tcW w:w="4850" w:type="dxa"/>
            <w:tcBorders/>
            <w:vAlign w:val="center"/>
          </w:tcPr>
          <w:p>
            <w:pPr>
              <w:pStyle w:val="TableContents"/>
              <w:bidi w:val="0"/>
              <w:spacing w:before="47" w:after="0"/>
              <w:ind w:left="0" w:right="0" w:hanging="0"/>
              <w:jc w:val="left"/>
              <w:rPr/>
            </w:pPr>
            <w:hyperlink w:anchor="Advances_and_Drawings43">
              <w:r>
                <w:rPr>
                  <w:rStyle w:val="InternetLink"/>
                  <w:rFonts w:ascii="Arial" w:hAnsi="Arial"/>
                  <w:sz w:val="18"/>
                </w:rPr>
                <w:t>Advances and Drawings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4.4</w:t>
            </w:r>
          </w:p>
        </w:tc>
        <w:tc>
          <w:tcPr>
            <w:tcW w:w="4850" w:type="dxa"/>
            <w:tcBorders/>
            <w:vAlign w:val="center"/>
          </w:tcPr>
          <w:p>
            <w:pPr>
              <w:pStyle w:val="TableContents"/>
              <w:bidi w:val="0"/>
              <w:spacing w:before="47" w:after="0"/>
              <w:ind w:left="0" w:right="0" w:hanging="0"/>
              <w:jc w:val="left"/>
              <w:rPr/>
            </w:pPr>
            <w:hyperlink w:anchor="Funding_Notices44">
              <w:r>
                <w:rPr>
                  <w:rStyle w:val="InternetLink"/>
                  <w:rFonts w:ascii="Arial" w:hAnsi="Arial"/>
                  <w:sz w:val="18"/>
                </w:rPr>
                <w:t>Funding Notices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4.5</w:t>
            </w:r>
          </w:p>
        </w:tc>
        <w:tc>
          <w:tcPr>
            <w:tcW w:w="4850" w:type="dxa"/>
            <w:tcBorders/>
            <w:vAlign w:val="center"/>
          </w:tcPr>
          <w:p>
            <w:pPr>
              <w:pStyle w:val="TableContents"/>
              <w:bidi w:val="0"/>
              <w:spacing w:before="47" w:after="0"/>
              <w:ind w:left="0" w:right="0" w:hanging="0"/>
              <w:jc w:val="left"/>
              <w:rPr/>
            </w:pPr>
            <w:hyperlink w:anchor="Not_used45">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4.6</w:t>
            </w:r>
          </w:p>
        </w:tc>
        <w:tc>
          <w:tcPr>
            <w:tcW w:w="4850" w:type="dxa"/>
            <w:tcBorders/>
            <w:vAlign w:val="center"/>
          </w:tcPr>
          <w:p>
            <w:pPr>
              <w:pStyle w:val="TableContents"/>
              <w:bidi w:val="0"/>
              <w:spacing w:before="47" w:after="0"/>
              <w:ind w:left="0" w:right="0" w:hanging="0"/>
              <w:jc w:val="left"/>
              <w:rPr/>
            </w:pPr>
            <w:hyperlink w:anchor="Not_used46">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4.7</w:t>
            </w:r>
          </w:p>
        </w:tc>
        <w:tc>
          <w:tcPr>
            <w:tcW w:w="4850" w:type="dxa"/>
            <w:tcBorders/>
            <w:vAlign w:val="center"/>
          </w:tcPr>
          <w:p>
            <w:pPr>
              <w:pStyle w:val="TableContents"/>
              <w:bidi w:val="0"/>
              <w:spacing w:before="47" w:after="0"/>
              <w:ind w:left="0" w:right="0" w:hanging="0"/>
              <w:jc w:val="left"/>
              <w:rPr/>
            </w:pPr>
            <w:hyperlink w:anchor="Not_used47">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4.8</w:t>
            </w:r>
          </w:p>
        </w:tc>
        <w:tc>
          <w:tcPr>
            <w:tcW w:w="4850" w:type="dxa"/>
            <w:tcBorders/>
            <w:vAlign w:val="center"/>
          </w:tcPr>
          <w:p>
            <w:pPr>
              <w:pStyle w:val="TableContents"/>
              <w:bidi w:val="0"/>
              <w:spacing w:before="47" w:after="0"/>
              <w:ind w:left="0" w:right="0" w:hanging="0"/>
              <w:jc w:val="left"/>
              <w:rPr/>
            </w:pPr>
            <w:hyperlink w:anchor="Bank_Guarantee_Facilities48">
              <w:r>
                <w:rPr>
                  <w:rStyle w:val="InternetLink"/>
                  <w:rFonts w:ascii="Arial" w:hAnsi="Arial"/>
                  <w:sz w:val="18"/>
                </w:rPr>
                <w:t>Bank Guarantee Facility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4.9</w:t>
            </w:r>
          </w:p>
        </w:tc>
        <w:tc>
          <w:tcPr>
            <w:tcW w:w="4850" w:type="dxa"/>
            <w:tcBorders/>
            <w:vAlign w:val="center"/>
          </w:tcPr>
          <w:p>
            <w:pPr>
              <w:pStyle w:val="TableContents"/>
              <w:bidi w:val="0"/>
              <w:spacing w:before="47" w:after="0"/>
              <w:ind w:left="0" w:right="0" w:hanging="0"/>
              <w:jc w:val="left"/>
              <w:rPr/>
            </w:pPr>
            <w:hyperlink w:anchor="Cancellation49">
              <w:r>
                <w:rPr>
                  <w:rStyle w:val="InternetLink"/>
                  <w:rFonts w:ascii="Arial" w:hAnsi="Arial"/>
                  <w:sz w:val="18"/>
                </w:rPr>
                <w:t>Cancellation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4.10</w:t>
            </w:r>
          </w:p>
        </w:tc>
        <w:tc>
          <w:tcPr>
            <w:tcW w:w="4850" w:type="dxa"/>
            <w:tcBorders/>
            <w:vAlign w:val="center"/>
          </w:tcPr>
          <w:p>
            <w:pPr>
              <w:pStyle w:val="TableContents"/>
              <w:bidi w:val="0"/>
              <w:spacing w:before="47" w:after="0"/>
              <w:ind w:left="0" w:right="0" w:hanging="0"/>
              <w:jc w:val="left"/>
              <w:rPr/>
            </w:pPr>
            <w:hyperlink w:anchor="Market_disruption410">
              <w:r>
                <w:rPr>
                  <w:rStyle w:val="InternetLink"/>
                  <w:rFonts w:ascii="Arial" w:hAnsi="Arial"/>
                  <w:sz w:val="18"/>
                </w:rPr>
                <w:t>Market disruption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4.11</w:t>
            </w:r>
          </w:p>
        </w:tc>
        <w:tc>
          <w:tcPr>
            <w:tcW w:w="4850" w:type="dxa"/>
            <w:tcBorders/>
            <w:vAlign w:val="center"/>
          </w:tcPr>
          <w:p>
            <w:pPr>
              <w:pStyle w:val="TableContents"/>
              <w:bidi w:val="0"/>
              <w:spacing w:before="47" w:after="0"/>
              <w:ind w:left="0" w:right="0" w:hanging="0"/>
              <w:jc w:val="left"/>
              <w:rPr/>
            </w:pPr>
            <w:hyperlink w:anchor="Alternative_basis411">
              <w:r>
                <w:rPr>
                  <w:rStyle w:val="InternetLink"/>
                  <w:rFonts w:ascii="Arial" w:hAnsi="Arial"/>
                  <w:sz w:val="18"/>
                </w:rPr>
                <w:t>Alternative basis of interest or funding</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4.12</w:t>
            </w:r>
          </w:p>
        </w:tc>
        <w:tc>
          <w:tcPr>
            <w:tcW w:w="4850" w:type="dxa"/>
            <w:tcBorders/>
            <w:vAlign w:val="center"/>
          </w:tcPr>
          <w:p>
            <w:pPr>
              <w:pStyle w:val="TableContents"/>
              <w:bidi w:val="0"/>
              <w:spacing w:before="47" w:after="0"/>
              <w:ind w:left="0" w:right="0" w:hanging="0"/>
              <w:jc w:val="left"/>
              <w:rPr/>
            </w:pPr>
            <w:hyperlink w:anchor="Pricing_Review412">
              <w:r>
                <w:rPr>
                  <w:rStyle w:val="InternetLink"/>
                  <w:rFonts w:ascii="Arial" w:hAnsi="Arial"/>
                  <w:sz w:val="18"/>
                </w:rPr>
                <w:t>Pricing Review Events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4.13</w:t>
            </w:r>
          </w:p>
        </w:tc>
        <w:tc>
          <w:tcPr>
            <w:tcW w:w="4850" w:type="dxa"/>
            <w:tcBorders/>
            <w:vAlign w:val="center"/>
          </w:tcPr>
          <w:p>
            <w:pPr>
              <w:pStyle w:val="TableContents"/>
              <w:bidi w:val="0"/>
              <w:spacing w:before="47" w:after="0"/>
              <w:ind w:left="0" w:right="0" w:hanging="0"/>
              <w:jc w:val="left"/>
              <w:rPr/>
            </w:pPr>
            <w:hyperlink w:anchor="Consequences413">
              <w:r>
                <w:rPr>
                  <w:rStyle w:val="InternetLink"/>
                  <w:rFonts w:ascii="Arial" w:hAnsi="Arial"/>
                  <w:sz w:val="18"/>
                </w:rPr>
                <w:t>Consequences of a Pricing Review</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5</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Payments5">
              <w:r>
                <w:rPr>
                  <w:rStyle w:val="InternetLink"/>
                  <w:rFonts w:ascii="Arial" w:hAnsi="Arial"/>
                  <w:b/>
                  <w:sz w:val="18"/>
                </w:rPr>
                <w:t>Payments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29 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5.1</w:t>
            </w:r>
          </w:p>
        </w:tc>
        <w:tc>
          <w:tcPr>
            <w:tcW w:w="4850" w:type="dxa"/>
            <w:tcBorders/>
            <w:vAlign w:val="center"/>
          </w:tcPr>
          <w:p>
            <w:pPr>
              <w:pStyle w:val="TableContents"/>
              <w:bidi w:val="0"/>
              <w:spacing w:before="47" w:after="0"/>
              <w:ind w:left="0" w:right="0" w:hanging="0"/>
              <w:jc w:val="left"/>
              <w:rPr/>
            </w:pPr>
            <w:hyperlink w:anchor="Not_used51">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5.2</w:t>
            </w:r>
          </w:p>
        </w:tc>
        <w:tc>
          <w:tcPr>
            <w:tcW w:w="4850" w:type="dxa"/>
            <w:tcBorders/>
            <w:vAlign w:val="center"/>
          </w:tcPr>
          <w:p>
            <w:pPr>
              <w:pStyle w:val="TableContents"/>
              <w:bidi w:val="0"/>
              <w:spacing w:before="47" w:after="0"/>
              <w:ind w:left="0" w:right="0" w:hanging="0"/>
              <w:jc w:val="left"/>
              <w:rPr/>
            </w:pPr>
            <w:hyperlink w:anchor="Voluntary_prepayments52">
              <w:r>
                <w:rPr>
                  <w:rStyle w:val="InternetLink"/>
                  <w:rFonts w:ascii="Arial" w:hAnsi="Arial"/>
                  <w:sz w:val="18"/>
                </w:rPr>
                <w:t>Voluntary prepayments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29 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5.3</w:t>
            </w:r>
          </w:p>
        </w:tc>
        <w:tc>
          <w:tcPr>
            <w:tcW w:w="4850" w:type="dxa"/>
            <w:tcBorders/>
            <w:vAlign w:val="center"/>
          </w:tcPr>
          <w:p>
            <w:pPr>
              <w:pStyle w:val="TableContents"/>
              <w:bidi w:val="0"/>
              <w:spacing w:before="47" w:after="0"/>
              <w:ind w:left="0" w:right="0" w:hanging="0"/>
              <w:jc w:val="left"/>
              <w:rPr/>
            </w:pPr>
            <w:hyperlink w:anchor="Indemnity53">
              <w:r>
                <w:rPr>
                  <w:rStyle w:val="InternetLink"/>
                  <w:rFonts w:ascii="Arial" w:hAnsi="Arial"/>
                  <w:sz w:val="18"/>
                </w:rPr>
                <w:t>Indemnity in respect of Bank Guarantees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5.4</w:t>
            </w:r>
          </w:p>
        </w:tc>
        <w:tc>
          <w:tcPr>
            <w:tcW w:w="4850" w:type="dxa"/>
            <w:tcBorders/>
            <w:vAlign w:val="center"/>
          </w:tcPr>
          <w:p>
            <w:pPr>
              <w:pStyle w:val="TableContents"/>
              <w:bidi w:val="0"/>
              <w:spacing w:before="47" w:after="0"/>
              <w:ind w:left="0" w:right="0" w:hanging="0"/>
              <w:jc w:val="left"/>
              <w:rPr/>
            </w:pPr>
            <w:hyperlink w:anchor="Mandatory_prepayments54">
              <w:r>
                <w:rPr>
                  <w:rStyle w:val="InternetLink"/>
                  <w:rFonts w:ascii="Arial" w:hAnsi="Arial"/>
                  <w:sz w:val="18"/>
                </w:rPr>
                <w:t>Mandatory prepayments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5.5</w:t>
            </w:r>
          </w:p>
        </w:tc>
        <w:tc>
          <w:tcPr>
            <w:tcW w:w="4850" w:type="dxa"/>
            <w:tcBorders/>
            <w:vAlign w:val="center"/>
          </w:tcPr>
          <w:p>
            <w:pPr>
              <w:pStyle w:val="TableContents"/>
              <w:bidi w:val="0"/>
              <w:spacing w:before="47" w:after="0"/>
              <w:ind w:left="0" w:right="0" w:hanging="0"/>
              <w:jc w:val="left"/>
              <w:rPr/>
            </w:pPr>
            <w:hyperlink w:anchor="Repayment55">
              <w:r>
                <w:rPr>
                  <w:rStyle w:val="InternetLink"/>
                  <w:rFonts w:ascii="Arial" w:hAnsi="Arial"/>
                  <w:sz w:val="18"/>
                </w:rPr>
                <w:t>Repayment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5.6</w:t>
            </w:r>
          </w:p>
        </w:tc>
        <w:tc>
          <w:tcPr>
            <w:tcW w:w="4850" w:type="dxa"/>
            <w:tcBorders/>
            <w:vAlign w:val="center"/>
          </w:tcPr>
          <w:p>
            <w:pPr>
              <w:pStyle w:val="TableContents"/>
              <w:bidi w:val="0"/>
              <w:spacing w:before="47" w:after="0"/>
              <w:ind w:left="0" w:right="0" w:hanging="0"/>
              <w:jc w:val="left"/>
              <w:rPr/>
            </w:pPr>
            <w:hyperlink w:anchor="Amounts_may_not_be_redrawn56">
              <w:r>
                <w:rPr>
                  <w:rStyle w:val="InternetLink"/>
                  <w:rFonts w:ascii="Arial" w:hAnsi="Arial"/>
                  <w:sz w:val="18"/>
                </w:rPr>
                <w:t>Amounts may not be redrawn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125"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6</w:t>
            </w:r>
          </w:p>
        </w:tc>
        <w:tc>
          <w:tcPr>
            <w:tcW w:w="52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Interest_and_fees6">
              <w:r>
                <w:rPr>
                  <w:rStyle w:val="InternetLink"/>
                  <w:rFonts w:ascii="Arial" w:hAnsi="Arial"/>
                  <w:b/>
                  <w:sz w:val="18"/>
                </w:rPr>
                <w:t>Interest and fees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33 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6.1</w:t>
            </w:r>
          </w:p>
        </w:tc>
        <w:tc>
          <w:tcPr>
            <w:tcW w:w="4850" w:type="dxa"/>
            <w:tcBorders/>
            <w:vAlign w:val="center"/>
          </w:tcPr>
          <w:p>
            <w:pPr>
              <w:pStyle w:val="TableContents"/>
              <w:bidi w:val="0"/>
              <w:spacing w:before="47" w:after="0"/>
              <w:ind w:left="0" w:right="0" w:hanging="0"/>
              <w:jc w:val="left"/>
              <w:rPr/>
            </w:pPr>
            <w:hyperlink w:anchor="Pricing_Periods61">
              <w:r>
                <w:rPr>
                  <w:rStyle w:val="InternetLink"/>
                  <w:rFonts w:ascii="Arial" w:hAnsi="Arial"/>
                  <w:sz w:val="18"/>
                </w:rPr>
                <w:t>Pricing Periods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6.2</w:t>
            </w:r>
          </w:p>
        </w:tc>
        <w:tc>
          <w:tcPr>
            <w:tcW w:w="4850" w:type="dxa"/>
            <w:tcBorders/>
            <w:vAlign w:val="center"/>
          </w:tcPr>
          <w:p>
            <w:pPr>
              <w:pStyle w:val="TableContents"/>
              <w:bidi w:val="0"/>
              <w:spacing w:before="47" w:after="0"/>
              <w:ind w:left="0" w:right="0" w:hanging="0"/>
              <w:jc w:val="left"/>
              <w:rPr/>
            </w:pPr>
            <w:hyperlink w:anchor="Payment_and_rate62">
              <w:r>
                <w:rPr>
                  <w:rStyle w:val="InternetLink"/>
                  <w:rFonts w:ascii="Arial" w:hAnsi="Arial"/>
                  <w:sz w:val="18"/>
                </w:rPr>
                <w:t>Payment and rate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6.3</w:t>
            </w:r>
          </w:p>
        </w:tc>
        <w:tc>
          <w:tcPr>
            <w:tcW w:w="4850" w:type="dxa"/>
            <w:tcBorders/>
            <w:vAlign w:val="center"/>
          </w:tcPr>
          <w:p>
            <w:pPr>
              <w:pStyle w:val="TableContents"/>
              <w:bidi w:val="0"/>
              <w:spacing w:before="47" w:after="0"/>
              <w:ind w:left="0" w:right="0" w:hanging="0"/>
              <w:jc w:val="left"/>
              <w:rPr/>
            </w:pPr>
            <w:hyperlink w:anchor="Computation_of_interest63">
              <w:r>
                <w:rPr>
                  <w:rStyle w:val="InternetLink"/>
                  <w:rFonts w:ascii="Arial" w:hAnsi="Arial"/>
                  <w:sz w:val="18"/>
                </w:rPr>
                <w:t>Computation of interest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6.4</w:t>
            </w:r>
          </w:p>
        </w:tc>
        <w:tc>
          <w:tcPr>
            <w:tcW w:w="4850" w:type="dxa"/>
            <w:tcBorders/>
            <w:vAlign w:val="center"/>
          </w:tcPr>
          <w:p>
            <w:pPr>
              <w:pStyle w:val="TableContents"/>
              <w:bidi w:val="0"/>
              <w:spacing w:before="47" w:after="0"/>
              <w:ind w:left="0" w:right="0" w:hanging="0"/>
              <w:jc w:val="left"/>
              <w:rPr/>
            </w:pPr>
            <w:hyperlink w:anchor="Capitalisation_of_interest64">
              <w:r>
                <w:rPr>
                  <w:rStyle w:val="InternetLink"/>
                  <w:rFonts w:ascii="Arial" w:hAnsi="Arial"/>
                  <w:sz w:val="18"/>
                </w:rPr>
                <w:t>Capitalisation of interest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6.5</w:t>
            </w:r>
          </w:p>
        </w:tc>
        <w:tc>
          <w:tcPr>
            <w:tcW w:w="4850" w:type="dxa"/>
            <w:tcBorders/>
            <w:vAlign w:val="center"/>
          </w:tcPr>
          <w:p>
            <w:pPr>
              <w:pStyle w:val="TableContents"/>
              <w:bidi w:val="0"/>
              <w:spacing w:before="47" w:after="0"/>
              <w:ind w:left="0" w:right="0" w:hanging="0"/>
              <w:jc w:val="left"/>
              <w:rPr/>
            </w:pPr>
            <w:hyperlink w:anchor="Merger65">
              <w:r>
                <w:rPr>
                  <w:rStyle w:val="InternetLink"/>
                  <w:rFonts w:ascii="Arial" w:hAnsi="Arial"/>
                  <w:sz w:val="18"/>
                </w:rPr>
                <w:t>Merger</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6.6</w:t>
            </w:r>
          </w:p>
        </w:tc>
        <w:tc>
          <w:tcPr>
            <w:tcW w:w="4850" w:type="dxa"/>
            <w:tcBorders/>
            <w:vAlign w:val="center"/>
          </w:tcPr>
          <w:p>
            <w:pPr>
              <w:pStyle w:val="TableContents"/>
              <w:bidi w:val="0"/>
              <w:spacing w:before="47" w:after="0"/>
              <w:ind w:left="0" w:right="0" w:hanging="0"/>
              <w:jc w:val="left"/>
              <w:rPr/>
            </w:pPr>
            <w:hyperlink w:anchor="Reset_Margin66">
              <w:r>
                <w:rPr>
                  <w:rStyle w:val="InternetLink"/>
                  <w:rFonts w:ascii="Arial" w:hAnsi="Arial"/>
                  <w:sz w:val="18"/>
                </w:rPr>
                <w:t>Reset Margin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35  </w:t>
            </w:r>
          </w:p>
        </w:tc>
        <w:tc>
          <w:tcPr>
            <w:tcW w:w="75" w:type="dxa"/>
            <w:tcBorders/>
            <w:vAlign w:val="bottom"/>
          </w:tcPr>
          <w:p>
            <w:pPr>
              <w:pStyle w:val="TableContents"/>
              <w:bidi w:val="0"/>
              <w:spacing w:before="47" w:after="0"/>
              <w:ind w:left="0" w:right="0" w:hanging="0"/>
              <w:jc w:val="right"/>
              <w:rPr/>
            </w:pPr>
            <w:r>
              <w:rPr/>
              <w:t> </w:t>
            </w:r>
          </w:p>
        </w:tc>
      </w:tr>
    </w:tbl>
    <w:p>
      <w:pPr>
        <w:pStyle w:val="TextBody"/>
        <w:bidi w:val="0"/>
        <w:spacing w:before="252" w:after="0"/>
        <w:ind w:left="2268" w:right="700" w:hanging="0"/>
        <w:jc w:val="left"/>
        <w:rPr>
          <w:rFonts w:cs="Arial"/>
          <w:szCs w:val="20"/>
        </w:rPr>
      </w:pPr>
      <w:r>
        <w:rPr>
          <w:rFonts w:cs="Arial"/>
          <w:bCs/>
          <w:szCs w:val="20"/>
        </w:rPr>
        <w:t>﻿</w:t>
      </w:r>
      <w:r>
        <w:rPr>
          <w:rFonts w:cs="Arial"/>
          <w:szCs w:val="20"/>
        </w:rPr>
        <w:t xml:space="preserve"> </w:t>
      </w:r>
    </w:p>
    <w:p>
      <w:pPr>
        <w:pStyle w:val="TextBody"/>
        <w:bidi w:val="0"/>
        <w:spacing w:before="252" w:after="0"/>
        <w:ind w:left="2268" w:right="700" w:hanging="0"/>
        <w:jc w:val="left"/>
        <w:rPr>
          <w:rFonts w:cs="Arial"/>
          <w:szCs w:val="20"/>
        </w:rPr>
      </w:pPr>
      <w:r>
        <w:rPr>
          <w:rFonts w:cs="Arial"/>
          <w:bCs/>
          <w:szCs w:val="20"/>
        </w:rPr>
        <w:t>﻿</w:t>
      </w:r>
      <w:r>
        <w:rPr>
          <w:rFonts w:cs="Arial"/>
          <w:szCs w:val="20"/>
        </w:rPr>
        <w:t xml:space="preserve"> </w:t>
      </w:r>
    </w:p>
    <w:p>
      <w:pPr>
        <w:pStyle w:val="TextBody"/>
        <w:bidi w:val="0"/>
        <w:spacing w:before="0" w:after="0"/>
        <w:ind w:left="1700" w:right="700" w:hanging="0"/>
        <w:jc w:val="left"/>
        <w:rPr/>
      </w:pPr>
      <w:r>
        <w:rPr/>
        <w:t xml:space="preserve">  </w:t>
      </w:r>
    </w:p>
    <w:p>
      <w:pPr>
        <w:pStyle w:val="TextBody"/>
        <w:bidi w:val="0"/>
        <w:spacing w:before="0" w:after="0"/>
        <w:ind w:left="1700" w:right="700" w:hanging="0"/>
        <w:jc w:val="left"/>
        <w:rPr>
          <w:rFonts w:ascii="Arial" w:hAnsi="Arial"/>
          <w:sz w:val="14"/>
        </w:rPr>
      </w:pPr>
      <w:r>
        <w:rPr>
          <w:rFonts w:ascii="Arial" w:hAnsi="Arial"/>
          <w:sz w:val="15"/>
        </w:rPr>
        <w:t>Facility Agreement</w:t>
      </w:r>
      <w:r>
        <w:rPr>
          <w:rFonts w:ascii="Arial" w:hAnsi="Arial"/>
          <w:sz w:val="14"/>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85"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tbl>
      <w:tblPr>
        <w:tblW w:w="5293" w:type="dxa"/>
        <w:jc w:val="left"/>
        <w:tblInd w:w="1700" w:type="dxa"/>
        <w:tblLayout w:type="fixed"/>
        <w:tblCellMar>
          <w:top w:w="0" w:type="dxa"/>
          <w:left w:w="0" w:type="dxa"/>
          <w:bottom w:w="0" w:type="dxa"/>
          <w:right w:w="0" w:type="dxa"/>
        </w:tblCellMar>
      </w:tblPr>
      <w:tblGrid>
        <w:gridCol w:w="38"/>
        <w:gridCol w:w="230"/>
        <w:gridCol w:w="380"/>
        <w:gridCol w:w="4250"/>
        <w:gridCol w:w="320"/>
        <w:gridCol w:w="75"/>
      </w:tblGrid>
      <w:tr>
        <w:trPr/>
        <w:tc>
          <w:tcPr>
            <w:tcW w:w="38" w:type="dxa"/>
            <w:tcBorders/>
            <w:vAlign w:val="bottom"/>
          </w:tcPr>
          <w:p>
            <w:pPr>
              <w:pStyle w:val="TableContents"/>
              <w:bidi w:val="0"/>
              <w:spacing w:before="0" w:after="0"/>
              <w:ind w:left="0" w:right="0" w:hanging="0"/>
              <w:jc w:val="left"/>
              <w:rPr>
                <w:rFonts w:cs="Times New Roman"/>
                <w:szCs w:val="24"/>
              </w:rPr>
            </w:pPr>
            <w:r>
              <w:rPr>
                <w:rFonts w:cs="Times New Roman"/>
                <w:szCs w:val="24"/>
              </w:rPr>
              <w:t>﻿</w:t>
            </w:r>
          </w:p>
        </w:tc>
        <w:tc>
          <w:tcPr>
            <w:tcW w:w="230" w:type="dxa"/>
            <w:tcBorders>
              <w:bottom w:val="single" w:sz="8" w:space="0" w:color="000000"/>
            </w:tcBorders>
            <w:tcMar>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7</w:t>
            </w:r>
          </w:p>
        </w:tc>
        <w:tc>
          <w:tcPr>
            <w:tcW w:w="4630"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hyperlink w:anchor="Payments7">
              <w:r>
                <w:rPr>
                  <w:rStyle w:val="InternetLink"/>
                  <w:rFonts w:ascii="Arial" w:hAnsi="Arial"/>
                  <w:b/>
                  <w:sz w:val="18"/>
                </w:rPr>
                <w:t>Payments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35 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7.1</w:t>
            </w:r>
          </w:p>
        </w:tc>
        <w:tc>
          <w:tcPr>
            <w:tcW w:w="4250" w:type="dxa"/>
            <w:tcBorders/>
            <w:vAlign w:val="center"/>
          </w:tcPr>
          <w:p>
            <w:pPr>
              <w:pStyle w:val="TableContents"/>
              <w:bidi w:val="0"/>
              <w:spacing w:before="47" w:after="0"/>
              <w:ind w:left="0" w:right="0" w:hanging="0"/>
              <w:jc w:val="left"/>
              <w:rPr/>
            </w:pPr>
            <w:hyperlink w:anchor="Place71">
              <w:r>
                <w:rPr>
                  <w:rStyle w:val="InternetLink"/>
                  <w:rFonts w:ascii="Arial" w:hAnsi="Arial"/>
                  <w:sz w:val="18"/>
                </w:rPr>
                <w:t>Place, manner and time of payment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7.2</w:t>
            </w:r>
          </w:p>
        </w:tc>
        <w:tc>
          <w:tcPr>
            <w:tcW w:w="4250" w:type="dxa"/>
            <w:tcBorders/>
            <w:vAlign w:val="center"/>
          </w:tcPr>
          <w:p>
            <w:pPr>
              <w:pStyle w:val="TableContents"/>
              <w:bidi w:val="0"/>
              <w:spacing w:before="47" w:after="0"/>
              <w:ind w:left="0" w:right="0" w:hanging="0"/>
              <w:jc w:val="left"/>
              <w:rPr/>
            </w:pPr>
            <w:hyperlink w:anchor="Gross_up72">
              <w:r>
                <w:rPr>
                  <w:rStyle w:val="InternetLink"/>
                  <w:rFonts w:ascii="Arial" w:hAnsi="Arial"/>
                  <w:sz w:val="18"/>
                </w:rPr>
                <w:t>Gross-up</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7.3</w:t>
            </w:r>
          </w:p>
        </w:tc>
        <w:tc>
          <w:tcPr>
            <w:tcW w:w="4250" w:type="dxa"/>
            <w:tcBorders/>
            <w:vAlign w:val="center"/>
          </w:tcPr>
          <w:p>
            <w:pPr>
              <w:pStyle w:val="TableContents"/>
              <w:bidi w:val="0"/>
              <w:spacing w:before="47" w:after="0"/>
              <w:ind w:left="0" w:right="0" w:hanging="0"/>
              <w:jc w:val="left"/>
              <w:rPr/>
            </w:pPr>
            <w:hyperlink w:anchor="Appropriation73">
              <w:r>
                <w:rPr>
                  <w:rStyle w:val="InternetLink"/>
                  <w:rFonts w:ascii="Arial" w:hAnsi="Arial"/>
                  <w:sz w:val="18"/>
                </w:rPr>
                <w:t>Appropriation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8</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Representations_and_warranties8">
              <w:r>
                <w:rPr>
                  <w:rStyle w:val="InternetLink"/>
                  <w:rFonts w:ascii="Arial" w:hAnsi="Arial"/>
                  <w:b/>
                  <w:sz w:val="18"/>
                </w:rPr>
                <w:t>Representations and warranties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37 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8.1</w:t>
            </w:r>
          </w:p>
        </w:tc>
        <w:tc>
          <w:tcPr>
            <w:tcW w:w="4250" w:type="dxa"/>
            <w:tcBorders/>
            <w:vAlign w:val="center"/>
          </w:tcPr>
          <w:p>
            <w:pPr>
              <w:pStyle w:val="TableContents"/>
              <w:bidi w:val="0"/>
              <w:spacing w:before="47" w:after="0"/>
              <w:ind w:left="0" w:right="0" w:hanging="0"/>
              <w:jc w:val="left"/>
              <w:rPr/>
            </w:pPr>
            <w:hyperlink w:anchor="Nature81">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36 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8.2</w:t>
            </w:r>
          </w:p>
        </w:tc>
        <w:tc>
          <w:tcPr>
            <w:tcW w:w="4250" w:type="dxa"/>
            <w:tcBorders/>
            <w:vAlign w:val="center"/>
          </w:tcPr>
          <w:p>
            <w:pPr>
              <w:pStyle w:val="TableContents"/>
              <w:bidi w:val="0"/>
              <w:spacing w:before="47" w:after="0"/>
              <w:ind w:left="0" w:right="0" w:hanging="0"/>
              <w:jc w:val="left"/>
              <w:rPr/>
            </w:pPr>
            <w:hyperlink w:anchor="General82">
              <w:r>
                <w:rPr>
                  <w:rStyle w:val="InternetLink"/>
                  <w:rFonts w:ascii="Arial" w:hAnsi="Arial"/>
                  <w:sz w:val="18"/>
                </w:rPr>
                <w:t>General</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9</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General_obligations9">
              <w:r>
                <w:rPr>
                  <w:rStyle w:val="InternetLink"/>
                  <w:rFonts w:ascii="Arial" w:hAnsi="Arial"/>
                  <w:b/>
                  <w:sz w:val="18"/>
                </w:rPr>
                <w:t>General obligations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41 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9.1</w:t>
            </w:r>
          </w:p>
        </w:tc>
        <w:tc>
          <w:tcPr>
            <w:tcW w:w="4250" w:type="dxa"/>
            <w:tcBorders/>
            <w:vAlign w:val="center"/>
          </w:tcPr>
          <w:p>
            <w:pPr>
              <w:pStyle w:val="TableContents"/>
              <w:bidi w:val="0"/>
              <w:spacing w:before="47" w:after="0"/>
              <w:ind w:left="0" w:right="0" w:hanging="0"/>
              <w:jc w:val="left"/>
              <w:rPr/>
            </w:pPr>
            <w:hyperlink w:anchor="Fees91">
              <w:r>
                <w:rPr>
                  <w:rStyle w:val="InternetLink"/>
                  <w:rFonts w:ascii="Arial" w:hAnsi="Arial"/>
                  <w:sz w:val="18"/>
                </w:rPr>
                <w:t>Fees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9.2</w:t>
            </w:r>
          </w:p>
        </w:tc>
        <w:tc>
          <w:tcPr>
            <w:tcW w:w="4250" w:type="dxa"/>
            <w:tcBorders/>
            <w:vAlign w:val="center"/>
          </w:tcPr>
          <w:p>
            <w:pPr>
              <w:pStyle w:val="TableContents"/>
              <w:bidi w:val="0"/>
              <w:spacing w:before="47" w:after="0"/>
              <w:ind w:left="0" w:right="0" w:hanging="0"/>
              <w:jc w:val="left"/>
              <w:rPr/>
            </w:pPr>
            <w:hyperlink w:anchor="Records92">
              <w:r>
                <w:rPr>
                  <w:rStyle w:val="InternetLink"/>
                  <w:rFonts w:ascii="Arial" w:hAnsi="Arial"/>
                  <w:sz w:val="18"/>
                </w:rPr>
                <w:t>Records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9.3</w:t>
            </w:r>
          </w:p>
        </w:tc>
        <w:tc>
          <w:tcPr>
            <w:tcW w:w="4250" w:type="dxa"/>
            <w:tcBorders/>
            <w:vAlign w:val="center"/>
          </w:tcPr>
          <w:p>
            <w:pPr>
              <w:pStyle w:val="TableContents"/>
              <w:bidi w:val="0"/>
              <w:spacing w:before="47" w:after="0"/>
              <w:ind w:left="0" w:right="0" w:hanging="0"/>
              <w:jc w:val="left"/>
              <w:rPr/>
            </w:pPr>
            <w:hyperlink w:anchor="Financial_Statements93">
              <w:r>
                <w:rPr>
                  <w:rStyle w:val="InternetLink"/>
                  <w:rFonts w:ascii="Arial" w:hAnsi="Arial"/>
                  <w:sz w:val="18"/>
                </w:rPr>
                <w:t>Financial Statements and other financial information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9.4</w:t>
            </w:r>
          </w:p>
        </w:tc>
        <w:tc>
          <w:tcPr>
            <w:tcW w:w="4250" w:type="dxa"/>
            <w:tcBorders/>
            <w:vAlign w:val="center"/>
          </w:tcPr>
          <w:p>
            <w:pPr>
              <w:pStyle w:val="TableContents"/>
              <w:bidi w:val="0"/>
              <w:spacing w:before="47" w:after="0"/>
              <w:ind w:left="0" w:right="0" w:hanging="0"/>
              <w:jc w:val="left"/>
              <w:rPr/>
            </w:pPr>
            <w:hyperlink w:anchor="Adjustments94">
              <w:r>
                <w:rPr>
                  <w:rStyle w:val="InternetLink"/>
                  <w:rFonts w:ascii="Arial" w:hAnsi="Arial"/>
                  <w:sz w:val="18"/>
                </w:rPr>
                <w:t>Adjustments for AASB 16</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9.5</w:t>
            </w:r>
          </w:p>
        </w:tc>
        <w:tc>
          <w:tcPr>
            <w:tcW w:w="4250" w:type="dxa"/>
            <w:tcBorders/>
            <w:vAlign w:val="center"/>
          </w:tcPr>
          <w:p>
            <w:pPr>
              <w:pStyle w:val="TableContents"/>
              <w:bidi w:val="0"/>
              <w:spacing w:before="47" w:after="0"/>
              <w:ind w:left="0" w:right="0" w:hanging="0"/>
              <w:jc w:val="left"/>
              <w:rPr/>
            </w:pPr>
            <w:hyperlink w:anchor="Other_information95">
              <w:r>
                <w:rPr>
                  <w:rStyle w:val="InternetLink"/>
                  <w:rFonts w:ascii="Arial" w:hAnsi="Arial"/>
                  <w:sz w:val="18"/>
                </w:rPr>
                <w:t>Other information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9.6</w:t>
            </w:r>
          </w:p>
        </w:tc>
        <w:tc>
          <w:tcPr>
            <w:tcW w:w="4250" w:type="dxa"/>
            <w:tcBorders/>
            <w:vAlign w:val="center"/>
          </w:tcPr>
          <w:p>
            <w:pPr>
              <w:pStyle w:val="TableContents"/>
              <w:bidi w:val="0"/>
              <w:spacing w:before="47" w:after="0"/>
              <w:ind w:left="0" w:right="0" w:hanging="0"/>
              <w:jc w:val="left"/>
              <w:rPr/>
            </w:pPr>
            <w:hyperlink w:anchor="Other_financial_undertakings96">
              <w:r>
                <w:rPr>
                  <w:rStyle w:val="InternetLink"/>
                  <w:rFonts w:ascii="Arial" w:hAnsi="Arial"/>
                  <w:sz w:val="18"/>
                </w:rPr>
                <w:t>Other financial undertakings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9.7</w:t>
            </w:r>
          </w:p>
        </w:tc>
        <w:tc>
          <w:tcPr>
            <w:tcW w:w="4250" w:type="dxa"/>
            <w:tcBorders/>
            <w:vAlign w:val="center"/>
          </w:tcPr>
          <w:p>
            <w:pPr>
              <w:pStyle w:val="TableContents"/>
              <w:bidi w:val="0"/>
              <w:spacing w:before="47" w:after="0"/>
              <w:ind w:left="0" w:right="0" w:hanging="0"/>
              <w:jc w:val="left"/>
              <w:rPr/>
            </w:pPr>
            <w:hyperlink w:anchor="Insurance97">
              <w:r>
                <w:rPr>
                  <w:rStyle w:val="InternetLink"/>
                  <w:rFonts w:ascii="Arial" w:hAnsi="Arial"/>
                  <w:sz w:val="18"/>
                </w:rPr>
                <w:t>Insurance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9.8</w:t>
            </w:r>
          </w:p>
        </w:tc>
        <w:tc>
          <w:tcPr>
            <w:tcW w:w="4250" w:type="dxa"/>
            <w:tcBorders/>
            <w:vAlign w:val="center"/>
          </w:tcPr>
          <w:p>
            <w:pPr>
              <w:pStyle w:val="TableContents"/>
              <w:bidi w:val="0"/>
              <w:spacing w:before="47" w:after="0"/>
              <w:ind w:left="0" w:right="0" w:hanging="0"/>
              <w:jc w:val="left"/>
              <w:rPr/>
            </w:pPr>
            <w:hyperlink w:anchor="Financial_ratios98">
              <w:r>
                <w:rPr>
                  <w:rStyle w:val="InternetLink"/>
                  <w:rFonts w:ascii="Arial" w:hAnsi="Arial"/>
                  <w:sz w:val="18"/>
                </w:rPr>
                <w:t>Financial ratios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9.9</w:t>
            </w:r>
          </w:p>
        </w:tc>
        <w:tc>
          <w:tcPr>
            <w:tcW w:w="4250" w:type="dxa"/>
            <w:tcBorders/>
            <w:vAlign w:val="center"/>
          </w:tcPr>
          <w:p>
            <w:pPr>
              <w:pStyle w:val="TableContents"/>
              <w:bidi w:val="0"/>
              <w:spacing w:before="47" w:after="0"/>
              <w:ind w:left="0" w:right="0" w:hanging="0"/>
              <w:jc w:val="left"/>
              <w:rPr/>
            </w:pPr>
            <w:hyperlink w:anchor="Environment99">
              <w:r>
                <w:rPr>
                  <w:rStyle w:val="InternetLink"/>
                  <w:rFonts w:ascii="Arial" w:hAnsi="Arial"/>
                  <w:sz w:val="18"/>
                </w:rPr>
                <w:t>Environment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49 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9.10</w:t>
            </w:r>
          </w:p>
        </w:tc>
        <w:tc>
          <w:tcPr>
            <w:tcW w:w="4250" w:type="dxa"/>
            <w:tcBorders/>
            <w:vAlign w:val="center"/>
          </w:tcPr>
          <w:p>
            <w:pPr>
              <w:pStyle w:val="TableContents"/>
              <w:bidi w:val="0"/>
              <w:spacing w:before="47" w:after="0"/>
              <w:ind w:left="0" w:right="0" w:hanging="0"/>
              <w:jc w:val="left"/>
              <w:rPr/>
            </w:pPr>
            <w:hyperlink w:anchor="No_default910">
              <w:r>
                <w:rPr>
                  <w:rStyle w:val="InternetLink"/>
                  <w:rFonts w:ascii="Arial" w:hAnsi="Arial"/>
                  <w:sz w:val="18"/>
                </w:rPr>
                <w:t>No default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9.11</w:t>
            </w:r>
          </w:p>
        </w:tc>
        <w:tc>
          <w:tcPr>
            <w:tcW w:w="4250" w:type="dxa"/>
            <w:tcBorders/>
            <w:vAlign w:val="center"/>
          </w:tcPr>
          <w:p>
            <w:pPr>
              <w:pStyle w:val="TableContents"/>
              <w:bidi w:val="0"/>
              <w:spacing w:before="47" w:after="0"/>
              <w:ind w:left="0" w:right="0" w:hanging="0"/>
              <w:jc w:val="left"/>
              <w:rPr/>
            </w:pPr>
            <w:hyperlink w:anchor="Obligations_of_Trustees911">
              <w:r>
                <w:rPr>
                  <w:rStyle w:val="InternetLink"/>
                  <w:rFonts w:ascii="Arial" w:hAnsi="Arial"/>
                  <w:sz w:val="18"/>
                </w:rPr>
                <w:t>Obligations of Trustees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9.12</w:t>
            </w:r>
          </w:p>
        </w:tc>
        <w:tc>
          <w:tcPr>
            <w:tcW w:w="4250" w:type="dxa"/>
            <w:tcBorders/>
            <w:vAlign w:val="center"/>
          </w:tcPr>
          <w:p>
            <w:pPr>
              <w:pStyle w:val="TableContents"/>
              <w:bidi w:val="0"/>
              <w:spacing w:before="47" w:after="0"/>
              <w:ind w:left="0" w:right="0" w:hanging="0"/>
              <w:jc w:val="left"/>
              <w:rPr/>
            </w:pPr>
            <w:hyperlink w:anchor="Release_for_Permitted_Disposals912">
              <w:r>
                <w:rPr>
                  <w:rStyle w:val="InternetLink"/>
                  <w:rFonts w:ascii="Arial" w:hAnsi="Arial"/>
                  <w:sz w:val="18"/>
                </w:rPr>
                <w:t>Release for Permitted Disposals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10</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Events_of_Default10">
              <w:r>
                <w:rPr>
                  <w:rStyle w:val="InternetLink"/>
                  <w:rFonts w:ascii="Arial" w:hAnsi="Arial"/>
                  <w:b/>
                  <w:sz w:val="18"/>
                </w:rPr>
                <w:t>Events of Default</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52 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10.1</w:t>
            </w:r>
          </w:p>
        </w:tc>
        <w:tc>
          <w:tcPr>
            <w:tcW w:w="4250" w:type="dxa"/>
            <w:tcBorders/>
            <w:vAlign w:val="center"/>
          </w:tcPr>
          <w:p>
            <w:pPr>
              <w:pStyle w:val="TableContents"/>
              <w:bidi w:val="0"/>
              <w:spacing w:before="47" w:after="0"/>
              <w:ind w:left="0" w:right="0" w:hanging="0"/>
              <w:jc w:val="left"/>
              <w:rPr/>
            </w:pPr>
            <w:hyperlink w:anchor="Nature101">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10.2</w:t>
            </w:r>
          </w:p>
        </w:tc>
        <w:tc>
          <w:tcPr>
            <w:tcW w:w="4250" w:type="dxa"/>
            <w:tcBorders/>
            <w:vAlign w:val="center"/>
          </w:tcPr>
          <w:p>
            <w:pPr>
              <w:pStyle w:val="TableContents"/>
              <w:bidi w:val="0"/>
              <w:spacing w:before="47" w:after="0"/>
              <w:ind w:left="0" w:right="0" w:hanging="0"/>
              <w:jc w:val="left"/>
              <w:rPr/>
            </w:pPr>
            <w:hyperlink w:anchor="Effect_of_Event_of_Default102">
              <w:r>
                <w:rPr>
                  <w:rStyle w:val="InternetLink"/>
                  <w:rFonts w:ascii="Arial" w:hAnsi="Arial"/>
                  <w:sz w:val="18"/>
                </w:rPr>
                <w:t>Effect of Event of Default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10.3</w:t>
            </w:r>
          </w:p>
        </w:tc>
        <w:tc>
          <w:tcPr>
            <w:tcW w:w="4250" w:type="dxa"/>
            <w:tcBorders/>
            <w:vAlign w:val="center"/>
          </w:tcPr>
          <w:p>
            <w:pPr>
              <w:pStyle w:val="TableContents"/>
              <w:bidi w:val="0"/>
              <w:spacing w:before="47" w:after="0"/>
              <w:ind w:left="0" w:right="0" w:hanging="0"/>
              <w:jc w:val="left"/>
              <w:rPr/>
            </w:pPr>
            <w:hyperlink w:anchor="Cash_Cover103">
              <w:r>
                <w:rPr>
                  <w:rStyle w:val="InternetLink"/>
                  <w:rFonts w:ascii="Arial" w:hAnsi="Arial"/>
                  <w:sz w:val="18"/>
                </w:rPr>
                <w:t>Cash Cover Account regarding Bank Guarantees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10.4</w:t>
            </w:r>
          </w:p>
        </w:tc>
        <w:tc>
          <w:tcPr>
            <w:tcW w:w="4250" w:type="dxa"/>
            <w:tcBorders/>
            <w:vAlign w:val="center"/>
          </w:tcPr>
          <w:p>
            <w:pPr>
              <w:pStyle w:val="TableContents"/>
              <w:bidi w:val="0"/>
              <w:spacing w:before="47" w:after="0"/>
              <w:ind w:left="0" w:right="0" w:hanging="0"/>
              <w:jc w:val="left"/>
              <w:rPr/>
            </w:pPr>
            <w:hyperlink w:anchor="Review_Events104">
              <w:r>
                <w:rPr>
                  <w:rStyle w:val="InternetLink"/>
                  <w:rFonts w:ascii="Arial" w:hAnsi="Arial"/>
                  <w:sz w:val="18"/>
                </w:rPr>
                <w:t>Review Events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10.5</w:t>
            </w:r>
          </w:p>
        </w:tc>
        <w:tc>
          <w:tcPr>
            <w:tcW w:w="4250" w:type="dxa"/>
            <w:tcBorders/>
            <w:vAlign w:val="center"/>
          </w:tcPr>
          <w:p>
            <w:pPr>
              <w:pStyle w:val="TableContents"/>
              <w:bidi w:val="0"/>
              <w:spacing w:before="47" w:after="0"/>
              <w:ind w:left="0" w:right="0" w:hanging="0"/>
              <w:jc w:val="left"/>
              <w:rPr/>
            </w:pPr>
            <w:hyperlink w:anchor="Reviews105">
              <w:r>
                <w:rPr>
                  <w:rStyle w:val="InternetLink"/>
                  <w:rFonts w:ascii="Arial" w:hAnsi="Arial"/>
                  <w:sz w:val="18"/>
                </w:rPr>
                <w:t>Reviews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10.6</w:t>
            </w:r>
          </w:p>
        </w:tc>
        <w:tc>
          <w:tcPr>
            <w:tcW w:w="4250" w:type="dxa"/>
            <w:tcBorders/>
            <w:vAlign w:val="center"/>
          </w:tcPr>
          <w:p>
            <w:pPr>
              <w:pStyle w:val="TableContents"/>
              <w:bidi w:val="0"/>
              <w:spacing w:before="47" w:after="0"/>
              <w:ind w:left="0" w:right="0" w:hanging="0"/>
              <w:jc w:val="left"/>
              <w:rPr/>
            </w:pPr>
            <w:hyperlink w:anchor="Equity_Cure106">
              <w:r>
                <w:rPr>
                  <w:rStyle w:val="InternetLink"/>
                  <w:rFonts w:ascii="Arial" w:hAnsi="Arial"/>
                  <w:sz w:val="18"/>
                </w:rPr>
                <w:t>Equity Cure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11</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Costs_and_expenses11">
              <w:r>
                <w:rPr>
                  <w:rStyle w:val="InternetLink"/>
                  <w:rFonts w:ascii="Arial" w:hAnsi="Arial"/>
                  <w:b/>
                  <w:sz w:val="18"/>
                </w:rPr>
                <w:t>Costs and expenses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59 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11.1</w:t>
            </w:r>
          </w:p>
        </w:tc>
        <w:tc>
          <w:tcPr>
            <w:tcW w:w="4250" w:type="dxa"/>
            <w:tcBorders/>
            <w:vAlign w:val="center"/>
          </w:tcPr>
          <w:p>
            <w:pPr>
              <w:pStyle w:val="TableContents"/>
              <w:bidi w:val="0"/>
              <w:spacing w:before="47" w:after="0"/>
              <w:ind w:left="0" w:right="0" w:hanging="0"/>
              <w:jc w:val="left"/>
              <w:rPr/>
            </w:pPr>
            <w:hyperlink w:anchor="Interpretation111">
              <w:r>
                <w:rPr>
                  <w:rStyle w:val="InternetLink"/>
                  <w:rFonts w:ascii="Arial" w:hAnsi="Arial"/>
                  <w:sz w:val="18"/>
                </w:rPr>
                <w:t>Interpretation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11.2</w:t>
            </w:r>
          </w:p>
        </w:tc>
        <w:tc>
          <w:tcPr>
            <w:tcW w:w="4250" w:type="dxa"/>
            <w:tcBorders/>
            <w:vAlign w:val="center"/>
          </w:tcPr>
          <w:p>
            <w:pPr>
              <w:pStyle w:val="TableContents"/>
              <w:bidi w:val="0"/>
              <w:spacing w:before="47" w:after="0"/>
              <w:ind w:left="0" w:right="0" w:hanging="0"/>
              <w:jc w:val="left"/>
              <w:rPr/>
            </w:pPr>
            <w:hyperlink w:anchor="Nature112">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center"/>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11.3</w:t>
            </w:r>
          </w:p>
        </w:tc>
        <w:tc>
          <w:tcPr>
            <w:tcW w:w="4250" w:type="dxa"/>
            <w:tcBorders/>
            <w:vAlign w:val="center"/>
          </w:tcPr>
          <w:p>
            <w:pPr>
              <w:pStyle w:val="TableContents"/>
              <w:bidi w:val="0"/>
              <w:spacing w:before="47" w:after="0"/>
              <w:ind w:left="0" w:right="0" w:hanging="0"/>
              <w:jc w:val="left"/>
              <w:rPr/>
            </w:pPr>
            <w:hyperlink w:anchor="Remuneration113">
              <w:r>
                <w:rPr>
                  <w:rStyle w:val="InternetLink"/>
                  <w:rFonts w:ascii="Arial" w:hAnsi="Arial"/>
                  <w:sz w:val="18"/>
                </w:rPr>
                <w:t>Remuneration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12</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Indemnities12">
              <w:r>
                <w:rPr>
                  <w:rStyle w:val="InternetLink"/>
                  <w:rFonts w:ascii="Arial" w:hAnsi="Arial"/>
                  <w:b/>
                  <w:sz w:val="18"/>
                </w:rPr>
                <w:t>Indemnities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59 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12.1</w:t>
            </w:r>
          </w:p>
        </w:tc>
        <w:tc>
          <w:tcPr>
            <w:tcW w:w="4250" w:type="dxa"/>
            <w:tcBorders/>
            <w:vAlign w:val="center"/>
          </w:tcPr>
          <w:p>
            <w:pPr>
              <w:pStyle w:val="TableContents"/>
              <w:bidi w:val="0"/>
              <w:spacing w:before="47" w:after="0"/>
              <w:ind w:left="0" w:right="0" w:hanging="0"/>
              <w:jc w:val="left"/>
              <w:rPr/>
            </w:pPr>
            <w:hyperlink w:anchor="Nature121">
              <w:r>
                <w:rPr>
                  <w:rStyle w:val="InternetLink"/>
                  <w:rFonts w:ascii="Arial" w:hAnsi="Arial"/>
                  <w:sz w:val="18"/>
                </w:rPr>
                <w:t>Nature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59 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12.2</w:t>
            </w:r>
          </w:p>
        </w:tc>
        <w:tc>
          <w:tcPr>
            <w:tcW w:w="4250" w:type="dxa"/>
            <w:tcBorders/>
            <w:vAlign w:val="center"/>
          </w:tcPr>
          <w:p>
            <w:pPr>
              <w:pStyle w:val="TableContents"/>
              <w:bidi w:val="0"/>
              <w:spacing w:before="47" w:after="0"/>
              <w:ind w:left="0" w:right="0" w:hanging="0"/>
              <w:jc w:val="left"/>
              <w:rPr/>
            </w:pPr>
            <w:hyperlink w:anchor="Representatives122">
              <w:r>
                <w:rPr>
                  <w:rStyle w:val="InternetLink"/>
                  <w:rFonts w:ascii="Arial" w:hAnsi="Arial"/>
                  <w:sz w:val="18"/>
                </w:rPr>
                <w:t>Representatives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12.3</w:t>
            </w:r>
          </w:p>
        </w:tc>
        <w:tc>
          <w:tcPr>
            <w:tcW w:w="4250" w:type="dxa"/>
            <w:tcBorders/>
            <w:vAlign w:val="center"/>
          </w:tcPr>
          <w:p>
            <w:pPr>
              <w:pStyle w:val="TableContents"/>
              <w:bidi w:val="0"/>
              <w:spacing w:before="47" w:after="0"/>
              <w:ind w:left="0" w:right="0" w:hanging="0"/>
              <w:jc w:val="left"/>
              <w:rPr/>
            </w:pPr>
            <w:hyperlink w:anchor="Currency_deficiency123">
              <w:r>
                <w:rPr>
                  <w:rStyle w:val="InternetLink"/>
                  <w:rFonts w:ascii="Arial" w:hAnsi="Arial"/>
                  <w:sz w:val="18"/>
                </w:rPr>
                <w:t>Currency deficiency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12.4</w:t>
            </w:r>
          </w:p>
        </w:tc>
        <w:tc>
          <w:tcPr>
            <w:tcW w:w="4250" w:type="dxa"/>
            <w:tcBorders/>
            <w:vAlign w:val="center"/>
          </w:tcPr>
          <w:p>
            <w:pPr>
              <w:pStyle w:val="TableContents"/>
              <w:bidi w:val="0"/>
              <w:spacing w:before="47" w:after="0"/>
              <w:ind w:left="0" w:right="0" w:hanging="0"/>
              <w:jc w:val="left"/>
              <w:rPr/>
            </w:pPr>
            <w:hyperlink w:anchor="Independence_and_survival124">
              <w:r>
                <w:rPr>
                  <w:rStyle w:val="InternetLink"/>
                  <w:rFonts w:ascii="Arial" w:hAnsi="Arial"/>
                  <w:sz w:val="18"/>
                </w:rPr>
                <w:t>Independence and survival</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12.5</w:t>
            </w:r>
          </w:p>
        </w:tc>
        <w:tc>
          <w:tcPr>
            <w:tcW w:w="4250" w:type="dxa"/>
            <w:tcBorders/>
            <w:vAlign w:val="center"/>
          </w:tcPr>
          <w:p>
            <w:pPr>
              <w:pStyle w:val="TableContents"/>
              <w:bidi w:val="0"/>
              <w:spacing w:before="47" w:after="0"/>
              <w:ind w:left="0" w:right="0" w:hanging="0"/>
              <w:jc w:val="left"/>
              <w:rPr/>
            </w:pPr>
            <w:hyperlink w:anchor="Accounting_for_transactions125">
              <w:r>
                <w:rPr>
                  <w:rStyle w:val="InternetLink"/>
                  <w:rFonts w:ascii="Arial" w:hAnsi="Arial"/>
                  <w:sz w:val="18"/>
                </w:rPr>
                <w:t>Accounting for transactions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12.6</w:t>
            </w:r>
          </w:p>
        </w:tc>
        <w:tc>
          <w:tcPr>
            <w:tcW w:w="4250" w:type="dxa"/>
            <w:tcBorders/>
            <w:vAlign w:val="center"/>
          </w:tcPr>
          <w:p>
            <w:pPr>
              <w:pStyle w:val="TableContents"/>
              <w:bidi w:val="0"/>
              <w:spacing w:before="47" w:after="0"/>
              <w:ind w:left="0" w:right="0" w:hanging="0"/>
              <w:jc w:val="left"/>
              <w:rPr/>
            </w:pPr>
            <w:hyperlink w:anchor="Liability126">
              <w:r>
                <w:rPr>
                  <w:rStyle w:val="InternetLink"/>
                  <w:rFonts w:ascii="Arial" w:hAnsi="Arial"/>
                  <w:sz w:val="18"/>
                </w:rPr>
                <w:t>Liability for Regulatory Events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60 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13</w:t>
            </w:r>
          </w:p>
        </w:tc>
        <w:tc>
          <w:tcPr>
            <w:tcW w:w="463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Goods_and_Services_Tax13">
              <w:r>
                <w:rPr>
                  <w:rStyle w:val="InternetLink"/>
                  <w:rFonts w:ascii="Arial" w:hAnsi="Arial"/>
                  <w:b/>
                  <w:sz w:val="18"/>
                </w:rPr>
                <w:t>Goods and Services Tax</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61 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13.1</w:t>
            </w:r>
          </w:p>
        </w:tc>
        <w:tc>
          <w:tcPr>
            <w:tcW w:w="4250" w:type="dxa"/>
            <w:tcBorders/>
            <w:vAlign w:val="center"/>
          </w:tcPr>
          <w:p>
            <w:pPr>
              <w:pStyle w:val="TableContents"/>
              <w:bidi w:val="0"/>
              <w:spacing w:before="47" w:after="0"/>
              <w:ind w:left="0" w:right="0" w:hanging="0"/>
              <w:jc w:val="left"/>
              <w:rPr/>
            </w:pPr>
            <w:hyperlink w:anchor="Taxable_supply131">
              <w:r>
                <w:rPr>
                  <w:rStyle w:val="InternetLink"/>
                  <w:rFonts w:ascii="Arial" w:hAnsi="Arial"/>
                  <w:sz w:val="18"/>
                </w:rPr>
                <w:t>Taxable supply</w:t>
              </w:r>
            </w:hyperlink>
          </w:p>
        </w:tc>
        <w:tc>
          <w:tcPr>
            <w:tcW w:w="320" w:type="dxa"/>
            <w:tcBorders/>
            <w:vAlign w:val="bottom"/>
          </w:tcPr>
          <w:p>
            <w:pPr>
              <w:pStyle w:val="TableContents"/>
              <w:bidi w:val="0"/>
              <w:spacing w:before="0" w:after="283"/>
              <w:jc w:val="right"/>
              <w:rPr>
                <w:rFonts w:ascii="Arial" w:hAnsi="Arial"/>
                <w:color w:val="000000"/>
                <w:sz w:val="18"/>
              </w:rPr>
            </w:pPr>
            <w:r>
              <w:rPr>
                <w:rFonts w:ascii="Arial" w:hAnsi="Arial"/>
                <w:color w:val="000000"/>
                <w:sz w:val="18"/>
              </w:rPr>
              <w:t xml:space="preserve">61 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13.2</w:t>
            </w:r>
          </w:p>
        </w:tc>
        <w:tc>
          <w:tcPr>
            <w:tcW w:w="4250" w:type="dxa"/>
            <w:tcBorders/>
            <w:vAlign w:val="center"/>
          </w:tcPr>
          <w:p>
            <w:pPr>
              <w:pStyle w:val="TableContents"/>
              <w:bidi w:val="0"/>
              <w:spacing w:before="47" w:after="0"/>
              <w:ind w:left="0" w:right="0" w:hanging="0"/>
              <w:jc w:val="left"/>
              <w:rPr/>
            </w:pPr>
            <w:hyperlink w:anchor="Adjustment_events132">
              <w:r>
                <w:rPr>
                  <w:rStyle w:val="InternetLink"/>
                  <w:rFonts w:ascii="Arial" w:hAnsi="Arial"/>
                  <w:sz w:val="18"/>
                </w:rPr>
                <w:t>Adjustment events</w:t>
              </w:r>
            </w:hyperlink>
          </w:p>
        </w:tc>
        <w:tc>
          <w:tcPr>
            <w:tcW w:w="320" w:type="dxa"/>
            <w:tcBorders/>
            <w:vAlign w:val="bottom"/>
          </w:tcPr>
          <w:p>
            <w:pPr>
              <w:pStyle w:val="TableContents"/>
              <w:bidi w:val="0"/>
              <w:spacing w:before="0" w:after="283"/>
              <w:jc w:val="right"/>
              <w:rPr>
                <w:rFonts w:ascii="Arial" w:hAnsi="Arial"/>
                <w:color w:val="000000"/>
                <w:sz w:val="18"/>
              </w:rPr>
            </w:pPr>
            <w:r>
              <w:rPr>
                <w:rFonts w:ascii="Arial" w:hAnsi="Arial"/>
                <w:color w:val="000000"/>
                <w:sz w:val="18"/>
              </w:rPr>
              <w:t xml:space="preserve">61 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380" w:type="dxa"/>
            <w:tcBorders/>
            <w:vAlign w:val="bottom"/>
          </w:tcPr>
          <w:p>
            <w:pPr>
              <w:pStyle w:val="TableContents"/>
              <w:bidi w:val="0"/>
              <w:spacing w:before="47" w:after="0"/>
              <w:ind w:left="0" w:right="0" w:hanging="0"/>
              <w:jc w:val="left"/>
              <w:rPr>
                <w:rFonts w:ascii="Arial" w:hAnsi="Arial"/>
                <w:color w:val="000000"/>
                <w:sz w:val="18"/>
              </w:rPr>
            </w:pPr>
            <w:r>
              <w:rPr>
                <w:rFonts w:ascii="Arial" w:hAnsi="Arial"/>
                <w:color w:val="000000"/>
                <w:sz w:val="18"/>
              </w:rPr>
              <w:t>13.3</w:t>
            </w:r>
          </w:p>
        </w:tc>
        <w:tc>
          <w:tcPr>
            <w:tcW w:w="4250" w:type="dxa"/>
            <w:tcBorders/>
            <w:vAlign w:val="bottom"/>
          </w:tcPr>
          <w:p>
            <w:pPr>
              <w:pStyle w:val="TableContents"/>
              <w:bidi w:val="0"/>
              <w:spacing w:before="47" w:after="0"/>
              <w:ind w:left="0" w:right="0" w:hanging="0"/>
              <w:jc w:val="left"/>
              <w:rPr/>
            </w:pPr>
            <w:hyperlink w:anchor="Payments133">
              <w:r>
                <w:rPr>
                  <w:rStyle w:val="InternetLink"/>
                  <w:rFonts w:ascii="Arial" w:hAnsi="Arial"/>
                  <w:sz w:val="18"/>
                </w:rPr>
                <w:t>Payments</w:t>
              </w:r>
            </w:hyperlink>
          </w:p>
        </w:tc>
        <w:tc>
          <w:tcPr>
            <w:tcW w:w="320" w:type="dxa"/>
            <w:tcBorders/>
            <w:vAlign w:val="bottom"/>
          </w:tcPr>
          <w:p>
            <w:pPr>
              <w:pStyle w:val="TableContents"/>
              <w:bidi w:val="0"/>
              <w:spacing w:before="0" w:after="283"/>
              <w:jc w:val="right"/>
              <w:rPr>
                <w:rFonts w:ascii="Arial" w:hAnsi="Arial"/>
                <w:color w:val="000000"/>
                <w:sz w:val="18"/>
              </w:rPr>
            </w:pPr>
            <w:r>
              <w:rPr>
                <w:rFonts w:ascii="Arial" w:hAnsi="Arial"/>
                <w:color w:val="000000"/>
                <w:sz w:val="18"/>
              </w:rPr>
              <w:t xml:space="preserve">61  </w:t>
            </w:r>
          </w:p>
        </w:tc>
        <w:tc>
          <w:tcPr>
            <w:tcW w:w="75" w:type="dxa"/>
            <w:tcBorders/>
            <w:vAlign w:val="bottom"/>
          </w:tcPr>
          <w:p>
            <w:pPr>
              <w:pStyle w:val="TableContents"/>
              <w:bidi w:val="0"/>
              <w:spacing w:before="47" w:after="0"/>
              <w:ind w:left="0" w:right="0" w:hanging="0"/>
              <w:jc w:val="right"/>
              <w:rPr/>
            </w:pPr>
            <w:r>
              <w:rPr/>
              <w:t> </w:t>
            </w:r>
          </w:p>
        </w:tc>
      </w:tr>
    </w:tbl>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tbl>
      <w:tblPr>
        <w:tblW w:w="1908" w:type="dxa"/>
        <w:jc w:val="left"/>
        <w:tblInd w:w="1700" w:type="dxa"/>
        <w:tblLayout w:type="fixed"/>
        <w:tblCellMar>
          <w:top w:w="0" w:type="dxa"/>
          <w:left w:w="0" w:type="dxa"/>
          <w:bottom w:w="0" w:type="dxa"/>
          <w:right w:w="0" w:type="dxa"/>
        </w:tblCellMar>
      </w:tblPr>
      <w:tblGrid>
        <w:gridCol w:w="38"/>
        <w:gridCol w:w="1295"/>
        <w:gridCol w:w="500"/>
        <w:gridCol w:w="75"/>
      </w:tblGrid>
      <w:tr>
        <w:trPr/>
        <w:tc>
          <w:tcPr>
            <w:tcW w:w="38" w:type="dxa"/>
            <w:tcBorders/>
            <w:vAlign w:val="bottom"/>
          </w:tcPr>
          <w:p>
            <w:pPr>
              <w:pStyle w:val="TableContents"/>
              <w:bidi w:val="0"/>
              <w:spacing w:before="0" w:after="0"/>
              <w:ind w:left="0" w:right="0" w:hanging="0"/>
              <w:jc w:val="left"/>
              <w:rPr>
                <w:rFonts w:cs="Arial"/>
                <w:szCs w:val="2"/>
              </w:rPr>
            </w:pPr>
            <w:r>
              <w:rPr>
                <w:rFonts w:cs="Arial"/>
                <w:szCs w:val="2"/>
              </w:rPr>
              <w:t>﻿</w:t>
            </w:r>
          </w:p>
        </w:tc>
        <w:tc>
          <w:tcPr>
            <w:tcW w:w="1295" w:type="dxa"/>
            <w:tcBorders/>
            <w:vAlign w:val="bottom"/>
          </w:tcPr>
          <w:p>
            <w:pPr>
              <w:pStyle w:val="TableContents"/>
              <w:bidi w:val="0"/>
              <w:spacing w:before="0" w:after="0"/>
              <w:ind w:left="0" w:right="0" w:hanging="0"/>
              <w:jc w:val="left"/>
              <w:rPr/>
            </w:pPr>
            <w:r>
              <w:rPr/>
              <w:t> </w:t>
            </w:r>
          </w:p>
        </w:tc>
        <w:tc>
          <w:tcPr>
            <w:tcW w:w="50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5"/>
              </w:rPr>
            </w:pPr>
            <w:r>
              <w:rPr>
                <w:rFonts w:cs="Arial"/>
                <w:szCs w:val="15"/>
              </w:rPr>
              <w:t>﻿</w:t>
            </w:r>
          </w:p>
        </w:tc>
        <w:tc>
          <w:tcPr>
            <w:tcW w:w="1295" w:type="dxa"/>
            <w:tcBorders/>
            <w:vAlign w:val="bottom"/>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00" w:type="dxa"/>
            <w:tcBorders/>
            <w:vAlign w:val="bottom"/>
          </w:tcPr>
          <w:p>
            <w:pPr>
              <w:pStyle w:val="TableContents"/>
              <w:bidi w:val="0"/>
              <w:spacing w:before="0" w:after="0"/>
              <w:ind w:left="0" w:right="0" w:hanging="0"/>
              <w:jc w:val="left"/>
              <w:rPr>
                <w:rFonts w:ascii="Arial" w:hAnsi="Arial"/>
                <w:sz w:val="15"/>
              </w:rPr>
            </w:pPr>
            <w:r>
              <w:rPr>
                <w:rFonts w:ascii="Arial" w:hAnsi="Arial"/>
                <w:sz w:val="15"/>
              </w:rPr>
              <w:t>Page ii</w:t>
            </w:r>
          </w:p>
        </w:tc>
        <w:tc>
          <w:tcPr>
            <w:tcW w:w="75" w:type="dxa"/>
            <w:tcBorders/>
            <w:vAlign w:val="bottom"/>
          </w:tcPr>
          <w:p>
            <w:pPr>
              <w:pStyle w:val="TableContents"/>
              <w:bidi w:val="0"/>
              <w:spacing w:before="0" w:after="0"/>
              <w:ind w:left="0" w:right="0" w:hanging="0"/>
              <w:jc w:val="left"/>
              <w:rPr/>
            </w:pPr>
            <w:r>
              <w:rPr/>
              <w:t> </w:t>
            </w:r>
          </w:p>
        </w:tc>
      </w:tr>
    </w:tbl>
    <w:p>
      <w:pPr>
        <w:pStyle w:val="TextBody"/>
        <w:bidi w:val="0"/>
        <w:spacing w:before="0" w:after="0"/>
        <w:ind w:left="1700" w:right="700" w:hanging="0"/>
        <w:jc w:val="left"/>
        <w:rPr>
          <w:rFonts w:cs="Arial"/>
          <w:szCs w:val="24"/>
        </w:rPr>
      </w:pPr>
      <w:r>
        <w:rPr>
          <w:rFonts w:cs="Arial"/>
          <w:szCs w:val="24"/>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tbl>
      <w:tblPr>
        <w:tblW w:w="3883" w:type="dxa"/>
        <w:jc w:val="left"/>
        <w:tblInd w:w="1700" w:type="dxa"/>
        <w:tblLayout w:type="fixed"/>
        <w:tblCellMar>
          <w:top w:w="0" w:type="dxa"/>
          <w:left w:w="0" w:type="dxa"/>
          <w:bottom w:w="0" w:type="dxa"/>
          <w:right w:w="0" w:type="dxa"/>
        </w:tblCellMar>
      </w:tblPr>
      <w:tblGrid>
        <w:gridCol w:w="38"/>
        <w:gridCol w:w="230"/>
        <w:gridCol w:w="485"/>
        <w:gridCol w:w="2735"/>
        <w:gridCol w:w="320"/>
        <w:gridCol w:w="75"/>
      </w:tblGrid>
      <w:tr>
        <w:trPr/>
        <w:tc>
          <w:tcPr>
            <w:tcW w:w="38" w:type="dxa"/>
            <w:tcBorders/>
            <w:vAlign w:val="bottom"/>
          </w:tcPr>
          <w:p>
            <w:pPr>
              <w:pStyle w:val="TableContents"/>
              <w:bidi w:val="0"/>
              <w:spacing w:before="0" w:after="0"/>
              <w:ind w:left="0" w:right="0" w:hanging="0"/>
              <w:jc w:val="left"/>
              <w:rPr>
                <w:rFonts w:cs="Times New Roman"/>
                <w:szCs w:val="24"/>
              </w:rPr>
            </w:pPr>
            <w:r>
              <w:rPr>
                <w:rFonts w:cs="Times New Roman"/>
                <w:szCs w:val="24"/>
              </w:rPr>
              <w:t>﻿</w:t>
            </w:r>
          </w:p>
        </w:tc>
        <w:tc>
          <w:tcPr>
            <w:tcW w:w="230" w:type="dxa"/>
            <w:tcBorders>
              <w:bottom w:val="single" w:sz="8" w:space="0" w:color="000000"/>
            </w:tcBorders>
            <w:tcMar>
              <w:bottom w:w="28" w:type="dxa"/>
            </w:tcMar>
            <w:vAlign w:val="center"/>
          </w:tcPr>
          <w:p>
            <w:pPr>
              <w:pStyle w:val="TableContents"/>
              <w:bidi w:val="0"/>
              <w:spacing w:before="0" w:after="0"/>
              <w:ind w:left="0" w:right="0" w:hanging="0"/>
              <w:jc w:val="left"/>
              <w:rPr>
                <w:rFonts w:ascii="Arial" w:hAnsi="Arial"/>
                <w:b/>
                <w:color w:val="000000"/>
                <w:sz w:val="18"/>
              </w:rPr>
            </w:pPr>
            <w:r>
              <w:rPr>
                <w:rFonts w:ascii="Arial" w:hAnsi="Arial"/>
                <w:b/>
                <w:color w:val="000000"/>
                <w:sz w:val="18"/>
              </w:rPr>
              <w:t>14</w:t>
            </w:r>
          </w:p>
        </w:tc>
        <w:tc>
          <w:tcPr>
            <w:tcW w:w="3220"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hyperlink w:anchor="Increased_costs14">
              <w:r>
                <w:rPr>
                  <w:rStyle w:val="InternetLink"/>
                  <w:rFonts w:ascii="Arial" w:hAnsi="Arial"/>
                  <w:b/>
                  <w:sz w:val="18"/>
                </w:rPr>
                <w:t>Increased costs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62 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15</w:t>
            </w:r>
          </w:p>
        </w:tc>
        <w:tc>
          <w:tcPr>
            <w:tcW w:w="322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Illegality15">
              <w:r>
                <w:rPr>
                  <w:rStyle w:val="InternetLink"/>
                  <w:rFonts w:ascii="Arial" w:hAnsi="Arial"/>
                  <w:b/>
                  <w:sz w:val="18"/>
                </w:rPr>
                <w:t>Illegality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62 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15.1</w:t>
            </w:r>
          </w:p>
        </w:tc>
        <w:tc>
          <w:tcPr>
            <w:tcW w:w="2735" w:type="dxa"/>
            <w:tcBorders/>
            <w:vAlign w:val="center"/>
          </w:tcPr>
          <w:p>
            <w:pPr>
              <w:pStyle w:val="TableContents"/>
              <w:bidi w:val="0"/>
              <w:spacing w:before="47" w:after="0"/>
              <w:ind w:left="0" w:right="0" w:hanging="0"/>
              <w:jc w:val="left"/>
              <w:rPr/>
            </w:pPr>
            <w:hyperlink w:anchor="Prepayment151">
              <w:r>
                <w:rPr>
                  <w:rStyle w:val="InternetLink"/>
                  <w:rFonts w:ascii="Arial" w:hAnsi="Arial"/>
                  <w:sz w:val="18"/>
                </w:rPr>
                <w:t>Prepayment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15.2</w:t>
            </w:r>
          </w:p>
        </w:tc>
        <w:tc>
          <w:tcPr>
            <w:tcW w:w="2735" w:type="dxa"/>
            <w:tcBorders/>
            <w:vAlign w:val="center"/>
          </w:tcPr>
          <w:p>
            <w:pPr>
              <w:pStyle w:val="TableContents"/>
              <w:bidi w:val="0"/>
              <w:spacing w:before="47" w:after="0"/>
              <w:ind w:left="0" w:right="0" w:hanging="0"/>
              <w:jc w:val="left"/>
              <w:rPr/>
            </w:pPr>
            <w:hyperlink w:anchor="Facility_terminated152">
              <w:r>
                <w:rPr>
                  <w:rStyle w:val="InternetLink"/>
                  <w:rFonts w:ascii="Arial" w:hAnsi="Arial"/>
                  <w:sz w:val="18"/>
                </w:rPr>
                <w:t>Facility terminated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16</w:t>
            </w:r>
          </w:p>
        </w:tc>
        <w:tc>
          <w:tcPr>
            <w:tcW w:w="322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Guarantee_and_indemnity16">
              <w:r>
                <w:rPr>
                  <w:rStyle w:val="InternetLink"/>
                  <w:rFonts w:ascii="Arial" w:hAnsi="Arial"/>
                  <w:b/>
                  <w:sz w:val="18"/>
                </w:rPr>
                <w:t>Guarantee and indemnity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63 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w:t>
            </w:r>
          </w:p>
        </w:tc>
        <w:tc>
          <w:tcPr>
            <w:tcW w:w="2735" w:type="dxa"/>
            <w:tcBorders/>
            <w:vAlign w:val="center"/>
          </w:tcPr>
          <w:p>
            <w:pPr>
              <w:pStyle w:val="TableContents"/>
              <w:bidi w:val="0"/>
              <w:spacing w:before="47" w:after="0"/>
              <w:ind w:left="0" w:right="0" w:hanging="0"/>
              <w:jc w:val="left"/>
              <w:rPr/>
            </w:pPr>
            <w:hyperlink w:anchor="Guarantee161">
              <w:r>
                <w:rPr>
                  <w:rStyle w:val="InternetLink"/>
                  <w:rFonts w:ascii="Arial" w:hAnsi="Arial"/>
                  <w:sz w:val="18"/>
                </w:rPr>
                <w:t>Guarantee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16.2</w:t>
            </w:r>
          </w:p>
        </w:tc>
        <w:tc>
          <w:tcPr>
            <w:tcW w:w="2735" w:type="dxa"/>
            <w:tcBorders/>
            <w:vAlign w:val="center"/>
          </w:tcPr>
          <w:p>
            <w:pPr>
              <w:pStyle w:val="TableContents"/>
              <w:bidi w:val="0"/>
              <w:spacing w:before="47" w:after="0"/>
              <w:ind w:left="0" w:right="0" w:hanging="0"/>
              <w:jc w:val="left"/>
              <w:rPr/>
            </w:pPr>
            <w:hyperlink w:anchor="Nature_of_guarantee162">
              <w:r>
                <w:rPr>
                  <w:rStyle w:val="InternetLink"/>
                  <w:rFonts w:ascii="Arial" w:hAnsi="Arial"/>
                  <w:sz w:val="18"/>
                </w:rPr>
                <w:t>Nature of guarantee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16.3</w:t>
            </w:r>
          </w:p>
        </w:tc>
        <w:tc>
          <w:tcPr>
            <w:tcW w:w="2735" w:type="dxa"/>
            <w:tcBorders/>
            <w:vAlign w:val="center"/>
          </w:tcPr>
          <w:p>
            <w:pPr>
              <w:pStyle w:val="TableContents"/>
              <w:bidi w:val="0"/>
              <w:spacing w:before="47" w:after="0"/>
              <w:ind w:left="0" w:right="0" w:hanging="0"/>
              <w:jc w:val="left"/>
              <w:rPr/>
            </w:pPr>
            <w:hyperlink w:anchor="Indemnity163">
              <w:r>
                <w:rPr>
                  <w:rStyle w:val="InternetLink"/>
                  <w:rFonts w:ascii="Arial" w:hAnsi="Arial"/>
                  <w:sz w:val="18"/>
                </w:rPr>
                <w:t>Indemnity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16.4</w:t>
            </w:r>
          </w:p>
        </w:tc>
        <w:tc>
          <w:tcPr>
            <w:tcW w:w="2735" w:type="dxa"/>
            <w:tcBorders/>
            <w:vAlign w:val="center"/>
          </w:tcPr>
          <w:p>
            <w:pPr>
              <w:pStyle w:val="TableContents"/>
              <w:bidi w:val="0"/>
              <w:spacing w:before="47" w:after="0"/>
              <w:ind w:left="0" w:right="0" w:hanging="0"/>
              <w:jc w:val="left"/>
              <w:rPr/>
            </w:pPr>
            <w:hyperlink w:anchor="Reinstatement_of_rights164">
              <w:r>
                <w:rPr>
                  <w:rStyle w:val="InternetLink"/>
                  <w:rFonts w:ascii="Arial" w:hAnsi="Arial"/>
                  <w:sz w:val="18"/>
                </w:rPr>
                <w:t>Reinstatement of rights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16.5</w:t>
            </w:r>
          </w:p>
        </w:tc>
        <w:tc>
          <w:tcPr>
            <w:tcW w:w="2735" w:type="dxa"/>
            <w:tcBorders/>
            <w:vAlign w:val="center"/>
          </w:tcPr>
          <w:p>
            <w:pPr>
              <w:pStyle w:val="TableContents"/>
              <w:bidi w:val="0"/>
              <w:spacing w:before="47" w:after="0"/>
              <w:ind w:left="0" w:right="0" w:hanging="0"/>
              <w:jc w:val="left"/>
              <w:rPr/>
            </w:pPr>
            <w:hyperlink w:anchor="Rights_of_the_Bank_are_protected165">
              <w:r>
                <w:rPr>
                  <w:rStyle w:val="InternetLink"/>
                  <w:rFonts w:ascii="Arial" w:hAnsi="Arial"/>
                  <w:sz w:val="18"/>
                </w:rPr>
                <w:t>Rights of the Bank are protected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16.6</w:t>
            </w:r>
          </w:p>
        </w:tc>
        <w:tc>
          <w:tcPr>
            <w:tcW w:w="2735" w:type="dxa"/>
            <w:tcBorders/>
            <w:vAlign w:val="center"/>
          </w:tcPr>
          <w:p>
            <w:pPr>
              <w:pStyle w:val="TableContents"/>
              <w:bidi w:val="0"/>
              <w:spacing w:before="47" w:after="0"/>
              <w:ind w:left="0" w:right="0" w:hanging="0"/>
              <w:jc w:val="left"/>
              <w:rPr/>
            </w:pPr>
            <w:hyperlink w:anchor="No_merger166">
              <w:r>
                <w:rPr>
                  <w:rStyle w:val="InternetLink"/>
                  <w:rFonts w:ascii="Arial" w:hAnsi="Arial"/>
                  <w:sz w:val="18"/>
                </w:rPr>
                <w:t>No merger</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16.7</w:t>
            </w:r>
          </w:p>
        </w:tc>
        <w:tc>
          <w:tcPr>
            <w:tcW w:w="2735" w:type="dxa"/>
            <w:tcBorders/>
            <w:vAlign w:val="bottom"/>
          </w:tcPr>
          <w:p>
            <w:pPr>
              <w:pStyle w:val="TableContents"/>
              <w:bidi w:val="0"/>
              <w:spacing w:before="47" w:after="0"/>
              <w:ind w:left="0" w:right="0" w:hanging="0"/>
              <w:jc w:val="left"/>
              <w:rPr/>
            </w:pPr>
            <w:hyperlink w:anchor="Extent_of_Guarantors_obligations167">
              <w:r>
                <w:rPr>
                  <w:rStyle w:val="InternetLink"/>
                  <w:rFonts w:ascii="Arial" w:hAnsi="Arial"/>
                  <w:sz w:val="18"/>
                </w:rPr>
                <w:t>Extent of Guarantor's obligations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16.8</w:t>
            </w:r>
          </w:p>
        </w:tc>
        <w:tc>
          <w:tcPr>
            <w:tcW w:w="2735" w:type="dxa"/>
            <w:tcBorders/>
            <w:vAlign w:val="bottom"/>
          </w:tcPr>
          <w:p>
            <w:pPr>
              <w:pStyle w:val="TableContents"/>
              <w:bidi w:val="0"/>
              <w:spacing w:before="47" w:after="0"/>
              <w:ind w:left="0" w:right="0" w:hanging="0"/>
              <w:jc w:val="left"/>
              <w:rPr/>
            </w:pPr>
            <w:hyperlink w:anchor="Guarantors_rights_are_suspended168">
              <w:r>
                <w:rPr>
                  <w:rStyle w:val="InternetLink"/>
                  <w:rFonts w:ascii="Arial" w:hAnsi="Arial"/>
                  <w:sz w:val="18"/>
                </w:rPr>
                <w:t>Guarantor's rights are suspended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16.9</w:t>
            </w:r>
          </w:p>
        </w:tc>
        <w:tc>
          <w:tcPr>
            <w:tcW w:w="2735" w:type="dxa"/>
            <w:tcBorders/>
            <w:vAlign w:val="bottom"/>
          </w:tcPr>
          <w:p>
            <w:pPr>
              <w:pStyle w:val="TableContents"/>
              <w:bidi w:val="0"/>
              <w:spacing w:before="47" w:after="0"/>
              <w:ind w:left="0" w:right="0" w:hanging="0"/>
              <w:jc w:val="left"/>
              <w:rPr/>
            </w:pPr>
            <w:hyperlink w:anchor="Guarantors_right_of_proof_limited169">
              <w:r>
                <w:rPr>
                  <w:rStyle w:val="InternetLink"/>
                  <w:rFonts w:ascii="Arial" w:hAnsi="Arial"/>
                  <w:sz w:val="18"/>
                </w:rPr>
                <w:t>Guarantor's right of proof limited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16.10</w:t>
            </w:r>
          </w:p>
        </w:tc>
        <w:tc>
          <w:tcPr>
            <w:tcW w:w="2735" w:type="dxa"/>
            <w:tcBorders/>
            <w:vAlign w:val="center"/>
          </w:tcPr>
          <w:p>
            <w:pPr>
              <w:pStyle w:val="TableContents"/>
              <w:bidi w:val="0"/>
              <w:spacing w:before="47" w:after="0"/>
              <w:ind w:left="0" w:right="0" w:hanging="0"/>
              <w:jc w:val="left"/>
              <w:rPr/>
            </w:pPr>
            <w:hyperlink w:anchor="No_setoff_against_assignees1610">
              <w:r>
                <w:rPr>
                  <w:rStyle w:val="InternetLink"/>
                  <w:rFonts w:ascii="Arial" w:hAnsi="Arial"/>
                  <w:sz w:val="18"/>
                </w:rPr>
                <w:t>No set-off against assignees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16.11</w:t>
            </w:r>
          </w:p>
        </w:tc>
        <w:tc>
          <w:tcPr>
            <w:tcW w:w="2735" w:type="dxa"/>
            <w:tcBorders/>
            <w:vAlign w:val="center"/>
          </w:tcPr>
          <w:p>
            <w:pPr>
              <w:pStyle w:val="TableContents"/>
              <w:bidi w:val="0"/>
              <w:spacing w:before="47" w:after="0"/>
              <w:ind w:left="0" w:right="0" w:hanging="0"/>
              <w:jc w:val="left"/>
              <w:rPr/>
            </w:pPr>
            <w:hyperlink w:anchor="Suspense_account1611">
              <w:r>
                <w:rPr>
                  <w:rStyle w:val="InternetLink"/>
                  <w:rFonts w:ascii="Arial" w:hAnsi="Arial"/>
                  <w:sz w:val="18"/>
                </w:rPr>
                <w:t>Suspense account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16.12</w:t>
            </w:r>
          </w:p>
        </w:tc>
        <w:tc>
          <w:tcPr>
            <w:tcW w:w="2735" w:type="dxa"/>
            <w:tcBorders/>
            <w:vAlign w:val="center"/>
          </w:tcPr>
          <w:p>
            <w:pPr>
              <w:pStyle w:val="TableContents"/>
              <w:bidi w:val="0"/>
              <w:spacing w:before="47" w:after="0"/>
              <w:ind w:left="0" w:right="0" w:hanging="0"/>
              <w:jc w:val="left"/>
              <w:rPr/>
            </w:pPr>
            <w:hyperlink w:anchor="Right_to_prove1612">
              <w:r>
                <w:rPr>
                  <w:rStyle w:val="InternetLink"/>
                  <w:rFonts w:ascii="Arial" w:hAnsi="Arial"/>
                  <w:sz w:val="18"/>
                </w:rPr>
                <w:t>Right to prove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16.13</w:t>
            </w:r>
          </w:p>
        </w:tc>
        <w:tc>
          <w:tcPr>
            <w:tcW w:w="2735" w:type="dxa"/>
            <w:tcBorders/>
            <w:vAlign w:val="center"/>
          </w:tcPr>
          <w:p>
            <w:pPr>
              <w:pStyle w:val="TableContents"/>
              <w:bidi w:val="0"/>
              <w:spacing w:before="47" w:after="0"/>
              <w:ind w:left="0" w:right="0" w:hanging="0"/>
              <w:jc w:val="left"/>
              <w:rPr/>
            </w:pPr>
            <w:hyperlink w:anchor="Release_of_Guarantors1613">
              <w:r>
                <w:rPr>
                  <w:rStyle w:val="InternetLink"/>
                  <w:rFonts w:ascii="Arial" w:hAnsi="Arial"/>
                  <w:sz w:val="18"/>
                </w:rPr>
                <w:t>Release of Guarantors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16.14</w:t>
            </w:r>
          </w:p>
        </w:tc>
        <w:tc>
          <w:tcPr>
            <w:tcW w:w="2735" w:type="dxa"/>
            <w:tcBorders/>
            <w:vAlign w:val="center"/>
          </w:tcPr>
          <w:p>
            <w:pPr>
              <w:pStyle w:val="TableContents"/>
              <w:bidi w:val="0"/>
              <w:spacing w:before="47" w:after="0"/>
              <w:ind w:left="0" w:right="0" w:hanging="0"/>
              <w:jc w:val="left"/>
              <w:rPr/>
            </w:pPr>
            <w:hyperlink w:anchor="New_Guarantors1614">
              <w:r>
                <w:rPr>
                  <w:rStyle w:val="InternetLink"/>
                  <w:rFonts w:ascii="Arial" w:hAnsi="Arial"/>
                  <w:sz w:val="18"/>
                </w:rPr>
                <w:t>New Guarantors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16.15</w:t>
            </w:r>
          </w:p>
        </w:tc>
        <w:tc>
          <w:tcPr>
            <w:tcW w:w="2735" w:type="dxa"/>
            <w:tcBorders/>
            <w:vAlign w:val="center"/>
          </w:tcPr>
          <w:p>
            <w:pPr>
              <w:pStyle w:val="TableContents"/>
              <w:bidi w:val="0"/>
              <w:spacing w:before="47" w:after="0"/>
              <w:ind w:left="0" w:right="0" w:hanging="0"/>
              <w:jc w:val="left"/>
              <w:rPr/>
            </w:pPr>
            <w:hyperlink w:anchor="Consideration1615">
              <w:r>
                <w:rPr>
                  <w:rStyle w:val="InternetLink"/>
                  <w:rFonts w:ascii="Arial" w:hAnsi="Arial"/>
                  <w:sz w:val="18"/>
                </w:rPr>
                <w:t>Consideration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16.16</w:t>
            </w:r>
          </w:p>
        </w:tc>
        <w:tc>
          <w:tcPr>
            <w:tcW w:w="2735" w:type="dxa"/>
            <w:tcBorders/>
            <w:vAlign w:val="center"/>
          </w:tcPr>
          <w:p>
            <w:pPr>
              <w:pStyle w:val="TableContents"/>
              <w:bidi w:val="0"/>
              <w:spacing w:before="47" w:after="0"/>
              <w:ind w:left="0" w:right="0" w:hanging="0"/>
              <w:jc w:val="left"/>
              <w:rPr/>
            </w:pPr>
            <w:hyperlink w:anchor="New_Guarantors1616">
              <w:r>
                <w:rPr>
                  <w:rStyle w:val="InternetLink"/>
                  <w:rFonts w:ascii="Arial" w:hAnsi="Arial"/>
                  <w:sz w:val="18"/>
                </w:rPr>
                <w:t>New Guarantors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17</w:t>
            </w:r>
          </w:p>
        </w:tc>
        <w:tc>
          <w:tcPr>
            <w:tcW w:w="322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Attorney17">
              <w:r>
                <w:rPr>
                  <w:rStyle w:val="InternetLink"/>
                  <w:rFonts w:ascii="Arial" w:hAnsi="Arial"/>
                  <w:b/>
                  <w:sz w:val="18"/>
                </w:rPr>
                <w:t>Attorney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67 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17.1</w:t>
            </w:r>
          </w:p>
        </w:tc>
        <w:tc>
          <w:tcPr>
            <w:tcW w:w="2735" w:type="dxa"/>
            <w:tcBorders/>
            <w:vAlign w:val="center"/>
          </w:tcPr>
          <w:p>
            <w:pPr>
              <w:pStyle w:val="TableContents"/>
              <w:bidi w:val="0"/>
              <w:spacing w:before="47" w:after="0"/>
              <w:ind w:left="0" w:right="0" w:hanging="0"/>
              <w:jc w:val="left"/>
              <w:rPr/>
            </w:pPr>
            <w:hyperlink w:anchor="Appointment171">
              <w:r>
                <w:rPr>
                  <w:rStyle w:val="InternetLink"/>
                  <w:rFonts w:ascii="Arial" w:hAnsi="Arial"/>
                  <w:sz w:val="18"/>
                </w:rPr>
                <w:t>Appointment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67 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17.2</w:t>
            </w:r>
          </w:p>
        </w:tc>
        <w:tc>
          <w:tcPr>
            <w:tcW w:w="2735" w:type="dxa"/>
            <w:tcBorders/>
            <w:vAlign w:val="center"/>
          </w:tcPr>
          <w:p>
            <w:pPr>
              <w:pStyle w:val="TableContents"/>
              <w:bidi w:val="0"/>
              <w:spacing w:before="47" w:after="0"/>
              <w:ind w:left="0" w:right="0" w:hanging="0"/>
              <w:jc w:val="left"/>
              <w:rPr/>
            </w:pPr>
            <w:hyperlink w:anchor="Not_used172">
              <w:r>
                <w:rPr>
                  <w:rStyle w:val="InternetLink"/>
                  <w:rFonts w:ascii="Arial" w:hAnsi="Arial"/>
                  <w:sz w:val="18"/>
                </w:rPr>
                <w:t>Not used</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17.3</w:t>
            </w:r>
          </w:p>
        </w:tc>
        <w:tc>
          <w:tcPr>
            <w:tcW w:w="2735" w:type="dxa"/>
            <w:tcBorders/>
            <w:vAlign w:val="center"/>
          </w:tcPr>
          <w:p>
            <w:pPr>
              <w:pStyle w:val="TableContents"/>
              <w:bidi w:val="0"/>
              <w:spacing w:before="47" w:after="0"/>
              <w:ind w:left="0" w:right="0" w:hanging="0"/>
              <w:jc w:val="left"/>
              <w:rPr/>
            </w:pPr>
            <w:hyperlink w:anchor="General173">
              <w:r>
                <w:rPr>
                  <w:rStyle w:val="InternetLink"/>
                  <w:rFonts w:ascii="Arial" w:hAnsi="Arial"/>
                  <w:sz w:val="18"/>
                </w:rPr>
                <w:t>General</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Times New Roman"/>
                <w:szCs w:val="20"/>
              </w:rPr>
            </w:pPr>
            <w:r>
              <w:rPr>
                <w:rFonts w:cs="Times New Roman"/>
                <w:szCs w:val="20"/>
              </w:rPr>
              <w:t>﻿</w:t>
            </w:r>
          </w:p>
        </w:tc>
        <w:tc>
          <w:tcPr>
            <w:tcW w:w="230"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18</w:t>
            </w:r>
          </w:p>
        </w:tc>
        <w:tc>
          <w:tcPr>
            <w:tcW w:w="3220"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General18">
              <w:r>
                <w:rPr>
                  <w:rStyle w:val="InternetLink"/>
                  <w:rFonts w:ascii="Arial" w:hAnsi="Arial"/>
                  <w:b/>
                  <w:sz w:val="18"/>
                </w:rPr>
                <w:t>General</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68 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w:t>
            </w:r>
          </w:p>
        </w:tc>
        <w:tc>
          <w:tcPr>
            <w:tcW w:w="2735" w:type="dxa"/>
            <w:tcBorders/>
            <w:vAlign w:val="center"/>
          </w:tcPr>
          <w:p>
            <w:pPr>
              <w:pStyle w:val="TableContents"/>
              <w:bidi w:val="0"/>
              <w:spacing w:before="47" w:after="0"/>
              <w:ind w:left="0" w:right="0" w:hanging="0"/>
              <w:jc w:val="left"/>
              <w:rPr/>
            </w:pPr>
            <w:hyperlink w:anchor="Setoff181">
              <w:r>
                <w:rPr>
                  <w:rStyle w:val="InternetLink"/>
                  <w:rFonts w:ascii="Arial" w:hAnsi="Arial"/>
                  <w:sz w:val="18"/>
                </w:rPr>
                <w:t>Set-off</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18.2</w:t>
            </w:r>
          </w:p>
        </w:tc>
        <w:tc>
          <w:tcPr>
            <w:tcW w:w="2735" w:type="dxa"/>
            <w:tcBorders/>
            <w:vAlign w:val="bottom"/>
          </w:tcPr>
          <w:p>
            <w:pPr>
              <w:pStyle w:val="TableContents"/>
              <w:bidi w:val="0"/>
              <w:spacing w:before="47" w:after="0"/>
              <w:ind w:left="0" w:right="0" w:hanging="0"/>
              <w:jc w:val="left"/>
              <w:rPr/>
            </w:pPr>
            <w:hyperlink w:anchor="Banks_certificate182">
              <w:r>
                <w:rPr>
                  <w:rStyle w:val="InternetLink"/>
                  <w:rFonts w:ascii="Arial" w:hAnsi="Arial"/>
                  <w:sz w:val="18"/>
                </w:rPr>
                <w:t>Bank's certificate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18.3</w:t>
            </w:r>
          </w:p>
        </w:tc>
        <w:tc>
          <w:tcPr>
            <w:tcW w:w="2735" w:type="dxa"/>
            <w:tcBorders/>
            <w:vAlign w:val="center"/>
          </w:tcPr>
          <w:p>
            <w:pPr>
              <w:pStyle w:val="TableContents"/>
              <w:bidi w:val="0"/>
              <w:spacing w:before="47" w:after="0"/>
              <w:ind w:left="0" w:right="0" w:hanging="0"/>
              <w:jc w:val="left"/>
              <w:rPr/>
            </w:pPr>
            <w:hyperlink w:anchor="Supervening_legislation183">
              <w:r>
                <w:rPr>
                  <w:rStyle w:val="InternetLink"/>
                  <w:rFonts w:ascii="Arial" w:hAnsi="Arial"/>
                  <w:sz w:val="18"/>
                </w:rPr>
                <w:t>Supervening legislation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68 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18.4</w:t>
            </w:r>
          </w:p>
        </w:tc>
        <w:tc>
          <w:tcPr>
            <w:tcW w:w="2735" w:type="dxa"/>
            <w:tcBorders/>
            <w:vAlign w:val="center"/>
          </w:tcPr>
          <w:p>
            <w:pPr>
              <w:pStyle w:val="TableContents"/>
              <w:bidi w:val="0"/>
              <w:spacing w:before="47" w:after="0"/>
              <w:ind w:left="0" w:right="0" w:hanging="0"/>
              <w:jc w:val="left"/>
              <w:rPr/>
            </w:pPr>
            <w:hyperlink w:anchor="Time_of_the_essence184">
              <w:r>
                <w:rPr>
                  <w:rStyle w:val="InternetLink"/>
                  <w:rFonts w:ascii="Arial" w:hAnsi="Arial"/>
                  <w:sz w:val="18"/>
                </w:rPr>
                <w:t>Time of the essence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18.5</w:t>
            </w:r>
          </w:p>
        </w:tc>
        <w:tc>
          <w:tcPr>
            <w:tcW w:w="2735" w:type="dxa"/>
            <w:tcBorders/>
            <w:vAlign w:val="center"/>
          </w:tcPr>
          <w:p>
            <w:pPr>
              <w:pStyle w:val="TableContents"/>
              <w:bidi w:val="0"/>
              <w:spacing w:before="47" w:after="0"/>
              <w:ind w:left="0" w:right="0" w:hanging="0"/>
              <w:jc w:val="left"/>
              <w:rPr/>
            </w:pPr>
            <w:hyperlink w:anchor="Business_Days185">
              <w:r>
                <w:rPr>
                  <w:rStyle w:val="InternetLink"/>
                  <w:rFonts w:ascii="Arial" w:hAnsi="Arial"/>
                  <w:sz w:val="18"/>
                </w:rPr>
                <w:t>Business Days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18.6</w:t>
            </w:r>
          </w:p>
        </w:tc>
        <w:tc>
          <w:tcPr>
            <w:tcW w:w="2735" w:type="dxa"/>
            <w:tcBorders/>
            <w:vAlign w:val="center"/>
          </w:tcPr>
          <w:p>
            <w:pPr>
              <w:pStyle w:val="TableContents"/>
              <w:bidi w:val="0"/>
              <w:spacing w:before="47" w:after="0"/>
              <w:ind w:left="0" w:right="0" w:hanging="0"/>
              <w:jc w:val="left"/>
              <w:rPr/>
            </w:pPr>
            <w:hyperlink w:anchor="Confidentiality186">
              <w:r>
                <w:rPr>
                  <w:rStyle w:val="InternetLink"/>
                  <w:rFonts w:ascii="Arial" w:hAnsi="Arial"/>
                  <w:sz w:val="18"/>
                </w:rPr>
                <w:t>Confidentiality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69 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18.7</w:t>
            </w:r>
          </w:p>
        </w:tc>
        <w:tc>
          <w:tcPr>
            <w:tcW w:w="2735" w:type="dxa"/>
            <w:tcBorders/>
            <w:vAlign w:val="center"/>
          </w:tcPr>
          <w:p>
            <w:pPr>
              <w:pStyle w:val="TableContents"/>
              <w:bidi w:val="0"/>
              <w:spacing w:before="47" w:after="0"/>
              <w:ind w:left="0" w:right="0" w:hanging="0"/>
              <w:jc w:val="left"/>
              <w:rPr/>
            </w:pPr>
            <w:hyperlink w:anchor="Exchange_rate187">
              <w:r>
                <w:rPr>
                  <w:rStyle w:val="InternetLink"/>
                  <w:rFonts w:ascii="Arial" w:hAnsi="Arial"/>
                  <w:sz w:val="18"/>
                </w:rPr>
                <w:t>Exchange rate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18.8</w:t>
            </w:r>
          </w:p>
        </w:tc>
        <w:tc>
          <w:tcPr>
            <w:tcW w:w="2735" w:type="dxa"/>
            <w:tcBorders/>
            <w:vAlign w:val="center"/>
          </w:tcPr>
          <w:p>
            <w:pPr>
              <w:pStyle w:val="TableContents"/>
              <w:bidi w:val="0"/>
              <w:spacing w:before="47" w:after="0"/>
              <w:ind w:left="0" w:right="0" w:hanging="0"/>
              <w:jc w:val="left"/>
              <w:rPr/>
            </w:pPr>
            <w:hyperlink w:anchor="Records_as_evidence188">
              <w:r>
                <w:rPr>
                  <w:rStyle w:val="InternetLink"/>
                  <w:rFonts w:ascii="Arial" w:hAnsi="Arial"/>
                  <w:sz w:val="18"/>
                </w:rPr>
                <w:t>Records as evidence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18.9</w:t>
            </w:r>
          </w:p>
        </w:tc>
        <w:tc>
          <w:tcPr>
            <w:tcW w:w="2735" w:type="dxa"/>
            <w:tcBorders/>
            <w:vAlign w:val="center"/>
          </w:tcPr>
          <w:p>
            <w:pPr>
              <w:pStyle w:val="TableContents"/>
              <w:bidi w:val="0"/>
              <w:spacing w:before="47" w:after="0"/>
              <w:ind w:left="0" w:right="0" w:hanging="0"/>
              <w:jc w:val="left"/>
              <w:rPr/>
            </w:pPr>
            <w:hyperlink w:anchor="Further_assurances189">
              <w:r>
                <w:rPr>
                  <w:rStyle w:val="InternetLink"/>
                  <w:rFonts w:ascii="Arial" w:hAnsi="Arial"/>
                  <w:sz w:val="18"/>
                </w:rPr>
                <w:t>Further assurances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18.10</w:t>
            </w:r>
          </w:p>
        </w:tc>
        <w:tc>
          <w:tcPr>
            <w:tcW w:w="2735" w:type="dxa"/>
            <w:tcBorders/>
            <w:vAlign w:val="center"/>
          </w:tcPr>
          <w:p>
            <w:pPr>
              <w:pStyle w:val="TableContents"/>
              <w:bidi w:val="0"/>
              <w:spacing w:before="47" w:after="0"/>
              <w:ind w:left="0" w:right="0" w:hanging="0"/>
              <w:jc w:val="left"/>
              <w:rPr/>
            </w:pPr>
            <w:hyperlink w:anchor="Amendment1810">
              <w:r>
                <w:rPr>
                  <w:rStyle w:val="InternetLink"/>
                  <w:rFonts w:ascii="Arial" w:hAnsi="Arial"/>
                  <w:sz w:val="18"/>
                </w:rPr>
                <w:t>Amendment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71 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18.11</w:t>
            </w:r>
          </w:p>
        </w:tc>
        <w:tc>
          <w:tcPr>
            <w:tcW w:w="2735" w:type="dxa"/>
            <w:tcBorders/>
            <w:vAlign w:val="center"/>
          </w:tcPr>
          <w:p>
            <w:pPr>
              <w:pStyle w:val="TableContents"/>
              <w:bidi w:val="0"/>
              <w:spacing w:before="47" w:after="0"/>
              <w:ind w:left="0" w:right="0" w:hanging="0"/>
              <w:jc w:val="left"/>
              <w:rPr/>
            </w:pPr>
            <w:hyperlink w:anchor="Waiver1811">
              <w:r>
                <w:rPr>
                  <w:rStyle w:val="InternetLink"/>
                  <w:rFonts w:ascii="Arial" w:hAnsi="Arial"/>
                  <w:sz w:val="18"/>
                </w:rPr>
                <w:t>Waiver and exercise of rights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18.12</w:t>
            </w:r>
          </w:p>
        </w:tc>
        <w:tc>
          <w:tcPr>
            <w:tcW w:w="2735" w:type="dxa"/>
            <w:tcBorders/>
            <w:vAlign w:val="center"/>
          </w:tcPr>
          <w:p>
            <w:pPr>
              <w:pStyle w:val="TableContents"/>
              <w:bidi w:val="0"/>
              <w:spacing w:before="47" w:after="0"/>
              <w:ind w:left="0" w:right="0" w:hanging="0"/>
              <w:jc w:val="left"/>
              <w:rPr/>
            </w:pPr>
            <w:hyperlink w:anchor="Rights_cumulative1812">
              <w:r>
                <w:rPr>
                  <w:rStyle w:val="InternetLink"/>
                  <w:rFonts w:ascii="Arial" w:hAnsi="Arial"/>
                  <w:sz w:val="18"/>
                </w:rPr>
                <w:t>Rights cumulative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18.13</w:t>
            </w:r>
          </w:p>
        </w:tc>
        <w:tc>
          <w:tcPr>
            <w:tcW w:w="2735" w:type="dxa"/>
            <w:tcBorders/>
            <w:vAlign w:val="center"/>
          </w:tcPr>
          <w:p>
            <w:pPr>
              <w:pStyle w:val="TableContents"/>
              <w:bidi w:val="0"/>
              <w:spacing w:before="47" w:after="0"/>
              <w:ind w:left="0" w:right="0" w:hanging="0"/>
              <w:jc w:val="left"/>
              <w:rPr/>
            </w:pPr>
            <w:hyperlink w:anchor="Approval_and_consent1813">
              <w:r>
                <w:rPr>
                  <w:rStyle w:val="InternetLink"/>
                  <w:rFonts w:ascii="Arial" w:hAnsi="Arial"/>
                  <w:sz w:val="18"/>
                </w:rPr>
                <w:t>Approval and consent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18.14</w:t>
            </w:r>
          </w:p>
        </w:tc>
        <w:tc>
          <w:tcPr>
            <w:tcW w:w="2735" w:type="dxa"/>
            <w:tcBorders/>
            <w:vAlign w:val="center"/>
          </w:tcPr>
          <w:p>
            <w:pPr>
              <w:pStyle w:val="TableContents"/>
              <w:bidi w:val="0"/>
              <w:spacing w:before="47" w:after="0"/>
              <w:ind w:left="0" w:right="0" w:hanging="0"/>
              <w:jc w:val="left"/>
              <w:rPr/>
            </w:pPr>
            <w:hyperlink w:anchor="Assignment1814">
              <w:r>
                <w:rPr>
                  <w:rStyle w:val="InternetLink"/>
                  <w:rFonts w:ascii="Arial" w:hAnsi="Arial"/>
                  <w:sz w:val="18"/>
                </w:rPr>
                <w:t>Assignment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72 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18.15</w:t>
            </w:r>
          </w:p>
        </w:tc>
        <w:tc>
          <w:tcPr>
            <w:tcW w:w="2735" w:type="dxa"/>
            <w:tcBorders/>
            <w:vAlign w:val="center"/>
          </w:tcPr>
          <w:p>
            <w:pPr>
              <w:pStyle w:val="TableContents"/>
              <w:bidi w:val="0"/>
              <w:spacing w:before="47" w:after="0"/>
              <w:ind w:left="0" w:right="0" w:hanging="0"/>
              <w:jc w:val="left"/>
              <w:rPr/>
            </w:pPr>
            <w:hyperlink w:anchor="Counterparts1815">
              <w:r>
                <w:rPr>
                  <w:rStyle w:val="InternetLink"/>
                  <w:rFonts w:ascii="Arial" w:hAnsi="Arial"/>
                  <w:sz w:val="18"/>
                </w:rPr>
                <w:t>Counterparts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18.16</w:t>
            </w:r>
          </w:p>
        </w:tc>
        <w:tc>
          <w:tcPr>
            <w:tcW w:w="2735" w:type="dxa"/>
            <w:tcBorders/>
            <w:vAlign w:val="center"/>
          </w:tcPr>
          <w:p>
            <w:pPr>
              <w:pStyle w:val="TableContents"/>
              <w:bidi w:val="0"/>
              <w:spacing w:before="47" w:after="0"/>
              <w:ind w:left="0" w:right="0" w:hanging="0"/>
              <w:jc w:val="left"/>
              <w:rPr/>
            </w:pPr>
            <w:hyperlink w:anchor="Sovereign_immunity1816">
              <w:r>
                <w:rPr>
                  <w:rStyle w:val="InternetLink"/>
                  <w:rFonts w:ascii="Arial" w:hAnsi="Arial"/>
                  <w:sz w:val="18"/>
                </w:rPr>
                <w:t>Sovereign immunity</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18.17</w:t>
            </w:r>
          </w:p>
        </w:tc>
        <w:tc>
          <w:tcPr>
            <w:tcW w:w="2735" w:type="dxa"/>
            <w:tcBorders/>
            <w:vAlign w:val="center"/>
          </w:tcPr>
          <w:p>
            <w:pPr>
              <w:pStyle w:val="TableContents"/>
              <w:bidi w:val="0"/>
              <w:spacing w:before="47" w:after="0"/>
              <w:ind w:left="0" w:right="0" w:hanging="0"/>
              <w:jc w:val="left"/>
              <w:rPr/>
            </w:pPr>
            <w:hyperlink w:anchor="Governing_law1817">
              <w:r>
                <w:rPr>
                  <w:rStyle w:val="InternetLink"/>
                  <w:rFonts w:ascii="Arial" w:hAnsi="Arial"/>
                  <w:sz w:val="18"/>
                </w:rPr>
                <w:t>Governing law and jurisdiction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73 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30" w:type="dxa"/>
            <w:tcBorders/>
            <w:vAlign w:val="bottom"/>
          </w:tcPr>
          <w:p>
            <w:pPr>
              <w:pStyle w:val="TableContents"/>
              <w:bidi w:val="0"/>
              <w:spacing w:before="47" w:after="0"/>
              <w:ind w:left="0" w:right="0" w:hanging="0"/>
              <w:jc w:val="left"/>
              <w:rPr/>
            </w:pPr>
            <w:r>
              <w:rPr/>
              <w:t> </w:t>
            </w:r>
          </w:p>
        </w:tc>
        <w:tc>
          <w:tcPr>
            <w:tcW w:w="485" w:type="dxa"/>
            <w:tcBorders/>
            <w:vAlign w:val="bottom"/>
          </w:tcPr>
          <w:p>
            <w:pPr>
              <w:pStyle w:val="TableContents"/>
              <w:bidi w:val="0"/>
              <w:spacing w:before="47" w:after="0"/>
              <w:ind w:left="0" w:right="0" w:hanging="0"/>
              <w:jc w:val="left"/>
              <w:rPr>
                <w:rFonts w:ascii="Arial" w:hAnsi="Arial"/>
                <w:color w:val="000000"/>
                <w:sz w:val="18"/>
              </w:rPr>
            </w:pPr>
            <w:r>
              <w:rPr>
                <w:rFonts w:ascii="Arial" w:hAnsi="Arial"/>
                <w:color w:val="000000"/>
                <w:sz w:val="18"/>
              </w:rPr>
              <w:t>18.18</w:t>
            </w:r>
          </w:p>
        </w:tc>
        <w:tc>
          <w:tcPr>
            <w:tcW w:w="2735" w:type="dxa"/>
            <w:tcBorders/>
            <w:vAlign w:val="bottom"/>
          </w:tcPr>
          <w:p>
            <w:pPr>
              <w:pStyle w:val="TableContents"/>
              <w:bidi w:val="0"/>
              <w:spacing w:before="47" w:after="0"/>
              <w:ind w:left="0" w:right="0" w:hanging="0"/>
              <w:jc w:val="left"/>
              <w:rPr/>
            </w:pPr>
            <w:hyperlink w:anchor="Telephone_recording1818">
              <w:r>
                <w:rPr>
                  <w:rStyle w:val="InternetLink"/>
                  <w:rFonts w:ascii="Arial" w:hAnsi="Arial"/>
                  <w:sz w:val="18"/>
                </w:rPr>
                <w:t>Telephone recording</w:t>
              </w:r>
            </w:hyperlink>
          </w:p>
        </w:tc>
        <w:tc>
          <w:tcPr>
            <w:tcW w:w="320" w:type="dxa"/>
            <w:tcBorders/>
            <w:vAlign w:val="bottom"/>
          </w:tcPr>
          <w:p>
            <w:pPr>
              <w:pStyle w:val="TableContents"/>
              <w:bidi w:val="0"/>
              <w:spacing w:before="0" w:after="283"/>
              <w:jc w:val="right"/>
              <w:rPr>
                <w:rFonts w:ascii="Arial" w:hAnsi="Arial"/>
                <w:color w:val="000000"/>
                <w:sz w:val="18"/>
              </w:rPr>
            </w:pPr>
            <w:r>
              <w:rPr>
                <w:rFonts w:ascii="Arial" w:hAnsi="Arial"/>
                <w:color w:val="000000"/>
                <w:sz w:val="18"/>
              </w:rPr>
              <w:t xml:space="preserve">73  </w:t>
            </w:r>
          </w:p>
        </w:tc>
        <w:tc>
          <w:tcPr>
            <w:tcW w:w="75" w:type="dxa"/>
            <w:tcBorders/>
            <w:vAlign w:val="bottom"/>
          </w:tcPr>
          <w:p>
            <w:pPr>
              <w:pStyle w:val="TableContents"/>
              <w:bidi w:val="0"/>
              <w:spacing w:before="47" w:after="0"/>
              <w:ind w:left="0" w:right="0" w:hanging="0"/>
              <w:jc w:val="right"/>
              <w:rPr/>
            </w:pPr>
            <w:r>
              <w:rPr/>
              <w:t> </w:t>
            </w:r>
          </w:p>
        </w:tc>
      </w:tr>
    </w:tbl>
    <w:p>
      <w:pPr>
        <w:pStyle w:val="TextBody"/>
        <w:bidi w:val="0"/>
        <w:spacing w:before="118" w:after="0"/>
        <w:ind w:left="1700" w:right="700" w:hanging="0"/>
        <w:jc w:val="left"/>
        <w:rPr>
          <w:rFonts w:cs="Arial"/>
          <w:szCs w:val="24"/>
        </w:rPr>
      </w:pPr>
      <w:r>
        <w:rPr>
          <w:rFonts w:cs="Arial"/>
          <w:szCs w:val="24"/>
        </w:rPr>
        <w:t xml:space="preserve">﻿ </w:t>
      </w:r>
    </w:p>
    <w:tbl>
      <w:tblPr>
        <w:tblW w:w="1938" w:type="dxa"/>
        <w:jc w:val="left"/>
        <w:tblInd w:w="1700" w:type="dxa"/>
        <w:tblLayout w:type="fixed"/>
        <w:tblCellMar>
          <w:top w:w="0" w:type="dxa"/>
          <w:left w:w="0" w:type="dxa"/>
          <w:bottom w:w="0" w:type="dxa"/>
          <w:right w:w="0" w:type="dxa"/>
        </w:tblCellMar>
      </w:tblPr>
      <w:tblGrid>
        <w:gridCol w:w="38"/>
        <w:gridCol w:w="1295"/>
        <w:gridCol w:w="530"/>
        <w:gridCol w:w="75"/>
      </w:tblGrid>
      <w:tr>
        <w:trPr/>
        <w:tc>
          <w:tcPr>
            <w:tcW w:w="38" w:type="dxa"/>
            <w:tcBorders/>
            <w:vAlign w:val="bottom"/>
          </w:tcPr>
          <w:p>
            <w:pPr>
              <w:pStyle w:val="TableContents"/>
              <w:bidi w:val="0"/>
              <w:spacing w:before="0" w:after="0"/>
              <w:ind w:left="0" w:right="0" w:hanging="0"/>
              <w:jc w:val="left"/>
              <w:rPr>
                <w:rFonts w:cs="Arial"/>
                <w:szCs w:val="2"/>
              </w:rPr>
            </w:pPr>
            <w:r>
              <w:rPr>
                <w:rFonts w:cs="Arial"/>
                <w:szCs w:val="2"/>
              </w:rPr>
              <w:t>﻿</w:t>
            </w:r>
          </w:p>
        </w:tc>
        <w:tc>
          <w:tcPr>
            <w:tcW w:w="1295" w:type="dxa"/>
            <w:tcBorders/>
            <w:vAlign w:val="bottom"/>
          </w:tcPr>
          <w:p>
            <w:pPr>
              <w:pStyle w:val="TableContents"/>
              <w:bidi w:val="0"/>
              <w:spacing w:before="0" w:after="0"/>
              <w:ind w:left="0" w:right="0" w:hanging="0"/>
              <w:jc w:val="left"/>
              <w:rPr/>
            </w:pPr>
            <w:r>
              <w:rPr/>
              <w:t> </w:t>
            </w:r>
          </w:p>
        </w:tc>
        <w:tc>
          <w:tcPr>
            <w:tcW w:w="53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5"/>
              </w:rPr>
            </w:pPr>
            <w:r>
              <w:rPr>
                <w:rFonts w:cs="Arial"/>
                <w:szCs w:val="15"/>
              </w:rPr>
              <w:t>﻿</w:t>
            </w:r>
          </w:p>
        </w:tc>
        <w:tc>
          <w:tcPr>
            <w:tcW w:w="1295" w:type="dxa"/>
            <w:tcBorders/>
            <w:vAlign w:val="bottom"/>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vAlign w:val="bottom"/>
          </w:tcPr>
          <w:p>
            <w:pPr>
              <w:pStyle w:val="TableContents"/>
              <w:bidi w:val="0"/>
              <w:spacing w:before="0" w:after="0"/>
              <w:ind w:left="0" w:right="0" w:hanging="0"/>
              <w:jc w:val="left"/>
              <w:rPr>
                <w:rFonts w:ascii="Arial" w:hAnsi="Arial"/>
                <w:sz w:val="15"/>
              </w:rPr>
            </w:pPr>
            <w:r>
              <w:rPr>
                <w:rFonts w:ascii="Arial" w:hAnsi="Arial"/>
                <w:sz w:val="15"/>
              </w:rPr>
              <w:t>Page iii</w:t>
            </w:r>
          </w:p>
        </w:tc>
        <w:tc>
          <w:tcPr>
            <w:tcW w:w="75" w:type="dxa"/>
            <w:tcBorders/>
            <w:vAlign w:val="bottom"/>
          </w:tcPr>
          <w:p>
            <w:pPr>
              <w:pStyle w:val="TableContents"/>
              <w:bidi w:val="0"/>
              <w:spacing w:before="0" w:after="0"/>
              <w:ind w:left="0" w:right="0" w:hanging="0"/>
              <w:jc w:val="left"/>
              <w:rPr/>
            </w:pPr>
            <w:r>
              <w:rPr/>
              <w:t> </w:t>
            </w:r>
          </w:p>
        </w:tc>
      </w:tr>
    </w:tbl>
    <w:p>
      <w:pPr>
        <w:pStyle w:val="TextBody"/>
        <w:bidi w:val="0"/>
        <w:spacing w:before="118" w:after="0"/>
        <w:ind w:left="1700" w:right="700" w:hanging="0"/>
        <w:jc w:val="left"/>
        <w:rPr>
          <w:rFonts w:cs="Arial"/>
          <w:szCs w:val="24"/>
        </w:rPr>
      </w:pPr>
      <w:r>
        <w:rPr>
          <w:rFonts w:cs="Arial"/>
          <w:szCs w:val="24"/>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tbl>
      <w:tblPr>
        <w:tblW w:w="4352" w:type="dxa"/>
        <w:jc w:val="left"/>
        <w:tblInd w:w="1700" w:type="dxa"/>
        <w:tblLayout w:type="fixed"/>
        <w:tblCellMar>
          <w:top w:w="0" w:type="dxa"/>
          <w:left w:w="0" w:type="dxa"/>
          <w:bottom w:w="0" w:type="dxa"/>
          <w:right w:w="0" w:type="dxa"/>
        </w:tblCellMar>
      </w:tblPr>
      <w:tblGrid>
        <w:gridCol w:w="38"/>
        <w:gridCol w:w="266"/>
        <w:gridCol w:w="563"/>
        <w:gridCol w:w="3090"/>
        <w:gridCol w:w="320"/>
        <w:gridCol w:w="75"/>
      </w:tblGrid>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18.19</w:t>
            </w:r>
          </w:p>
        </w:tc>
        <w:tc>
          <w:tcPr>
            <w:tcW w:w="3090" w:type="dxa"/>
            <w:tcBorders/>
            <w:vAlign w:val="center"/>
          </w:tcPr>
          <w:p>
            <w:pPr>
              <w:pStyle w:val="TableContents"/>
              <w:bidi w:val="0"/>
              <w:spacing w:before="47" w:after="0"/>
              <w:ind w:left="0" w:right="0" w:hanging="0"/>
              <w:jc w:val="left"/>
              <w:rPr/>
            </w:pPr>
            <w:hyperlink w:anchor="Legal_advice1819">
              <w:r>
                <w:rPr>
                  <w:rStyle w:val="InternetLink"/>
                  <w:rFonts w:ascii="Arial" w:hAnsi="Arial"/>
                  <w:sz w:val="18"/>
                </w:rPr>
                <w:t>Legal advice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18.20</w:t>
            </w:r>
          </w:p>
        </w:tc>
        <w:tc>
          <w:tcPr>
            <w:tcW w:w="3090" w:type="dxa"/>
            <w:tcBorders/>
            <w:vAlign w:val="center"/>
          </w:tcPr>
          <w:p>
            <w:pPr>
              <w:pStyle w:val="TableContents"/>
              <w:bidi w:val="0"/>
              <w:spacing w:before="47" w:after="0"/>
              <w:ind w:left="0" w:right="0" w:hanging="0"/>
              <w:jc w:val="left"/>
              <w:rPr/>
            </w:pPr>
            <w:hyperlink w:anchor="Further_assurances1820">
              <w:r>
                <w:rPr>
                  <w:rStyle w:val="InternetLink"/>
                  <w:rFonts w:ascii="Arial" w:hAnsi="Arial"/>
                  <w:sz w:val="18"/>
                </w:rPr>
                <w:t>Further assurances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18.21</w:t>
            </w:r>
          </w:p>
        </w:tc>
        <w:tc>
          <w:tcPr>
            <w:tcW w:w="3090" w:type="dxa"/>
            <w:tcBorders/>
            <w:vAlign w:val="center"/>
          </w:tcPr>
          <w:p>
            <w:pPr>
              <w:pStyle w:val="TableContents"/>
              <w:bidi w:val="0"/>
              <w:spacing w:before="47" w:after="0"/>
              <w:ind w:left="0" w:right="0" w:hanging="0"/>
              <w:jc w:val="left"/>
              <w:rPr/>
            </w:pPr>
            <w:hyperlink w:anchor="Exclusion1821">
              <w:r>
                <w:rPr>
                  <w:rStyle w:val="InternetLink"/>
                  <w:rFonts w:ascii="Arial" w:hAnsi="Arial"/>
                  <w:sz w:val="18"/>
                </w:rPr>
                <w:t>Exclusion of certain provisions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18.22</w:t>
            </w:r>
          </w:p>
        </w:tc>
        <w:tc>
          <w:tcPr>
            <w:tcW w:w="3090" w:type="dxa"/>
            <w:tcBorders/>
            <w:vAlign w:val="center"/>
          </w:tcPr>
          <w:p>
            <w:pPr>
              <w:pStyle w:val="TableContents"/>
              <w:bidi w:val="0"/>
              <w:spacing w:before="47" w:after="0"/>
              <w:ind w:left="0" w:right="0" w:hanging="0"/>
              <w:jc w:val="left"/>
              <w:rPr/>
            </w:pPr>
            <w:hyperlink w:anchor="Notice_of_changes1822">
              <w:r>
                <w:rPr>
                  <w:rStyle w:val="InternetLink"/>
                  <w:rFonts w:ascii="Arial" w:hAnsi="Arial"/>
                  <w:sz w:val="18"/>
                </w:rPr>
                <w:t>Notice of changes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74 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124" w:after="0"/>
              <w:ind w:left="0" w:right="0" w:hanging="0"/>
              <w:jc w:val="left"/>
              <w:rPr>
                <w:rFonts w:cs="Arial"/>
                <w:szCs w:val="18"/>
              </w:rPr>
            </w:pPr>
            <w:r>
              <w:rPr>
                <w:rFonts w:cs="Arial"/>
                <w:szCs w:val="18"/>
              </w:rPr>
              <w:t>﻿</w:t>
            </w:r>
          </w:p>
        </w:tc>
        <w:tc>
          <w:tcPr>
            <w:tcW w:w="266" w:type="dxa"/>
            <w:tcBorders>
              <w:bottom w:val="single" w:sz="8" w:space="0" w:color="000000"/>
            </w:tcBorders>
            <w:tcMar>
              <w:bottom w:w="28" w:type="dxa"/>
            </w:tcMar>
            <w:vAlign w:val="center"/>
          </w:tcPr>
          <w:p>
            <w:pPr>
              <w:pStyle w:val="TableContents"/>
              <w:bidi w:val="0"/>
              <w:spacing w:before="124" w:after="0"/>
              <w:ind w:left="0" w:right="0" w:hanging="0"/>
              <w:jc w:val="left"/>
              <w:rPr>
                <w:rFonts w:ascii="Arial" w:hAnsi="Arial"/>
                <w:b/>
                <w:color w:val="000000"/>
                <w:sz w:val="18"/>
              </w:rPr>
            </w:pPr>
            <w:r>
              <w:rPr>
                <w:rFonts w:ascii="Arial" w:hAnsi="Arial"/>
                <w:b/>
                <w:color w:val="000000"/>
                <w:sz w:val="18"/>
              </w:rPr>
              <w:t>19</w:t>
            </w:r>
          </w:p>
        </w:tc>
        <w:tc>
          <w:tcPr>
            <w:tcW w:w="3653" w:type="dxa"/>
            <w:gridSpan w:val="2"/>
            <w:tcBorders>
              <w:bottom w:val="single" w:sz="8" w:space="0" w:color="000000"/>
            </w:tcBorders>
            <w:tcMar>
              <w:bottom w:w="28" w:type="dxa"/>
            </w:tcMar>
            <w:vAlign w:val="center"/>
          </w:tcPr>
          <w:p>
            <w:pPr>
              <w:pStyle w:val="TableContents"/>
              <w:bidi w:val="0"/>
              <w:spacing w:before="124" w:after="0"/>
              <w:ind w:left="0" w:right="0" w:hanging="0"/>
              <w:jc w:val="left"/>
              <w:rPr/>
            </w:pPr>
            <w:hyperlink w:anchor="Notices19">
              <w:r>
                <w:rPr>
                  <w:rStyle w:val="InternetLink"/>
                  <w:rFonts w:ascii="Arial" w:hAnsi="Arial"/>
                  <w:b/>
                  <w:sz w:val="18"/>
                </w:rPr>
                <w:t>Notices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75  </w:t>
            </w:r>
          </w:p>
        </w:tc>
        <w:tc>
          <w:tcPr>
            <w:tcW w:w="75" w:type="dxa"/>
            <w:tcBorders/>
            <w:vAlign w:val="bottom"/>
          </w:tcPr>
          <w:p>
            <w:pPr>
              <w:pStyle w:val="TableContents"/>
              <w:bidi w:val="0"/>
              <w:spacing w:before="124"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19.1</w:t>
            </w:r>
          </w:p>
        </w:tc>
        <w:tc>
          <w:tcPr>
            <w:tcW w:w="3090" w:type="dxa"/>
            <w:tcBorders/>
            <w:vAlign w:val="center"/>
          </w:tcPr>
          <w:p>
            <w:pPr>
              <w:pStyle w:val="TableContents"/>
              <w:bidi w:val="0"/>
              <w:spacing w:before="47" w:after="0"/>
              <w:ind w:left="0" w:right="0" w:hanging="0"/>
              <w:jc w:val="left"/>
              <w:rPr/>
            </w:pPr>
            <w:hyperlink w:anchor="General191">
              <w:r>
                <w:rPr>
                  <w:rStyle w:val="InternetLink"/>
                  <w:rFonts w:ascii="Arial" w:hAnsi="Arial"/>
                  <w:sz w:val="18"/>
                </w:rPr>
                <w:t>General</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19.2</w:t>
            </w:r>
          </w:p>
        </w:tc>
        <w:tc>
          <w:tcPr>
            <w:tcW w:w="3090" w:type="dxa"/>
            <w:tcBorders/>
            <w:vAlign w:val="center"/>
          </w:tcPr>
          <w:p>
            <w:pPr>
              <w:pStyle w:val="TableContents"/>
              <w:bidi w:val="0"/>
              <w:spacing w:before="47" w:after="0"/>
              <w:ind w:left="0" w:right="0" w:hanging="0"/>
              <w:jc w:val="left"/>
              <w:rPr/>
            </w:pPr>
            <w:hyperlink w:anchor="How_to_give_a_communication192">
              <w:r>
                <w:rPr>
                  <w:rStyle w:val="InternetLink"/>
                  <w:rFonts w:ascii="Arial" w:hAnsi="Arial"/>
                  <w:sz w:val="18"/>
                </w:rPr>
                <w:t>How to give a communication</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19.3</w:t>
            </w:r>
          </w:p>
        </w:tc>
        <w:tc>
          <w:tcPr>
            <w:tcW w:w="3090" w:type="dxa"/>
            <w:tcBorders/>
            <w:vAlign w:val="center"/>
          </w:tcPr>
          <w:p>
            <w:pPr>
              <w:pStyle w:val="TableContents"/>
              <w:bidi w:val="0"/>
              <w:spacing w:before="47" w:after="0"/>
              <w:ind w:left="0" w:right="0" w:hanging="0"/>
              <w:jc w:val="left"/>
              <w:rPr/>
            </w:pPr>
            <w:hyperlink w:anchor="Particulars193">
              <w:r>
                <w:rPr>
                  <w:rStyle w:val="InternetLink"/>
                  <w:rFonts w:ascii="Arial" w:hAnsi="Arial"/>
                  <w:sz w:val="18"/>
                </w:rPr>
                <w:t>Particulars for delivery of notices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19.4</w:t>
            </w:r>
          </w:p>
        </w:tc>
        <w:tc>
          <w:tcPr>
            <w:tcW w:w="3090" w:type="dxa"/>
            <w:tcBorders/>
            <w:vAlign w:val="center"/>
          </w:tcPr>
          <w:p>
            <w:pPr>
              <w:pStyle w:val="TableContents"/>
              <w:bidi w:val="0"/>
              <w:spacing w:before="47" w:after="0"/>
              <w:ind w:left="0" w:right="0" w:hanging="0"/>
              <w:jc w:val="left"/>
              <w:rPr/>
            </w:pPr>
            <w:hyperlink w:anchor="Communications194">
              <w:r>
                <w:rPr>
                  <w:rStyle w:val="InternetLink"/>
                  <w:rFonts w:ascii="Arial" w:hAnsi="Arial"/>
                  <w:sz w:val="18"/>
                </w:rPr>
                <w:t>Communications by post</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75 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19.5</w:t>
            </w:r>
          </w:p>
        </w:tc>
        <w:tc>
          <w:tcPr>
            <w:tcW w:w="3090" w:type="dxa"/>
            <w:tcBorders/>
            <w:vAlign w:val="center"/>
          </w:tcPr>
          <w:p>
            <w:pPr>
              <w:pStyle w:val="TableContents"/>
              <w:bidi w:val="0"/>
              <w:spacing w:before="47" w:after="0"/>
              <w:ind w:left="0" w:right="0" w:hanging="0"/>
              <w:jc w:val="left"/>
              <w:rPr/>
            </w:pPr>
            <w:hyperlink w:anchor="Communications_by_fax195">
              <w:r>
                <w:rPr>
                  <w:rStyle w:val="InternetLink"/>
                  <w:rFonts w:ascii="Arial" w:hAnsi="Arial"/>
                  <w:sz w:val="18"/>
                </w:rPr>
                <w:t>Communications by fax</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19.6</w:t>
            </w:r>
          </w:p>
        </w:tc>
        <w:tc>
          <w:tcPr>
            <w:tcW w:w="3090" w:type="dxa"/>
            <w:tcBorders/>
            <w:vAlign w:val="center"/>
          </w:tcPr>
          <w:p>
            <w:pPr>
              <w:pStyle w:val="TableContents"/>
              <w:bidi w:val="0"/>
              <w:spacing w:before="47" w:after="0"/>
              <w:ind w:left="0" w:right="0" w:hanging="0"/>
              <w:jc w:val="left"/>
              <w:rPr/>
            </w:pPr>
            <w:hyperlink w:anchor="After_hours_communications196">
              <w:r>
                <w:rPr>
                  <w:rStyle w:val="InternetLink"/>
                  <w:rFonts w:ascii="Arial" w:hAnsi="Arial"/>
                  <w:sz w:val="18"/>
                </w:rPr>
                <w:t>After hours communications</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47" w:after="0"/>
              <w:ind w:left="0" w:right="0" w:hanging="0"/>
              <w:jc w:val="left"/>
              <w:rPr>
                <w:rFonts w:cs="Arial"/>
                <w:color w:val="000000"/>
                <w:szCs w:val="18"/>
              </w:rPr>
            </w:pPr>
            <w:r>
              <w:rPr>
                <w:rFonts w:cs="Arial"/>
                <w:color w:val="000000"/>
                <w:szCs w:val="18"/>
              </w:rPr>
              <w:t>﻿</w:t>
            </w:r>
          </w:p>
        </w:tc>
        <w:tc>
          <w:tcPr>
            <w:tcW w:w="266" w:type="dxa"/>
            <w:tcBorders/>
            <w:vAlign w:val="bottom"/>
          </w:tcPr>
          <w:p>
            <w:pPr>
              <w:pStyle w:val="TableContents"/>
              <w:bidi w:val="0"/>
              <w:spacing w:before="47" w:after="0"/>
              <w:ind w:left="0" w:right="0" w:hanging="0"/>
              <w:jc w:val="left"/>
              <w:rPr/>
            </w:pPr>
            <w:r>
              <w:rPr/>
              <w:t> </w:t>
            </w:r>
          </w:p>
        </w:tc>
        <w:tc>
          <w:tcPr>
            <w:tcW w:w="563" w:type="dxa"/>
            <w:tcBorders/>
            <w:vAlign w:val="center"/>
          </w:tcPr>
          <w:p>
            <w:pPr>
              <w:pStyle w:val="TableContents"/>
              <w:bidi w:val="0"/>
              <w:spacing w:before="47" w:after="0"/>
              <w:ind w:left="0" w:right="0" w:hanging="0"/>
              <w:jc w:val="left"/>
              <w:rPr>
                <w:rFonts w:ascii="Arial" w:hAnsi="Arial"/>
                <w:color w:val="000000"/>
                <w:sz w:val="18"/>
              </w:rPr>
            </w:pPr>
            <w:r>
              <w:rPr>
                <w:rFonts w:ascii="Arial" w:hAnsi="Arial"/>
                <w:color w:val="000000"/>
                <w:sz w:val="18"/>
              </w:rPr>
              <w:t>19.7</w:t>
            </w:r>
          </w:p>
        </w:tc>
        <w:tc>
          <w:tcPr>
            <w:tcW w:w="3090" w:type="dxa"/>
            <w:tcBorders/>
            <w:vAlign w:val="center"/>
          </w:tcPr>
          <w:p>
            <w:pPr>
              <w:pStyle w:val="TableContents"/>
              <w:bidi w:val="0"/>
              <w:spacing w:before="47" w:after="0"/>
              <w:ind w:left="0" w:right="0" w:hanging="0"/>
              <w:jc w:val="left"/>
              <w:rPr/>
            </w:pPr>
            <w:hyperlink w:anchor="Process_service197">
              <w:r>
                <w:rPr>
                  <w:rStyle w:val="InternetLink"/>
                  <w:rFonts w:ascii="Arial" w:hAnsi="Arial"/>
                  <w:sz w:val="18"/>
                </w:rPr>
                <w:t>Process service</w:t>
              </w:r>
            </w:hyperlink>
          </w:p>
        </w:tc>
        <w:tc>
          <w:tcPr>
            <w:tcW w:w="320" w:type="dxa"/>
            <w:tcBorders/>
            <w:vAlign w:val="center"/>
          </w:tcPr>
          <w:p>
            <w:pPr>
              <w:pStyle w:val="TableContents"/>
              <w:bidi w:val="0"/>
              <w:spacing w:before="0" w:after="283"/>
              <w:jc w:val="right"/>
              <w:rPr>
                <w:rFonts w:ascii="Arial" w:hAnsi="Arial"/>
                <w:color w:val="000000"/>
                <w:sz w:val="18"/>
              </w:rPr>
            </w:pPr>
            <w:r>
              <w:rPr>
                <w:rFonts w:ascii="Arial" w:hAnsi="Arial"/>
                <w:color w:val="000000"/>
                <w:sz w:val="18"/>
              </w:rPr>
              <w:t xml:space="preserve">76  </w:t>
            </w:r>
          </w:p>
        </w:tc>
        <w:tc>
          <w:tcPr>
            <w:tcW w:w="75" w:type="dxa"/>
            <w:tcBorders/>
            <w:vAlign w:val="bottom"/>
          </w:tcPr>
          <w:p>
            <w:pPr>
              <w:pStyle w:val="TableContents"/>
              <w:bidi w:val="0"/>
              <w:spacing w:before="47"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266" w:type="dxa"/>
            <w:tcBorders/>
            <w:vAlign w:val="bottom"/>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left"/>
              <w:rPr/>
            </w:pPr>
            <w:r>
              <w:rPr/>
              <w:t> </w:t>
            </w:r>
          </w:p>
        </w:tc>
        <w:tc>
          <w:tcPr>
            <w:tcW w:w="309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1">
              <w:r>
                <w:rPr>
                  <w:rStyle w:val="InternetLink"/>
                  <w:rFonts w:ascii="Arial" w:hAnsi="Arial"/>
                  <w:b/>
                  <w:sz w:val="18"/>
                </w:rPr>
                <w:t>Schedule 1 -  Transaction Parties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77 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266"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left"/>
              <w:rPr/>
            </w:pPr>
            <w:r>
              <w:rPr/>
              <w:t> </w:t>
            </w:r>
          </w:p>
        </w:tc>
        <w:tc>
          <w:tcPr>
            <w:tcW w:w="3090" w:type="dxa"/>
            <w:tcBorders/>
            <w:vAlign w:val="bottom"/>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2">
              <w:r>
                <w:rPr>
                  <w:rStyle w:val="InternetLink"/>
                  <w:rFonts w:ascii="Arial" w:hAnsi="Arial"/>
                  <w:b/>
                  <w:sz w:val="18"/>
                </w:rPr>
                <w:t>Schedule 2  -  Facilities</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78 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3">
              <w:r>
                <w:rPr>
                  <w:rStyle w:val="InternetLink"/>
                  <w:rFonts w:ascii="Arial" w:hAnsi="Arial"/>
                  <w:b/>
                  <w:sz w:val="18"/>
                </w:rPr>
                <w:t>Schedule 3  -  Collateral Security</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79 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4">
              <w:r>
                <w:rPr>
                  <w:rStyle w:val="InternetLink"/>
                  <w:rFonts w:ascii="Arial" w:hAnsi="Arial"/>
                  <w:b/>
                  <w:sz w:val="18"/>
                </w:rPr>
                <w:t>Schedule 4  -  Not used</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80 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5">
              <w:r>
                <w:rPr>
                  <w:rStyle w:val="InternetLink"/>
                  <w:rFonts w:ascii="Arial" w:hAnsi="Arial"/>
                  <w:b/>
                  <w:sz w:val="18"/>
                </w:rPr>
                <w:t>Schedule 5  -  Conditions Precedent</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81 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color w:val="000000"/>
                <w:szCs w:val="18"/>
              </w:rPr>
            </w:pPr>
            <w:r>
              <w:rPr>
                <w:rFonts w:cs="Arial"/>
                <w:color w:val="000000"/>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color w:val="000000"/>
                <w:szCs w:val="18"/>
              </w:rPr>
            </w:pPr>
            <w:r>
              <w:rPr>
                <w:rFonts w:cs="Arial"/>
                <w:color w:val="000000"/>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6">
              <w:r>
                <w:rPr>
                  <w:rStyle w:val="InternetLink"/>
                  <w:rFonts w:ascii="Arial" w:hAnsi="Arial"/>
                  <w:b/>
                  <w:sz w:val="18"/>
                </w:rPr>
                <w:t>Schedule 6  -  Verification Certificate</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82 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7">
              <w:r>
                <w:rPr>
                  <w:rStyle w:val="InternetLink"/>
                  <w:rFonts w:ascii="Arial" w:hAnsi="Arial"/>
                  <w:b/>
                  <w:sz w:val="18"/>
                </w:rPr>
                <w:t>Schedule 7  -  Funding Notice</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83 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8">
              <w:r>
                <w:rPr>
                  <w:rStyle w:val="InternetLink"/>
                  <w:rFonts w:ascii="Arial" w:hAnsi="Arial"/>
                  <w:b/>
                  <w:sz w:val="18"/>
                </w:rPr>
                <w:t>Schedule 8  -  Guarantor Accession Deed</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84 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9">
              <w:r>
                <w:rPr>
                  <w:rStyle w:val="InternetLink"/>
                  <w:rFonts w:ascii="Arial" w:hAnsi="Arial"/>
                  <w:b/>
                  <w:sz w:val="18"/>
                </w:rPr>
                <w:t>Schedule 9  -  Compliance Certificate</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85  </w:t>
            </w:r>
          </w:p>
        </w:tc>
        <w:tc>
          <w:tcPr>
            <w:tcW w:w="75" w:type="dxa"/>
            <w:tcBorders/>
            <w:vAlign w:val="bottom"/>
          </w:tcPr>
          <w:p>
            <w:pPr>
              <w:pStyle w:val="TableContents"/>
              <w:bidi w:val="0"/>
              <w:spacing w:before="0" w:after="0"/>
              <w:ind w:left="0" w:right="0" w:hanging="0"/>
              <w:jc w:val="right"/>
              <w:rPr/>
            </w:pPr>
            <w:r>
              <w:rPr/>
              <w:t> </w:t>
            </w:r>
          </w:p>
        </w:tc>
      </w:tr>
      <w:tr>
        <w:trPr/>
        <w:tc>
          <w:tcPr>
            <w:tcW w:w="38" w:type="dxa"/>
            <w:tcBorders/>
            <w:vAlign w:val="bottom"/>
          </w:tcPr>
          <w:p>
            <w:pPr>
              <w:pStyle w:val="TableContents"/>
              <w:bidi w:val="0"/>
              <w:spacing w:before="0" w:after="0"/>
              <w:ind w:left="0" w:right="0" w:hanging="0"/>
              <w:jc w:val="left"/>
              <w:rPr>
                <w:rFonts w:cs="Arial"/>
                <w:szCs w:val="18"/>
              </w:rPr>
            </w:pPr>
            <w:r>
              <w:rPr>
                <w:rFonts w:cs="Arial"/>
                <w:szCs w:val="18"/>
              </w:rPr>
              <w:t>﻿</w:t>
            </w:r>
          </w:p>
        </w:tc>
        <w:tc>
          <w:tcPr>
            <w:tcW w:w="3919" w:type="dxa"/>
            <w:gridSpan w:val="3"/>
            <w:tcBorders/>
            <w:vAlign w:val="center"/>
          </w:tcPr>
          <w:p>
            <w:pPr>
              <w:pStyle w:val="TableContents"/>
              <w:bidi w:val="0"/>
              <w:spacing w:before="0" w:after="0"/>
              <w:ind w:left="0" w:right="0" w:hanging="0"/>
              <w:jc w:val="left"/>
              <w:rPr/>
            </w:pPr>
            <w:r>
              <w:rPr/>
              <w:t> </w:t>
            </w:r>
          </w:p>
        </w:tc>
        <w:tc>
          <w:tcPr>
            <w:tcW w:w="320"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color w:val="000000"/>
                <w:szCs w:val="18"/>
              </w:rPr>
            </w:pPr>
            <w:r>
              <w:rPr>
                <w:rFonts w:cs="Arial"/>
                <w:color w:val="000000"/>
                <w:szCs w:val="18"/>
              </w:rPr>
              <w:t>﻿</w:t>
            </w:r>
          </w:p>
        </w:tc>
        <w:tc>
          <w:tcPr>
            <w:tcW w:w="3919" w:type="dxa"/>
            <w:gridSpan w:val="3"/>
            <w:tcBorders>
              <w:bottom w:val="single" w:sz="8" w:space="0" w:color="000000"/>
            </w:tcBorders>
            <w:tcMar>
              <w:bottom w:w="28" w:type="dxa"/>
            </w:tcMar>
            <w:vAlign w:val="center"/>
          </w:tcPr>
          <w:p>
            <w:pPr>
              <w:pStyle w:val="TableContents"/>
              <w:bidi w:val="0"/>
              <w:spacing w:before="0" w:after="0"/>
              <w:ind w:left="0" w:right="0" w:hanging="0"/>
              <w:jc w:val="left"/>
              <w:rPr/>
            </w:pPr>
            <w:hyperlink w:anchor="Schedule10">
              <w:r>
                <w:rPr>
                  <w:rStyle w:val="InternetLink"/>
                  <w:rFonts w:ascii="Arial" w:hAnsi="Arial"/>
                  <w:b/>
                  <w:sz w:val="18"/>
                </w:rPr>
                <w:t>Schedule 10  -  Interim Compliance Certificate</w:t>
              </w:r>
            </w:hyperlink>
          </w:p>
        </w:tc>
        <w:tc>
          <w:tcPr>
            <w:tcW w:w="320" w:type="dxa"/>
            <w:tcBorders>
              <w:bottom w:val="single" w:sz="8" w:space="0" w:color="000000"/>
            </w:tcBorders>
            <w:tcMar>
              <w:bottom w:w="28"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 xml:space="preserve">86  </w:t>
            </w:r>
          </w:p>
        </w:tc>
        <w:tc>
          <w:tcPr>
            <w:tcW w:w="75" w:type="dxa"/>
            <w:tcBorders/>
            <w:vAlign w:val="bottom"/>
          </w:tcPr>
          <w:p>
            <w:pPr>
              <w:pStyle w:val="TableContents"/>
              <w:bidi w:val="0"/>
              <w:spacing w:before="0" w:after="0"/>
              <w:ind w:left="0" w:right="0" w:hanging="0"/>
              <w:jc w:val="right"/>
              <w:rPr/>
            </w:pPr>
            <w:r>
              <w:rPr/>
              <w:t> </w:t>
            </w:r>
          </w:p>
        </w:tc>
      </w:tr>
    </w:tbl>
    <w:p>
      <w:pPr>
        <w:pStyle w:val="TextBody"/>
        <w:bidi w:val="0"/>
        <w:spacing w:before="118" w:after="0"/>
        <w:ind w:left="1700" w:right="700" w:hanging="0"/>
        <w:jc w:val="left"/>
        <w:rPr>
          <w:rFonts w:cs="Arial"/>
          <w:szCs w:val="24"/>
        </w:rPr>
      </w:pPr>
      <w:r>
        <w:rPr>
          <w:rFonts w:cs="Arial"/>
          <w:szCs w:val="24"/>
        </w:rPr>
        <w:t xml:space="preserve">﻿ </w:t>
      </w:r>
    </w:p>
    <w:tbl>
      <w:tblPr>
        <w:tblW w:w="1953" w:type="dxa"/>
        <w:jc w:val="left"/>
        <w:tblInd w:w="1700" w:type="dxa"/>
        <w:tblLayout w:type="fixed"/>
        <w:tblCellMar>
          <w:top w:w="0" w:type="dxa"/>
          <w:left w:w="0" w:type="dxa"/>
          <w:bottom w:w="0" w:type="dxa"/>
          <w:right w:w="0" w:type="dxa"/>
        </w:tblCellMar>
      </w:tblPr>
      <w:tblGrid>
        <w:gridCol w:w="38"/>
        <w:gridCol w:w="1295"/>
        <w:gridCol w:w="545"/>
        <w:gridCol w:w="75"/>
      </w:tblGrid>
      <w:tr>
        <w:trPr/>
        <w:tc>
          <w:tcPr>
            <w:tcW w:w="38" w:type="dxa"/>
            <w:tcBorders/>
            <w:vAlign w:val="bottom"/>
          </w:tcPr>
          <w:p>
            <w:pPr>
              <w:pStyle w:val="TableContents"/>
              <w:bidi w:val="0"/>
              <w:spacing w:before="0" w:after="0"/>
              <w:ind w:left="0" w:right="0" w:hanging="0"/>
              <w:jc w:val="left"/>
              <w:rPr>
                <w:rFonts w:cs="Arial"/>
                <w:szCs w:val="2"/>
              </w:rPr>
            </w:pPr>
            <w:r>
              <w:rPr>
                <w:rFonts w:cs="Arial"/>
                <w:szCs w:val="2"/>
              </w:rPr>
              <w:t>﻿</w:t>
            </w:r>
          </w:p>
        </w:tc>
        <w:tc>
          <w:tcPr>
            <w:tcW w:w="1295" w:type="dxa"/>
            <w:tcBorders/>
            <w:vAlign w:val="bottom"/>
          </w:tcPr>
          <w:p>
            <w:pPr>
              <w:pStyle w:val="TableContents"/>
              <w:bidi w:val="0"/>
              <w:spacing w:before="0" w:after="0"/>
              <w:ind w:left="0" w:right="0" w:hanging="0"/>
              <w:jc w:val="left"/>
              <w:rPr/>
            </w:pPr>
            <w:r>
              <w:rPr/>
              <w:t> </w:t>
            </w:r>
          </w:p>
        </w:tc>
        <w:tc>
          <w:tcPr>
            <w:tcW w:w="545" w:type="dxa"/>
            <w:tcBorders/>
            <w:vAlign w:val="bottom"/>
          </w:tcPr>
          <w:p>
            <w:pPr>
              <w:pStyle w:val="TableContents"/>
              <w:bidi w:val="0"/>
              <w:spacing w:before="0" w:after="0"/>
              <w:ind w:left="0" w:right="0" w:hanging="0"/>
              <w:jc w:val="left"/>
              <w:rPr/>
            </w:pPr>
            <w:r>
              <w:rPr/>
              <w:t> </w:t>
            </w:r>
          </w:p>
        </w:tc>
        <w:tc>
          <w:tcPr>
            <w:tcW w:w="75" w:type="dxa"/>
            <w:tcBorders/>
            <w:vAlign w:val="bottom"/>
          </w:tcPr>
          <w:p>
            <w:pPr>
              <w:pStyle w:val="TableContents"/>
              <w:bidi w:val="0"/>
              <w:spacing w:before="0" w:after="0"/>
              <w:ind w:left="0" w:right="0" w:hanging="0"/>
              <w:jc w:val="left"/>
              <w:rPr/>
            </w:pPr>
            <w:r>
              <w:rPr/>
              <w:t> </w:t>
            </w:r>
          </w:p>
        </w:tc>
      </w:tr>
      <w:tr>
        <w:trPr/>
        <w:tc>
          <w:tcPr>
            <w:tcW w:w="38" w:type="dxa"/>
            <w:tcBorders/>
            <w:vAlign w:val="bottom"/>
          </w:tcPr>
          <w:p>
            <w:pPr>
              <w:pStyle w:val="TableContents"/>
              <w:bidi w:val="0"/>
              <w:spacing w:before="0" w:after="0"/>
              <w:ind w:left="0" w:right="0" w:hanging="0"/>
              <w:jc w:val="left"/>
              <w:rPr>
                <w:rFonts w:cs="Arial"/>
                <w:szCs w:val="15"/>
              </w:rPr>
            </w:pPr>
            <w:r>
              <w:rPr>
                <w:rFonts w:cs="Arial"/>
                <w:szCs w:val="15"/>
              </w:rPr>
              <w:t>﻿</w:t>
            </w:r>
          </w:p>
        </w:tc>
        <w:tc>
          <w:tcPr>
            <w:tcW w:w="1295" w:type="dxa"/>
            <w:tcBorders/>
            <w:vAlign w:val="bottom"/>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45" w:type="dxa"/>
            <w:tcBorders/>
            <w:vAlign w:val="bottom"/>
          </w:tcPr>
          <w:p>
            <w:pPr>
              <w:pStyle w:val="TableContents"/>
              <w:bidi w:val="0"/>
              <w:spacing w:before="0" w:after="0"/>
              <w:ind w:left="0" w:right="0" w:hanging="0"/>
              <w:jc w:val="left"/>
              <w:rPr>
                <w:rFonts w:ascii="Arial" w:hAnsi="Arial"/>
                <w:sz w:val="15"/>
              </w:rPr>
            </w:pPr>
            <w:r>
              <w:rPr>
                <w:rFonts w:ascii="Arial" w:hAnsi="Arial"/>
                <w:sz w:val="15"/>
              </w:rPr>
              <w:t>Page iv</w:t>
            </w:r>
          </w:p>
        </w:tc>
        <w:tc>
          <w:tcPr>
            <w:tcW w:w="75" w:type="dxa"/>
            <w:tcBorders/>
            <w:vAlign w:val="bottom"/>
          </w:tcPr>
          <w:p>
            <w:pPr>
              <w:pStyle w:val="TableContents"/>
              <w:bidi w:val="0"/>
              <w:spacing w:before="0" w:after="0"/>
              <w:ind w:left="0" w:right="0" w:hanging="0"/>
              <w:jc w:val="left"/>
              <w:rPr/>
            </w:pPr>
            <w:r>
              <w:rPr/>
              <w:t> </w:t>
            </w:r>
          </w:p>
        </w:tc>
      </w:tr>
    </w:tbl>
    <w:p>
      <w:pPr>
        <w:pStyle w:val="TextBody"/>
        <w:bidi w:val="0"/>
        <w:spacing w:before="118" w:after="0"/>
        <w:ind w:left="1700" w:right="700" w:hanging="0"/>
        <w:jc w:val="left"/>
        <w:rPr>
          <w:rFonts w:cs="Arial"/>
          <w:szCs w:val="24"/>
        </w:rPr>
      </w:pPr>
      <w:r>
        <w:rPr>
          <w:rFonts w:cs="Arial"/>
          <w:szCs w:val="24"/>
        </w:rPr>
        <w:t xml:space="preserve">﻿ </w:t>
      </w:r>
    </w:p>
    <w:p>
      <w:pPr>
        <w:pStyle w:val="TextBody"/>
        <w:bidi w:val="0"/>
        <w:spacing w:before="0" w:after="0"/>
        <w:ind w:left="1700" w:right="700" w:hanging="0"/>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0" w:after="0"/>
        <w:ind w:left="1700" w:right="700" w:hanging="0"/>
        <w:jc w:val="left"/>
        <w:rPr>
          <w:rFonts w:cs="Arial"/>
          <w:szCs w:val="24"/>
        </w:rPr>
      </w:pPr>
      <w:r>
        <w:rPr>
          <w:rFonts w:cs="Arial"/>
          <w:szCs w:val="24"/>
        </w:rPr>
        <w:t xml:space="preserve">﻿ </w:t>
      </w:r>
    </w:p>
    <w:p>
      <w:pPr>
        <w:pStyle w:val="TextBody"/>
        <w:bidi w:val="0"/>
        <w:spacing w:before="118" w:after="0"/>
        <w:ind w:left="1700" w:right="700" w:hanging="0"/>
        <w:jc w:val="left"/>
        <w:rPr>
          <w:rFonts w:cs="Arial"/>
          <w:szCs w:val="24"/>
        </w:rPr>
      </w:pPr>
      <w:r>
        <w:rPr>
          <w:rFonts w:cs="Arial"/>
          <w:szCs w:val="24"/>
        </w:rPr>
        <w:t xml:space="preserve">﻿ </w:t>
      </w:r>
    </w:p>
    <w:p>
      <w:pPr>
        <w:pStyle w:val="TextBody"/>
        <w:bidi w:val="0"/>
        <w:spacing w:before="0" w:after="0"/>
        <w:ind w:left="2268" w:right="700" w:hanging="0"/>
        <w:jc w:val="left"/>
        <w:rPr>
          <w:rFonts w:ascii="Arial" w:hAnsi="Arial"/>
          <w:sz w:val="24"/>
        </w:rPr>
      </w:pPr>
      <w:r>
        <w:rPr>
          <w:rFonts w:ascii="Arial" w:hAnsi="Arial"/>
          <w:b/>
          <w:sz w:val="24"/>
        </w:rPr>
        <w:t>Date</w:t>
      </w:r>
      <w:r>
        <w:rPr>
          <w:rFonts w:ascii="Arial" w:hAnsi="Arial"/>
          <w:sz w:val="24"/>
        </w:rPr>
        <w:t xml:space="preserve"> </w:t>
      </w:r>
    </w:p>
    <w:p>
      <w:pPr>
        <w:pStyle w:val="TextBody"/>
        <w:bidi w:val="0"/>
        <w:spacing w:before="85" w:after="0"/>
        <w:ind w:left="1700" w:right="700" w:hanging="0"/>
        <w:jc w:val="left"/>
        <w:rPr>
          <w:rFonts w:cs="Arial"/>
          <w:szCs w:val="24"/>
        </w:rPr>
      </w:pPr>
      <w:r>
        <w:rPr>
          <w:rFonts w:cs="Arial"/>
          <w:bCs/>
          <w:szCs w:val="24"/>
        </w:rPr>
        <w:t>﻿</w:t>
      </w:r>
      <w:r>
        <w:rPr>
          <w:rFonts w:cs="Arial"/>
          <w:szCs w:val="24"/>
        </w:rPr>
        <w:t xml:space="preserve"> </w:t>
      </w:r>
    </w:p>
    <w:p>
      <w:pPr>
        <w:pStyle w:val="TextBody"/>
        <w:bidi w:val="0"/>
        <w:spacing w:before="1" w:after="0"/>
        <w:ind w:left="2268" w:right="700" w:hanging="0"/>
        <w:jc w:val="left"/>
        <w:rPr>
          <w:rFonts w:ascii="Arial" w:hAnsi="Arial"/>
          <w:sz w:val="40"/>
        </w:rPr>
      </w:pPr>
      <w:r>
        <w:rPr>
          <w:rFonts w:ascii="Arial" w:hAnsi="Arial"/>
          <w:sz w:val="40"/>
        </w:rPr>
        <w:t xml:space="preserve">Parties </w:t>
      </w:r>
    </w:p>
    <w:p>
      <w:pPr>
        <w:pStyle w:val="TextBody"/>
        <w:bidi w:val="0"/>
        <w:spacing w:lineRule="auto" w:line="266" w:before="265" w:after="0"/>
        <w:ind w:left="2268" w:right="700" w:hanging="0"/>
        <w:jc w:val="left"/>
        <w:rPr>
          <w:rFonts w:ascii="Arial" w:hAnsi="Arial"/>
          <w:sz w:val="20"/>
        </w:rPr>
      </w:pPr>
      <w:r>
        <w:rPr>
          <w:rFonts w:ascii="Arial" w:hAnsi="Arial"/>
          <w:b/>
          <w:sz w:val="21"/>
        </w:rPr>
        <w:t>National</w:t>
      </w:r>
      <w:r>
        <w:rPr>
          <w:rFonts w:ascii="Arial" w:hAnsi="Arial"/>
          <w:sz w:val="20"/>
        </w:rPr>
        <w:t> </w:t>
      </w:r>
      <w:r>
        <w:rPr>
          <w:rFonts w:ascii="Arial" w:hAnsi="Arial"/>
          <w:b/>
          <w:sz w:val="21"/>
        </w:rPr>
        <w:t>Australia</w:t>
      </w:r>
      <w:r>
        <w:rPr>
          <w:rFonts w:ascii="Arial" w:hAnsi="Arial"/>
          <w:sz w:val="20"/>
        </w:rPr>
        <w:t> </w:t>
      </w:r>
      <w:r>
        <w:rPr>
          <w:rFonts w:ascii="Arial" w:hAnsi="Arial"/>
          <w:b/>
          <w:sz w:val="21"/>
        </w:rPr>
        <w:t>Bank</w:t>
      </w:r>
      <w:r>
        <w:rPr>
          <w:rFonts w:ascii="Arial" w:hAnsi="Arial"/>
          <w:sz w:val="20"/>
        </w:rPr>
        <w:t> </w:t>
      </w:r>
      <w:r>
        <w:rPr>
          <w:rFonts w:ascii="Arial" w:hAnsi="Arial"/>
          <w:b/>
          <w:sz w:val="21"/>
        </w:rPr>
        <w:t>Limited</w:t>
      </w:r>
      <w:r>
        <w:rPr>
          <w:rFonts w:ascii="Arial" w:hAnsi="Arial"/>
          <w:sz w:val="20"/>
        </w:rPr>
        <w:t> </w:t>
      </w:r>
      <w:r>
        <w:rPr>
          <w:rFonts w:ascii="Arial" w:hAnsi="Arial"/>
          <w:sz w:val="21"/>
        </w:rPr>
        <w:t>ABN</w:t>
      </w:r>
      <w:r>
        <w:rPr>
          <w:rFonts w:ascii="Arial" w:hAnsi="Arial"/>
          <w:sz w:val="20"/>
        </w:rPr>
        <w:t> </w:t>
      </w:r>
      <w:r>
        <w:rPr>
          <w:rFonts w:ascii="Arial" w:hAnsi="Arial"/>
          <w:sz w:val="21"/>
        </w:rPr>
        <w:t>12</w:t>
      </w:r>
      <w:r>
        <w:rPr>
          <w:rFonts w:ascii="Arial" w:hAnsi="Arial"/>
          <w:sz w:val="20"/>
        </w:rPr>
        <w:t> </w:t>
      </w:r>
      <w:r>
        <w:rPr>
          <w:rFonts w:ascii="Arial" w:hAnsi="Arial"/>
          <w:sz w:val="21"/>
        </w:rPr>
        <w:t>004</w:t>
      </w:r>
      <w:r>
        <w:rPr>
          <w:rFonts w:ascii="Arial" w:hAnsi="Arial"/>
          <w:sz w:val="20"/>
        </w:rPr>
        <w:t> </w:t>
      </w:r>
      <w:r>
        <w:rPr>
          <w:rFonts w:ascii="Arial" w:hAnsi="Arial"/>
          <w:sz w:val="21"/>
        </w:rPr>
        <w:t>044</w:t>
      </w:r>
      <w:r>
        <w:rPr>
          <w:rFonts w:ascii="Arial" w:hAnsi="Arial"/>
          <w:sz w:val="20"/>
        </w:rPr>
        <w:t> </w:t>
      </w:r>
      <w:r>
        <w:rPr>
          <w:rFonts w:ascii="Arial" w:hAnsi="Arial"/>
          <w:sz w:val="21"/>
        </w:rPr>
        <w:t>937</w:t>
      </w:r>
      <w:r>
        <w:rPr>
          <w:rFonts w:ascii="Arial" w:hAnsi="Arial"/>
          <w:sz w:val="20"/>
        </w:rPr>
        <w:t> </w:t>
      </w:r>
      <w:r>
        <w:rPr>
          <w:rFonts w:ascii="Arial" w:hAnsi="Arial"/>
          <w:sz w:val="21"/>
        </w:rPr>
        <w:t>of</w:t>
      </w:r>
      <w:r>
        <w:rPr>
          <w:rFonts w:ascii="Arial" w:hAnsi="Arial"/>
          <w:sz w:val="20"/>
        </w:rPr>
        <w:t> </w:t>
      </w:r>
      <w:r>
        <w:rPr>
          <w:rFonts w:ascii="Arial" w:hAnsi="Arial"/>
          <w:sz w:val="21"/>
        </w:rPr>
        <w:t>Level</w:t>
      </w:r>
      <w:r>
        <w:rPr>
          <w:rFonts w:ascii="Arial" w:hAnsi="Arial"/>
          <w:sz w:val="20"/>
        </w:rPr>
        <w:t> </w:t>
      </w:r>
      <w:r>
        <w:rPr>
          <w:rFonts w:ascii="Arial" w:hAnsi="Arial"/>
          <w:sz w:val="21"/>
        </w:rPr>
        <w:t>17,</w:t>
      </w:r>
      <w:r>
        <w:rPr>
          <w:rFonts w:ascii="Arial" w:hAnsi="Arial"/>
          <w:sz w:val="20"/>
        </w:rPr>
        <w:t> </w:t>
      </w:r>
      <w:r>
        <w:rPr>
          <w:rFonts w:ascii="Arial" w:hAnsi="Arial"/>
          <w:sz w:val="21"/>
        </w:rPr>
        <w:t>395</w:t>
      </w:r>
      <w:r>
        <w:rPr>
          <w:rFonts w:ascii="Arial" w:hAnsi="Arial"/>
          <w:sz w:val="20"/>
        </w:rPr>
        <w:t> </w:t>
      </w:r>
      <w:r>
        <w:rPr>
          <w:rFonts w:ascii="Arial" w:hAnsi="Arial"/>
          <w:sz w:val="21"/>
        </w:rPr>
        <w:t>Bourke</w:t>
      </w:r>
      <w:r>
        <w:rPr>
          <w:rFonts w:ascii="Arial" w:hAnsi="Arial"/>
          <w:sz w:val="20"/>
        </w:rPr>
        <w:t> </w:t>
      </w:r>
      <w:r>
        <w:rPr>
          <w:rFonts w:ascii="Arial" w:hAnsi="Arial"/>
          <w:sz w:val="21"/>
        </w:rPr>
        <w:t>Street, Melbourne, Victoria 3000 (</w:t>
      </w:r>
      <w:r>
        <w:rPr>
          <w:rFonts w:ascii="Arial" w:hAnsi="Arial"/>
          <w:b/>
          <w:sz w:val="21"/>
        </w:rPr>
        <w:t>Bank</w:t>
      </w:r>
      <w:r>
        <w:rPr>
          <w:rFonts w:ascii="Arial" w:hAnsi="Arial"/>
          <w:sz w:val="21"/>
        </w:rPr>
        <w:t>)</w:t>
      </w:r>
      <w:r>
        <w:rPr>
          <w:rFonts w:ascii="Arial" w:hAnsi="Arial"/>
          <w:sz w:val="20"/>
        </w:rPr>
        <w:t xml:space="preserve"> </w:t>
      </w:r>
    </w:p>
    <w:p>
      <w:pPr>
        <w:pStyle w:val="TextBody"/>
        <w:bidi w:val="0"/>
        <w:spacing w:lineRule="auto" w:line="266" w:before="240" w:after="0"/>
        <w:ind w:left="2268" w:right="700" w:hanging="0"/>
        <w:jc w:val="left"/>
        <w:rPr>
          <w:rFonts w:ascii="Arial" w:hAnsi="Arial"/>
          <w:sz w:val="20"/>
        </w:rPr>
      </w:pPr>
      <w:r>
        <w:rPr>
          <w:rFonts w:ascii="Arial" w:hAnsi="Arial"/>
          <w:b/>
          <w:sz w:val="21"/>
        </w:rPr>
        <w:t>Reading</w:t>
      </w:r>
      <w:r>
        <w:rPr>
          <w:rFonts w:ascii="Arial" w:hAnsi="Arial"/>
          <w:sz w:val="20"/>
        </w:rPr>
        <w:t> </w:t>
      </w:r>
      <w:r>
        <w:rPr>
          <w:rFonts w:ascii="Arial" w:hAnsi="Arial"/>
          <w:b/>
          <w:sz w:val="21"/>
        </w:rPr>
        <w:t>Entertainment</w:t>
      </w:r>
      <w:r>
        <w:rPr>
          <w:rFonts w:ascii="Arial" w:hAnsi="Arial"/>
          <w:sz w:val="20"/>
        </w:rPr>
        <w:t> </w:t>
      </w:r>
      <w:r>
        <w:rPr>
          <w:rFonts w:ascii="Arial" w:hAnsi="Arial"/>
          <w:b/>
          <w:sz w:val="21"/>
        </w:rPr>
        <w:t>Australia</w:t>
      </w:r>
      <w:r>
        <w:rPr>
          <w:rFonts w:ascii="Arial" w:hAnsi="Arial"/>
          <w:sz w:val="20"/>
        </w:rPr>
        <w:t> </w:t>
      </w:r>
      <w:r>
        <w:rPr>
          <w:rFonts w:ascii="Arial" w:hAnsi="Arial"/>
          <w:b/>
          <w:sz w:val="21"/>
        </w:rPr>
        <w:t>Pty</w:t>
      </w:r>
      <w:r>
        <w:rPr>
          <w:rFonts w:ascii="Arial" w:hAnsi="Arial"/>
          <w:sz w:val="20"/>
        </w:rPr>
        <w:t> </w:t>
      </w:r>
      <w:r>
        <w:rPr>
          <w:rFonts w:ascii="Arial" w:hAnsi="Arial"/>
          <w:b/>
          <w:sz w:val="21"/>
        </w:rPr>
        <w:t>Ltd</w:t>
      </w:r>
      <w:r>
        <w:rPr>
          <w:rFonts w:ascii="Arial" w:hAnsi="Arial"/>
          <w:sz w:val="20"/>
        </w:rPr>
        <w:t> </w:t>
      </w:r>
      <w:r>
        <w:rPr>
          <w:rFonts w:ascii="Arial" w:hAnsi="Arial"/>
          <w:sz w:val="21"/>
        </w:rPr>
        <w:t>ACN</w:t>
      </w:r>
      <w:r>
        <w:rPr>
          <w:rFonts w:ascii="Arial" w:hAnsi="Arial"/>
          <w:sz w:val="20"/>
        </w:rPr>
        <w:t> </w:t>
      </w:r>
      <w:r>
        <w:rPr>
          <w:rFonts w:ascii="Arial" w:hAnsi="Arial"/>
          <w:sz w:val="21"/>
        </w:rPr>
        <w:t>070</w:t>
      </w:r>
      <w:r>
        <w:rPr>
          <w:rFonts w:ascii="Arial" w:hAnsi="Arial"/>
          <w:sz w:val="20"/>
        </w:rPr>
        <w:t> </w:t>
      </w:r>
      <w:r>
        <w:rPr>
          <w:rFonts w:ascii="Arial" w:hAnsi="Arial"/>
          <w:sz w:val="21"/>
        </w:rPr>
        <w:t>893</w:t>
      </w:r>
      <w:r>
        <w:rPr>
          <w:rFonts w:ascii="Arial" w:hAnsi="Arial"/>
          <w:sz w:val="20"/>
        </w:rPr>
        <w:t> </w:t>
      </w:r>
      <w:r>
        <w:rPr>
          <w:rFonts w:ascii="Arial" w:hAnsi="Arial"/>
          <w:sz w:val="21"/>
        </w:rPr>
        <w:t>908</w:t>
      </w:r>
      <w:r>
        <w:rPr>
          <w:rFonts w:ascii="Arial" w:hAnsi="Arial"/>
          <w:sz w:val="20"/>
        </w:rPr>
        <w:t> </w:t>
      </w:r>
      <w:r>
        <w:rPr>
          <w:rFonts w:ascii="Arial" w:hAnsi="Arial"/>
          <w:sz w:val="21"/>
        </w:rPr>
        <w:t>of</w:t>
      </w:r>
      <w:r>
        <w:rPr>
          <w:rFonts w:ascii="Arial" w:hAnsi="Arial"/>
          <w:sz w:val="20"/>
        </w:rPr>
        <w:t> </w:t>
      </w:r>
      <w:r>
        <w:rPr>
          <w:rFonts w:ascii="Arial" w:hAnsi="Arial"/>
          <w:sz w:val="21"/>
        </w:rPr>
        <w:t>98</w:t>
      </w:r>
      <w:r>
        <w:rPr>
          <w:rFonts w:ascii="Arial" w:hAnsi="Arial"/>
          <w:sz w:val="20"/>
        </w:rPr>
        <w:t> </w:t>
      </w:r>
      <w:r>
        <w:rPr>
          <w:rFonts w:ascii="Arial" w:hAnsi="Arial"/>
          <w:sz w:val="21"/>
        </w:rPr>
        <w:t>York</w:t>
      </w:r>
      <w:r>
        <w:rPr>
          <w:rFonts w:ascii="Arial" w:hAnsi="Arial"/>
          <w:sz w:val="20"/>
        </w:rPr>
        <w:t> </w:t>
      </w:r>
      <w:r>
        <w:rPr>
          <w:rFonts w:ascii="Arial" w:hAnsi="Arial"/>
          <w:sz w:val="21"/>
        </w:rPr>
        <w:t>Street,</w:t>
      </w:r>
      <w:r>
        <w:rPr>
          <w:rFonts w:ascii="Arial" w:hAnsi="Arial"/>
          <w:sz w:val="20"/>
        </w:rPr>
        <w:t> </w:t>
      </w:r>
      <w:r>
        <w:rPr>
          <w:rFonts w:ascii="Arial" w:hAnsi="Arial"/>
          <w:sz w:val="21"/>
        </w:rPr>
        <w:t>South Melbourne, Victoria 3205 (</w:t>
      </w:r>
      <w:r>
        <w:rPr>
          <w:rFonts w:ascii="Arial" w:hAnsi="Arial"/>
          <w:b/>
          <w:sz w:val="21"/>
        </w:rPr>
        <w:t>Borrower</w:t>
      </w:r>
      <w:r>
        <w:rPr>
          <w:rFonts w:ascii="Arial" w:hAnsi="Arial"/>
          <w:sz w:val="21"/>
        </w:rPr>
        <w:t>)</w:t>
      </w:r>
      <w:r>
        <w:rPr>
          <w:rFonts w:ascii="Arial" w:hAnsi="Arial"/>
          <w:sz w:val="20"/>
        </w:rPr>
        <w:t xml:space="preserve"> </w:t>
      </w:r>
    </w:p>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before="0" w:after="0"/>
        <w:ind w:left="2268" w:right="700" w:hanging="0"/>
        <w:jc w:val="left"/>
        <w:rPr/>
      </w:pPr>
      <w:r>
        <w:rPr>
          <w:rFonts w:ascii="Arial" w:hAnsi="Arial"/>
          <w:b/>
          <w:sz w:val="22"/>
        </w:rPr>
        <w:t>Each person listed in schedule </w:t>
      </w:r>
      <w:hyperlink w:anchor="_bookmark199">
        <w:r>
          <w:rPr>
            <w:rStyle w:val="InternetLink"/>
            <w:rFonts w:ascii="Arial" w:hAnsi="Arial"/>
            <w:b/>
            <w:sz w:val="22"/>
          </w:rPr>
          <w:t>1</w:t>
        </w:r>
      </w:hyperlink>
      <w:r>
        <w:rPr>
          <w:rFonts w:ascii="Arial" w:hAnsi="Arial"/>
          <w:b/>
          <w:sz w:val="22"/>
        </w:rPr>
        <w:t> </w:t>
      </w:r>
      <w:r>
        <w:rPr>
          <w:rFonts w:ascii="Arial" w:hAnsi="Arial"/>
          <w:b w:val="false"/>
          <w:sz w:val="22"/>
        </w:rPr>
        <w:t>(each</w:t>
      </w:r>
      <w:r>
        <w:rPr>
          <w:rFonts w:ascii="Arial" w:hAnsi="Arial"/>
          <w:b/>
          <w:sz w:val="22"/>
        </w:rPr>
        <w:t> </w:t>
      </w:r>
      <w:r>
        <w:rPr>
          <w:rFonts w:ascii="Arial" w:hAnsi="Arial"/>
          <w:b w:val="false"/>
          <w:sz w:val="22"/>
        </w:rPr>
        <w:t>an</w:t>
      </w:r>
      <w:r>
        <w:rPr>
          <w:rFonts w:ascii="Arial" w:hAnsi="Arial"/>
          <w:b/>
          <w:sz w:val="22"/>
        </w:rPr>
        <w:t> Original Guarantor</w:t>
      </w:r>
      <w:r>
        <w:rPr>
          <w:rFonts w:ascii="Arial" w:hAnsi="Arial"/>
          <w:b w:val="false"/>
          <w:sz w:val="22"/>
        </w:rPr>
        <w:t>)</w:t>
      </w:r>
      <w:r>
        <w:rPr>
          <w:rFonts w:ascii="Arial" w:hAnsi="Arial"/>
          <w:b/>
          <w:sz w:val="22"/>
        </w:rPr>
        <w:t xml:space="preserve"> </w:t>
      </w:r>
    </w:p>
    <w:p>
      <w:pPr>
        <w:pStyle w:val="TextBody"/>
        <w:bidi w:val="0"/>
        <w:spacing w:before="0" w:after="0"/>
        <w:ind w:left="1700" w:right="700" w:hanging="0"/>
        <w:jc w:val="left"/>
        <w:rPr>
          <w:rFonts w:cs="Arial"/>
          <w:szCs w:val="20"/>
        </w:rPr>
      </w:pPr>
      <w:r>
        <w:rPr>
          <w:rFonts w:cs="Arial"/>
          <w:szCs w:val="20"/>
        </w:rPr>
        <w:t xml:space="preserve">﻿ </w:t>
      </w:r>
    </w:p>
    <w:p>
      <w:pPr>
        <w:pStyle w:val="TextBody"/>
        <w:pBdr>
          <w:bottom w:val="single" w:sz="8" w:space="1" w:color="000000"/>
        </w:pBdr>
        <w:bidi w:val="0"/>
        <w:spacing w:before="54" w:after="0"/>
        <w:ind w:left="1700" w:right="700" w:hanging="0"/>
        <w:jc w:val="left"/>
        <w:rPr>
          <w:rFonts w:cs="Arial"/>
          <w:szCs w:val="20"/>
        </w:rPr>
      </w:pPr>
      <w:r>
        <w:rPr>
          <w:rFonts w:cs="Arial"/>
          <w:szCs w:val="20"/>
        </w:rPr>
        <w:t xml:space="preserve">﻿ </w:t>
      </w:r>
    </w:p>
    <w:p>
      <w:pPr>
        <w:pStyle w:val="TextBody"/>
        <w:bidi w:val="0"/>
        <w:spacing w:before="383" w:after="0"/>
        <w:ind w:left="2268" w:right="700" w:hanging="0"/>
        <w:jc w:val="left"/>
        <w:rPr>
          <w:rFonts w:ascii="Arial" w:hAnsi="Arial"/>
          <w:sz w:val="40"/>
        </w:rPr>
      </w:pPr>
      <w:r>
        <w:rPr>
          <w:rFonts w:ascii="Arial" w:hAnsi="Arial"/>
          <w:sz w:val="40"/>
        </w:rPr>
        <w:t xml:space="preserve">Agreed terms </w:t>
      </w:r>
    </w:p>
    <w:p>
      <w:pPr>
        <w:pStyle w:val="TextBody"/>
        <w:bidi w:val="0"/>
        <w:spacing w:before="137" w:after="0"/>
        <w:ind w:left="1700" w:right="700" w:hanging="0"/>
        <w:jc w:val="left"/>
        <w:rPr>
          <w:rFonts w:cs="Arial"/>
          <w:szCs w:val="40"/>
        </w:rPr>
      </w:pPr>
      <w:r>
        <w:rPr>
          <w:rFonts w:cs="Arial"/>
          <w:szCs w:val="40"/>
        </w:rPr>
        <w:t xml:space="preserve">﻿ </w:t>
      </w:r>
    </w:p>
    <w:p>
      <w:pPr>
        <w:pStyle w:val="TextBody"/>
        <w:bidi w:val="0"/>
        <w:spacing w:before="0" w:after="0"/>
        <w:ind w:left="3112" w:right="700" w:hanging="0"/>
        <w:jc w:val="left"/>
        <w:rPr>
          <w:rFonts w:ascii="Arial" w:hAnsi="Arial"/>
          <w:sz w:val="32"/>
        </w:rPr>
      </w:pPr>
      <w:bookmarkStart w:id="400" w:name="Interpretation1"/>
      <w:bookmarkEnd w:id="400"/>
      <w:r>
        <w:rPr>
          <w:rFonts w:ascii="Arial" w:hAnsi="Arial"/>
          <w:color w:val="000000"/>
          <w:sz w:val="32"/>
        </w:rPr>
        <w:t>1Interpretation</w:t>
      </w:r>
      <w:r>
        <w:rPr>
          <w:rFonts w:ascii="Arial" w:hAnsi="Arial"/>
          <w:sz w:val="32"/>
        </w:rPr>
        <w:t xml:space="preserve"> </w:t>
      </w:r>
    </w:p>
    <w:p>
      <w:pPr>
        <w:pStyle w:val="TextBody"/>
        <w:bidi w:val="0"/>
        <w:spacing w:before="214" w:after="0"/>
        <w:ind w:left="3112" w:right="700" w:hanging="0"/>
        <w:jc w:val="left"/>
        <w:rPr>
          <w:rFonts w:ascii="Arial" w:hAnsi="Arial"/>
          <w:b/>
          <w:sz w:val="24"/>
        </w:rPr>
      </w:pPr>
      <w:bookmarkStart w:id="401" w:name="Definitions111"/>
      <w:bookmarkEnd w:id="401"/>
      <w:r>
        <w:rPr>
          <w:rFonts w:ascii="Arial" w:hAnsi="Arial"/>
          <w:b/>
          <w:color w:val="000000"/>
          <w:sz w:val="24"/>
        </w:rPr>
        <w:t>1.1Definitions</w:t>
      </w:r>
      <w:r>
        <w:rPr>
          <w:rFonts w:ascii="Arial" w:hAnsi="Arial"/>
          <w:b/>
          <w:sz w:val="24"/>
        </w:rPr>
        <w:t xml:space="preserve"> </w:t>
      </w:r>
    </w:p>
    <w:p>
      <w:pPr>
        <w:pStyle w:val="TextBody"/>
        <w:pBdr/>
        <w:bidi w:val="0"/>
        <w:spacing w:before="93" w:after="0"/>
        <w:ind w:left="3118" w:right="700" w:hanging="0"/>
        <w:jc w:val="left"/>
        <w:rPr>
          <w:rFonts w:ascii="Arial" w:hAnsi="Arial"/>
          <w:sz w:val="22"/>
        </w:rPr>
      </w:pPr>
      <w:r>
        <w:rPr>
          <w:rFonts w:ascii="Arial" w:hAnsi="Arial"/>
          <w:color w:val="000000"/>
          <w:sz w:val="22"/>
        </w:rPr>
        <w:t>In this document:</w:t>
      </w:r>
      <w:r>
        <w:rPr>
          <w:rFonts w:ascii="Arial" w:hAnsi="Arial"/>
          <w:sz w:val="22"/>
        </w:rPr>
        <w:t xml:space="preserve"> </w:t>
      </w:r>
    </w:p>
    <w:p>
      <w:pPr>
        <w:pStyle w:val="TextBody"/>
        <w:pBdr/>
        <w:bidi w:val="0"/>
        <w:spacing w:lineRule="auto" w:line="266" w:before="148" w:after="0"/>
        <w:ind w:left="3118" w:right="1471" w:hanging="0"/>
        <w:jc w:val="left"/>
        <w:rPr>
          <w:rFonts w:ascii="Arial" w:hAnsi="Arial"/>
          <w:sz w:val="22"/>
        </w:rPr>
      </w:pPr>
      <w:r>
        <w:rPr>
          <w:rFonts w:ascii="Arial" w:hAnsi="Arial"/>
          <w:b/>
          <w:color w:val="000000"/>
          <w:sz w:val="22"/>
        </w:rPr>
        <w:t>AASB</w:t>
      </w:r>
      <w:r>
        <w:rPr>
          <w:rFonts w:ascii="Arial" w:hAnsi="Arial"/>
          <w:color w:val="000000"/>
          <w:sz w:val="22"/>
        </w:rPr>
        <w:t> </w:t>
      </w:r>
      <w:r>
        <w:rPr>
          <w:rFonts w:ascii="Arial" w:hAnsi="Arial"/>
          <w:b/>
          <w:color w:val="000000"/>
          <w:sz w:val="22"/>
        </w:rPr>
        <w:t>16</w:t>
      </w:r>
      <w:r>
        <w:rPr>
          <w:rFonts w:ascii="Arial" w:hAnsi="Arial"/>
          <w:color w:val="000000"/>
          <w:sz w:val="22"/>
        </w:rPr>
        <w:t> means Accounting Standard AASB 16, issued by the Australian Accounting Standards Board under section 334 of the Corporations Act.</w:t>
      </w:r>
      <w:r>
        <w:rPr>
          <w:rFonts w:ascii="Arial" w:hAnsi="Arial"/>
          <w:sz w:val="22"/>
        </w:rPr>
        <w:t xml:space="preserve"> </w:t>
      </w:r>
    </w:p>
    <w:p>
      <w:pPr>
        <w:pStyle w:val="TextBody"/>
        <w:pBdr/>
        <w:bidi w:val="0"/>
        <w:spacing w:lineRule="auto" w:line="266" w:before="119" w:after="0"/>
        <w:ind w:left="3118" w:right="1486" w:hanging="0"/>
        <w:jc w:val="left"/>
        <w:rPr>
          <w:rFonts w:ascii="Arial" w:hAnsi="Arial"/>
          <w:sz w:val="22"/>
        </w:rPr>
      </w:pPr>
      <w:r>
        <w:rPr>
          <w:rFonts w:ascii="Arial" w:hAnsi="Arial"/>
          <w:b/>
          <w:color w:val="000000"/>
          <w:sz w:val="22"/>
        </w:rPr>
        <w:t xml:space="preserve">Accounting Standards </w:t>
      </w:r>
      <w:r>
        <w:rPr>
          <w:rFonts w:ascii="Arial" w:hAnsi="Arial"/>
          <w:color w:val="000000"/>
          <w:sz w:val="22"/>
        </w:rPr>
        <w:t>means accounting principles and practices consistently applied which are generally accepted in Australia and are consistent with any applicable legislation in each case as in effect on the date of this document, including instruments in force under section 334 of the Corporations Act and provisions of such instruments.</w:t>
      </w:r>
      <w:r>
        <w:rPr>
          <w:rFonts w:ascii="Arial" w:hAnsi="Arial"/>
          <w:sz w:val="22"/>
        </w:rPr>
        <w:t xml:space="preserve"> </w:t>
      </w:r>
    </w:p>
    <w:p>
      <w:pPr>
        <w:pStyle w:val="TextBody"/>
        <w:pBdr/>
        <w:bidi w:val="0"/>
        <w:spacing w:lineRule="auto" w:line="266" w:before="119" w:after="0"/>
        <w:ind w:left="3118" w:right="1471" w:hanging="0"/>
        <w:jc w:val="left"/>
        <w:rPr>
          <w:rFonts w:ascii="Arial" w:hAnsi="Arial"/>
          <w:sz w:val="22"/>
        </w:rPr>
      </w:pPr>
      <w:r>
        <w:rPr>
          <w:rFonts w:ascii="Arial" w:hAnsi="Arial"/>
          <w:b/>
          <w:color w:val="000000"/>
          <w:sz w:val="22"/>
        </w:rPr>
        <w:t>Adjusted</w:t>
      </w:r>
      <w:r>
        <w:rPr>
          <w:rFonts w:ascii="Arial" w:hAnsi="Arial"/>
          <w:color w:val="000000"/>
          <w:sz w:val="22"/>
        </w:rPr>
        <w:t> </w:t>
      </w:r>
      <w:r>
        <w:rPr>
          <w:rFonts w:ascii="Arial" w:hAnsi="Arial"/>
          <w:b/>
          <w:color w:val="000000"/>
          <w:sz w:val="22"/>
        </w:rPr>
        <w:t>EBITDA</w:t>
      </w:r>
      <w:r>
        <w:rPr>
          <w:rFonts w:ascii="Arial" w:hAnsi="Arial"/>
          <w:color w:val="000000"/>
          <w:sz w:val="22"/>
        </w:rPr>
        <w:t> means, for any period, EBITDA adjusted to include any Management Fees paid in cash and exclude:</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(a)any non-cash impairment for non-current assets included in the consolidated</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statements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Entertainment</w:t>
      </w:r>
      <w:r>
        <w:rPr>
          <w:rFonts w:ascii="Arial" w:hAnsi="Arial"/>
          <w:color w:val="000000"/>
          <w:sz w:val="20"/>
        </w:rPr>
        <w:t> </w:t>
      </w:r>
      <w:r>
        <w:rPr>
          <w:rFonts w:ascii="Arial" w:hAnsi="Arial"/>
          <w:color w:val="000000"/>
          <w:sz w:val="21"/>
        </w:rPr>
        <w:t>Australia Group during the relevant period;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(b)any</w:t>
      </w:r>
      <w:r>
        <w:rPr>
          <w:rFonts w:ascii="Arial" w:hAnsi="Arial"/>
          <w:color w:val="000000"/>
          <w:sz w:val="20"/>
        </w:rPr>
        <w:t> </w:t>
      </w:r>
      <w:r>
        <w:rPr>
          <w:rFonts w:ascii="Arial" w:hAnsi="Arial"/>
          <w:color w:val="000000"/>
          <w:sz w:val="21"/>
        </w:rPr>
        <w:t>net</w:t>
      </w:r>
      <w:r>
        <w:rPr>
          <w:rFonts w:ascii="Arial" w:hAnsi="Arial"/>
          <w:color w:val="000000"/>
          <w:sz w:val="20"/>
        </w:rPr>
        <w:t> </w:t>
      </w:r>
      <w:r>
        <w:rPr>
          <w:rFonts w:ascii="Arial" w:hAnsi="Arial"/>
          <w:color w:val="000000"/>
          <w:sz w:val="21"/>
        </w:rPr>
        <w:t>gains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losses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asset</w:t>
      </w:r>
      <w:r>
        <w:rPr>
          <w:rFonts w:ascii="Arial" w:hAnsi="Arial"/>
          <w:color w:val="000000"/>
          <w:sz w:val="20"/>
        </w:rPr>
        <w:t xml:space="preserve"> </w:t>
      </w:r>
      <w:r>
        <w:rPr>
          <w:rFonts w:ascii="Arial" w:hAnsi="Arial"/>
          <w:color w:val="000000"/>
          <w:sz w:val="21"/>
        </w:rPr>
        <w:t>sales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(c)non-operating</w:t>
      </w:r>
      <w:r>
        <w:rPr>
          <w:rFonts w:ascii="Arial" w:hAnsi="Arial"/>
          <w:color w:val="000000"/>
          <w:sz w:val="20"/>
        </w:rPr>
        <w:t> </w:t>
      </w:r>
      <w:r>
        <w:rPr>
          <w:rFonts w:ascii="Arial" w:hAnsi="Arial"/>
          <w:color w:val="000000"/>
          <w:sz w:val="21"/>
        </w:rPr>
        <w:t>income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losses</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interest</w:t>
      </w:r>
      <w:r>
        <w:rPr>
          <w:rFonts w:ascii="Arial" w:hAnsi="Arial"/>
          <w:color w:val="000000"/>
          <w:sz w:val="20"/>
        </w:rPr>
        <w:t xml:space="preserve"> </w:t>
      </w:r>
      <w:r>
        <w:rPr>
          <w:rFonts w:ascii="Arial" w:hAnsi="Arial"/>
          <w:color w:val="000000"/>
          <w:sz w:val="21"/>
        </w:rPr>
        <w:t>income);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(d)share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profit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joint</w:t>
      </w:r>
      <w:r>
        <w:rPr>
          <w:rFonts w:ascii="Arial" w:hAnsi="Arial"/>
          <w:color w:val="000000"/>
          <w:sz w:val="20"/>
        </w:rPr>
        <w:t> </w:t>
      </w:r>
      <w:r>
        <w:rPr>
          <w:rFonts w:ascii="Arial" w:hAnsi="Arial"/>
          <w:color w:val="000000"/>
          <w:sz w:val="21"/>
        </w:rPr>
        <w:t>venture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 is not a Reading Entertainment Australia Group Member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(e)accrued</w:t>
      </w:r>
      <w:r>
        <w:rPr>
          <w:rFonts w:ascii="Arial" w:hAnsi="Arial"/>
          <w:color w:val="000000"/>
          <w:sz w:val="20"/>
        </w:rPr>
        <w:t> </w:t>
      </w:r>
      <w:r>
        <w:rPr>
          <w:rFonts w:ascii="Arial" w:hAnsi="Arial"/>
          <w:color w:val="000000"/>
          <w:sz w:val="21"/>
        </w:rPr>
        <w:t>Management</w:t>
      </w:r>
      <w:r>
        <w:rPr>
          <w:rFonts w:ascii="Arial" w:hAnsi="Arial"/>
          <w:color w:val="000000"/>
          <w:sz w:val="20"/>
        </w:rPr>
        <w:t> </w:t>
      </w:r>
      <w:r>
        <w:rPr>
          <w:rFonts w:ascii="Arial" w:hAnsi="Arial"/>
          <w:color w:val="000000"/>
          <w:sz w:val="21"/>
        </w:rPr>
        <w:t>Fees,</w:t>
      </w:r>
      <w:r>
        <w:rPr>
          <w:rFonts w:ascii="Arial" w:hAnsi="Arial"/>
          <w:color w:val="000000"/>
          <w:sz w:val="20"/>
        </w:rPr>
        <w:t xml:space="preserve"> </w:t>
      </w:r>
      <w:r>
        <w:rPr>
          <w:rFonts w:ascii="Arial" w:hAnsi="Arial"/>
          <w:color w:val="000000"/>
          <w:sz w:val="21"/>
        </w:rPr>
        <w:t>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(f)any</w:t>
      </w:r>
      <w:r>
        <w:rPr>
          <w:rFonts w:ascii="Arial" w:hAnsi="Arial"/>
          <w:color w:val="000000"/>
          <w:sz w:val="20"/>
        </w:rPr>
        <w:t> </w:t>
      </w:r>
      <w:r>
        <w:rPr>
          <w:rFonts w:ascii="Arial" w:hAnsi="Arial"/>
          <w:color w:val="000000"/>
          <w:sz w:val="21"/>
        </w:rPr>
        <w:t>net</w:t>
      </w:r>
      <w:r>
        <w:rPr>
          <w:rFonts w:ascii="Arial" w:hAnsi="Arial"/>
          <w:color w:val="000000"/>
          <w:sz w:val="20"/>
        </w:rPr>
        <w:t> </w:t>
      </w:r>
      <w:r>
        <w:rPr>
          <w:rFonts w:ascii="Arial" w:hAnsi="Arial"/>
          <w:color w:val="000000"/>
          <w:sz w:val="21"/>
        </w:rPr>
        <w:t>foreign</w:t>
      </w:r>
      <w:r>
        <w:rPr>
          <w:rFonts w:ascii="Arial" w:hAnsi="Arial"/>
          <w:color w:val="000000"/>
          <w:sz w:val="20"/>
        </w:rPr>
        <w:t> </w:t>
      </w:r>
      <w:r>
        <w:rPr>
          <w:rFonts w:ascii="Arial" w:hAnsi="Arial"/>
          <w:color w:val="000000"/>
          <w:sz w:val="21"/>
        </w:rPr>
        <w:t>exchange</w:t>
      </w:r>
      <w:r>
        <w:rPr>
          <w:rFonts w:ascii="Arial" w:hAnsi="Arial"/>
          <w:color w:val="000000"/>
          <w:sz w:val="20"/>
        </w:rPr>
        <w:t> </w:t>
      </w:r>
      <w:r>
        <w:rPr>
          <w:rFonts w:ascii="Arial" w:hAnsi="Arial"/>
          <w:color w:val="000000"/>
          <w:sz w:val="21"/>
        </w:rPr>
        <w:t>amounts</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realised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unrealised) included in the consolidated financial statements of the Reading Entertainment Australia Group during the relevant period.</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20" w:right="1486" w:hanging="0"/>
        <w:jc w:val="left"/>
        <w:rPr>
          <w:rFonts w:ascii="Arial" w:hAnsi="Arial"/>
          <w:sz w:val="22"/>
        </w:rPr>
      </w:pPr>
      <w:r>
        <w:rPr>
          <w:rFonts w:ascii="Arial" w:hAnsi="Arial"/>
          <w:sz w:val="22"/>
        </w:rPr>
        <w:t xml:space="preserve">and subject to adjustment in respect of any further extraordinary items with the Bank’s written consent. </w:t>
      </w:r>
    </w:p>
    <w:p>
      <w:pPr>
        <w:pStyle w:val="TextBody"/>
        <w:pBdr/>
        <w:bidi w:val="0"/>
        <w:spacing w:lineRule="auto" w:line="266" w:before="119" w:after="0"/>
        <w:ind w:left="3120" w:right="1471" w:hanging="0"/>
        <w:jc w:val="left"/>
        <w:rPr>
          <w:rFonts w:ascii="Arial" w:hAnsi="Arial"/>
          <w:sz w:val="22"/>
        </w:rPr>
      </w:pPr>
      <w:r>
        <w:rPr>
          <w:rFonts w:ascii="Arial" w:hAnsi="Arial"/>
          <w:b/>
          <w:sz w:val="22"/>
        </w:rPr>
        <w:t xml:space="preserve">Advance </w:t>
      </w:r>
      <w:r>
        <w:rPr>
          <w:rFonts w:ascii="Arial" w:hAnsi="Arial"/>
          <w:sz w:val="22"/>
        </w:rPr>
        <w:t xml:space="preserve">means the principal amount of an advance made under the Corporate Markets Loan Facility or the Bridge Facility or, where appropriate, requested under the Corporate Markets Loan Facility or the Bridge Facility. </w:t>
      </w:r>
    </w:p>
    <w:p>
      <w:pPr>
        <w:pStyle w:val="TextBody"/>
        <w:pBdr/>
        <w:bidi w:val="0"/>
        <w:spacing w:lineRule="auto" w:line="266" w:before="120" w:after="0"/>
        <w:ind w:left="3118" w:right="1366" w:hanging="0"/>
        <w:jc w:val="left"/>
        <w:rPr>
          <w:rFonts w:ascii="Arial" w:hAnsi="Arial"/>
          <w:sz w:val="22"/>
        </w:rPr>
      </w:pPr>
      <w:r>
        <w:rPr>
          <w:rFonts w:ascii="Arial" w:hAnsi="Arial"/>
          <w:b/>
          <w:sz w:val="22"/>
        </w:rPr>
        <w:t>Aggregate</w:t>
      </w:r>
      <w:r>
        <w:rPr>
          <w:rFonts w:ascii="Arial" w:hAnsi="Arial"/>
          <w:sz w:val="22"/>
        </w:rPr>
        <w:t> </w:t>
      </w:r>
      <w:r>
        <w:rPr>
          <w:rFonts w:ascii="Arial" w:hAnsi="Arial"/>
          <w:b/>
          <w:sz w:val="22"/>
        </w:rPr>
        <w:t>Amount</w:t>
      </w:r>
      <w:r>
        <w:rPr>
          <w:rFonts w:ascii="Arial" w:hAnsi="Arial"/>
          <w:sz w:val="22"/>
        </w:rPr>
        <w:t xml:space="preserve"> means, in relation to a Drawing, the aggregate of the Face Values of all Bank Guarantees comprising that Drawing. </w:t>
      </w:r>
    </w:p>
    <w:p>
      <w:pPr>
        <w:pStyle w:val="TextBody"/>
        <w:pBdr/>
        <w:bidi w:val="0"/>
        <w:spacing w:lineRule="auto" w:line="266" w:before="120" w:after="0"/>
        <w:ind w:left="3120" w:right="1471" w:hanging="0"/>
        <w:jc w:val="left"/>
        <w:rPr>
          <w:rFonts w:ascii="Arial" w:hAnsi="Arial"/>
          <w:sz w:val="22"/>
        </w:rPr>
      </w:pPr>
      <w:r>
        <w:rPr>
          <w:rFonts w:ascii="Arial" w:hAnsi="Arial"/>
          <w:b/>
          <w:sz w:val="22"/>
        </w:rPr>
        <w:t>Amendment</w:t>
      </w:r>
      <w:r>
        <w:rPr>
          <w:rFonts w:ascii="Arial" w:hAnsi="Arial"/>
          <w:sz w:val="22"/>
        </w:rPr>
        <w:t> </w:t>
      </w:r>
      <w:r>
        <w:rPr>
          <w:rFonts w:ascii="Arial" w:hAnsi="Arial"/>
          <w:b/>
          <w:sz w:val="22"/>
        </w:rPr>
        <w:t>Deed</w:t>
      </w:r>
      <w:r>
        <w:rPr>
          <w:rFonts w:ascii="Arial" w:hAnsi="Arial"/>
          <w:sz w:val="22"/>
        </w:rPr>
        <w:t xml:space="preserve"> means the document entitled ‘Amendment Deed’ executed in March 2019 between the Bank and the Transaction Parties. </w:t>
      </w:r>
    </w:p>
    <w:p>
      <w:pPr>
        <w:pStyle w:val="TextBody"/>
        <w:bidi w:val="0"/>
        <w:spacing w:lineRule="auto" w:line="266" w:before="119" w:after="0"/>
        <w:ind w:left="3118" w:right="1471" w:hanging="0"/>
        <w:jc w:val="left"/>
        <w:rPr/>
      </w:pPr>
      <w:r>
        <w:rPr>
          <w:rFonts w:ascii="Arial" w:hAnsi="Arial"/>
          <w:b/>
          <w:sz w:val="21"/>
        </w:rPr>
        <w:t>Annual</w:t>
      </w:r>
      <w:r>
        <w:rPr>
          <w:rFonts w:ascii="Arial" w:hAnsi="Arial"/>
          <w:sz w:val="20"/>
        </w:rPr>
        <w:t> </w:t>
      </w:r>
      <w:r>
        <w:rPr>
          <w:rFonts w:ascii="Arial" w:hAnsi="Arial"/>
          <w:b/>
          <w:sz w:val="21"/>
        </w:rPr>
        <w:t>Compliance</w:t>
      </w:r>
      <w:r>
        <w:rPr>
          <w:rFonts w:ascii="Arial" w:hAnsi="Arial"/>
          <w:sz w:val="20"/>
        </w:rPr>
        <w:t> </w:t>
      </w:r>
      <w:r>
        <w:rPr>
          <w:rFonts w:ascii="Arial" w:hAnsi="Arial"/>
          <w:b/>
          <w:sz w:val="21"/>
        </w:rPr>
        <w:t>Certificate</w:t>
      </w:r>
      <w:r>
        <w:rPr>
          <w:rFonts w:ascii="Arial" w:hAnsi="Arial"/>
          <w:sz w:val="20"/>
        </w:rPr>
        <w:t> </w:t>
      </w:r>
      <w:r>
        <w:rPr>
          <w:rFonts w:ascii="Arial" w:hAnsi="Arial"/>
          <w:sz w:val="21"/>
        </w:rPr>
        <w:t>means,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Financial</w:t>
      </w:r>
      <w:r>
        <w:rPr>
          <w:rFonts w:ascii="Arial" w:hAnsi="Arial"/>
          <w:sz w:val="20"/>
        </w:rPr>
        <w:t> </w:t>
      </w:r>
      <w:r>
        <w:rPr>
          <w:rFonts w:ascii="Arial" w:hAnsi="Arial"/>
          <w:sz w:val="21"/>
        </w:rPr>
        <w:t>Year,</w:t>
      </w:r>
      <w:r>
        <w:rPr>
          <w:rFonts w:ascii="Arial" w:hAnsi="Arial"/>
          <w:sz w:val="20"/>
        </w:rPr>
        <w:t> </w:t>
      </w:r>
      <w:r>
        <w:rPr>
          <w:rFonts w:ascii="Arial" w:hAnsi="Arial"/>
          <w:sz w:val="21"/>
        </w:rPr>
        <w:t xml:space="preserve">a certificate substantially in the form of </w:t>
      </w:r>
      <w:r>
        <w:rPr>
          <w:rFonts w:ascii="Arial" w:hAnsi="Arial"/>
          <w:b/>
          <w:sz w:val="21"/>
        </w:rPr>
        <w:t xml:space="preserve">schedule </w:t>
      </w:r>
      <w:hyperlink w:anchor="_bookmark213">
        <w:r>
          <w:rPr>
            <w:rStyle w:val="InternetLink"/>
            <w:rFonts w:ascii="Arial" w:hAnsi="Arial"/>
            <w:b/>
            <w:sz w:val="21"/>
          </w:rPr>
          <w:t>9</w:t>
        </w:r>
      </w:hyperlink>
      <w:r>
        <w:rPr>
          <w:rFonts w:ascii="Arial" w:hAnsi="Arial"/>
          <w:sz w:val="21"/>
        </w:rPr>
        <w:t>.</w:t>
      </w:r>
      <w:r>
        <w:rPr>
          <w:rFonts w:ascii="Arial" w:hAnsi="Arial"/>
          <w:sz w:val="20"/>
        </w:rPr>
        <w:t xml:space="preserve"> </w:t>
      </w:r>
    </w:p>
    <w:p>
      <w:pPr>
        <w:pStyle w:val="TextBody"/>
        <w:bidi w:val="0"/>
        <w:spacing w:lineRule="auto" w:line="266" w:before="119" w:after="0"/>
        <w:ind w:left="3118" w:right="1506" w:hanging="0"/>
        <w:jc w:val="both"/>
        <w:rPr>
          <w:rFonts w:ascii="Arial" w:hAnsi="Arial"/>
          <w:sz w:val="22"/>
        </w:rPr>
      </w:pPr>
      <w:r>
        <w:rPr>
          <w:rFonts w:ascii="Arial" w:hAnsi="Arial"/>
          <w:b/>
          <w:sz w:val="22"/>
        </w:rPr>
        <w:t>Approved</w:t>
      </w:r>
      <w:r>
        <w:rPr>
          <w:rFonts w:ascii="Arial" w:hAnsi="Arial"/>
          <w:sz w:val="22"/>
        </w:rPr>
        <w:t> </w:t>
      </w:r>
      <w:r>
        <w:rPr>
          <w:rFonts w:ascii="Arial" w:hAnsi="Arial"/>
          <w:b/>
          <w:sz w:val="22"/>
        </w:rPr>
        <w:t>Valuer</w:t>
      </w:r>
      <w:r>
        <w:rPr>
          <w:rFonts w:ascii="Arial" w:hAnsi="Arial"/>
          <w:sz w:val="22"/>
        </w:rPr>
        <w:t xml:space="preserve"> means a company or firm of duly qualified and licensed real estate valuers acceptable to the Bank in all respects and instructed by (or with the approval of) the Bank. </w:t>
      </w:r>
    </w:p>
    <w:p>
      <w:pPr>
        <w:pStyle w:val="TextBody"/>
        <w:bidi w:val="0"/>
        <w:spacing w:lineRule="auto" w:line="266" w:before="117" w:after="0"/>
        <w:ind w:left="3120" w:right="1838" w:hanging="0"/>
        <w:jc w:val="both"/>
        <w:rPr>
          <w:rFonts w:ascii="Arial" w:hAnsi="Arial"/>
          <w:sz w:val="20"/>
        </w:rPr>
      </w:pPr>
      <w:r>
        <w:rPr>
          <w:rFonts w:ascii="Arial" w:hAnsi="Arial"/>
          <w:b/>
          <w:sz w:val="21"/>
        </w:rPr>
        <w:t>April</w:t>
      </w:r>
      <w:r>
        <w:rPr>
          <w:rFonts w:ascii="Arial" w:hAnsi="Arial"/>
          <w:sz w:val="20"/>
        </w:rPr>
        <w:t> </w:t>
      </w:r>
      <w:r>
        <w:rPr>
          <w:rFonts w:ascii="Arial" w:hAnsi="Arial"/>
          <w:b/>
          <w:sz w:val="21"/>
        </w:rPr>
        <w:t>2024</w:t>
      </w:r>
      <w:r>
        <w:rPr>
          <w:rFonts w:ascii="Arial" w:hAnsi="Arial"/>
          <w:sz w:val="20"/>
        </w:rPr>
        <w:t> </w:t>
      </w:r>
      <w:r>
        <w:rPr>
          <w:rFonts w:ascii="Arial" w:hAnsi="Arial"/>
          <w:b/>
          <w:sz w:val="21"/>
        </w:rPr>
        <w:t>Amendment</w:t>
      </w:r>
      <w:r>
        <w:rPr>
          <w:rFonts w:ascii="Arial" w:hAnsi="Arial"/>
          <w:sz w:val="20"/>
        </w:rPr>
        <w:t> </w:t>
      </w:r>
      <w:r>
        <w:rPr>
          <w:rFonts w:ascii="Arial" w:hAnsi="Arial"/>
          <w:b/>
          <w:sz w:val="21"/>
        </w:rPr>
        <w:t>Date</w:t>
      </w:r>
      <w:r>
        <w:rPr>
          <w:rFonts w:ascii="Arial" w:hAnsi="Arial"/>
          <w:sz w:val="20"/>
        </w:rPr>
        <w:t> </w:t>
      </w:r>
      <w:r>
        <w:rPr>
          <w:rFonts w:ascii="Arial" w:hAnsi="Arial"/>
          <w:sz w:val="21"/>
        </w:rPr>
        <w:t>has</w:t>
      </w:r>
      <w:r>
        <w:rPr>
          <w:rFonts w:ascii="Arial" w:hAnsi="Arial"/>
          <w:sz w:val="20"/>
        </w:rPr>
        <w:t> </w:t>
      </w:r>
      <w:r>
        <w:rPr>
          <w:rFonts w:ascii="Arial" w:hAnsi="Arial"/>
          <w:sz w:val="21"/>
        </w:rPr>
        <w:t>the</w:t>
      </w:r>
      <w:r>
        <w:rPr>
          <w:rFonts w:ascii="Arial" w:hAnsi="Arial"/>
          <w:sz w:val="20"/>
        </w:rPr>
        <w:t> </w:t>
      </w:r>
      <w:r>
        <w:rPr>
          <w:rFonts w:ascii="Arial" w:hAnsi="Arial"/>
          <w:sz w:val="21"/>
        </w:rPr>
        <w:t>meaning</w:t>
      </w:r>
      <w:r>
        <w:rPr>
          <w:rFonts w:ascii="Arial" w:hAnsi="Arial"/>
          <w:sz w:val="20"/>
        </w:rPr>
        <w:t> </w:t>
      </w:r>
      <w:r>
        <w:rPr>
          <w:rFonts w:ascii="Arial" w:hAnsi="Arial"/>
          <w:sz w:val="21"/>
        </w:rPr>
        <w:t>given</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term</w:t>
      </w:r>
      <w:r>
        <w:rPr>
          <w:rFonts w:ascii="Arial" w:hAnsi="Arial"/>
          <w:sz w:val="20"/>
        </w:rPr>
        <w:t> ‘</w:t>
      </w:r>
      <w:r>
        <w:rPr>
          <w:rFonts w:ascii="Arial" w:hAnsi="Arial"/>
          <w:sz w:val="21"/>
        </w:rPr>
        <w:t>Effective Date’ in the April 2024 Amendment Deed.</w:t>
      </w:r>
      <w:r>
        <w:rPr>
          <w:rFonts w:ascii="Arial" w:hAnsi="Arial"/>
          <w:sz w:val="20"/>
        </w:rPr>
        <w:t xml:space="preserve"> </w:t>
      </w:r>
    </w:p>
    <w:p>
      <w:pPr>
        <w:pStyle w:val="TextBody"/>
        <w:pBdr/>
        <w:bidi w:val="0"/>
        <w:spacing w:lineRule="auto" w:line="266" w:before="120" w:after="0"/>
        <w:ind w:left="3118" w:right="1421" w:hanging="0"/>
        <w:jc w:val="both"/>
        <w:rPr>
          <w:rFonts w:ascii="Arial" w:hAnsi="Arial"/>
          <w:sz w:val="22"/>
        </w:rPr>
      </w:pPr>
      <w:r>
        <w:rPr>
          <w:rFonts w:ascii="Arial" w:hAnsi="Arial"/>
          <w:b/>
          <w:sz w:val="22"/>
        </w:rPr>
        <w:t>April</w:t>
      </w:r>
      <w:r>
        <w:rPr>
          <w:rFonts w:ascii="Arial" w:hAnsi="Arial"/>
          <w:sz w:val="22"/>
        </w:rPr>
        <w:t> </w:t>
      </w:r>
      <w:r>
        <w:rPr>
          <w:rFonts w:ascii="Arial" w:hAnsi="Arial"/>
          <w:b/>
          <w:sz w:val="22"/>
        </w:rPr>
        <w:t>2024</w:t>
      </w:r>
      <w:r>
        <w:rPr>
          <w:rFonts w:ascii="Arial" w:hAnsi="Arial"/>
          <w:sz w:val="22"/>
        </w:rPr>
        <w:t> </w:t>
      </w:r>
      <w:r>
        <w:rPr>
          <w:rFonts w:ascii="Arial" w:hAnsi="Arial"/>
          <w:b/>
          <w:sz w:val="22"/>
        </w:rPr>
        <w:t>Amendment</w:t>
      </w:r>
      <w:r>
        <w:rPr>
          <w:rFonts w:ascii="Arial" w:hAnsi="Arial"/>
          <w:sz w:val="22"/>
        </w:rPr>
        <w:t> </w:t>
      </w:r>
      <w:r>
        <w:rPr>
          <w:rFonts w:ascii="Arial" w:hAnsi="Arial"/>
          <w:b/>
          <w:sz w:val="22"/>
        </w:rPr>
        <w:t>Deed</w:t>
      </w:r>
      <w:r>
        <w:rPr>
          <w:rFonts w:ascii="Arial" w:hAnsi="Arial"/>
          <w:sz w:val="22"/>
        </w:rPr>
        <w:t xml:space="preserve"> means the Amendment Deed dated on or about 4 April 2024 between the Borrower, each Guarantor and the Bank, under which this document is amended. </w:t>
      </w:r>
    </w:p>
    <w:p>
      <w:pPr>
        <w:pStyle w:val="TextBody"/>
        <w:pBdr/>
        <w:bidi w:val="0"/>
        <w:spacing w:lineRule="auto" w:line="266" w:before="120" w:after="0"/>
        <w:ind w:left="3118" w:right="1471" w:hanging="0"/>
        <w:jc w:val="left"/>
        <w:rPr>
          <w:rFonts w:ascii="Arial" w:hAnsi="Arial"/>
          <w:sz w:val="22"/>
        </w:rPr>
      </w:pPr>
      <w:r>
        <w:rPr>
          <w:rFonts w:ascii="Arial" w:hAnsi="Arial"/>
          <w:b/>
          <w:sz w:val="22"/>
        </w:rPr>
        <w:t>Attorney</w:t>
      </w:r>
      <w:r>
        <w:rPr>
          <w:rFonts w:ascii="Arial" w:hAnsi="Arial"/>
          <w:sz w:val="22"/>
        </w:rPr>
        <w:t xml:space="preserve"> means any attorney appointed under this document and any sub- attorney appointed by an Attorney. </w:t>
      </w:r>
    </w:p>
    <w:p>
      <w:pPr>
        <w:pStyle w:val="TextBody"/>
        <w:bidi w:val="0"/>
        <w:spacing w:lineRule="auto" w:line="266" w:before="119" w:after="0"/>
        <w:ind w:left="3118" w:right="1471" w:hanging="0"/>
        <w:jc w:val="left"/>
        <w:rPr>
          <w:rFonts w:ascii="Arial" w:hAnsi="Arial"/>
          <w:sz w:val="20"/>
        </w:rPr>
      </w:pPr>
      <w:r>
        <w:rPr>
          <w:rFonts w:ascii="Arial" w:hAnsi="Arial"/>
          <w:b/>
          <w:sz w:val="21"/>
        </w:rPr>
        <w:t>August</w:t>
      </w:r>
      <w:r>
        <w:rPr>
          <w:rFonts w:ascii="Arial" w:hAnsi="Arial"/>
          <w:sz w:val="20"/>
        </w:rPr>
        <w:t> </w:t>
      </w:r>
      <w:r>
        <w:rPr>
          <w:rFonts w:ascii="Arial" w:hAnsi="Arial"/>
          <w:b/>
          <w:sz w:val="21"/>
        </w:rPr>
        <w:t>2023</w:t>
      </w:r>
      <w:r>
        <w:rPr>
          <w:rFonts w:ascii="Arial" w:hAnsi="Arial"/>
          <w:sz w:val="20"/>
        </w:rPr>
        <w:t> </w:t>
      </w:r>
      <w:r>
        <w:rPr>
          <w:rFonts w:ascii="Arial" w:hAnsi="Arial"/>
          <w:b/>
          <w:sz w:val="21"/>
        </w:rPr>
        <w:t>Amendment</w:t>
      </w:r>
      <w:r>
        <w:rPr>
          <w:rFonts w:ascii="Arial" w:hAnsi="Arial"/>
          <w:sz w:val="20"/>
        </w:rPr>
        <w:t> </w:t>
      </w:r>
      <w:r>
        <w:rPr>
          <w:rFonts w:ascii="Arial" w:hAnsi="Arial"/>
          <w:b/>
          <w:sz w:val="21"/>
        </w:rPr>
        <w:t>Date</w:t>
      </w:r>
      <w:r>
        <w:rPr>
          <w:rFonts w:ascii="Arial" w:hAnsi="Arial"/>
          <w:sz w:val="20"/>
        </w:rPr>
        <w:t> </w:t>
      </w:r>
      <w:r>
        <w:rPr>
          <w:rFonts w:ascii="Arial" w:hAnsi="Arial"/>
          <w:sz w:val="21"/>
        </w:rPr>
        <w:t>has</w:t>
      </w:r>
      <w:r>
        <w:rPr>
          <w:rFonts w:ascii="Arial" w:hAnsi="Arial"/>
          <w:sz w:val="20"/>
        </w:rPr>
        <w:t> </w:t>
      </w:r>
      <w:r>
        <w:rPr>
          <w:rFonts w:ascii="Arial" w:hAnsi="Arial"/>
          <w:sz w:val="21"/>
        </w:rPr>
        <w:t>the</w:t>
      </w:r>
      <w:r>
        <w:rPr>
          <w:rFonts w:ascii="Arial" w:hAnsi="Arial"/>
          <w:sz w:val="20"/>
        </w:rPr>
        <w:t> </w:t>
      </w:r>
      <w:r>
        <w:rPr>
          <w:rFonts w:ascii="Arial" w:hAnsi="Arial"/>
          <w:sz w:val="21"/>
        </w:rPr>
        <w:t>meaning</w:t>
      </w:r>
      <w:r>
        <w:rPr>
          <w:rFonts w:ascii="Arial" w:hAnsi="Arial"/>
          <w:sz w:val="20"/>
        </w:rPr>
        <w:t> </w:t>
      </w:r>
      <w:r>
        <w:rPr>
          <w:rFonts w:ascii="Arial" w:hAnsi="Arial"/>
          <w:sz w:val="21"/>
        </w:rPr>
        <w:t>given</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term</w:t>
      </w:r>
      <w:r>
        <w:rPr>
          <w:rFonts w:ascii="Arial" w:hAnsi="Arial"/>
          <w:sz w:val="20"/>
        </w:rPr>
        <w:t> ‘</w:t>
      </w:r>
      <w:r>
        <w:rPr>
          <w:rFonts w:ascii="Arial" w:hAnsi="Arial"/>
          <w:sz w:val="21"/>
        </w:rPr>
        <w:t>Effective Date’ in the August 2023 Amendment Deed.</w:t>
      </w:r>
      <w:r>
        <w:rPr>
          <w:rFonts w:ascii="Arial" w:hAnsi="Arial"/>
          <w:sz w:val="20"/>
        </w:rPr>
        <w:t xml:space="preserve"> </w:t>
      </w:r>
    </w:p>
    <w:p>
      <w:pPr>
        <w:pStyle w:val="TextBody"/>
        <w:pBdr/>
        <w:bidi w:val="0"/>
        <w:spacing w:lineRule="auto" w:line="266" w:before="119" w:after="0"/>
        <w:ind w:left="3118" w:right="1471" w:hanging="0"/>
        <w:jc w:val="left"/>
        <w:rPr>
          <w:rFonts w:ascii="Arial" w:hAnsi="Arial"/>
          <w:sz w:val="22"/>
        </w:rPr>
      </w:pPr>
      <w:r>
        <w:rPr>
          <w:rFonts w:ascii="Arial" w:hAnsi="Arial"/>
          <w:b/>
          <w:sz w:val="22"/>
        </w:rPr>
        <w:t>August</w:t>
      </w:r>
      <w:r>
        <w:rPr>
          <w:rFonts w:ascii="Arial" w:hAnsi="Arial"/>
          <w:sz w:val="22"/>
        </w:rPr>
        <w:t> </w:t>
      </w:r>
      <w:r>
        <w:rPr>
          <w:rFonts w:ascii="Arial" w:hAnsi="Arial"/>
          <w:b/>
          <w:sz w:val="22"/>
        </w:rPr>
        <w:t>2023</w:t>
      </w:r>
      <w:r>
        <w:rPr>
          <w:rFonts w:ascii="Arial" w:hAnsi="Arial"/>
          <w:sz w:val="22"/>
        </w:rPr>
        <w:t> </w:t>
      </w:r>
      <w:r>
        <w:rPr>
          <w:rFonts w:ascii="Arial" w:hAnsi="Arial"/>
          <w:b/>
          <w:sz w:val="22"/>
        </w:rPr>
        <w:t>Amendment</w:t>
      </w:r>
      <w:r>
        <w:rPr>
          <w:rFonts w:ascii="Arial" w:hAnsi="Arial"/>
          <w:sz w:val="22"/>
        </w:rPr>
        <w:t> </w:t>
      </w:r>
      <w:r>
        <w:rPr>
          <w:rFonts w:ascii="Arial" w:hAnsi="Arial"/>
          <w:b/>
          <w:sz w:val="22"/>
        </w:rPr>
        <w:t>Deed</w:t>
      </w:r>
      <w:r>
        <w:rPr>
          <w:rFonts w:ascii="Arial" w:hAnsi="Arial"/>
          <w:sz w:val="22"/>
        </w:rPr>
        <w:t xml:space="preserve"> means the Amendment Deed dated on or about August 2023 between the Borrower, each Guarantor and the Bank, under which this document is amended. </w:t>
      </w:r>
    </w:p>
    <w:p>
      <w:pPr>
        <w:pStyle w:val="TextBody"/>
        <w:pBdr/>
        <w:bidi w:val="0"/>
        <w:spacing w:lineRule="auto" w:line="266" w:before="118" w:after="0"/>
        <w:ind w:left="3120" w:right="1486" w:hanging="0"/>
        <w:jc w:val="left"/>
        <w:rPr>
          <w:rFonts w:ascii="Arial" w:hAnsi="Arial"/>
          <w:sz w:val="22"/>
        </w:rPr>
      </w:pPr>
      <w:r>
        <w:rPr>
          <w:rFonts w:ascii="Arial" w:hAnsi="Arial"/>
          <w:b/>
          <w:sz w:val="22"/>
        </w:rPr>
        <w:t xml:space="preserve">Authorisation </w:t>
      </w:r>
      <w:r>
        <w:rPr>
          <w:rFonts w:ascii="Arial" w:hAnsi="Arial"/>
          <w:sz w:val="22"/>
        </w:rPr>
        <w:t xml:space="preserve">includes any authorisation, consent, licence, permission, approval or exemption from any Government Body. If a Government Body 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 </w:t>
      </w:r>
    </w:p>
    <w:p>
      <w:pPr>
        <w:pStyle w:val="TextBody"/>
        <w:pBdr/>
        <w:bidi w:val="0"/>
        <w:spacing w:lineRule="auto" w:line="266" w:before="118" w:after="0"/>
        <w:ind w:left="3118" w:right="1500" w:hanging="0"/>
        <w:jc w:val="left"/>
        <w:rPr>
          <w:rFonts w:ascii="Arial" w:hAnsi="Arial"/>
          <w:sz w:val="22"/>
        </w:rPr>
      </w:pPr>
      <w:r>
        <w:rPr>
          <w:rFonts w:ascii="Arial" w:hAnsi="Arial"/>
          <w:b/>
          <w:sz w:val="22"/>
        </w:rPr>
        <w:t xml:space="preserve">Authorised Representative </w:t>
      </w:r>
      <w:r>
        <w:rPr>
          <w:rFonts w:ascii="Arial" w:hAnsi="Arial"/>
          <w:sz w:val="22"/>
        </w:rPr>
        <w:t xml:space="preserve">means, in relation to any party to this document, a person with the right to act as the agent of that party for the purposes of this document. It includes a director or company secretary of that party (if it is a corporation) and, in the case of the Bank, an employee of the Bank 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 </w:t>
      </w:r>
    </w:p>
    <w:p>
      <w:pPr>
        <w:pStyle w:val="TextBody"/>
        <w:pBdr/>
        <w:bidi w:val="0"/>
        <w:spacing w:lineRule="auto" w:line="266" w:before="0" w:after="0"/>
        <w:ind w:left="1700" w:right="700" w:hanging="0"/>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18" w:right="1471" w:hanging="0"/>
        <w:jc w:val="both"/>
        <w:rPr>
          <w:rFonts w:ascii="Arial" w:hAnsi="Arial"/>
          <w:sz w:val="22"/>
        </w:rPr>
      </w:pPr>
      <w:r>
        <w:rPr>
          <w:rFonts w:ascii="Arial" w:hAnsi="Arial"/>
          <w:b/>
          <w:sz w:val="22"/>
        </w:rPr>
        <w:t xml:space="preserve">Availability Period </w:t>
      </w:r>
      <w:r>
        <w:rPr>
          <w:rFonts w:ascii="Arial" w:hAnsi="Arial"/>
          <w:sz w:val="22"/>
        </w:rPr>
        <w:t xml:space="preserve">means in respect of each Facility, the period beginning on the date on which the conditions precedent are satisfied or waived by the Bank in accordance with the Transaction Documents and ending on the Termination Date. </w:t>
      </w:r>
    </w:p>
    <w:p>
      <w:pPr>
        <w:pStyle w:val="TextBody"/>
        <w:pBdr/>
        <w:bidi w:val="0"/>
        <w:spacing w:lineRule="auto" w:line="266" w:before="118" w:after="0"/>
        <w:ind w:left="3118" w:right="1486" w:hanging="0"/>
        <w:jc w:val="left"/>
        <w:rPr>
          <w:rFonts w:ascii="Arial" w:hAnsi="Arial"/>
          <w:sz w:val="22"/>
        </w:rPr>
      </w:pPr>
      <w:r>
        <w:rPr>
          <w:rFonts w:ascii="Arial" w:hAnsi="Arial"/>
          <w:b/>
          <w:sz w:val="22"/>
        </w:rPr>
        <w:t>Available</w:t>
      </w:r>
      <w:r>
        <w:rPr>
          <w:rFonts w:ascii="Arial" w:hAnsi="Arial"/>
          <w:sz w:val="22"/>
        </w:rPr>
        <w:t> </w:t>
      </w:r>
      <w:r>
        <w:rPr>
          <w:rFonts w:ascii="Arial" w:hAnsi="Arial"/>
          <w:b/>
          <w:sz w:val="22"/>
        </w:rPr>
        <w:t>Commitment</w:t>
      </w:r>
      <w:r>
        <w:rPr>
          <w:rFonts w:ascii="Arial" w:hAnsi="Arial"/>
          <w:sz w:val="22"/>
        </w:rPr>
        <w:t xml:space="preserve"> means in respect of a Facility, the Facility Limit less the Outstanding Accommodation relating to that Facility. </w:t>
      </w:r>
    </w:p>
    <w:p>
      <w:pPr>
        <w:pStyle w:val="TextBody"/>
        <w:pBdr/>
        <w:bidi w:val="0"/>
        <w:spacing w:lineRule="auto" w:line="268" w:before="119" w:after="0"/>
        <w:ind w:left="3120" w:right="1500" w:hanging="0"/>
        <w:jc w:val="left"/>
        <w:rPr>
          <w:rFonts w:ascii="Arial" w:hAnsi="Arial"/>
          <w:sz w:val="22"/>
        </w:rPr>
      </w:pPr>
      <w:r>
        <w:rPr>
          <w:rFonts w:ascii="Arial" w:hAnsi="Arial"/>
          <w:b/>
          <w:sz w:val="22"/>
        </w:rPr>
        <w:t>Bank</w:t>
      </w:r>
      <w:r>
        <w:rPr>
          <w:rFonts w:ascii="Arial" w:hAnsi="Arial"/>
          <w:sz w:val="22"/>
        </w:rPr>
        <w:t> </w:t>
      </w:r>
      <w:r>
        <w:rPr>
          <w:rFonts w:ascii="Arial" w:hAnsi="Arial"/>
          <w:b/>
          <w:sz w:val="22"/>
        </w:rPr>
        <w:t>Guarantee</w:t>
      </w:r>
      <w:r>
        <w:rPr>
          <w:rFonts w:ascii="Arial" w:hAnsi="Arial"/>
          <w:sz w:val="22"/>
        </w:rPr>
        <w:t xml:space="preserve"> means each bank guarantee issued (or deemed to have been issued) in accordance with this document. </w:t>
      </w:r>
    </w:p>
    <w:p>
      <w:pPr>
        <w:pStyle w:val="TextBody"/>
        <w:bidi w:val="0"/>
        <w:spacing w:before="115" w:after="0"/>
        <w:ind w:left="3120" w:right="700" w:hanging="0"/>
        <w:jc w:val="left"/>
        <w:rPr/>
      </w:pPr>
      <w:r>
        <w:rPr>
          <w:rFonts w:ascii="Arial" w:hAnsi="Arial"/>
          <w:b/>
          <w:sz w:val="21"/>
        </w:rPr>
        <w:t>Bank</w:t>
      </w:r>
      <w:r>
        <w:rPr>
          <w:rFonts w:ascii="Arial" w:hAnsi="Arial"/>
          <w:sz w:val="20"/>
        </w:rPr>
        <w:t> </w:t>
      </w:r>
      <w:r>
        <w:rPr>
          <w:rFonts w:ascii="Arial" w:hAnsi="Arial"/>
          <w:b/>
          <w:sz w:val="21"/>
        </w:rPr>
        <w:t>Guarantee</w:t>
      </w:r>
      <w:r>
        <w:rPr>
          <w:rFonts w:ascii="Arial" w:hAnsi="Arial"/>
          <w:sz w:val="20"/>
        </w:rPr>
        <w:t> </w:t>
      </w:r>
      <w:r>
        <w:rPr>
          <w:rFonts w:ascii="Arial" w:hAnsi="Arial"/>
          <w:b/>
          <w:sz w:val="21"/>
        </w:rPr>
        <w:t>Facility</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Facility</w:t>
      </w:r>
      <w:r>
        <w:rPr>
          <w:rFonts w:ascii="Arial" w:hAnsi="Arial"/>
          <w:sz w:val="20"/>
        </w:rPr>
        <w:t> </w:t>
      </w:r>
      <w:r>
        <w:rPr>
          <w:rFonts w:ascii="Arial" w:hAnsi="Arial"/>
          <w:sz w:val="21"/>
        </w:rPr>
        <w:t>described</w:t>
      </w:r>
      <w:r>
        <w:rPr>
          <w:rFonts w:ascii="Arial" w:hAnsi="Arial"/>
          <w:sz w:val="20"/>
        </w:rPr>
        <w:t> </w:t>
      </w:r>
      <w:r>
        <w:rPr>
          <w:rFonts w:ascii="Arial" w:hAnsi="Arial"/>
          <w:sz w:val="21"/>
        </w:rPr>
        <w:t>as</w:t>
      </w:r>
      <w:r>
        <w:rPr>
          <w:rFonts w:ascii="Arial" w:hAnsi="Arial"/>
          <w:sz w:val="20"/>
        </w:rPr>
        <w:t> </w:t>
      </w:r>
      <w:r>
        <w:rPr>
          <w:rFonts w:ascii="Arial" w:hAnsi="Arial"/>
          <w:sz w:val="21"/>
        </w:rPr>
        <w:t>such</w:t>
      </w:r>
      <w:r>
        <w:rPr>
          <w:rFonts w:ascii="Arial" w:hAnsi="Arial"/>
          <w:sz w:val="20"/>
        </w:rPr>
        <w:t> </w:t>
      </w:r>
      <w:r>
        <w:rPr>
          <w:rFonts w:ascii="Arial" w:hAnsi="Arial"/>
          <w:sz w:val="21"/>
        </w:rPr>
        <w:t>in</w:t>
      </w:r>
      <w:r>
        <w:rPr>
          <w:rFonts w:ascii="Arial" w:hAnsi="Arial"/>
          <w:sz w:val="20"/>
        </w:rPr>
        <w:t> </w:t>
      </w:r>
      <w:r>
        <w:rPr>
          <w:rFonts w:ascii="Arial" w:hAnsi="Arial"/>
          <w:b/>
          <w:sz w:val="21"/>
        </w:rPr>
        <w:t>schedule</w:t>
      </w:r>
      <w:r>
        <w:rPr>
          <w:rFonts w:ascii="Arial" w:hAnsi="Arial"/>
          <w:sz w:val="20"/>
        </w:rPr>
        <w:t> </w:t>
      </w:r>
      <w:hyperlink w:anchor="_bookmark201">
        <w:r>
          <w:rPr>
            <w:rStyle w:val="InternetLink"/>
            <w:rFonts w:ascii="Arial" w:hAnsi="Arial"/>
            <w:b/>
            <w:sz w:val="21"/>
          </w:rPr>
          <w:t>2</w:t>
        </w:r>
      </w:hyperlink>
      <w:r>
        <w:rPr>
          <w:rFonts w:ascii="Arial" w:hAnsi="Arial"/>
          <w:sz w:val="20"/>
        </w:rPr>
        <w:t xml:space="preserve"> </w:t>
      </w:r>
    </w:p>
    <w:p>
      <w:pPr>
        <w:pStyle w:val="TextBody"/>
        <w:bidi w:val="0"/>
        <w:spacing w:before="28" w:after="0"/>
        <w:ind w:left="3120" w:right="700" w:hanging="0"/>
        <w:jc w:val="left"/>
        <w:rPr/>
      </w:pPr>
      <w:r>
        <w:rPr>
          <w:rFonts w:ascii="Arial" w:hAnsi="Arial"/>
          <w:sz w:val="21"/>
        </w:rPr>
        <w:t>and</w:t>
      </w:r>
      <w:r>
        <w:rPr>
          <w:rFonts w:ascii="Arial" w:hAnsi="Arial"/>
          <w:sz w:val="20"/>
        </w:rPr>
        <w:t> </w:t>
      </w:r>
      <w:r>
        <w:rPr>
          <w:rFonts w:ascii="Arial" w:hAnsi="Arial"/>
          <w:sz w:val="21"/>
        </w:rPr>
        <w:t>granted</w:t>
      </w:r>
      <w:r>
        <w:rPr>
          <w:rFonts w:ascii="Arial" w:hAnsi="Arial"/>
          <w:sz w:val="20"/>
        </w:rPr>
        <w:t> </w:t>
      </w:r>
      <w:r>
        <w:rPr>
          <w:rFonts w:ascii="Arial" w:hAnsi="Arial"/>
          <w:sz w:val="21"/>
        </w:rPr>
        <w:t>pursuant</w:t>
      </w:r>
      <w:r>
        <w:rPr>
          <w:rFonts w:ascii="Arial" w:hAnsi="Arial"/>
          <w:sz w:val="20"/>
        </w:rPr>
        <w:t> </w:t>
      </w:r>
      <w:r>
        <w:rPr>
          <w:rFonts w:ascii="Arial" w:hAnsi="Arial"/>
          <w:sz w:val="21"/>
        </w:rPr>
        <w:t>to</w:t>
      </w:r>
      <w:r>
        <w:rPr>
          <w:rFonts w:ascii="Arial" w:hAnsi="Arial"/>
          <w:sz w:val="20"/>
        </w:rPr>
        <w:t> </w:t>
      </w:r>
      <w:r>
        <w:rPr>
          <w:rFonts w:ascii="Arial" w:hAnsi="Arial"/>
          <w:b/>
          <w:sz w:val="21"/>
        </w:rPr>
        <w:t>clause</w:t>
      </w:r>
      <w:r>
        <w:rPr>
          <w:rFonts w:ascii="Arial" w:hAnsi="Arial"/>
          <w:sz w:val="20"/>
        </w:rPr>
        <w:t> </w:t>
      </w:r>
      <w:hyperlink w:anchor="_bookmark39">
        <w:r>
          <w:rPr>
            <w:rStyle w:val="InternetLink"/>
            <w:rFonts w:ascii="Arial" w:hAnsi="Arial"/>
            <w:b/>
            <w:sz w:val="21"/>
          </w:rPr>
          <w:t>4.1</w:t>
        </w:r>
      </w:hyperlink>
      <w:hyperlink w:anchor="_bookmark40">
        <w:r>
          <w:rPr>
            <w:rStyle w:val="InternetLink"/>
            <w:rFonts w:ascii="Arial" w:hAnsi="Arial"/>
            <w:b/>
            <w:sz w:val="21"/>
          </w:rPr>
          <w:t>(a)</w:t>
        </w:r>
      </w:hyperlink>
      <w:hyperlink w:anchor="_bookmark42">
        <w:r>
          <w:rPr>
            <w:rStyle w:val="InternetLink"/>
            <w:rFonts w:ascii="Arial" w:hAnsi="Arial"/>
            <w:b/>
            <w:sz w:val="21"/>
          </w:rPr>
          <w:t>(ii)</w:t>
        </w:r>
      </w:hyperlink>
      <w:hyperlink w:anchor="_bookmark42">
        <w:r>
          <w:rPr>
            <w:rStyle w:val="InternetLink"/>
            <w:rFonts w:ascii="Arial" w:hAnsi="Arial"/>
            <w:sz w:val="21"/>
          </w:rPr>
          <w:t>.</w:t>
        </w:r>
      </w:hyperlink>
      <w:r>
        <w:rPr>
          <w:rFonts w:ascii="Arial" w:hAnsi="Arial"/>
          <w:sz w:val="20"/>
        </w:rPr>
        <w:t xml:space="preserve"> </w:t>
      </w:r>
    </w:p>
    <w:p>
      <w:pPr>
        <w:pStyle w:val="TextBody"/>
        <w:bidi w:val="0"/>
        <w:spacing w:before="152" w:after="0"/>
        <w:ind w:left="3120" w:right="700" w:hanging="0"/>
        <w:jc w:val="left"/>
        <w:rPr>
          <w:rFonts w:ascii="Arial" w:hAnsi="Arial"/>
          <w:sz w:val="20"/>
        </w:rPr>
      </w:pPr>
      <w:r>
        <w:rPr>
          <w:rFonts w:ascii="Arial" w:hAnsi="Arial"/>
          <w:b/>
          <w:sz w:val="21"/>
        </w:rPr>
        <w:t>Base</w:t>
      </w:r>
      <w:r>
        <w:rPr>
          <w:rFonts w:ascii="Arial" w:hAnsi="Arial"/>
          <w:sz w:val="20"/>
        </w:rPr>
        <w:t> </w:t>
      </w:r>
      <w:r>
        <w:rPr>
          <w:rFonts w:ascii="Arial" w:hAnsi="Arial"/>
          <w:b/>
          <w:sz w:val="21"/>
        </w:rPr>
        <w:t>Rate</w:t>
      </w:r>
      <w:r>
        <w:rPr>
          <w:rFonts w:ascii="Arial" w:hAnsi="Arial"/>
          <w:sz w:val="20"/>
        </w:rPr>
        <w:t> </w:t>
      </w:r>
      <w:r>
        <w:rPr>
          <w:rFonts w:ascii="Arial" w:hAnsi="Arial"/>
          <w:sz w:val="21"/>
        </w:rPr>
        <w:t>means,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Pricing</w:t>
      </w:r>
      <w:r>
        <w:rPr>
          <w:rFonts w:ascii="Arial" w:hAnsi="Arial"/>
          <w:sz w:val="20"/>
        </w:rPr>
        <w:t> </w:t>
      </w:r>
      <w:r>
        <w:rPr>
          <w:rFonts w:ascii="Arial" w:hAnsi="Arial"/>
          <w:sz w:val="21"/>
        </w:rPr>
        <w:t>Period:</w:t>
      </w:r>
      <w:r>
        <w:rPr>
          <w:rFonts w:ascii="Arial" w:hAnsi="Arial"/>
          <w:sz w:val="20"/>
        </w:rPr>
        <w:t xml:space="preserve"> </w:t>
      </w:r>
    </w:p>
    <w:p>
      <w:pPr>
        <w:pStyle w:val="TextBody"/>
        <w:bidi w:val="0"/>
        <w:spacing w:lineRule="auto" w:line="266" w:before="147" w:after="0"/>
        <w:ind w:left="3686" w:right="1422" w:hanging="0"/>
        <w:jc w:val="left"/>
        <w:rPr>
          <w:rFonts w:ascii="Arial" w:hAnsi="Arial"/>
          <w:sz w:val="20"/>
        </w:rPr>
      </w:pPr>
      <w:r>
        <w:rPr>
          <w:rFonts w:ascii="Arial" w:hAnsi="Arial"/>
          <w:sz w:val="21"/>
        </w:rPr>
        <w:t>(a)the</w:t>
      </w:r>
      <w:r>
        <w:rPr>
          <w:rFonts w:ascii="Arial" w:hAnsi="Arial"/>
          <w:sz w:val="20"/>
        </w:rPr>
        <w:t> </w:t>
      </w:r>
      <w:r>
        <w:rPr>
          <w:rFonts w:ascii="Arial" w:hAnsi="Arial"/>
          <w:sz w:val="21"/>
        </w:rPr>
        <w:t>rate</w:t>
      </w:r>
      <w:r>
        <w:rPr>
          <w:rFonts w:ascii="Arial" w:hAnsi="Arial"/>
          <w:sz w:val="20"/>
        </w:rPr>
        <w:t> </w:t>
      </w:r>
      <w:r>
        <w:rPr>
          <w:rFonts w:ascii="Arial" w:hAnsi="Arial"/>
          <w:sz w:val="21"/>
        </w:rPr>
        <w:t>(expressed</w:t>
      </w:r>
      <w:r>
        <w:rPr>
          <w:rFonts w:ascii="Arial" w:hAnsi="Arial"/>
          <w:sz w:val="20"/>
        </w:rPr>
        <w:t> </w:t>
      </w:r>
      <w:r>
        <w:rPr>
          <w:rFonts w:ascii="Arial" w:hAnsi="Arial"/>
          <w:sz w:val="21"/>
        </w:rPr>
        <w:t>as</w:t>
      </w:r>
      <w:r>
        <w:rPr>
          <w:rFonts w:ascii="Arial" w:hAnsi="Arial"/>
          <w:sz w:val="20"/>
        </w:rPr>
        <w:t> </w:t>
      </w:r>
      <w:r>
        <w:rPr>
          <w:rFonts w:ascii="Arial" w:hAnsi="Arial"/>
          <w:sz w:val="21"/>
        </w:rPr>
        <w:t>a</w:t>
      </w:r>
      <w:r>
        <w:rPr>
          <w:rFonts w:ascii="Arial" w:hAnsi="Arial"/>
          <w:sz w:val="20"/>
        </w:rPr>
        <w:t> </w:t>
      </w:r>
      <w:r>
        <w:rPr>
          <w:rFonts w:ascii="Arial" w:hAnsi="Arial"/>
          <w:sz w:val="21"/>
        </w:rPr>
        <w:t>percentage</w:t>
      </w:r>
      <w:r>
        <w:rPr>
          <w:rFonts w:ascii="Arial" w:hAnsi="Arial"/>
          <w:sz w:val="20"/>
        </w:rPr>
        <w:t> </w:t>
      </w:r>
      <w:r>
        <w:rPr>
          <w:rFonts w:ascii="Arial" w:hAnsi="Arial"/>
          <w:sz w:val="21"/>
        </w:rPr>
        <w:t>yield</w:t>
      </w:r>
      <w:r>
        <w:rPr>
          <w:rFonts w:ascii="Arial" w:hAnsi="Arial"/>
          <w:sz w:val="20"/>
        </w:rPr>
        <w:t> </w:t>
      </w:r>
      <w:r>
        <w:rPr>
          <w:rFonts w:ascii="Arial" w:hAnsi="Arial"/>
          <w:sz w:val="21"/>
        </w:rPr>
        <w:t>per</w:t>
      </w:r>
      <w:r>
        <w:rPr>
          <w:rFonts w:ascii="Arial" w:hAnsi="Arial"/>
          <w:sz w:val="20"/>
        </w:rPr>
        <w:t> </w:t>
      </w:r>
      <w:r>
        <w:rPr>
          <w:rFonts w:ascii="Arial" w:hAnsi="Arial"/>
          <w:sz w:val="21"/>
        </w:rPr>
        <w:t>annum</w:t>
      </w:r>
      <w:r>
        <w:rPr>
          <w:rFonts w:ascii="Arial" w:hAnsi="Arial"/>
          <w:sz w:val="20"/>
        </w:rPr>
        <w:t> </w:t>
      </w:r>
      <w:r>
        <w:rPr>
          <w:rFonts w:ascii="Arial" w:hAnsi="Arial"/>
          <w:sz w:val="21"/>
        </w:rPr>
        <w:t>to</w:t>
      </w:r>
      <w:r>
        <w:rPr>
          <w:rFonts w:ascii="Arial" w:hAnsi="Arial"/>
          <w:sz w:val="20"/>
        </w:rPr>
        <w:t> </w:t>
      </w:r>
      <w:r>
        <w:rPr>
          <w:rFonts w:ascii="Arial" w:hAnsi="Arial"/>
          <w:sz w:val="21"/>
        </w:rPr>
        <w:t>maturity,</w:t>
      </w:r>
      <w:r>
        <w:rPr>
          <w:rFonts w:ascii="Arial" w:hAnsi="Arial"/>
          <w:sz w:val="20"/>
        </w:rPr>
        <w:t> </w:t>
      </w:r>
      <w:r>
        <w:rPr>
          <w:rFonts w:ascii="Arial" w:hAnsi="Arial"/>
          <w:sz w:val="21"/>
        </w:rPr>
        <w:t>and</w:t>
      </w:r>
      <w:r>
        <w:rPr>
          <w:rFonts w:ascii="Arial" w:hAnsi="Arial"/>
          <w:sz w:val="20"/>
        </w:rPr>
        <w:t> </w:t>
      </w:r>
      <w:r>
        <w:rPr>
          <w:rFonts w:ascii="Arial" w:hAnsi="Arial"/>
          <w:sz w:val="21"/>
        </w:rPr>
        <w:t>not being less than zero) being the arithmetic average (rounded up to the nearest four decimal places) of the buying rates published at or about</w:t>
      </w:r>
      <w:r>
        <w:rPr>
          <w:rFonts w:ascii="Arial" w:hAnsi="Arial"/>
          <w:sz w:val="20"/>
        </w:rPr>
        <w:t xml:space="preserve"> </w:t>
      </w:r>
    </w:p>
    <w:p>
      <w:pPr>
        <w:pStyle w:val="TextBody"/>
        <w:bidi w:val="0"/>
        <w:spacing w:lineRule="auto" w:line="266" w:before="0" w:after="0"/>
        <w:ind w:left="3686" w:right="1471" w:hanging="0"/>
        <w:jc w:val="left"/>
        <w:rPr>
          <w:rFonts w:ascii="Arial" w:hAnsi="Arial"/>
          <w:sz w:val="22"/>
        </w:rPr>
      </w:pPr>
      <w:r>
        <w:rPr>
          <w:rFonts w:ascii="Arial" w:hAnsi="Arial"/>
          <w:sz w:val="22"/>
        </w:rPr>
        <w:t xml:space="preserve">10.15 am on the first Business Day of the Pricing Period on the Reuters Screen under the heading “BBSY” for Bills with a tenor as nearly as possible equal to that Pricing Period; or </w:t>
      </w:r>
    </w:p>
    <w:p>
      <w:pPr>
        <w:pStyle w:val="TextBody"/>
        <w:bidi w:val="0"/>
        <w:spacing w:before="118" w:after="0"/>
        <w:ind w:left="3686" w:right="700" w:hanging="0"/>
        <w:jc w:val="left"/>
        <w:rPr>
          <w:rFonts w:ascii="Arial" w:hAnsi="Arial"/>
          <w:sz w:val="20"/>
        </w:rPr>
      </w:pPr>
      <w:r>
        <w:rPr>
          <w:rFonts w:ascii="Arial" w:hAnsi="Arial"/>
          <w:sz w:val="21"/>
        </w:rPr>
        <w:t>(b)if:</w:t>
      </w:r>
      <w:r>
        <w:rPr>
          <w:rFonts w:ascii="Arial" w:hAnsi="Arial"/>
          <w:sz w:val="20"/>
        </w:rPr>
        <w:t xml:space="preserve"> </w:t>
      </w:r>
    </w:p>
    <w:p>
      <w:pPr>
        <w:pStyle w:val="TextBody"/>
        <w:bidi w:val="0"/>
        <w:spacing w:before="149" w:after="0"/>
        <w:ind w:left="4253" w:right="700" w:hanging="0"/>
        <w:jc w:val="left"/>
        <w:rPr>
          <w:rFonts w:ascii="Arial" w:hAnsi="Arial"/>
          <w:sz w:val="20"/>
        </w:rPr>
      </w:pPr>
      <w:r>
        <w:rPr>
          <w:rFonts w:ascii="Arial" w:hAnsi="Arial"/>
          <w:sz w:val="21"/>
        </w:rPr>
        <w:t>(i)the</w:t>
      </w:r>
      <w:r>
        <w:rPr>
          <w:rFonts w:ascii="Arial" w:hAnsi="Arial"/>
          <w:sz w:val="20"/>
        </w:rPr>
        <w:t> </w:t>
      </w:r>
      <w:r>
        <w:rPr>
          <w:rFonts w:ascii="Arial" w:hAnsi="Arial"/>
          <w:sz w:val="21"/>
        </w:rPr>
        <w:t>rate</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displayed</w:t>
      </w:r>
      <w:r>
        <w:rPr>
          <w:rFonts w:ascii="Arial" w:hAnsi="Arial"/>
          <w:sz w:val="20"/>
        </w:rPr>
        <w:t> </w:t>
      </w:r>
      <w:r>
        <w:rPr>
          <w:rFonts w:ascii="Arial" w:hAnsi="Arial"/>
          <w:sz w:val="21"/>
        </w:rPr>
        <w:t>for</w:t>
      </w:r>
      <w:r>
        <w:rPr>
          <w:rFonts w:ascii="Arial" w:hAnsi="Arial"/>
          <w:sz w:val="20"/>
        </w:rPr>
        <w:t> </w:t>
      </w:r>
      <w:r>
        <w:rPr>
          <w:rFonts w:ascii="Arial" w:hAnsi="Arial"/>
          <w:sz w:val="21"/>
        </w:rPr>
        <w:t>a</w:t>
      </w:r>
      <w:r>
        <w:rPr>
          <w:rFonts w:ascii="Arial" w:hAnsi="Arial"/>
          <w:sz w:val="20"/>
        </w:rPr>
        <w:t> </w:t>
      </w:r>
      <w:r>
        <w:rPr>
          <w:rFonts w:ascii="Arial" w:hAnsi="Arial"/>
          <w:sz w:val="21"/>
        </w:rPr>
        <w:t>term</w:t>
      </w:r>
      <w:r>
        <w:rPr>
          <w:rFonts w:ascii="Arial" w:hAnsi="Arial"/>
          <w:sz w:val="20"/>
        </w:rPr>
        <w:t> </w:t>
      </w:r>
      <w:r>
        <w:rPr>
          <w:rFonts w:ascii="Arial" w:hAnsi="Arial"/>
          <w:sz w:val="21"/>
        </w:rPr>
        <w:t>equivalent</w:t>
      </w:r>
      <w:r>
        <w:rPr>
          <w:rFonts w:ascii="Arial" w:hAnsi="Arial"/>
          <w:sz w:val="20"/>
        </w:rPr>
        <w:t> </w:t>
      </w:r>
      <w:r>
        <w:rPr>
          <w:rFonts w:ascii="Arial" w:hAnsi="Arial"/>
          <w:sz w:val="21"/>
        </w:rPr>
        <w:t>to</w:t>
      </w:r>
      <w:r>
        <w:rPr>
          <w:rFonts w:ascii="Arial" w:hAnsi="Arial"/>
          <w:sz w:val="20"/>
        </w:rPr>
        <w:t> </w:t>
      </w:r>
      <w:r>
        <w:rPr>
          <w:rFonts w:ascii="Arial" w:hAnsi="Arial"/>
          <w:sz w:val="21"/>
        </w:rPr>
        <w:t>that</w:t>
      </w:r>
      <w:r>
        <w:rPr>
          <w:rFonts w:ascii="Arial" w:hAnsi="Arial"/>
          <w:sz w:val="20"/>
        </w:rPr>
        <w:t> </w:t>
      </w:r>
      <w:r>
        <w:rPr>
          <w:rFonts w:ascii="Arial" w:hAnsi="Arial"/>
          <w:sz w:val="21"/>
        </w:rPr>
        <w:t>period;</w:t>
      </w:r>
      <w:r>
        <w:rPr>
          <w:rFonts w:ascii="Arial" w:hAnsi="Arial"/>
          <w:sz w:val="20"/>
        </w:rPr>
        <w:t xml:space="preserve"> </w:t>
      </w:r>
      <w:r>
        <w:rPr>
          <w:rFonts w:ascii="Arial" w:hAnsi="Arial"/>
          <w:sz w:val="21"/>
        </w:rPr>
        <w:t>or</w:t>
      </w:r>
      <w:r>
        <w:rPr>
          <w:rFonts w:ascii="Arial" w:hAnsi="Arial"/>
          <w:sz w:val="20"/>
        </w:rPr>
        <w:t xml:space="preserve"> </w:t>
      </w:r>
    </w:p>
    <w:p>
      <w:pPr>
        <w:pStyle w:val="TextBody"/>
        <w:bidi w:val="0"/>
        <w:spacing w:lineRule="auto" w:line="266" w:before="148" w:after="0"/>
        <w:ind w:left="4253" w:right="1466" w:hanging="0"/>
        <w:jc w:val="left"/>
        <w:rPr>
          <w:rFonts w:ascii="Arial" w:hAnsi="Arial"/>
          <w:sz w:val="20"/>
        </w:rPr>
      </w:pPr>
      <w:r>
        <w:rPr>
          <w:rFonts w:ascii="Arial" w:hAnsi="Arial"/>
          <w:sz w:val="21"/>
        </w:rPr>
        <w:t>(ii)the basis of the calculation of the rate is changed after the date of this</w:t>
      </w:r>
      <w:r>
        <w:rPr>
          <w:rFonts w:ascii="Arial" w:hAnsi="Arial"/>
          <w:sz w:val="20"/>
        </w:rPr>
        <w:t> </w:t>
      </w:r>
      <w:r>
        <w:rPr>
          <w:rFonts w:ascii="Arial" w:hAnsi="Arial"/>
          <w:sz w:val="21"/>
        </w:rPr>
        <w:t>document</w:t>
      </w:r>
      <w:r>
        <w:rPr>
          <w:rFonts w:ascii="Arial" w:hAnsi="Arial"/>
          <w:sz w:val="20"/>
        </w:rPr>
        <w:t> </w:t>
      </w:r>
      <w:r>
        <w:rPr>
          <w:rFonts w:ascii="Arial" w:hAnsi="Arial"/>
          <w:sz w:val="21"/>
        </w:rPr>
        <w:t>so</w:t>
      </w:r>
      <w:r>
        <w:rPr>
          <w:rFonts w:ascii="Arial" w:hAnsi="Arial"/>
          <w:sz w:val="20"/>
        </w:rPr>
        <w:t> </w:t>
      </w:r>
      <w:r>
        <w:rPr>
          <w:rFonts w:ascii="Arial" w:hAnsi="Arial"/>
          <w:sz w:val="21"/>
        </w:rPr>
        <w:t>that</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opinion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it</w:t>
      </w:r>
      <w:r>
        <w:rPr>
          <w:rFonts w:ascii="Arial" w:hAnsi="Arial"/>
          <w:sz w:val="20"/>
        </w:rPr>
        <w:t> </w:t>
      </w:r>
      <w:r>
        <w:rPr>
          <w:rFonts w:ascii="Arial" w:hAnsi="Arial"/>
          <w:sz w:val="21"/>
        </w:rPr>
        <w:t>ceases</w:t>
      </w:r>
      <w:r>
        <w:rPr>
          <w:rFonts w:ascii="Arial" w:hAnsi="Arial"/>
          <w:sz w:val="20"/>
        </w:rPr>
        <w:t> </w:t>
      </w:r>
      <w:r>
        <w:rPr>
          <w:rFonts w:ascii="Arial" w:hAnsi="Arial"/>
          <w:sz w:val="21"/>
        </w:rPr>
        <w:t>to</w:t>
      </w:r>
      <w:r>
        <w:rPr>
          <w:rFonts w:ascii="Arial" w:hAnsi="Arial"/>
          <w:sz w:val="20"/>
        </w:rPr>
        <w:t> </w:t>
      </w:r>
      <w:r>
        <w:rPr>
          <w:rFonts w:ascii="Arial" w:hAnsi="Arial"/>
          <w:sz w:val="21"/>
        </w:rPr>
        <w:t>reflect the cost of providing the Facility,</w:t>
      </w:r>
      <w:r>
        <w:rPr>
          <w:rFonts w:ascii="Arial" w:hAnsi="Arial"/>
          <w:sz w:val="20"/>
        </w:rPr>
        <w:t xml:space="preserve"> </w:t>
      </w:r>
    </w:p>
    <w:p>
      <w:pPr>
        <w:pStyle w:val="TextBody"/>
        <w:pBdr/>
        <w:bidi w:val="0"/>
        <w:spacing w:lineRule="auto" w:line="266" w:before="117" w:after="0"/>
        <w:ind w:left="3686" w:right="1471" w:hanging="0"/>
        <w:jc w:val="left"/>
        <w:rPr>
          <w:rFonts w:ascii="Arial" w:hAnsi="Arial"/>
          <w:sz w:val="22"/>
        </w:rPr>
      </w:pPr>
      <w:r>
        <w:rPr>
          <w:rFonts w:ascii="Arial" w:hAnsi="Arial"/>
          <w:sz w:val="22"/>
        </w:rPr>
        <w:t xml:space="preserve">the Base Rate will be the rate per centum per annum, and not being less than zero,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 </w:t>
      </w:r>
    </w:p>
    <w:p>
      <w:pPr>
        <w:pStyle w:val="TextBody"/>
        <w:pBdr/>
        <w:bidi w:val="0"/>
        <w:spacing w:lineRule="auto" w:line="266" w:before="118" w:after="0"/>
        <w:ind w:left="3120" w:right="1471" w:hanging="0"/>
        <w:jc w:val="left"/>
        <w:rPr>
          <w:rFonts w:ascii="Arial" w:hAnsi="Arial"/>
          <w:sz w:val="22"/>
        </w:rPr>
      </w:pPr>
      <w:r>
        <w:rPr>
          <w:rFonts w:ascii="Arial" w:hAnsi="Arial"/>
          <w:b/>
          <w:sz w:val="22"/>
        </w:rPr>
        <w:t>Beneficiary</w:t>
      </w:r>
      <w:r>
        <w:rPr>
          <w:rFonts w:ascii="Arial" w:hAnsi="Arial"/>
          <w:sz w:val="22"/>
        </w:rPr>
        <w:t xml:space="preserve"> means in relation to a Bank Guarantee, the person who from time to time is entitled to make a claim for payment under that Bank Guarantee against the Bank. </w:t>
      </w:r>
    </w:p>
    <w:p>
      <w:pPr>
        <w:pStyle w:val="TextBody"/>
        <w:pBdr/>
        <w:bidi w:val="0"/>
        <w:spacing w:lineRule="auto" w:line="266" w:before="117" w:after="0"/>
        <w:ind w:left="3120" w:right="1455" w:hanging="0"/>
        <w:jc w:val="both"/>
        <w:rPr>
          <w:rFonts w:ascii="Arial" w:hAnsi="Arial"/>
          <w:sz w:val="22"/>
        </w:rPr>
      </w:pPr>
      <w:r>
        <w:rPr>
          <w:rFonts w:ascii="Arial" w:hAnsi="Arial"/>
          <w:b/>
          <w:sz w:val="22"/>
        </w:rPr>
        <w:t>Bill</w:t>
      </w:r>
      <w:r>
        <w:rPr>
          <w:rFonts w:ascii="Arial" w:hAnsi="Arial"/>
          <w:sz w:val="22"/>
        </w:rPr>
        <w:t xml:space="preserve"> means a bill of exchange as defined in the </w:t>
      </w:r>
      <w:r>
        <w:rPr>
          <w:rFonts w:ascii="Arial" w:hAnsi="Arial"/>
          <w:i/>
          <w:sz w:val="22"/>
        </w:rPr>
        <w:t>Bills of</w:t>
      </w:r>
      <w:r>
        <w:rPr>
          <w:rFonts w:ascii="Arial" w:hAnsi="Arial"/>
          <w:sz w:val="22"/>
        </w:rPr>
        <w:t> </w:t>
      </w:r>
      <w:r>
        <w:rPr>
          <w:rFonts w:ascii="Arial" w:hAnsi="Arial"/>
          <w:i/>
          <w:sz w:val="22"/>
        </w:rPr>
        <w:t>Exchange</w:t>
      </w:r>
      <w:r>
        <w:rPr>
          <w:rFonts w:ascii="Arial" w:hAnsi="Arial"/>
          <w:sz w:val="22"/>
        </w:rPr>
        <w:t> </w:t>
      </w:r>
      <w:r>
        <w:rPr>
          <w:rFonts w:ascii="Arial" w:hAnsi="Arial"/>
          <w:i/>
          <w:sz w:val="22"/>
        </w:rPr>
        <w:t>Act</w:t>
      </w:r>
      <w:r>
        <w:rPr>
          <w:rFonts w:ascii="Arial" w:hAnsi="Arial"/>
          <w:sz w:val="22"/>
        </w:rPr>
        <w:t> </w:t>
      </w:r>
      <w:r>
        <w:rPr>
          <w:rFonts w:ascii="Arial" w:hAnsi="Arial"/>
          <w:i/>
          <w:sz w:val="22"/>
        </w:rPr>
        <w:t xml:space="preserve">1909 </w:t>
      </w:r>
      <w:r>
        <w:rPr>
          <w:rFonts w:ascii="Arial" w:hAnsi="Arial"/>
          <w:sz w:val="22"/>
        </w:rPr>
        <w:t xml:space="preserve">(but does not include a cheque). It includes a document which, when signed by the persons named as drawer and acceptor in the relevant document, will become such a bill of exchange. </w:t>
      </w:r>
    </w:p>
    <w:p>
      <w:pPr>
        <w:pStyle w:val="TextBody"/>
        <w:pBdr/>
        <w:bidi w:val="0"/>
        <w:spacing w:lineRule="auto" w:line="266" w:before="119" w:after="0"/>
        <w:ind w:left="3120" w:right="1471" w:hanging="0"/>
        <w:jc w:val="left"/>
        <w:rPr>
          <w:rFonts w:ascii="Arial" w:hAnsi="Arial"/>
          <w:sz w:val="22"/>
        </w:rPr>
      </w:pPr>
      <w:r>
        <w:rPr>
          <w:rFonts w:ascii="Arial" w:hAnsi="Arial"/>
          <w:b/>
          <w:sz w:val="22"/>
        </w:rPr>
        <w:t>Break</w:t>
      </w:r>
      <w:r>
        <w:rPr>
          <w:rFonts w:ascii="Arial" w:hAnsi="Arial"/>
          <w:sz w:val="22"/>
        </w:rPr>
        <w:t> </w:t>
      </w:r>
      <w:r>
        <w:rPr>
          <w:rFonts w:ascii="Arial" w:hAnsi="Arial"/>
          <w:b/>
          <w:sz w:val="22"/>
        </w:rPr>
        <w:t>Costs</w:t>
      </w:r>
      <w:r>
        <w:rPr>
          <w:rFonts w:ascii="Arial" w:hAnsi="Arial"/>
          <w:sz w:val="22"/>
        </w:rPr>
        <w:t xml:space="preserve"> means, in relation to any financial accommodation provided or to be provided by the Bank under a Facility, any liability or costs incurred by the Bank by reason of: </w:t>
      </w:r>
    </w:p>
    <w:p>
      <w:pPr>
        <w:pStyle w:val="TextBody"/>
        <w:pBdr/>
        <w:bidi w:val="0"/>
        <w:spacing w:lineRule="auto" w:line="266" w:before="0" w:after="0"/>
        <w:ind w:left="1700" w:right="700" w:hanging="0"/>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1461" w:hanging="0"/>
        <w:jc w:val="left"/>
        <w:rPr>
          <w:rFonts w:ascii="Arial" w:hAnsi="Arial"/>
          <w:sz w:val="20"/>
        </w:rPr>
      </w:pPr>
      <w:r>
        <w:rPr>
          <w:rFonts w:ascii="Arial" w:hAnsi="Arial"/>
          <w:sz w:val="21"/>
        </w:rPr>
        <w:t>(a)liquidating</w:t>
      </w:r>
      <w:r>
        <w:rPr>
          <w:rFonts w:ascii="Arial" w:hAnsi="Arial"/>
          <w:sz w:val="20"/>
        </w:rPr>
        <w:t> </w:t>
      </w:r>
      <w:r>
        <w:rPr>
          <w:rFonts w:ascii="Arial" w:hAnsi="Arial"/>
          <w:sz w:val="21"/>
        </w:rPr>
        <w:t>or</w:t>
      </w:r>
      <w:r>
        <w:rPr>
          <w:rFonts w:ascii="Arial" w:hAnsi="Arial"/>
          <w:sz w:val="20"/>
        </w:rPr>
        <w:t> </w:t>
      </w:r>
      <w:r>
        <w:rPr>
          <w:rFonts w:ascii="Arial" w:hAnsi="Arial"/>
          <w:sz w:val="21"/>
        </w:rPr>
        <w:t>re-deploying</w:t>
      </w:r>
      <w:r>
        <w:rPr>
          <w:rFonts w:ascii="Arial" w:hAnsi="Arial"/>
          <w:sz w:val="20"/>
        </w:rPr>
        <w:t> </w:t>
      </w:r>
      <w:r>
        <w:rPr>
          <w:rFonts w:ascii="Arial" w:hAnsi="Arial"/>
          <w:sz w:val="21"/>
        </w:rPr>
        <w:t>deposits</w:t>
      </w:r>
      <w:r>
        <w:rPr>
          <w:rFonts w:ascii="Arial" w:hAnsi="Arial"/>
          <w:sz w:val="20"/>
        </w:rPr>
        <w:t> </w:t>
      </w:r>
      <w:r>
        <w:rPr>
          <w:rFonts w:ascii="Arial" w:hAnsi="Arial"/>
          <w:sz w:val="21"/>
        </w:rPr>
        <w:t>or</w:t>
      </w:r>
      <w:r>
        <w:rPr>
          <w:rFonts w:ascii="Arial" w:hAnsi="Arial"/>
          <w:sz w:val="20"/>
        </w:rPr>
        <w:t> </w:t>
      </w:r>
      <w:r>
        <w:rPr>
          <w:rFonts w:ascii="Arial" w:hAnsi="Arial"/>
          <w:sz w:val="21"/>
        </w:rPr>
        <w:t>other</w:t>
      </w:r>
      <w:r>
        <w:rPr>
          <w:rFonts w:ascii="Arial" w:hAnsi="Arial"/>
          <w:sz w:val="20"/>
        </w:rPr>
        <w:t> </w:t>
      </w:r>
      <w:r>
        <w:rPr>
          <w:rFonts w:ascii="Arial" w:hAnsi="Arial"/>
          <w:sz w:val="21"/>
        </w:rPr>
        <w:t>funds</w:t>
      </w:r>
      <w:r>
        <w:rPr>
          <w:rFonts w:ascii="Arial" w:hAnsi="Arial"/>
          <w:sz w:val="20"/>
        </w:rPr>
        <w:t> </w:t>
      </w:r>
      <w:r>
        <w:rPr>
          <w:rFonts w:ascii="Arial" w:hAnsi="Arial"/>
          <w:sz w:val="21"/>
        </w:rPr>
        <w:t>acquired</w:t>
      </w:r>
      <w:r>
        <w:rPr>
          <w:rFonts w:ascii="Arial" w:hAnsi="Arial"/>
          <w:sz w:val="20"/>
        </w:rPr>
        <w:t> </w:t>
      </w:r>
      <w:r>
        <w:rPr>
          <w:rFonts w:ascii="Arial" w:hAnsi="Arial"/>
          <w:sz w:val="21"/>
        </w:rPr>
        <w:t>or</w:t>
      </w:r>
      <w:r>
        <w:rPr>
          <w:rFonts w:ascii="Arial" w:hAnsi="Arial"/>
          <w:sz w:val="20"/>
        </w:rPr>
        <w:t> </w:t>
      </w:r>
      <w:r>
        <w:rPr>
          <w:rFonts w:ascii="Arial" w:hAnsi="Arial"/>
          <w:sz w:val="21"/>
        </w:rPr>
        <w:t>contracted for by or on account of the Borrower or the Bank;</w:t>
      </w:r>
      <w:r>
        <w:rPr>
          <w:rFonts w:ascii="Arial" w:hAnsi="Arial"/>
          <w:sz w:val="20"/>
        </w:rPr>
        <w:t xml:space="preserve"> </w:t>
      </w:r>
    </w:p>
    <w:p>
      <w:pPr>
        <w:pStyle w:val="TextBody"/>
        <w:bidi w:val="0"/>
        <w:spacing w:lineRule="auto" w:line="266" w:before="0" w:after="0"/>
        <w:ind w:left="3686" w:right="1505" w:hanging="0"/>
        <w:jc w:val="left"/>
        <w:rPr>
          <w:rFonts w:ascii="Arial" w:hAnsi="Arial"/>
          <w:sz w:val="20"/>
        </w:rPr>
      </w:pPr>
      <w:r>
        <w:rPr>
          <w:rFonts w:ascii="Arial" w:hAnsi="Arial"/>
          <w:sz w:val="21"/>
        </w:rPr>
        <w:t>(b)terminating or reversing any agreement or arrangement (including by entering into new agreements or arrangements to close out or net off existing agreements or arrangements) entered into by or on account of the Borrower or the Bank with a counterparty or an internal department of</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responsible</w:t>
      </w:r>
      <w:r>
        <w:rPr>
          <w:rFonts w:ascii="Arial" w:hAnsi="Arial"/>
          <w:sz w:val="20"/>
        </w:rPr>
        <w:t> </w:t>
      </w:r>
      <w:r>
        <w:rPr>
          <w:rFonts w:ascii="Arial" w:hAnsi="Arial"/>
          <w:sz w:val="21"/>
        </w:rPr>
        <w:t>for</w:t>
      </w:r>
      <w:r>
        <w:rPr>
          <w:rFonts w:ascii="Arial" w:hAnsi="Arial"/>
          <w:sz w:val="20"/>
        </w:rPr>
        <w:t> </w:t>
      </w:r>
      <w:r>
        <w:rPr>
          <w:rFonts w:ascii="Arial" w:hAnsi="Arial"/>
          <w:sz w:val="21"/>
        </w:rPr>
        <w:t>such</w:t>
      </w:r>
      <w:r>
        <w:rPr>
          <w:rFonts w:ascii="Arial" w:hAnsi="Arial"/>
          <w:sz w:val="20"/>
        </w:rPr>
        <w:t> </w:t>
      </w:r>
      <w:r>
        <w:rPr>
          <w:rFonts w:ascii="Arial" w:hAnsi="Arial"/>
          <w:sz w:val="21"/>
        </w:rPr>
        <w:t>agreements</w:t>
      </w:r>
      <w:r>
        <w:rPr>
          <w:rFonts w:ascii="Arial" w:hAnsi="Arial"/>
          <w:sz w:val="20"/>
        </w:rPr>
        <w:t> </w:t>
      </w:r>
      <w:r>
        <w:rPr>
          <w:rFonts w:ascii="Arial" w:hAnsi="Arial"/>
          <w:sz w:val="21"/>
        </w:rPr>
        <w:t>or</w:t>
      </w:r>
      <w:r>
        <w:rPr>
          <w:rFonts w:ascii="Arial" w:hAnsi="Arial"/>
          <w:sz w:val="20"/>
        </w:rPr>
        <w:t> </w:t>
      </w:r>
      <w:r>
        <w:rPr>
          <w:rFonts w:ascii="Arial" w:hAnsi="Arial"/>
          <w:sz w:val="21"/>
        </w:rPr>
        <w:t>arrangements</w:t>
      </w:r>
      <w:r>
        <w:rPr>
          <w:rFonts w:ascii="Arial" w:hAnsi="Arial"/>
          <w:sz w:val="20"/>
        </w:rPr>
        <w:t> </w:t>
      </w:r>
      <w:r>
        <w:rPr>
          <w:rFonts w:ascii="Arial" w:hAnsi="Arial"/>
          <w:sz w:val="21"/>
        </w:rPr>
        <w:t>to</w:t>
      </w:r>
      <w:r>
        <w:rPr>
          <w:rFonts w:ascii="Arial" w:hAnsi="Arial"/>
          <w:sz w:val="20"/>
        </w:rPr>
        <w:t> </w:t>
      </w:r>
      <w:r>
        <w:rPr>
          <w:rFonts w:ascii="Arial" w:hAnsi="Arial"/>
          <w:sz w:val="21"/>
        </w:rPr>
        <w:t>hedge, fix, swap or limit its effective cost of funding; or</w:t>
      </w:r>
      <w:r>
        <w:rPr>
          <w:rFonts w:ascii="Arial" w:hAnsi="Arial"/>
          <w:sz w:val="20"/>
        </w:rPr>
        <w:t xml:space="preserve"> </w:t>
      </w:r>
    </w:p>
    <w:p>
      <w:pPr>
        <w:pStyle w:val="TextBody"/>
        <w:bidi w:val="0"/>
        <w:spacing w:before="121" w:after="0"/>
        <w:ind w:left="3686" w:right="700" w:hanging="0"/>
        <w:jc w:val="left"/>
        <w:rPr>
          <w:rFonts w:ascii="Arial" w:hAnsi="Arial"/>
          <w:sz w:val="20"/>
        </w:rPr>
      </w:pPr>
      <w:r>
        <w:rPr>
          <w:rFonts w:ascii="Arial" w:hAnsi="Arial"/>
          <w:sz w:val="21"/>
        </w:rPr>
        <w:t>(c)any</w:t>
      </w:r>
      <w:r>
        <w:rPr>
          <w:rFonts w:ascii="Arial" w:hAnsi="Arial"/>
          <w:sz w:val="20"/>
        </w:rPr>
        <w:t> </w:t>
      </w:r>
      <w:r>
        <w:rPr>
          <w:rFonts w:ascii="Arial" w:hAnsi="Arial"/>
          <w:sz w:val="21"/>
        </w:rPr>
        <w:t>loss</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margins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future</w:t>
      </w:r>
      <w:r>
        <w:rPr>
          <w:rFonts w:ascii="Arial" w:hAnsi="Arial"/>
          <w:sz w:val="20"/>
        </w:rPr>
        <w:t> </w:t>
      </w:r>
      <w:r>
        <w:rPr>
          <w:rFonts w:ascii="Arial" w:hAnsi="Arial"/>
          <w:sz w:val="21"/>
        </w:rPr>
        <w:t>lending</w:t>
      </w:r>
      <w:r>
        <w:rPr>
          <w:rFonts w:ascii="Arial" w:hAnsi="Arial"/>
          <w:sz w:val="20"/>
        </w:rPr>
        <w:t> </w:t>
      </w:r>
      <w:r>
        <w:rPr>
          <w:rFonts w:ascii="Arial" w:hAnsi="Arial"/>
          <w:sz w:val="21"/>
        </w:rPr>
        <w:t>or</w:t>
      </w:r>
      <w:r>
        <w:rPr>
          <w:rFonts w:ascii="Arial" w:hAnsi="Arial"/>
          <w:sz w:val="20"/>
        </w:rPr>
        <w:t> </w:t>
      </w:r>
      <w:r>
        <w:rPr>
          <w:rFonts w:ascii="Arial" w:hAnsi="Arial"/>
          <w:sz w:val="21"/>
        </w:rPr>
        <w:t>loss</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fees.</w:t>
      </w:r>
      <w:r>
        <w:rPr>
          <w:rFonts w:ascii="Arial" w:hAnsi="Arial"/>
          <w:sz w:val="20"/>
        </w:rPr>
        <w:t xml:space="preserve"> </w:t>
      </w:r>
    </w:p>
    <w:p>
      <w:pPr>
        <w:pStyle w:val="TextBody"/>
        <w:bidi w:val="0"/>
        <w:spacing w:lineRule="auto" w:line="266" w:before="147" w:after="0"/>
        <w:ind w:left="3120" w:right="1471" w:hanging="0"/>
        <w:jc w:val="left"/>
        <w:rPr>
          <w:rFonts w:ascii="Arial" w:hAnsi="Arial"/>
          <w:sz w:val="20"/>
        </w:rPr>
      </w:pPr>
      <w:r>
        <w:rPr>
          <w:rFonts w:ascii="Arial" w:hAnsi="Arial"/>
          <w:b/>
          <w:sz w:val="21"/>
        </w:rPr>
        <w:t xml:space="preserve">Bridge Facility </w:t>
      </w:r>
      <w:r>
        <w:rPr>
          <w:rFonts w:ascii="Arial" w:hAnsi="Arial"/>
          <w:sz w:val="21"/>
        </w:rPr>
        <w:t>means the Committed Revolving Corporate Markets Loan described</w:t>
      </w:r>
      <w:r>
        <w:rPr>
          <w:rFonts w:ascii="Arial" w:hAnsi="Arial"/>
          <w:sz w:val="20"/>
        </w:rPr>
        <w:t> </w:t>
      </w:r>
      <w:r>
        <w:rPr>
          <w:rFonts w:ascii="Arial" w:hAnsi="Arial"/>
          <w:sz w:val="21"/>
        </w:rPr>
        <w:t>as</w:t>
      </w:r>
      <w:r>
        <w:rPr>
          <w:rFonts w:ascii="Arial" w:hAnsi="Arial"/>
          <w:sz w:val="20"/>
        </w:rPr>
        <w:t> ‘</w:t>
      </w:r>
      <w:r>
        <w:rPr>
          <w:rFonts w:ascii="Arial" w:hAnsi="Arial"/>
          <w:sz w:val="21"/>
        </w:rPr>
        <w:t>Bridge</w:t>
      </w:r>
      <w:r>
        <w:rPr>
          <w:rFonts w:ascii="Arial" w:hAnsi="Arial"/>
          <w:sz w:val="20"/>
        </w:rPr>
        <w:t> </w:t>
      </w:r>
      <w:r>
        <w:rPr>
          <w:rFonts w:ascii="Arial" w:hAnsi="Arial"/>
          <w:sz w:val="21"/>
        </w:rPr>
        <w:t>Facility’</w:t>
      </w:r>
      <w:r>
        <w:rPr>
          <w:rFonts w:ascii="Arial" w:hAnsi="Arial"/>
          <w:sz w:val="20"/>
        </w:rPr>
        <w:t> </w:t>
      </w:r>
      <w:r>
        <w:rPr>
          <w:rFonts w:ascii="Arial" w:hAnsi="Arial"/>
          <w:sz w:val="21"/>
        </w:rPr>
        <w:t>in</w:t>
      </w:r>
      <w:r>
        <w:rPr>
          <w:rFonts w:ascii="Arial" w:hAnsi="Arial"/>
          <w:sz w:val="20"/>
        </w:rPr>
        <w:t> </w:t>
      </w:r>
      <w:r>
        <w:rPr>
          <w:rFonts w:ascii="Arial" w:hAnsi="Arial"/>
          <w:b/>
          <w:sz w:val="21"/>
        </w:rPr>
        <w:t>schedule</w:t>
      </w:r>
      <w:r>
        <w:rPr>
          <w:rFonts w:ascii="Arial" w:hAnsi="Arial"/>
          <w:sz w:val="20"/>
        </w:rPr>
        <w:t> </w:t>
      </w:r>
      <w:r>
        <w:rPr>
          <w:rFonts w:ascii="Arial" w:hAnsi="Arial"/>
          <w:b/>
          <w:sz w:val="21"/>
        </w:rPr>
        <w:t>2</w:t>
      </w:r>
      <w:r>
        <w:rPr>
          <w:rFonts w:ascii="Arial" w:hAnsi="Arial"/>
          <w:sz w:val="20"/>
        </w:rPr>
        <w:t> </w:t>
      </w:r>
      <w:r>
        <w:rPr>
          <w:rFonts w:ascii="Arial" w:hAnsi="Arial"/>
          <w:sz w:val="21"/>
        </w:rPr>
        <w:t>and</w:t>
      </w:r>
      <w:r>
        <w:rPr>
          <w:rFonts w:ascii="Arial" w:hAnsi="Arial"/>
          <w:sz w:val="20"/>
        </w:rPr>
        <w:t> </w:t>
      </w:r>
      <w:r>
        <w:rPr>
          <w:rFonts w:ascii="Arial" w:hAnsi="Arial"/>
          <w:sz w:val="21"/>
        </w:rPr>
        <w:t>granted</w:t>
      </w:r>
      <w:r>
        <w:rPr>
          <w:rFonts w:ascii="Arial" w:hAnsi="Arial"/>
          <w:sz w:val="20"/>
        </w:rPr>
        <w:t> </w:t>
      </w:r>
      <w:r>
        <w:rPr>
          <w:rFonts w:ascii="Arial" w:hAnsi="Arial"/>
          <w:sz w:val="21"/>
        </w:rPr>
        <w:t>pursuant</w:t>
      </w:r>
      <w:r>
        <w:rPr>
          <w:rFonts w:ascii="Arial" w:hAnsi="Arial"/>
          <w:sz w:val="20"/>
        </w:rPr>
        <w:t> </w:t>
      </w:r>
      <w:r>
        <w:rPr>
          <w:rFonts w:ascii="Arial" w:hAnsi="Arial"/>
          <w:sz w:val="21"/>
        </w:rPr>
        <w:t>to</w:t>
      </w:r>
      <w:r>
        <w:rPr>
          <w:rFonts w:ascii="Arial" w:hAnsi="Arial"/>
          <w:sz w:val="20"/>
        </w:rPr>
        <w:t> </w:t>
      </w:r>
      <w:r>
        <w:rPr>
          <w:rFonts w:ascii="Arial" w:hAnsi="Arial"/>
          <w:b/>
          <w:sz w:val="21"/>
        </w:rPr>
        <w:t>clause 4.1(a)(iii)</w:t>
      </w:r>
      <w:r>
        <w:rPr>
          <w:rFonts w:ascii="Arial" w:hAnsi="Arial"/>
          <w:sz w:val="21"/>
        </w:rPr>
        <w:t>.</w:t>
      </w:r>
      <w:r>
        <w:rPr>
          <w:rFonts w:ascii="Arial" w:hAnsi="Arial"/>
          <w:sz w:val="20"/>
        </w:rPr>
        <w:t xml:space="preserve"> </w:t>
      </w:r>
    </w:p>
    <w:p>
      <w:pPr>
        <w:pStyle w:val="TextBody"/>
        <w:pBdr/>
        <w:bidi w:val="0"/>
        <w:spacing w:lineRule="auto" w:line="266" w:before="117" w:after="0"/>
        <w:ind w:left="3120" w:right="1366" w:hanging="0"/>
        <w:jc w:val="left"/>
        <w:rPr>
          <w:rFonts w:ascii="Arial" w:hAnsi="Arial"/>
          <w:sz w:val="22"/>
        </w:rPr>
      </w:pPr>
      <w:r>
        <w:rPr>
          <w:rFonts w:ascii="Arial" w:hAnsi="Arial"/>
          <w:b/>
          <w:sz w:val="22"/>
        </w:rPr>
        <w:t>Business</w:t>
      </w:r>
      <w:r>
        <w:rPr>
          <w:rFonts w:ascii="Arial" w:hAnsi="Arial"/>
          <w:sz w:val="22"/>
        </w:rPr>
        <w:t> </w:t>
      </w:r>
      <w:r>
        <w:rPr>
          <w:rFonts w:ascii="Arial" w:hAnsi="Arial"/>
          <w:b/>
          <w:sz w:val="22"/>
        </w:rPr>
        <w:t>Day</w:t>
      </w:r>
      <w:r>
        <w:rPr>
          <w:rFonts w:ascii="Arial" w:hAnsi="Arial"/>
          <w:sz w:val="22"/>
        </w:rPr>
        <w:t xml:space="preserve"> means a day which is not a Saturday, Sunday or bank or public holiday in Melbourne. </w:t>
      </w:r>
    </w:p>
    <w:p>
      <w:pPr>
        <w:pStyle w:val="TextBody"/>
        <w:pBdr/>
        <w:bidi w:val="0"/>
        <w:spacing w:lineRule="auto" w:line="266" w:before="119" w:after="0"/>
        <w:ind w:left="3120" w:right="1471" w:hanging="0"/>
        <w:jc w:val="left"/>
        <w:rPr>
          <w:rFonts w:ascii="Arial" w:hAnsi="Arial"/>
          <w:sz w:val="22"/>
        </w:rPr>
      </w:pPr>
      <w:r>
        <w:rPr>
          <w:rFonts w:ascii="Arial" w:hAnsi="Arial"/>
          <w:b/>
          <w:sz w:val="22"/>
        </w:rPr>
        <w:t>Cannon</w:t>
      </w:r>
      <w:r>
        <w:rPr>
          <w:rFonts w:ascii="Arial" w:hAnsi="Arial"/>
          <w:sz w:val="22"/>
        </w:rPr>
        <w:t> </w:t>
      </w:r>
      <w:r>
        <w:rPr>
          <w:rFonts w:ascii="Arial" w:hAnsi="Arial"/>
          <w:b/>
          <w:sz w:val="22"/>
        </w:rPr>
        <w:t>Park</w:t>
      </w:r>
      <w:r>
        <w:rPr>
          <w:rFonts w:ascii="Arial" w:hAnsi="Arial"/>
          <w:sz w:val="22"/>
        </w:rPr>
        <w:t> </w:t>
      </w:r>
      <w:r>
        <w:rPr>
          <w:rFonts w:ascii="Arial" w:hAnsi="Arial"/>
          <w:b/>
          <w:sz w:val="22"/>
        </w:rPr>
        <w:t>Property</w:t>
      </w:r>
      <w:r>
        <w:rPr>
          <w:rFonts w:ascii="Arial" w:hAnsi="Arial"/>
          <w:sz w:val="22"/>
        </w:rPr>
        <w:t xml:space="preserve"> means the land and improvements known as Cannon Park City Centre and Cannon Park Discount Centre, Corner Hervey Range Road and Pioneer Drive, Thurwingowa Central, Queensland, described in title references 50442105, 50442106 and 51155321. </w:t>
      </w:r>
    </w:p>
    <w:p>
      <w:pPr>
        <w:pStyle w:val="TextBody"/>
        <w:bidi w:val="0"/>
        <w:spacing w:lineRule="auto" w:line="266" w:before="119" w:after="0"/>
        <w:ind w:left="3120" w:right="1471" w:hanging="0"/>
        <w:jc w:val="left"/>
        <w:rPr>
          <w:rFonts w:ascii="Arial" w:hAnsi="Arial"/>
          <w:sz w:val="20"/>
        </w:rPr>
      </w:pPr>
      <w:r>
        <w:rPr>
          <w:rFonts w:ascii="Arial" w:hAnsi="Arial"/>
          <w:b/>
          <w:sz w:val="21"/>
        </w:rPr>
        <w:t>Cannon</w:t>
      </w:r>
      <w:r>
        <w:rPr>
          <w:rFonts w:ascii="Arial" w:hAnsi="Arial"/>
          <w:sz w:val="20"/>
        </w:rPr>
        <w:t> </w:t>
      </w:r>
      <w:r>
        <w:rPr>
          <w:rFonts w:ascii="Arial" w:hAnsi="Arial"/>
          <w:b/>
          <w:sz w:val="21"/>
        </w:rPr>
        <w:t>Park</w:t>
      </w:r>
      <w:r>
        <w:rPr>
          <w:rFonts w:ascii="Arial" w:hAnsi="Arial"/>
          <w:sz w:val="20"/>
        </w:rPr>
        <w:t> </w:t>
      </w:r>
      <w:r>
        <w:rPr>
          <w:rFonts w:ascii="Arial" w:hAnsi="Arial"/>
          <w:b/>
          <w:sz w:val="21"/>
        </w:rPr>
        <w:t>Property</w:t>
      </w:r>
      <w:r>
        <w:rPr>
          <w:rFonts w:ascii="Arial" w:hAnsi="Arial"/>
          <w:sz w:val="20"/>
        </w:rPr>
        <w:t> </w:t>
      </w:r>
      <w:r>
        <w:rPr>
          <w:rFonts w:ascii="Arial" w:hAnsi="Arial"/>
          <w:b/>
          <w:sz w:val="21"/>
        </w:rPr>
        <w:t>Release</w:t>
      </w:r>
      <w:r>
        <w:rPr>
          <w:rFonts w:ascii="Arial" w:hAnsi="Arial"/>
          <w:sz w:val="20"/>
        </w:rPr>
        <w:t> </w:t>
      </w:r>
      <w:r>
        <w:rPr>
          <w:rFonts w:ascii="Arial" w:hAnsi="Arial"/>
          <w:b/>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date</w:t>
      </w:r>
      <w:r>
        <w:rPr>
          <w:rFonts w:ascii="Arial" w:hAnsi="Arial"/>
          <w:sz w:val="20"/>
        </w:rPr>
        <w:t> </w:t>
      </w:r>
      <w:r>
        <w:rPr>
          <w:rFonts w:ascii="Arial" w:hAnsi="Arial"/>
          <w:sz w:val="21"/>
        </w:rPr>
        <w:t>on</w:t>
      </w:r>
      <w:r>
        <w:rPr>
          <w:rFonts w:ascii="Arial" w:hAnsi="Arial"/>
          <w:sz w:val="20"/>
        </w:rPr>
        <w:t> </w:t>
      </w:r>
      <w:r>
        <w:rPr>
          <w:rFonts w:ascii="Arial" w:hAnsi="Arial"/>
          <w:sz w:val="21"/>
        </w:rPr>
        <w:t>which</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is satisfied in its absolute discretion that:</w:t>
      </w:r>
      <w:r>
        <w:rPr>
          <w:rFonts w:ascii="Arial" w:hAnsi="Arial"/>
          <w:sz w:val="20"/>
        </w:rPr>
        <w:t xml:space="preserve"> </w:t>
      </w:r>
    </w:p>
    <w:p>
      <w:pPr>
        <w:pStyle w:val="TextBody"/>
        <w:bidi w:val="0"/>
        <w:spacing w:before="121" w:after="0"/>
        <w:ind w:left="3686" w:right="700" w:hanging="0"/>
        <w:jc w:val="left"/>
        <w:rPr>
          <w:rFonts w:ascii="Arial" w:hAnsi="Arial"/>
          <w:sz w:val="20"/>
        </w:rPr>
      </w:pPr>
      <w:r>
        <w:rPr>
          <w:rFonts w:ascii="Arial" w:hAnsi="Arial"/>
          <w:sz w:val="21"/>
        </w:rPr>
        <w:t>(a)the</w:t>
      </w:r>
      <w:r>
        <w:rPr>
          <w:rFonts w:ascii="Arial" w:hAnsi="Arial"/>
          <w:sz w:val="20"/>
        </w:rPr>
        <w:t> </w:t>
      </w:r>
      <w:r>
        <w:rPr>
          <w:rFonts w:ascii="Arial" w:hAnsi="Arial"/>
          <w:sz w:val="21"/>
        </w:rPr>
        <w:t>Cannon</w:t>
      </w:r>
      <w:r>
        <w:rPr>
          <w:rFonts w:ascii="Arial" w:hAnsi="Arial"/>
          <w:sz w:val="20"/>
        </w:rPr>
        <w:t> </w:t>
      </w:r>
      <w:r>
        <w:rPr>
          <w:rFonts w:ascii="Arial" w:hAnsi="Arial"/>
          <w:sz w:val="21"/>
        </w:rPr>
        <w:t>Park</w:t>
      </w:r>
      <w:r>
        <w:rPr>
          <w:rFonts w:ascii="Arial" w:hAnsi="Arial"/>
          <w:sz w:val="20"/>
        </w:rPr>
        <w:t> </w:t>
      </w:r>
      <w:r>
        <w:rPr>
          <w:rFonts w:ascii="Arial" w:hAnsi="Arial"/>
          <w:sz w:val="21"/>
        </w:rPr>
        <w:t>Property</w:t>
      </w:r>
      <w:r>
        <w:rPr>
          <w:rFonts w:ascii="Arial" w:hAnsi="Arial"/>
          <w:sz w:val="20"/>
        </w:rPr>
        <w:t> </w:t>
      </w:r>
      <w:r>
        <w:rPr>
          <w:rFonts w:ascii="Arial" w:hAnsi="Arial"/>
          <w:sz w:val="21"/>
        </w:rPr>
        <w:t>is</w:t>
      </w:r>
      <w:r>
        <w:rPr>
          <w:rFonts w:ascii="Arial" w:hAnsi="Arial"/>
          <w:sz w:val="20"/>
        </w:rPr>
        <w:t> </w:t>
      </w:r>
      <w:r>
        <w:rPr>
          <w:rFonts w:ascii="Arial" w:hAnsi="Arial"/>
          <w:sz w:val="21"/>
        </w:rPr>
        <w:t>sold;</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148" w:after="0"/>
        <w:ind w:left="3686" w:right="2380" w:hanging="0"/>
        <w:jc w:val="left"/>
        <w:rPr>
          <w:rFonts w:ascii="Arial" w:hAnsi="Arial"/>
          <w:sz w:val="20"/>
        </w:rPr>
      </w:pPr>
      <w:r>
        <w:rPr>
          <w:rFonts w:ascii="Arial" w:hAnsi="Arial"/>
          <w:sz w:val="21"/>
        </w:rPr>
        <w:t>(b)the</w:t>
      </w:r>
      <w:r>
        <w:rPr>
          <w:rFonts w:ascii="Arial" w:hAnsi="Arial"/>
          <w:sz w:val="20"/>
        </w:rPr>
        <w:t> </w:t>
      </w:r>
      <w:r>
        <w:rPr>
          <w:rFonts w:ascii="Arial" w:hAnsi="Arial"/>
          <w:sz w:val="21"/>
        </w:rPr>
        <w:t>Borrower</w:t>
      </w:r>
      <w:r>
        <w:rPr>
          <w:rFonts w:ascii="Arial" w:hAnsi="Arial"/>
          <w:sz w:val="20"/>
        </w:rPr>
        <w:t> </w:t>
      </w:r>
      <w:r>
        <w:rPr>
          <w:rFonts w:ascii="Arial" w:hAnsi="Arial"/>
          <w:sz w:val="21"/>
        </w:rPr>
        <w:t>will</w:t>
      </w:r>
      <w:r>
        <w:rPr>
          <w:rFonts w:ascii="Arial" w:hAnsi="Arial"/>
          <w:sz w:val="20"/>
        </w:rPr>
        <w:t> </w:t>
      </w:r>
      <w:r>
        <w:rPr>
          <w:rFonts w:ascii="Arial" w:hAnsi="Arial"/>
          <w:sz w:val="21"/>
        </w:rPr>
        <w:t>apply</w:t>
      </w:r>
      <w:r>
        <w:rPr>
          <w:rFonts w:ascii="Arial" w:hAnsi="Arial"/>
          <w:sz w:val="20"/>
        </w:rPr>
        <w:t> </w:t>
      </w:r>
      <w:r>
        <w:rPr>
          <w:rFonts w:ascii="Arial" w:hAnsi="Arial"/>
          <w:sz w:val="21"/>
        </w:rPr>
        <w:t>the</w:t>
      </w:r>
      <w:r>
        <w:rPr>
          <w:rFonts w:ascii="Arial" w:hAnsi="Arial"/>
          <w:sz w:val="20"/>
        </w:rPr>
        <w:t> </w:t>
      </w:r>
      <w:r>
        <w:rPr>
          <w:rFonts w:ascii="Arial" w:hAnsi="Arial"/>
          <w:sz w:val="21"/>
        </w:rPr>
        <w:t>Net</w:t>
      </w:r>
      <w:r>
        <w:rPr>
          <w:rFonts w:ascii="Arial" w:hAnsi="Arial"/>
          <w:sz w:val="20"/>
        </w:rPr>
        <w:t> </w:t>
      </w:r>
      <w:r>
        <w:rPr>
          <w:rFonts w:ascii="Arial" w:hAnsi="Arial"/>
          <w:sz w:val="21"/>
        </w:rPr>
        <w:t>Sale</w:t>
      </w:r>
      <w:r>
        <w:rPr>
          <w:rFonts w:ascii="Arial" w:hAnsi="Arial"/>
          <w:sz w:val="20"/>
        </w:rPr>
        <w:t> </w:t>
      </w:r>
      <w:r>
        <w:rPr>
          <w:rFonts w:ascii="Arial" w:hAnsi="Arial"/>
          <w:sz w:val="21"/>
        </w:rPr>
        <w:t>Proceeds</w:t>
      </w:r>
      <w:r>
        <w:rPr>
          <w:rFonts w:ascii="Arial" w:hAnsi="Arial"/>
          <w:sz w:val="20"/>
        </w:rPr>
        <w:t> </w:t>
      </w:r>
      <w:r>
        <w:rPr>
          <w:rFonts w:ascii="Arial" w:hAnsi="Arial"/>
          <w:sz w:val="21"/>
        </w:rPr>
        <w:t>from</w:t>
      </w:r>
      <w:r>
        <w:rPr>
          <w:rFonts w:ascii="Arial" w:hAnsi="Arial"/>
          <w:sz w:val="20"/>
        </w:rPr>
        <w:t> </w:t>
      </w:r>
      <w:r>
        <w:rPr>
          <w:rFonts w:ascii="Arial" w:hAnsi="Arial"/>
          <w:sz w:val="21"/>
        </w:rPr>
        <w:t>that</w:t>
      </w:r>
      <w:r>
        <w:rPr>
          <w:rFonts w:ascii="Arial" w:hAnsi="Arial"/>
          <w:sz w:val="20"/>
        </w:rPr>
        <w:t> </w:t>
      </w:r>
      <w:r>
        <w:rPr>
          <w:rFonts w:ascii="Arial" w:hAnsi="Arial"/>
          <w:sz w:val="21"/>
        </w:rPr>
        <w:t>sale</w:t>
      </w:r>
      <w:r>
        <w:rPr>
          <w:rFonts w:ascii="Arial" w:hAnsi="Arial"/>
          <w:sz w:val="20"/>
        </w:rPr>
        <w:t> </w:t>
      </w:r>
      <w:r>
        <w:rPr>
          <w:rFonts w:ascii="Arial" w:hAnsi="Arial"/>
          <w:sz w:val="21"/>
        </w:rPr>
        <w:t>in permanent reduction of the Facility Limit of the Bridge Facility,</w:t>
      </w:r>
      <w:r>
        <w:rPr>
          <w:rFonts w:ascii="Arial" w:hAnsi="Arial"/>
          <w:sz w:val="20"/>
        </w:rPr>
        <w:t xml:space="preserve"> </w:t>
      </w:r>
    </w:p>
    <w:p>
      <w:pPr>
        <w:pStyle w:val="TextBody"/>
        <w:pBdr/>
        <w:bidi w:val="0"/>
        <w:spacing w:before="119" w:after="0"/>
        <w:ind w:left="3120" w:right="700" w:hanging="0"/>
        <w:jc w:val="left"/>
        <w:rPr>
          <w:rFonts w:ascii="Arial" w:hAnsi="Arial"/>
          <w:sz w:val="22"/>
        </w:rPr>
      </w:pPr>
      <w:r>
        <w:rPr>
          <w:rFonts w:ascii="Arial" w:hAnsi="Arial"/>
          <w:sz w:val="22"/>
        </w:rPr>
        <w:t xml:space="preserve">in accordance with the terms of this document. </w:t>
      </w:r>
    </w:p>
    <w:p>
      <w:pPr>
        <w:pStyle w:val="TextBody"/>
        <w:pBdr/>
        <w:bidi w:val="0"/>
        <w:spacing w:before="150" w:after="0"/>
        <w:ind w:left="3120" w:right="700" w:hanging="0"/>
        <w:jc w:val="left"/>
        <w:rPr>
          <w:rFonts w:ascii="Arial" w:hAnsi="Arial"/>
          <w:sz w:val="22"/>
        </w:rPr>
      </w:pPr>
      <w:r>
        <w:rPr>
          <w:rFonts w:ascii="Arial" w:hAnsi="Arial"/>
          <w:b/>
          <w:sz w:val="22"/>
        </w:rPr>
        <w:t>Cash</w:t>
      </w:r>
      <w:r>
        <w:rPr>
          <w:rFonts w:ascii="Arial" w:hAnsi="Arial"/>
          <w:sz w:val="22"/>
        </w:rPr>
        <w:t xml:space="preserve"> means all cash on hand, short term deposits and cash equivalents. </w:t>
      </w:r>
    </w:p>
    <w:p>
      <w:pPr>
        <w:pStyle w:val="TextBody"/>
        <w:pBdr/>
        <w:bidi w:val="0"/>
        <w:spacing w:lineRule="auto" w:line="266" w:before="147" w:after="0"/>
        <w:ind w:left="3120" w:right="1366" w:hanging="0"/>
        <w:jc w:val="left"/>
        <w:rPr>
          <w:rFonts w:ascii="Arial" w:hAnsi="Arial"/>
          <w:sz w:val="22"/>
        </w:rPr>
      </w:pPr>
      <w:r>
        <w:rPr>
          <w:rFonts w:ascii="Arial" w:hAnsi="Arial"/>
          <w:b/>
          <w:sz w:val="22"/>
        </w:rPr>
        <w:t>Cash</w:t>
      </w:r>
      <w:r>
        <w:rPr>
          <w:rFonts w:ascii="Arial" w:hAnsi="Arial"/>
          <w:sz w:val="22"/>
        </w:rPr>
        <w:t> </w:t>
      </w:r>
      <w:r>
        <w:rPr>
          <w:rFonts w:ascii="Arial" w:hAnsi="Arial"/>
          <w:b/>
          <w:sz w:val="22"/>
        </w:rPr>
        <w:t>Cover</w:t>
      </w:r>
      <w:r>
        <w:rPr>
          <w:rFonts w:ascii="Arial" w:hAnsi="Arial"/>
          <w:sz w:val="22"/>
        </w:rPr>
        <w:t> </w:t>
      </w:r>
      <w:r>
        <w:rPr>
          <w:rFonts w:ascii="Arial" w:hAnsi="Arial"/>
          <w:b/>
          <w:sz w:val="22"/>
        </w:rPr>
        <w:t>Rate</w:t>
      </w:r>
      <w:r>
        <w:rPr>
          <w:rFonts w:ascii="Arial" w:hAnsi="Arial"/>
          <w:sz w:val="22"/>
        </w:rPr>
        <w:t xml:space="preserve"> means the rate (expressed as a rate per centum per annum) determined by the Bank (in good faith) to be the interest rate which it would pay on deposits at call for an amount similar to the amount at which the relevant deposit is made. </w:t>
      </w:r>
    </w:p>
    <w:p>
      <w:pPr>
        <w:pStyle w:val="TextBody"/>
        <w:bidi w:val="0"/>
        <w:spacing w:lineRule="auto" w:line="266" w:before="119" w:after="0"/>
        <w:ind w:left="3120" w:right="1471" w:hanging="0"/>
        <w:jc w:val="left"/>
        <w:rPr>
          <w:rFonts w:ascii="Arial" w:hAnsi="Arial"/>
          <w:sz w:val="20"/>
        </w:rPr>
      </w:pPr>
      <w:r>
        <w:rPr>
          <w:rFonts w:ascii="Arial" w:hAnsi="Arial"/>
          <w:b/>
          <w:sz w:val="21"/>
        </w:rPr>
        <w:t>Calculation</w:t>
      </w:r>
      <w:r>
        <w:rPr>
          <w:rFonts w:ascii="Arial" w:hAnsi="Arial"/>
          <w:sz w:val="20"/>
        </w:rPr>
        <w:t> </w:t>
      </w:r>
      <w:r>
        <w:rPr>
          <w:rFonts w:ascii="Arial" w:hAnsi="Arial"/>
          <w:b/>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31</w:t>
      </w:r>
      <w:r>
        <w:rPr>
          <w:rFonts w:ascii="Arial" w:hAnsi="Arial"/>
          <w:sz w:val="20"/>
        </w:rPr>
        <w:t> </w:t>
      </w:r>
      <w:r>
        <w:rPr>
          <w:rFonts w:ascii="Arial" w:hAnsi="Arial"/>
          <w:sz w:val="21"/>
        </w:rPr>
        <w:t>March,</w:t>
      </w:r>
      <w:r>
        <w:rPr>
          <w:rFonts w:ascii="Arial" w:hAnsi="Arial"/>
          <w:sz w:val="20"/>
        </w:rPr>
        <w:t> </w:t>
      </w:r>
      <w:r>
        <w:rPr>
          <w:rFonts w:ascii="Arial" w:hAnsi="Arial"/>
          <w:sz w:val="21"/>
        </w:rPr>
        <w:t>30</w:t>
      </w:r>
      <w:r>
        <w:rPr>
          <w:rFonts w:ascii="Arial" w:hAnsi="Arial"/>
          <w:sz w:val="20"/>
        </w:rPr>
        <w:t> </w:t>
      </w:r>
      <w:r>
        <w:rPr>
          <w:rFonts w:ascii="Arial" w:hAnsi="Arial"/>
          <w:sz w:val="21"/>
        </w:rPr>
        <w:t>June,</w:t>
      </w:r>
      <w:r>
        <w:rPr>
          <w:rFonts w:ascii="Arial" w:hAnsi="Arial"/>
          <w:sz w:val="20"/>
        </w:rPr>
        <w:t> </w:t>
      </w:r>
      <w:r>
        <w:rPr>
          <w:rFonts w:ascii="Arial" w:hAnsi="Arial"/>
          <w:sz w:val="21"/>
        </w:rPr>
        <w:t>30</w:t>
      </w:r>
      <w:r>
        <w:rPr>
          <w:rFonts w:ascii="Arial" w:hAnsi="Arial"/>
          <w:sz w:val="20"/>
        </w:rPr>
        <w:t> </w:t>
      </w:r>
      <w:r>
        <w:rPr>
          <w:rFonts w:ascii="Arial" w:hAnsi="Arial"/>
          <w:sz w:val="21"/>
        </w:rPr>
        <w:t>September</w:t>
      </w:r>
      <w:r>
        <w:rPr>
          <w:rFonts w:ascii="Arial" w:hAnsi="Arial"/>
          <w:sz w:val="20"/>
        </w:rPr>
        <w:t> </w:t>
      </w:r>
      <w:r>
        <w:rPr>
          <w:rFonts w:ascii="Arial" w:hAnsi="Arial"/>
          <w:sz w:val="21"/>
        </w:rPr>
        <w:t>and</w:t>
      </w:r>
      <w:r>
        <w:rPr>
          <w:rFonts w:ascii="Arial" w:hAnsi="Arial"/>
          <w:sz w:val="20"/>
        </w:rPr>
        <w:t> </w:t>
      </w:r>
      <w:r>
        <w:rPr>
          <w:rFonts w:ascii="Arial" w:hAnsi="Arial"/>
          <w:sz w:val="21"/>
        </w:rPr>
        <w:t>31</w:t>
      </w:r>
      <w:r>
        <w:rPr>
          <w:rFonts w:ascii="Arial" w:hAnsi="Arial"/>
          <w:sz w:val="20"/>
        </w:rPr>
        <w:t> </w:t>
      </w:r>
      <w:r>
        <w:rPr>
          <w:rFonts w:ascii="Arial" w:hAnsi="Arial"/>
          <w:sz w:val="21"/>
        </w:rPr>
        <w:t>December in each year.</w:t>
      </w:r>
      <w:r>
        <w:rPr>
          <w:rFonts w:ascii="Arial" w:hAnsi="Arial"/>
          <w:sz w:val="20"/>
        </w:rPr>
        <w:t xml:space="preserve"> </w:t>
      </w:r>
    </w:p>
    <w:p>
      <w:pPr>
        <w:pStyle w:val="TextBody"/>
        <w:bidi w:val="0"/>
        <w:spacing w:lineRule="auto" w:line="266" w:before="119" w:after="0"/>
        <w:ind w:left="3120" w:right="1471" w:hanging="0"/>
        <w:jc w:val="left"/>
        <w:rPr>
          <w:rFonts w:ascii="Arial" w:hAnsi="Arial"/>
          <w:sz w:val="20"/>
        </w:rPr>
      </w:pPr>
      <w:r>
        <w:rPr>
          <w:rFonts w:ascii="Arial" w:hAnsi="Arial"/>
          <w:b/>
          <w:sz w:val="21"/>
        </w:rPr>
        <w:t>Calculation</w:t>
      </w:r>
      <w:r>
        <w:rPr>
          <w:rFonts w:ascii="Arial" w:hAnsi="Arial"/>
          <w:sz w:val="20"/>
        </w:rPr>
        <w:t> </w:t>
      </w:r>
      <w:r>
        <w:rPr>
          <w:rFonts w:ascii="Arial" w:hAnsi="Arial"/>
          <w:b/>
          <w:sz w:val="21"/>
        </w:rPr>
        <w:t>Period</w:t>
      </w:r>
      <w:r>
        <w:rPr>
          <w:rFonts w:ascii="Arial" w:hAnsi="Arial"/>
          <w:sz w:val="20"/>
        </w:rPr>
        <w:t> </w:t>
      </w:r>
      <w:r>
        <w:rPr>
          <w:rFonts w:ascii="Arial" w:hAnsi="Arial"/>
          <w:sz w:val="21"/>
        </w:rPr>
        <w:t>means</w:t>
      </w:r>
      <w:r>
        <w:rPr>
          <w:rFonts w:ascii="Arial" w:hAnsi="Arial"/>
          <w:sz w:val="20"/>
        </w:rPr>
        <w:t> </w:t>
      </w:r>
      <w:r>
        <w:rPr>
          <w:rFonts w:ascii="Arial" w:hAnsi="Arial"/>
          <w:sz w:val="21"/>
        </w:rPr>
        <w:t>each</w:t>
      </w:r>
      <w:r>
        <w:rPr>
          <w:rFonts w:ascii="Arial" w:hAnsi="Arial"/>
          <w:sz w:val="20"/>
        </w:rPr>
        <w:t> </w:t>
      </w:r>
      <w:r>
        <w:rPr>
          <w:rFonts w:ascii="Arial" w:hAnsi="Arial"/>
          <w:sz w:val="21"/>
        </w:rPr>
        <w:t>period</w:t>
      </w:r>
      <w:r>
        <w:rPr>
          <w:rFonts w:ascii="Arial" w:hAnsi="Arial"/>
          <w:sz w:val="20"/>
        </w:rPr>
        <w:t> </w:t>
      </w:r>
      <w:r>
        <w:rPr>
          <w:rFonts w:ascii="Arial" w:hAnsi="Arial"/>
          <w:sz w:val="21"/>
        </w:rPr>
        <w:t>of</w:t>
      </w:r>
      <w:r>
        <w:rPr>
          <w:rFonts w:ascii="Arial" w:hAnsi="Arial"/>
          <w:sz w:val="20"/>
        </w:rPr>
        <w:t> </w:t>
      </w:r>
      <w:r>
        <w:rPr>
          <w:rFonts w:ascii="Arial" w:hAnsi="Arial"/>
          <w:sz w:val="21"/>
        </w:rPr>
        <w:t>twelve</w:t>
      </w:r>
      <w:r>
        <w:rPr>
          <w:rFonts w:ascii="Arial" w:hAnsi="Arial"/>
          <w:sz w:val="20"/>
        </w:rPr>
        <w:t> </w:t>
      </w:r>
      <w:r>
        <w:rPr>
          <w:rFonts w:ascii="Arial" w:hAnsi="Arial"/>
          <w:sz w:val="21"/>
        </w:rPr>
        <w:t>months</w:t>
      </w:r>
      <w:r>
        <w:rPr>
          <w:rFonts w:ascii="Arial" w:hAnsi="Arial"/>
          <w:sz w:val="20"/>
        </w:rPr>
        <w:t> </w:t>
      </w:r>
      <w:r>
        <w:rPr>
          <w:rFonts w:ascii="Arial" w:hAnsi="Arial"/>
          <w:sz w:val="21"/>
        </w:rPr>
        <w:t>ending</w:t>
      </w:r>
      <w:r>
        <w:rPr>
          <w:rFonts w:ascii="Arial" w:hAnsi="Arial"/>
          <w:sz w:val="20"/>
        </w:rPr>
        <w:t> </w:t>
      </w:r>
      <w:r>
        <w:rPr>
          <w:rFonts w:ascii="Arial" w:hAnsi="Arial"/>
          <w:sz w:val="21"/>
        </w:rPr>
        <w:t>on</w:t>
      </w:r>
      <w:r>
        <w:rPr>
          <w:rFonts w:ascii="Arial" w:hAnsi="Arial"/>
          <w:sz w:val="20"/>
        </w:rPr>
        <w:t> </w:t>
      </w:r>
      <w:r>
        <w:rPr>
          <w:rFonts w:ascii="Arial" w:hAnsi="Arial"/>
          <w:sz w:val="21"/>
        </w:rPr>
        <w:t>a Calculation Date.</w:t>
      </w:r>
      <w:r>
        <w:rPr>
          <w:rFonts w:ascii="Arial" w:hAnsi="Arial"/>
          <w:sz w:val="20"/>
        </w:rPr>
        <w:t xml:space="preserve"> </w:t>
      </w:r>
    </w:p>
    <w:p>
      <w:pPr>
        <w:pStyle w:val="TextBody"/>
        <w:bidi w:val="0"/>
        <w:spacing w:lineRule="auto" w:line="266" w:before="119" w:after="0"/>
        <w:ind w:left="3120" w:right="1432" w:hanging="0"/>
        <w:jc w:val="left"/>
        <w:rPr>
          <w:rFonts w:ascii="Arial" w:hAnsi="Arial"/>
          <w:sz w:val="22"/>
        </w:rPr>
      </w:pPr>
      <w:r>
        <w:rPr>
          <w:rFonts w:ascii="Arial" w:hAnsi="Arial"/>
          <w:b/>
          <w:sz w:val="22"/>
        </w:rPr>
        <w:t xml:space="preserve">Change of Control </w:t>
      </w:r>
      <w:r>
        <w:rPr>
          <w:rFonts w:ascii="Arial" w:hAnsi="Arial"/>
          <w:sz w:val="22"/>
        </w:rPr>
        <w:t xml:space="preserve">means there is a change (from that prevailing at the date of this document) in the persons who control any of the following in respect of a Transaction Party: </w:t>
      </w:r>
    </w:p>
    <w:p>
      <w:pPr>
        <w:pStyle w:val="TextBody"/>
        <w:bidi w:val="0"/>
        <w:spacing w:lineRule="auto" w:line="266" w:before="118" w:after="0"/>
        <w:ind w:left="3686" w:right="1503" w:hanging="0"/>
        <w:jc w:val="left"/>
        <w:rPr>
          <w:rFonts w:ascii="Arial" w:hAnsi="Arial"/>
          <w:sz w:val="20"/>
        </w:rPr>
      </w:pPr>
      <w:r>
        <w:rPr>
          <w:rFonts w:ascii="Arial" w:hAnsi="Arial"/>
          <w:sz w:val="21"/>
        </w:rPr>
        <w:t>(a)more</w:t>
      </w:r>
      <w:r>
        <w:rPr>
          <w:rFonts w:ascii="Arial" w:hAnsi="Arial"/>
          <w:sz w:val="20"/>
        </w:rPr>
        <w:t> </w:t>
      </w:r>
      <w:r>
        <w:rPr>
          <w:rFonts w:ascii="Arial" w:hAnsi="Arial"/>
          <w:sz w:val="21"/>
        </w:rPr>
        <w:t>than</w:t>
      </w:r>
      <w:r>
        <w:rPr>
          <w:rFonts w:ascii="Arial" w:hAnsi="Arial"/>
          <w:sz w:val="20"/>
        </w:rPr>
        <w:t> </w:t>
      </w:r>
      <w:r>
        <w:rPr>
          <w:rFonts w:ascii="Arial" w:hAnsi="Arial"/>
          <w:sz w:val="21"/>
        </w:rPr>
        <w:t>50%</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votes</w:t>
      </w:r>
      <w:r>
        <w:rPr>
          <w:rFonts w:ascii="Arial" w:hAnsi="Arial"/>
          <w:sz w:val="20"/>
        </w:rPr>
        <w:t> </w:t>
      </w:r>
      <w:r>
        <w:rPr>
          <w:rFonts w:ascii="Arial" w:hAnsi="Arial"/>
          <w:sz w:val="21"/>
        </w:rPr>
        <w:t>eligible</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cast</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election</w:t>
      </w:r>
      <w:r>
        <w:rPr>
          <w:rFonts w:ascii="Arial" w:hAnsi="Arial"/>
          <w:sz w:val="20"/>
        </w:rPr>
        <w:t> </w:t>
      </w:r>
      <w:r>
        <w:rPr>
          <w:rFonts w:ascii="Arial" w:hAnsi="Arial"/>
          <w:sz w:val="21"/>
        </w:rPr>
        <w:t>of</w:t>
      </w:r>
      <w:r>
        <w:rPr>
          <w:rFonts w:ascii="Arial" w:hAnsi="Arial"/>
          <w:sz w:val="20"/>
        </w:rPr>
        <w:t> </w:t>
      </w:r>
      <w:r>
        <w:rPr>
          <w:rFonts w:ascii="Arial" w:hAnsi="Arial"/>
          <w:sz w:val="21"/>
        </w:rPr>
        <w:t>directors or any similar matter; or</w:t>
      </w:r>
      <w:r>
        <w:rPr>
          <w:rFonts w:ascii="Arial" w:hAnsi="Arial"/>
          <w:sz w:val="20"/>
        </w:rPr>
        <w:t xml:space="preserve"> </w:t>
      </w:r>
    </w:p>
    <w:p>
      <w:pPr>
        <w:pStyle w:val="TextBody"/>
        <w:bidi w:val="0"/>
        <w:spacing w:lineRule="auto" w:line="266" w:before="0" w:after="0"/>
        <w:ind w:left="3686" w:right="1449" w:hanging="0"/>
        <w:jc w:val="left"/>
        <w:rPr>
          <w:rFonts w:ascii="Arial" w:hAnsi="Arial"/>
          <w:sz w:val="20"/>
        </w:rPr>
      </w:pPr>
      <w:r>
        <w:rPr>
          <w:rFonts w:ascii="Arial" w:hAnsi="Arial"/>
          <w:sz w:val="21"/>
        </w:rPr>
        <w:t>(b)the</w:t>
      </w:r>
      <w:r>
        <w:rPr>
          <w:rFonts w:ascii="Arial" w:hAnsi="Arial"/>
          <w:sz w:val="20"/>
        </w:rPr>
        <w:t> </w:t>
      </w:r>
      <w:r>
        <w:rPr>
          <w:rFonts w:ascii="Arial" w:hAnsi="Arial"/>
          <w:sz w:val="21"/>
        </w:rPr>
        <w:t>right</w:t>
      </w:r>
      <w:r>
        <w:rPr>
          <w:rFonts w:ascii="Arial" w:hAnsi="Arial"/>
          <w:sz w:val="20"/>
        </w:rPr>
        <w:t> </w:t>
      </w:r>
      <w:r>
        <w:rPr>
          <w:rFonts w:ascii="Arial" w:hAnsi="Arial"/>
          <w:sz w:val="21"/>
        </w:rPr>
        <w:t>to</w:t>
      </w:r>
      <w:r>
        <w:rPr>
          <w:rFonts w:ascii="Arial" w:hAnsi="Arial"/>
          <w:sz w:val="20"/>
        </w:rPr>
        <w:t> </w:t>
      </w:r>
      <w:r>
        <w:rPr>
          <w:rFonts w:ascii="Arial" w:hAnsi="Arial"/>
          <w:sz w:val="21"/>
        </w:rPr>
        <w:t>appoint</w:t>
      </w:r>
      <w:r>
        <w:rPr>
          <w:rFonts w:ascii="Arial" w:hAnsi="Arial"/>
          <w:sz w:val="20"/>
        </w:rPr>
        <w:t> </w:t>
      </w:r>
      <w:r>
        <w:rPr>
          <w:rFonts w:ascii="Arial" w:hAnsi="Arial"/>
          <w:sz w:val="21"/>
        </w:rPr>
        <w:t>or</w:t>
      </w:r>
      <w:r>
        <w:rPr>
          <w:rFonts w:ascii="Arial" w:hAnsi="Arial"/>
          <w:sz w:val="20"/>
        </w:rPr>
        <w:t> </w:t>
      </w:r>
      <w:r>
        <w:rPr>
          <w:rFonts w:ascii="Arial" w:hAnsi="Arial"/>
          <w:sz w:val="21"/>
        </w:rPr>
        <w:t>remove</w:t>
      </w:r>
      <w:r>
        <w:rPr>
          <w:rFonts w:ascii="Arial" w:hAnsi="Arial"/>
          <w:sz w:val="20"/>
        </w:rPr>
        <w:t> </w:t>
      </w:r>
      <w:r>
        <w:rPr>
          <w:rFonts w:ascii="Arial" w:hAnsi="Arial"/>
          <w:sz w:val="21"/>
        </w:rPr>
        <w:t>directors</w:t>
      </w:r>
      <w:r>
        <w:rPr>
          <w:rFonts w:ascii="Arial" w:hAnsi="Arial"/>
          <w:sz w:val="20"/>
        </w:rPr>
        <w:t> </w:t>
      </w:r>
      <w:r>
        <w:rPr>
          <w:rFonts w:ascii="Arial" w:hAnsi="Arial"/>
          <w:sz w:val="21"/>
        </w:rPr>
        <w:t>(or</w:t>
      </w:r>
      <w:r>
        <w:rPr>
          <w:rFonts w:ascii="Arial" w:hAnsi="Arial"/>
          <w:sz w:val="20"/>
        </w:rPr>
        <w:t> </w:t>
      </w:r>
      <w:r>
        <w:rPr>
          <w:rFonts w:ascii="Arial" w:hAnsi="Arial"/>
          <w:sz w:val="21"/>
        </w:rPr>
        <w:t>members</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governing</w:t>
      </w:r>
      <w:r>
        <w:rPr>
          <w:rFonts w:ascii="Arial" w:hAnsi="Arial"/>
          <w:sz w:val="20"/>
        </w:rPr>
        <w:t> </w:t>
      </w:r>
      <w:r>
        <w:rPr>
          <w:rFonts w:ascii="Arial" w:hAnsi="Arial"/>
          <w:sz w:val="21"/>
        </w:rPr>
        <w:t>body having functions similar to a board of directors) representing more than</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86" w:right="1471" w:hanging="0"/>
        <w:jc w:val="left"/>
        <w:rPr>
          <w:rFonts w:ascii="Arial" w:hAnsi="Arial"/>
          <w:sz w:val="22"/>
        </w:rPr>
      </w:pPr>
      <w:r>
        <w:rPr>
          <w:rFonts w:ascii="Arial" w:hAnsi="Arial"/>
          <w:sz w:val="22"/>
        </w:rPr>
        <w:t xml:space="preserve">50% of the votes exercisable by the directors (or persons have similar functions); or </w:t>
      </w:r>
    </w:p>
    <w:p>
      <w:pPr>
        <w:pStyle w:val="TextBody"/>
        <w:bidi w:val="0"/>
        <w:spacing w:lineRule="auto" w:line="266" w:before="0" w:after="0"/>
        <w:ind w:left="3686" w:right="1575" w:hanging="0"/>
        <w:jc w:val="left"/>
        <w:rPr>
          <w:rFonts w:ascii="Arial" w:hAnsi="Arial"/>
          <w:sz w:val="20"/>
        </w:rPr>
      </w:pPr>
      <w:r>
        <w:rPr>
          <w:rFonts w:ascii="Arial" w:hAnsi="Arial"/>
          <w:sz w:val="21"/>
        </w:rPr>
        <w:t>(c)an</w:t>
      </w:r>
      <w:r>
        <w:rPr>
          <w:rFonts w:ascii="Arial" w:hAnsi="Arial"/>
          <w:sz w:val="20"/>
        </w:rPr>
        <w:t> </w:t>
      </w:r>
      <w:r>
        <w:rPr>
          <w:rFonts w:ascii="Arial" w:hAnsi="Arial"/>
          <w:sz w:val="21"/>
        </w:rPr>
        <w:t>interest</w:t>
      </w:r>
      <w:r>
        <w:rPr>
          <w:rFonts w:ascii="Arial" w:hAnsi="Arial"/>
          <w:sz w:val="20"/>
        </w:rPr>
        <w:t> </w:t>
      </w:r>
      <w:r>
        <w:rPr>
          <w:rFonts w:ascii="Arial" w:hAnsi="Arial"/>
          <w:sz w:val="21"/>
        </w:rPr>
        <w:t>of</w:t>
      </w:r>
      <w:r>
        <w:rPr>
          <w:rFonts w:ascii="Arial" w:hAnsi="Arial"/>
          <w:sz w:val="20"/>
        </w:rPr>
        <w:t> </w:t>
      </w:r>
      <w:r>
        <w:rPr>
          <w:rFonts w:ascii="Arial" w:hAnsi="Arial"/>
          <w:sz w:val="21"/>
        </w:rPr>
        <w:t>more</w:t>
      </w:r>
      <w:r>
        <w:rPr>
          <w:rFonts w:ascii="Arial" w:hAnsi="Arial"/>
          <w:sz w:val="20"/>
        </w:rPr>
        <w:t> </w:t>
      </w:r>
      <w:r>
        <w:rPr>
          <w:rFonts w:ascii="Arial" w:hAnsi="Arial"/>
          <w:sz w:val="21"/>
        </w:rPr>
        <w:t>than</w:t>
      </w:r>
      <w:r>
        <w:rPr>
          <w:rFonts w:ascii="Arial" w:hAnsi="Arial"/>
          <w:sz w:val="20"/>
        </w:rPr>
        <w:t> </w:t>
      </w:r>
      <w:r>
        <w:rPr>
          <w:rFonts w:ascii="Arial" w:hAnsi="Arial"/>
          <w:sz w:val="21"/>
        </w:rPr>
        <w:t>50%</w:t>
      </w:r>
      <w:r>
        <w:rPr>
          <w:rFonts w:ascii="Arial" w:hAnsi="Arial"/>
          <w:sz w:val="20"/>
        </w:rPr>
        <w:t> </w:t>
      </w:r>
      <w:r>
        <w:rPr>
          <w:rFonts w:ascii="Arial" w:hAnsi="Arial"/>
          <w:sz w:val="21"/>
        </w:rPr>
        <w:t>in</w:t>
      </w:r>
      <w:r>
        <w:rPr>
          <w:rFonts w:ascii="Arial" w:hAnsi="Arial"/>
          <w:sz w:val="20"/>
        </w:rPr>
        <w:t> </w:t>
      </w:r>
      <w:r>
        <w:rPr>
          <w:rFonts w:ascii="Arial" w:hAnsi="Arial"/>
          <w:sz w:val="21"/>
        </w:rPr>
        <w:t>any</w:t>
      </w:r>
      <w:r>
        <w:rPr>
          <w:rFonts w:ascii="Arial" w:hAnsi="Arial"/>
          <w:sz w:val="20"/>
        </w:rPr>
        <w:t> </w:t>
      </w:r>
      <w:r>
        <w:rPr>
          <w:rFonts w:ascii="Arial" w:hAnsi="Arial"/>
          <w:sz w:val="21"/>
        </w:rPr>
        <w:t>category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profits,</w:t>
      </w:r>
      <w:r>
        <w:rPr>
          <w:rFonts w:ascii="Arial" w:hAnsi="Arial"/>
          <w:sz w:val="20"/>
        </w:rPr>
        <w:t> </w:t>
      </w:r>
      <w:r>
        <w:rPr>
          <w:rFonts w:ascii="Arial" w:hAnsi="Arial"/>
          <w:sz w:val="21"/>
        </w:rPr>
        <w:t>distributions or net liquidation proceeds,</w:t>
      </w:r>
      <w:r>
        <w:rPr>
          <w:rFonts w:ascii="Arial" w:hAnsi="Arial"/>
          <w:sz w:val="20"/>
        </w:rPr>
        <w:t xml:space="preserve"> </w:t>
      </w:r>
    </w:p>
    <w:p>
      <w:pPr>
        <w:pStyle w:val="TextBody"/>
        <w:bidi w:val="0"/>
        <w:spacing w:lineRule="auto" w:line="266" w:before="119" w:after="0"/>
        <w:ind w:left="3120" w:right="1471" w:hanging="0"/>
        <w:jc w:val="left"/>
        <w:rPr>
          <w:rFonts w:ascii="Arial" w:hAnsi="Arial"/>
          <w:sz w:val="22"/>
        </w:rPr>
      </w:pPr>
      <w:r>
        <w:rPr>
          <w:rFonts w:ascii="Arial" w:hAnsi="Arial"/>
          <w:sz w:val="22"/>
        </w:rPr>
        <w:t xml:space="preserve">provided, however, that none of the above shall be deemed to be a “change of control” so long as Parent continues to control, directly or indirectly, such Transaction Party. </w:t>
      </w:r>
    </w:p>
    <w:p>
      <w:pPr>
        <w:pStyle w:val="TextBody"/>
        <w:bidi w:val="0"/>
        <w:spacing w:before="121" w:after="0"/>
        <w:ind w:left="3120" w:right="700" w:hanging="0"/>
        <w:jc w:val="left"/>
        <w:rPr>
          <w:rFonts w:ascii="Arial" w:hAnsi="Arial"/>
          <w:sz w:val="20"/>
        </w:rPr>
      </w:pPr>
      <w:r>
        <w:rPr>
          <w:rFonts w:ascii="Arial" w:hAnsi="Arial"/>
          <w:b/>
          <w:sz w:val="21"/>
        </w:rPr>
        <w:t>Collateral</w:t>
      </w:r>
      <w:r>
        <w:rPr>
          <w:rFonts w:ascii="Arial" w:hAnsi="Arial"/>
          <w:sz w:val="20"/>
        </w:rPr>
        <w:t> </w:t>
      </w:r>
      <w:r>
        <w:rPr>
          <w:rFonts w:ascii="Arial" w:hAnsi="Arial"/>
          <w:b/>
          <w:sz w:val="21"/>
        </w:rPr>
        <w:t>Security</w:t>
      </w:r>
      <w:r>
        <w:rPr>
          <w:rFonts w:ascii="Arial" w:hAnsi="Arial"/>
          <w:sz w:val="20"/>
        </w:rPr>
        <w:t> </w:t>
      </w:r>
      <w:r>
        <w:rPr>
          <w:rFonts w:ascii="Arial" w:hAnsi="Arial"/>
          <w:sz w:val="21"/>
        </w:rPr>
        <w:t>means:</w:t>
      </w:r>
      <w:r>
        <w:rPr>
          <w:rFonts w:ascii="Arial" w:hAnsi="Arial"/>
          <w:sz w:val="20"/>
        </w:rPr>
        <w:t xml:space="preserve"> </w:t>
      </w:r>
    </w:p>
    <w:p>
      <w:pPr>
        <w:pStyle w:val="TextBody"/>
        <w:bidi w:val="0"/>
        <w:spacing w:lineRule="auto" w:line="266" w:before="147" w:after="0"/>
        <w:ind w:left="3686" w:right="1471" w:hanging="0"/>
        <w:jc w:val="left"/>
        <w:rPr>
          <w:rFonts w:ascii="Arial" w:hAnsi="Arial"/>
          <w:sz w:val="20"/>
        </w:rPr>
      </w:pPr>
      <w:r>
        <w:rPr>
          <w:rFonts w:ascii="Arial" w:hAnsi="Arial"/>
          <w:sz w:val="21"/>
        </w:rPr>
        <w:t>(a)any Guarantee by which any person Guarantees the Borrower’s compliance</w:t>
      </w:r>
      <w:r>
        <w:rPr>
          <w:rFonts w:ascii="Arial" w:hAnsi="Arial"/>
          <w:sz w:val="20"/>
        </w:rPr>
        <w:t> </w:t>
      </w:r>
      <w:r>
        <w:rPr>
          <w:rFonts w:ascii="Arial" w:hAnsi="Arial"/>
          <w:sz w:val="21"/>
        </w:rPr>
        <w:t>with</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under</w:t>
      </w:r>
      <w:r>
        <w:rPr>
          <w:rFonts w:ascii="Arial" w:hAnsi="Arial"/>
          <w:sz w:val="20"/>
        </w:rPr>
        <w:t> </w:t>
      </w:r>
      <w:r>
        <w:rPr>
          <w:rFonts w:ascii="Arial" w:hAnsi="Arial"/>
          <w:sz w:val="21"/>
        </w:rPr>
        <w:t>any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Documents;</w:t>
      </w:r>
      <w:r>
        <w:rPr>
          <w:rFonts w:ascii="Arial" w:hAnsi="Arial"/>
          <w:sz w:val="20"/>
        </w:rPr>
        <w:t xml:space="preserve"> </w:t>
      </w:r>
    </w:p>
    <w:p>
      <w:pPr>
        <w:pStyle w:val="TextBody"/>
        <w:bidi w:val="0"/>
        <w:spacing w:lineRule="auto" w:line="266" w:before="0" w:after="0"/>
        <w:ind w:left="3686" w:right="1835" w:hanging="0"/>
        <w:jc w:val="left"/>
        <w:rPr>
          <w:rFonts w:ascii="Arial" w:hAnsi="Arial"/>
          <w:sz w:val="20"/>
        </w:rPr>
      </w:pPr>
      <w:r>
        <w:rPr>
          <w:rFonts w:ascii="Arial" w:hAnsi="Arial"/>
          <w:sz w:val="21"/>
        </w:rPr>
        <w:t>(b)any</w:t>
      </w:r>
      <w:r>
        <w:rPr>
          <w:rFonts w:ascii="Arial" w:hAnsi="Arial"/>
          <w:sz w:val="20"/>
        </w:rPr>
        <w:t> </w:t>
      </w:r>
      <w:r>
        <w:rPr>
          <w:rFonts w:ascii="Arial" w:hAnsi="Arial"/>
          <w:sz w:val="21"/>
        </w:rPr>
        <w:t>Security</w:t>
      </w:r>
      <w:r>
        <w:rPr>
          <w:rFonts w:ascii="Arial" w:hAnsi="Arial"/>
          <w:sz w:val="20"/>
        </w:rPr>
        <w:t> </w:t>
      </w:r>
      <w:r>
        <w:rPr>
          <w:rFonts w:ascii="Arial" w:hAnsi="Arial"/>
          <w:sz w:val="21"/>
        </w:rPr>
        <w:t>which</w:t>
      </w:r>
      <w:r>
        <w:rPr>
          <w:rFonts w:ascii="Arial" w:hAnsi="Arial"/>
          <w:sz w:val="20"/>
        </w:rPr>
        <w:t> </w:t>
      </w:r>
      <w:r>
        <w:rPr>
          <w:rFonts w:ascii="Arial" w:hAnsi="Arial"/>
          <w:sz w:val="21"/>
        </w:rPr>
        <w:t>secures</w:t>
      </w:r>
      <w:r>
        <w:rPr>
          <w:rFonts w:ascii="Arial" w:hAnsi="Arial"/>
          <w:sz w:val="20"/>
        </w:rPr>
        <w:t> </w:t>
      </w:r>
      <w:r>
        <w:rPr>
          <w:rFonts w:ascii="Arial" w:hAnsi="Arial"/>
          <w:sz w:val="21"/>
        </w:rPr>
        <w:t>the</w:t>
      </w:r>
      <w:r>
        <w:rPr>
          <w:rFonts w:ascii="Arial" w:hAnsi="Arial"/>
          <w:sz w:val="20"/>
        </w:rPr>
        <w:t> </w:t>
      </w:r>
      <w:r>
        <w:rPr>
          <w:rFonts w:ascii="Arial" w:hAnsi="Arial"/>
          <w:sz w:val="21"/>
        </w:rPr>
        <w:t>payment</w:t>
      </w:r>
      <w:r>
        <w:rPr>
          <w:rFonts w:ascii="Arial" w:hAnsi="Arial"/>
          <w:sz w:val="20"/>
        </w:rPr>
        <w:t> </w:t>
      </w:r>
      <w:r>
        <w:rPr>
          <w:rFonts w:ascii="Arial" w:hAnsi="Arial"/>
          <w:sz w:val="21"/>
        </w:rPr>
        <w:t>of</w:t>
      </w:r>
      <w:r>
        <w:rPr>
          <w:rFonts w:ascii="Arial" w:hAnsi="Arial"/>
          <w:sz w:val="20"/>
        </w:rPr>
        <w:t> </w:t>
      </w:r>
      <w:r>
        <w:rPr>
          <w:rFonts w:ascii="Arial" w:hAnsi="Arial"/>
          <w:sz w:val="21"/>
        </w:rPr>
        <w:t>money</w:t>
      </w:r>
      <w:r>
        <w:rPr>
          <w:rFonts w:ascii="Arial" w:hAnsi="Arial"/>
          <w:sz w:val="20"/>
        </w:rPr>
        <w:t> </w:t>
      </w:r>
      <w:r>
        <w:rPr>
          <w:rFonts w:ascii="Arial" w:hAnsi="Arial"/>
          <w:sz w:val="21"/>
        </w:rPr>
        <w:t>owing</w:t>
      </w:r>
      <w:r>
        <w:rPr>
          <w:rFonts w:ascii="Arial" w:hAnsi="Arial"/>
          <w:sz w:val="20"/>
        </w:rPr>
        <w:t> </w:t>
      </w:r>
      <w:r>
        <w:rPr>
          <w:rFonts w:ascii="Arial" w:hAnsi="Arial"/>
          <w:sz w:val="21"/>
        </w:rPr>
        <w:t>(actually</w:t>
      </w:r>
      <w:r>
        <w:rPr>
          <w:rFonts w:ascii="Arial" w:hAnsi="Arial"/>
          <w:sz w:val="20"/>
        </w:rPr>
        <w:t> </w:t>
      </w:r>
      <w:r>
        <w:rPr>
          <w:rFonts w:ascii="Arial" w:hAnsi="Arial"/>
          <w:sz w:val="21"/>
        </w:rPr>
        <w:t>or contingently) from time to time by:</w:t>
      </w:r>
      <w:r>
        <w:rPr>
          <w:rFonts w:ascii="Arial" w:hAnsi="Arial"/>
          <w:sz w:val="20"/>
        </w:rPr>
        <w:t xml:space="preserve"> </w:t>
      </w:r>
    </w:p>
    <w:p>
      <w:pPr>
        <w:pStyle w:val="TextBody"/>
        <w:bidi w:val="0"/>
        <w:spacing w:lineRule="auto" w:line="266" w:before="0" w:after="0"/>
        <w:ind w:left="4253" w:right="2257" w:hanging="0"/>
        <w:jc w:val="left"/>
        <w:rPr>
          <w:rFonts w:ascii="Arial" w:hAnsi="Arial"/>
          <w:sz w:val="20"/>
        </w:rPr>
      </w:pPr>
      <w:r>
        <w:rPr>
          <w:rFonts w:ascii="Arial" w:hAnsi="Arial"/>
          <w:sz w:val="21"/>
        </w:rPr>
        <w:t>(i)any</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any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Transaction Documents; or</w:t>
      </w:r>
      <w:r>
        <w:rPr>
          <w:rFonts w:ascii="Arial" w:hAnsi="Arial"/>
          <w:sz w:val="20"/>
        </w:rPr>
        <w:t xml:space="preserve"> </w:t>
      </w:r>
    </w:p>
    <w:p>
      <w:pPr>
        <w:pStyle w:val="TextBody"/>
        <w:bidi w:val="0"/>
        <w:spacing w:lineRule="auto" w:line="266" w:before="0" w:after="0"/>
        <w:ind w:left="4253" w:right="1685" w:hanging="0"/>
        <w:jc w:val="left"/>
        <w:rPr>
          <w:rFonts w:ascii="Arial" w:hAnsi="Arial"/>
          <w:sz w:val="20"/>
        </w:rPr>
      </w:pPr>
      <w:r>
        <w:rPr>
          <w:rFonts w:ascii="Arial" w:hAnsi="Arial"/>
          <w:sz w:val="21"/>
        </w:rPr>
        <w:t>(ii)any</w:t>
      </w:r>
      <w:r>
        <w:rPr>
          <w:rFonts w:ascii="Arial" w:hAnsi="Arial"/>
          <w:sz w:val="20"/>
        </w:rPr>
        <w:t> </w:t>
      </w:r>
      <w:r>
        <w:rPr>
          <w:rFonts w:ascii="Arial" w:hAnsi="Arial"/>
          <w:sz w:val="21"/>
        </w:rPr>
        <w:t>person</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Guarantee</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Transaction</w:t>
      </w:r>
      <w:r>
        <w:rPr>
          <w:rFonts w:ascii="Arial" w:hAnsi="Arial"/>
          <w:sz w:val="20"/>
        </w:rPr>
        <w:t> </w:t>
      </w:r>
      <w:r>
        <w:rPr>
          <w:rFonts w:ascii="Arial" w:hAnsi="Arial"/>
          <w:sz w:val="21"/>
        </w:rPr>
        <w:t>Party’s compliance with its obligations under any of the Transaction Documents; and</w:t>
      </w:r>
      <w:r>
        <w:rPr>
          <w:rFonts w:ascii="Arial" w:hAnsi="Arial"/>
          <w:sz w:val="20"/>
        </w:rPr>
        <w:t xml:space="preserve"> </w:t>
      </w:r>
    </w:p>
    <w:p>
      <w:pPr>
        <w:pStyle w:val="TextBody"/>
        <w:bidi w:val="0"/>
        <w:spacing w:lineRule="auto" w:line="266" w:before="121" w:after="0"/>
        <w:ind w:left="3686" w:right="1540" w:hanging="0"/>
        <w:jc w:val="left"/>
        <w:rPr/>
      </w:pPr>
      <w:r>
        <w:rPr>
          <w:rFonts w:ascii="Arial" w:hAnsi="Arial"/>
          <w:sz w:val="21"/>
        </w:rPr>
        <w:t>(c)without</w:t>
      </w:r>
      <w:r>
        <w:rPr>
          <w:rFonts w:ascii="Arial" w:hAnsi="Arial"/>
          <w:sz w:val="20"/>
        </w:rPr>
        <w:t> </w:t>
      </w:r>
      <w:r>
        <w:rPr>
          <w:rFonts w:ascii="Arial" w:hAnsi="Arial"/>
          <w:sz w:val="21"/>
        </w:rPr>
        <w:t>limiting</w:t>
      </w:r>
      <w:r>
        <w:rPr>
          <w:rFonts w:ascii="Arial" w:hAnsi="Arial"/>
          <w:sz w:val="20"/>
        </w:rPr>
        <w:t> </w:t>
      </w:r>
      <w:r>
        <w:rPr>
          <w:rFonts w:ascii="Arial" w:hAnsi="Arial"/>
          <w:sz w:val="21"/>
        </w:rPr>
        <w:t>the</w:t>
      </w:r>
      <w:r>
        <w:rPr>
          <w:rFonts w:ascii="Arial" w:hAnsi="Arial"/>
          <w:sz w:val="20"/>
        </w:rPr>
        <w:t> </w:t>
      </w:r>
      <w:r>
        <w:rPr>
          <w:rFonts w:ascii="Arial" w:hAnsi="Arial"/>
          <w:sz w:val="21"/>
        </w:rPr>
        <w:t>generality</w:t>
      </w:r>
      <w:r>
        <w:rPr>
          <w:rFonts w:ascii="Arial" w:hAnsi="Arial"/>
          <w:sz w:val="20"/>
        </w:rPr>
        <w:t> </w:t>
      </w:r>
      <w:r>
        <w:rPr>
          <w:rFonts w:ascii="Arial" w:hAnsi="Arial"/>
          <w:sz w:val="21"/>
        </w:rPr>
        <w:t>of</w:t>
      </w:r>
      <w:r>
        <w:rPr>
          <w:rFonts w:ascii="Arial" w:hAnsi="Arial"/>
          <w:sz w:val="20"/>
        </w:rPr>
        <w:t> </w:t>
      </w:r>
      <w:r>
        <w:rPr>
          <w:rFonts w:ascii="Arial" w:hAnsi="Arial"/>
          <w:sz w:val="21"/>
        </w:rPr>
        <w:t>paragraphs</w:t>
      </w:r>
      <w:r>
        <w:rPr>
          <w:rFonts w:ascii="Arial" w:hAnsi="Arial"/>
          <w:sz w:val="20"/>
        </w:rPr>
        <w:t> </w:t>
      </w:r>
      <w:r>
        <w:rPr>
          <w:rFonts w:ascii="Arial" w:hAnsi="Arial"/>
          <w:sz w:val="21"/>
        </w:rPr>
        <w:t>(a)</w:t>
      </w:r>
      <w:r>
        <w:rPr>
          <w:rFonts w:ascii="Arial" w:hAnsi="Arial"/>
          <w:sz w:val="20"/>
        </w:rPr>
        <w:t> </w:t>
      </w:r>
      <w:r>
        <w:rPr>
          <w:rFonts w:ascii="Arial" w:hAnsi="Arial"/>
          <w:sz w:val="21"/>
        </w:rPr>
        <w:t>and</w:t>
      </w:r>
      <w:r>
        <w:rPr>
          <w:rFonts w:ascii="Arial" w:hAnsi="Arial"/>
          <w:sz w:val="20"/>
        </w:rPr>
        <w:t> </w:t>
      </w:r>
      <w:r>
        <w:rPr>
          <w:rFonts w:ascii="Arial" w:hAnsi="Arial"/>
          <w:sz w:val="21"/>
        </w:rPr>
        <w:t>(b)</w:t>
      </w:r>
      <w:r>
        <w:rPr>
          <w:rFonts w:ascii="Arial" w:hAnsi="Arial"/>
          <w:sz w:val="20"/>
        </w:rPr>
        <w:t> </w:t>
      </w:r>
      <w:r>
        <w:rPr>
          <w:rFonts w:ascii="Arial" w:hAnsi="Arial"/>
          <w:sz w:val="21"/>
        </w:rPr>
        <w:t>each</w:t>
      </w:r>
      <w:r>
        <w:rPr>
          <w:rFonts w:ascii="Arial" w:hAnsi="Arial"/>
          <w:sz w:val="20"/>
        </w:rPr>
        <w:t> </w:t>
      </w:r>
      <w:r>
        <w:rPr>
          <w:rFonts w:ascii="Arial" w:hAnsi="Arial"/>
          <w:sz w:val="21"/>
        </w:rPr>
        <w:t>thing</w:t>
      </w:r>
      <w:r>
        <w:rPr>
          <w:rFonts w:ascii="Arial" w:hAnsi="Arial"/>
          <w:sz w:val="20"/>
        </w:rPr>
        <w:t> </w:t>
      </w:r>
      <w:r>
        <w:rPr>
          <w:rFonts w:ascii="Arial" w:hAnsi="Arial"/>
          <w:sz w:val="21"/>
        </w:rPr>
        <w:t xml:space="preserve">listed in </w:t>
      </w:r>
      <w:r>
        <w:rPr>
          <w:rFonts w:ascii="Arial" w:hAnsi="Arial"/>
          <w:b/>
          <w:sz w:val="21"/>
        </w:rPr>
        <w:t xml:space="preserve">schedule </w:t>
      </w:r>
      <w:hyperlink w:anchor="_bookmark203">
        <w:r>
          <w:rPr>
            <w:rStyle w:val="InternetLink"/>
            <w:rFonts w:ascii="Arial" w:hAnsi="Arial"/>
            <w:b/>
            <w:sz w:val="21"/>
          </w:rPr>
          <w:t>3</w:t>
        </w:r>
      </w:hyperlink>
      <w:r>
        <w:rPr>
          <w:rFonts w:ascii="Arial" w:hAnsi="Arial"/>
          <w:sz w:val="21"/>
        </w:rPr>
        <w:t>.</w:t>
      </w:r>
      <w:r>
        <w:rPr>
          <w:rFonts w:ascii="Arial" w:hAnsi="Arial"/>
          <w:sz w:val="20"/>
        </w:rPr>
        <w:t xml:space="preserve"> </w:t>
      </w:r>
    </w:p>
    <w:p>
      <w:pPr>
        <w:pStyle w:val="TextBody"/>
        <w:bidi w:val="0"/>
        <w:spacing w:lineRule="auto" w:line="266" w:before="119" w:after="0"/>
        <w:ind w:left="3120" w:right="1366" w:hanging="0"/>
        <w:jc w:val="left"/>
        <w:rPr>
          <w:rFonts w:ascii="Arial" w:hAnsi="Arial"/>
          <w:sz w:val="22"/>
        </w:rPr>
      </w:pPr>
      <w:r>
        <w:rPr>
          <w:rFonts w:ascii="Arial" w:hAnsi="Arial"/>
          <w:b/>
          <w:sz w:val="22"/>
        </w:rPr>
        <w:t xml:space="preserve">Contaminant </w:t>
      </w:r>
      <w:r>
        <w:rPr>
          <w:rFonts w:ascii="Arial" w:hAnsi="Arial"/>
          <w:sz w:val="22"/>
        </w:rPr>
        <w:t xml:space="preserve">means a noxious, harmful or hazardous condition (including an odour, temperature, sound, vibration or radiation) or substance the presence or use of which (having regard, without limitation, to the nature and quantity of the substance and other substances with which it is stored or used) does or may result in the breach of an Environmental Law or the issuing of an order or direction under an Environmental Law. </w:t>
      </w:r>
    </w:p>
    <w:p>
      <w:pPr>
        <w:pStyle w:val="TextBody"/>
        <w:bidi w:val="0"/>
        <w:spacing w:before="117" w:after="0"/>
        <w:ind w:left="3120" w:right="700" w:hanging="0"/>
        <w:jc w:val="left"/>
        <w:rPr>
          <w:rFonts w:ascii="Arial" w:hAnsi="Arial"/>
          <w:sz w:val="20"/>
        </w:rPr>
      </w:pPr>
      <w:r>
        <w:rPr>
          <w:rFonts w:ascii="Arial" w:hAnsi="Arial"/>
          <w:b/>
          <w:sz w:val="21"/>
        </w:rPr>
        <w:t>Corporate</w:t>
      </w:r>
      <w:r>
        <w:rPr>
          <w:rFonts w:ascii="Arial" w:hAnsi="Arial"/>
          <w:sz w:val="20"/>
        </w:rPr>
        <w:t> </w:t>
      </w:r>
      <w:r>
        <w:rPr>
          <w:rFonts w:ascii="Arial" w:hAnsi="Arial"/>
          <w:b/>
          <w:sz w:val="21"/>
        </w:rPr>
        <w:t>Markets</w:t>
      </w:r>
      <w:r>
        <w:rPr>
          <w:rFonts w:ascii="Arial" w:hAnsi="Arial"/>
          <w:sz w:val="20"/>
        </w:rPr>
        <w:t> </w:t>
      </w:r>
      <w:r>
        <w:rPr>
          <w:rFonts w:ascii="Arial" w:hAnsi="Arial"/>
          <w:b/>
          <w:sz w:val="21"/>
        </w:rPr>
        <w:t>Loan</w:t>
      </w:r>
      <w:r>
        <w:rPr>
          <w:rFonts w:ascii="Arial" w:hAnsi="Arial"/>
          <w:sz w:val="20"/>
        </w:rPr>
        <w:t> </w:t>
      </w:r>
      <w:r>
        <w:rPr>
          <w:rFonts w:ascii="Arial" w:hAnsi="Arial"/>
          <w:b/>
          <w:sz w:val="21"/>
        </w:rPr>
        <w:t>Facility</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Facility</w:t>
      </w:r>
      <w:r>
        <w:rPr>
          <w:rFonts w:ascii="Arial" w:hAnsi="Arial"/>
          <w:sz w:val="20"/>
        </w:rPr>
        <w:t> </w:t>
      </w:r>
      <w:r>
        <w:rPr>
          <w:rFonts w:ascii="Arial" w:hAnsi="Arial"/>
          <w:sz w:val="21"/>
        </w:rPr>
        <w:t>described</w:t>
      </w:r>
      <w:r>
        <w:rPr>
          <w:rFonts w:ascii="Arial" w:hAnsi="Arial"/>
          <w:sz w:val="20"/>
        </w:rPr>
        <w:t> </w:t>
      </w:r>
      <w:r>
        <w:rPr>
          <w:rFonts w:ascii="Arial" w:hAnsi="Arial"/>
          <w:sz w:val="21"/>
        </w:rPr>
        <w:t>as</w:t>
      </w:r>
      <w:r>
        <w:rPr>
          <w:rFonts w:ascii="Arial" w:hAnsi="Arial"/>
          <w:sz w:val="20"/>
        </w:rPr>
        <w:t> </w:t>
      </w:r>
      <w:r>
        <w:rPr>
          <w:rFonts w:ascii="Arial" w:hAnsi="Arial"/>
          <w:sz w:val="21"/>
        </w:rPr>
        <w:t>such</w:t>
      </w:r>
      <w:r>
        <w:rPr>
          <w:rFonts w:ascii="Arial" w:hAnsi="Arial"/>
          <w:sz w:val="20"/>
        </w:rPr>
        <w:t xml:space="preserve"> </w:t>
      </w:r>
      <w:r>
        <w:rPr>
          <w:rFonts w:ascii="Arial" w:hAnsi="Arial"/>
          <w:sz w:val="21"/>
        </w:rPr>
        <w:t>in</w:t>
      </w:r>
      <w:r>
        <w:rPr>
          <w:rFonts w:ascii="Arial" w:hAnsi="Arial"/>
          <w:sz w:val="20"/>
        </w:rPr>
        <w:t xml:space="preserve"> </w:t>
      </w:r>
    </w:p>
    <w:p>
      <w:pPr>
        <w:pStyle w:val="TextBody"/>
        <w:bidi w:val="0"/>
        <w:spacing w:lineRule="auto" w:line="386" w:before="28" w:after="0"/>
        <w:ind w:left="3120" w:right="2534" w:hanging="0"/>
        <w:jc w:val="left"/>
        <w:rPr/>
      </w:pPr>
      <w:r>
        <w:rPr>
          <w:rFonts w:ascii="Arial" w:hAnsi="Arial"/>
          <w:b/>
          <w:sz w:val="21"/>
        </w:rPr>
        <w:t xml:space="preserve">schedule </w:t>
      </w:r>
      <w:hyperlink w:anchor="_bookmark201">
        <w:r>
          <w:rPr>
            <w:rStyle w:val="InternetLink"/>
            <w:rFonts w:ascii="Arial" w:hAnsi="Arial"/>
            <w:b/>
            <w:sz w:val="21"/>
          </w:rPr>
          <w:t>2</w:t>
        </w:r>
      </w:hyperlink>
      <w:r>
        <w:rPr>
          <w:rFonts w:ascii="Arial" w:hAnsi="Arial"/>
          <w:sz w:val="20"/>
        </w:rPr>
        <w:t> </w:t>
      </w:r>
      <w:r>
        <w:rPr>
          <w:rFonts w:ascii="Arial" w:hAnsi="Arial"/>
          <w:sz w:val="21"/>
        </w:rPr>
        <w:t xml:space="preserve">and granted pursuant to </w:t>
      </w:r>
      <w:r>
        <w:rPr>
          <w:rFonts w:ascii="Arial" w:hAnsi="Arial"/>
          <w:b/>
          <w:sz w:val="21"/>
        </w:rPr>
        <w:t xml:space="preserve">clause </w:t>
      </w:r>
      <w:hyperlink w:anchor="_bookmark41">
        <w:r>
          <w:rPr>
            <w:rStyle w:val="InternetLink"/>
            <w:rFonts w:ascii="Arial" w:hAnsi="Arial"/>
            <w:b/>
            <w:sz w:val="21"/>
          </w:rPr>
          <w:t>4.1(a)(i)</w:t>
        </w:r>
      </w:hyperlink>
      <w:r>
        <w:rPr>
          <w:rFonts w:ascii="Arial" w:hAnsi="Arial"/>
          <w:sz w:val="21"/>
        </w:rPr>
        <w:t>.  </w:t>
      </w:r>
      <w:r>
        <w:rPr>
          <w:rFonts w:ascii="Arial" w:hAnsi="Arial"/>
          <w:b/>
          <w:sz w:val="21"/>
        </w:rPr>
        <w:t>Corporations</w:t>
      </w:r>
      <w:r>
        <w:rPr>
          <w:rFonts w:ascii="Arial" w:hAnsi="Arial"/>
          <w:sz w:val="20"/>
        </w:rPr>
        <w:t> </w:t>
      </w:r>
      <w:r>
        <w:rPr>
          <w:rFonts w:ascii="Arial" w:hAnsi="Arial"/>
          <w:b/>
          <w:sz w:val="21"/>
        </w:rPr>
        <w:t>Act</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i/>
          <w:sz w:val="21"/>
        </w:rPr>
        <w:t>Corporations</w:t>
      </w:r>
      <w:r>
        <w:rPr>
          <w:rFonts w:ascii="Arial" w:hAnsi="Arial"/>
          <w:sz w:val="20"/>
        </w:rPr>
        <w:t> </w:t>
      </w:r>
      <w:r>
        <w:rPr>
          <w:rFonts w:ascii="Arial" w:hAnsi="Arial"/>
          <w:i/>
          <w:sz w:val="21"/>
        </w:rPr>
        <w:t>Act</w:t>
      </w:r>
      <w:r>
        <w:rPr>
          <w:rFonts w:ascii="Arial" w:hAnsi="Arial"/>
          <w:sz w:val="20"/>
        </w:rPr>
        <w:t> </w:t>
      </w:r>
      <w:r>
        <w:rPr>
          <w:rFonts w:ascii="Arial" w:hAnsi="Arial"/>
          <w:i/>
          <w:sz w:val="21"/>
        </w:rPr>
        <w:t>2001</w:t>
      </w:r>
      <w:r>
        <w:rPr>
          <w:rFonts w:ascii="Arial" w:hAnsi="Arial"/>
          <w:sz w:val="20"/>
        </w:rPr>
        <w:t> </w:t>
      </w:r>
      <w:r>
        <w:rPr>
          <w:rFonts w:ascii="Arial" w:hAnsi="Arial"/>
          <w:sz w:val="21"/>
        </w:rPr>
        <w:t>(Cth).</w:t>
      </w:r>
      <w:r>
        <w:rPr>
          <w:rFonts w:ascii="Arial" w:hAnsi="Arial"/>
          <w:sz w:val="20"/>
        </w:rPr>
        <w:t xml:space="preserve"> </w:t>
      </w:r>
    </w:p>
    <w:p>
      <w:pPr>
        <w:pStyle w:val="TextBody"/>
        <w:bidi w:val="0"/>
        <w:spacing w:lineRule="auto" w:line="266" w:before="0" w:after="0"/>
        <w:ind w:left="3120" w:right="1471" w:hanging="0"/>
        <w:jc w:val="left"/>
        <w:rPr>
          <w:rFonts w:ascii="Arial" w:hAnsi="Arial"/>
          <w:sz w:val="20"/>
        </w:rPr>
      </w:pPr>
      <w:r>
        <w:rPr>
          <w:rFonts w:ascii="Arial" w:hAnsi="Arial"/>
          <w:b/>
          <w:sz w:val="21"/>
        </w:rPr>
        <w:t>Current</w:t>
      </w:r>
      <w:r>
        <w:rPr>
          <w:rFonts w:ascii="Arial" w:hAnsi="Arial"/>
          <w:sz w:val="20"/>
        </w:rPr>
        <w:t> </w:t>
      </w:r>
      <w:r>
        <w:rPr>
          <w:rFonts w:ascii="Arial" w:hAnsi="Arial"/>
          <w:b/>
          <w:sz w:val="21"/>
        </w:rPr>
        <w:t>Bank</w:t>
      </w:r>
      <w:r>
        <w:rPr>
          <w:rFonts w:ascii="Arial" w:hAnsi="Arial"/>
          <w:sz w:val="20"/>
        </w:rPr>
        <w:t> </w:t>
      </w:r>
      <w:r>
        <w:rPr>
          <w:rFonts w:ascii="Arial" w:hAnsi="Arial"/>
          <w:b/>
          <w:sz w:val="21"/>
        </w:rPr>
        <w:t>Guarantee</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Bank</w:t>
      </w:r>
      <w:r>
        <w:rPr>
          <w:rFonts w:ascii="Arial" w:hAnsi="Arial"/>
          <w:sz w:val="20"/>
        </w:rPr>
        <w:t> </w:t>
      </w:r>
      <w:r>
        <w:rPr>
          <w:rFonts w:ascii="Arial" w:hAnsi="Arial"/>
          <w:sz w:val="21"/>
        </w:rPr>
        <w:t>Guarantee</w:t>
      </w:r>
      <w:r>
        <w:rPr>
          <w:rFonts w:ascii="Arial" w:hAnsi="Arial"/>
          <w:sz w:val="20"/>
        </w:rPr>
        <w:t> </w:t>
      </w:r>
      <w:r>
        <w:rPr>
          <w:rFonts w:ascii="Arial" w:hAnsi="Arial"/>
          <w:sz w:val="21"/>
        </w:rPr>
        <w:t>which</w:t>
      </w:r>
      <w:r>
        <w:rPr>
          <w:rFonts w:ascii="Arial" w:hAnsi="Arial"/>
          <w:sz w:val="20"/>
        </w:rPr>
        <w:t> </w:t>
      </w:r>
      <w:r>
        <w:rPr>
          <w:rFonts w:ascii="Arial" w:hAnsi="Arial"/>
          <w:sz w:val="21"/>
        </w:rPr>
        <w:t>has</w:t>
      </w:r>
      <w:r>
        <w:rPr>
          <w:rFonts w:ascii="Arial" w:hAnsi="Arial"/>
          <w:sz w:val="20"/>
        </w:rPr>
        <w:t> </w:t>
      </w:r>
      <w:r>
        <w:rPr>
          <w:rFonts w:ascii="Arial" w:hAnsi="Arial"/>
          <w:sz w:val="21"/>
        </w:rPr>
        <w:t>not</w:t>
      </w:r>
      <w:r>
        <w:rPr>
          <w:rFonts w:ascii="Arial" w:hAnsi="Arial"/>
          <w:sz w:val="20"/>
        </w:rPr>
        <w:t> </w:t>
      </w:r>
      <w:r>
        <w:rPr>
          <w:rFonts w:ascii="Arial" w:hAnsi="Arial"/>
          <w:sz w:val="21"/>
        </w:rPr>
        <w:t>Matured</w:t>
      </w:r>
      <w:r>
        <w:rPr>
          <w:rFonts w:ascii="Arial" w:hAnsi="Arial"/>
          <w:sz w:val="20"/>
        </w:rPr>
        <w:t> </w:t>
      </w:r>
      <w:r>
        <w:rPr>
          <w:rFonts w:ascii="Arial" w:hAnsi="Arial"/>
          <w:sz w:val="21"/>
        </w:rPr>
        <w:t>or Expired.</w:t>
      </w:r>
      <w:r>
        <w:rPr>
          <w:rFonts w:ascii="Arial" w:hAnsi="Arial"/>
          <w:sz w:val="20"/>
        </w:rPr>
        <w:t xml:space="preserve"> </w:t>
      </w:r>
    </w:p>
    <w:p>
      <w:pPr>
        <w:pStyle w:val="TextBody"/>
        <w:bidi w:val="0"/>
        <w:spacing w:lineRule="auto" w:line="266" w:before="117" w:after="0"/>
        <w:ind w:left="3120" w:right="1486" w:hanging="0"/>
        <w:jc w:val="left"/>
        <w:rPr>
          <w:rFonts w:ascii="Arial" w:hAnsi="Arial"/>
          <w:sz w:val="20"/>
        </w:rPr>
      </w:pPr>
      <w:r>
        <w:rPr>
          <w:rFonts w:ascii="Arial" w:hAnsi="Arial"/>
          <w:b/>
          <w:sz w:val="21"/>
        </w:rPr>
        <w:t>Daily</w:t>
      </w:r>
      <w:r>
        <w:rPr>
          <w:rFonts w:ascii="Arial" w:hAnsi="Arial"/>
          <w:sz w:val="20"/>
        </w:rPr>
        <w:t> </w:t>
      </w:r>
      <w:r>
        <w:rPr>
          <w:rFonts w:ascii="Arial" w:hAnsi="Arial"/>
          <w:b/>
          <w:sz w:val="21"/>
        </w:rPr>
        <w:t>Interest</w:t>
      </w:r>
      <w:r>
        <w:rPr>
          <w:rFonts w:ascii="Arial" w:hAnsi="Arial"/>
          <w:sz w:val="20"/>
        </w:rPr>
        <w:t> </w:t>
      </w:r>
      <w:r>
        <w:rPr>
          <w:rFonts w:ascii="Arial" w:hAnsi="Arial"/>
          <w:b/>
          <w:sz w:val="21"/>
        </w:rPr>
        <w:t>Rate</w:t>
      </w:r>
      <w:r>
        <w:rPr>
          <w:rFonts w:ascii="Arial" w:hAnsi="Arial"/>
          <w:sz w:val="20"/>
        </w:rPr>
        <w:t> </w:t>
      </w:r>
      <w:r>
        <w:rPr>
          <w:rFonts w:ascii="Arial" w:hAnsi="Arial"/>
          <w:sz w:val="21"/>
        </w:rPr>
        <w:t>means,</w:t>
      </w:r>
      <w:r>
        <w:rPr>
          <w:rFonts w:ascii="Arial" w:hAnsi="Arial"/>
          <w:sz w:val="20"/>
        </w:rPr>
        <w:t> </w:t>
      </w:r>
      <w:r>
        <w:rPr>
          <w:rFonts w:ascii="Arial" w:hAnsi="Arial"/>
          <w:sz w:val="21"/>
        </w:rPr>
        <w:t>for</w:t>
      </w:r>
      <w:r>
        <w:rPr>
          <w:rFonts w:ascii="Arial" w:hAnsi="Arial"/>
          <w:sz w:val="20"/>
        </w:rPr>
        <w:t> </w:t>
      </w:r>
      <w:r>
        <w:rPr>
          <w:rFonts w:ascii="Arial" w:hAnsi="Arial"/>
          <w:sz w:val="21"/>
        </w:rPr>
        <w:t>any</w:t>
      </w:r>
      <w:r>
        <w:rPr>
          <w:rFonts w:ascii="Arial" w:hAnsi="Arial"/>
          <w:sz w:val="20"/>
        </w:rPr>
        <w:t> </w:t>
      </w:r>
      <w:r>
        <w:rPr>
          <w:rFonts w:ascii="Arial" w:hAnsi="Arial"/>
          <w:sz w:val="21"/>
        </w:rPr>
        <w:t>day,</w:t>
      </w:r>
      <w:r>
        <w:rPr>
          <w:rFonts w:ascii="Arial" w:hAnsi="Arial"/>
          <w:sz w:val="20"/>
        </w:rPr>
        <w:t> </w:t>
      </w:r>
      <w:r>
        <w:rPr>
          <w:rFonts w:ascii="Arial" w:hAnsi="Arial"/>
          <w:sz w:val="21"/>
        </w:rPr>
        <w:t>the</w:t>
      </w:r>
      <w:r>
        <w:rPr>
          <w:rFonts w:ascii="Arial" w:hAnsi="Arial"/>
          <w:sz w:val="20"/>
        </w:rPr>
        <w:t> </w:t>
      </w:r>
      <w:r>
        <w:rPr>
          <w:rFonts w:ascii="Arial" w:hAnsi="Arial"/>
          <w:sz w:val="21"/>
        </w:rPr>
        <w:t>Interest</w:t>
      </w:r>
      <w:r>
        <w:rPr>
          <w:rFonts w:ascii="Arial" w:hAnsi="Arial"/>
          <w:sz w:val="20"/>
        </w:rPr>
        <w:t> </w:t>
      </w:r>
      <w:r>
        <w:rPr>
          <w:rFonts w:ascii="Arial" w:hAnsi="Arial"/>
          <w:sz w:val="21"/>
        </w:rPr>
        <w:t>Rate</w:t>
      </w:r>
      <w:r>
        <w:rPr>
          <w:rFonts w:ascii="Arial" w:hAnsi="Arial"/>
          <w:sz w:val="20"/>
        </w:rPr>
        <w:t> </w:t>
      </w:r>
      <w:r>
        <w:rPr>
          <w:rFonts w:ascii="Arial" w:hAnsi="Arial"/>
          <w:sz w:val="21"/>
        </w:rPr>
        <w:t>on</w:t>
      </w:r>
      <w:r>
        <w:rPr>
          <w:rFonts w:ascii="Arial" w:hAnsi="Arial"/>
          <w:sz w:val="20"/>
        </w:rPr>
        <w:t> </w:t>
      </w:r>
      <w:r>
        <w:rPr>
          <w:rFonts w:ascii="Arial" w:hAnsi="Arial"/>
          <w:sz w:val="21"/>
        </w:rPr>
        <w:t>that</w:t>
      </w:r>
      <w:r>
        <w:rPr>
          <w:rFonts w:ascii="Arial" w:hAnsi="Arial"/>
          <w:sz w:val="20"/>
        </w:rPr>
        <w:t> </w:t>
      </w:r>
      <w:r>
        <w:rPr>
          <w:rFonts w:ascii="Arial" w:hAnsi="Arial"/>
          <w:sz w:val="21"/>
        </w:rPr>
        <w:t>day</w:t>
      </w:r>
      <w:r>
        <w:rPr>
          <w:rFonts w:ascii="Arial" w:hAnsi="Arial"/>
          <w:sz w:val="20"/>
        </w:rPr>
        <w:t> </w:t>
      </w:r>
      <w:r>
        <w:rPr>
          <w:rFonts w:ascii="Arial" w:hAnsi="Arial"/>
          <w:sz w:val="21"/>
        </w:rPr>
        <w:t>divided by 365.</w:t>
      </w:r>
      <w:r>
        <w:rPr>
          <w:rFonts w:ascii="Arial" w:hAnsi="Arial"/>
          <w:sz w:val="20"/>
        </w:rPr>
        <w:t xml:space="preserve"> </w:t>
      </w:r>
    </w:p>
    <w:p>
      <w:pPr>
        <w:pStyle w:val="TextBody"/>
        <w:bidi w:val="0"/>
        <w:spacing w:lineRule="auto" w:line="266" w:before="119" w:after="0"/>
        <w:ind w:left="3120" w:right="1471" w:hanging="0"/>
        <w:jc w:val="left"/>
        <w:rPr>
          <w:rFonts w:ascii="Arial" w:hAnsi="Arial"/>
          <w:sz w:val="22"/>
        </w:rPr>
      </w:pPr>
      <w:r>
        <w:rPr>
          <w:rFonts w:ascii="Arial" w:hAnsi="Arial"/>
          <w:b/>
          <w:sz w:val="22"/>
        </w:rPr>
        <w:t>Delay</w:t>
      </w:r>
      <w:r>
        <w:rPr>
          <w:rFonts w:ascii="Arial" w:hAnsi="Arial"/>
          <w:sz w:val="22"/>
        </w:rPr>
        <w:t> </w:t>
      </w:r>
      <w:r>
        <w:rPr>
          <w:rFonts w:ascii="Arial" w:hAnsi="Arial"/>
          <w:b/>
          <w:sz w:val="22"/>
        </w:rPr>
        <w:t>Event</w:t>
      </w:r>
      <w:r>
        <w:rPr>
          <w:rFonts w:ascii="Arial" w:hAnsi="Arial"/>
          <w:sz w:val="22"/>
        </w:rPr>
        <w:t> means, in respect of </w:t>
      </w:r>
      <w:r>
        <w:rPr>
          <w:rFonts w:ascii="Arial" w:hAnsi="Arial"/>
          <w:b/>
          <w:sz w:val="22"/>
        </w:rPr>
        <w:t>clause</w:t>
      </w:r>
      <w:r>
        <w:rPr>
          <w:rFonts w:ascii="Arial" w:hAnsi="Arial"/>
          <w:sz w:val="22"/>
        </w:rPr>
        <w:t> </w:t>
      </w:r>
      <w:r>
        <w:rPr>
          <w:rFonts w:ascii="Arial" w:hAnsi="Arial"/>
          <w:b/>
          <w:sz w:val="22"/>
        </w:rPr>
        <w:t>9.5(h)</w:t>
      </w:r>
      <w:r>
        <w:rPr>
          <w:rFonts w:ascii="Arial" w:hAnsi="Arial"/>
          <w:sz w:val="22"/>
        </w:rPr>
        <w:t xml:space="preserve">, a declaration of emergency and/or natural disaster by the Queensland Government which: </w:t>
      </w:r>
    </w:p>
    <w:p>
      <w:pPr>
        <w:pStyle w:val="TextBody"/>
        <w:bidi w:val="0"/>
        <w:spacing w:before="121" w:after="0"/>
        <w:ind w:left="3686" w:right="700" w:hanging="0"/>
        <w:jc w:val="left"/>
        <w:rPr>
          <w:rFonts w:ascii="Arial" w:hAnsi="Arial"/>
          <w:sz w:val="20"/>
        </w:rPr>
      </w:pPr>
      <w:r>
        <w:rPr>
          <w:rFonts w:ascii="Arial" w:hAnsi="Arial"/>
          <w:sz w:val="21"/>
        </w:rPr>
        <w:t>(a)has</w:t>
      </w:r>
      <w:r>
        <w:rPr>
          <w:rFonts w:ascii="Arial" w:hAnsi="Arial"/>
          <w:sz w:val="20"/>
        </w:rPr>
        <w:t> </w:t>
      </w:r>
      <w:r>
        <w:rPr>
          <w:rFonts w:ascii="Arial" w:hAnsi="Arial"/>
          <w:sz w:val="21"/>
        </w:rPr>
        <w:t>a</w:t>
      </w:r>
      <w:r>
        <w:rPr>
          <w:rFonts w:ascii="Arial" w:hAnsi="Arial"/>
          <w:sz w:val="20"/>
        </w:rPr>
        <w:t> </w:t>
      </w:r>
      <w:r>
        <w:rPr>
          <w:rFonts w:ascii="Arial" w:hAnsi="Arial"/>
          <w:sz w:val="21"/>
        </w:rPr>
        <w:t>direct</w:t>
      </w:r>
      <w:r>
        <w:rPr>
          <w:rFonts w:ascii="Arial" w:hAnsi="Arial"/>
          <w:sz w:val="20"/>
        </w:rPr>
        <w:t> </w:t>
      </w:r>
      <w:r>
        <w:rPr>
          <w:rFonts w:ascii="Arial" w:hAnsi="Arial"/>
          <w:sz w:val="21"/>
        </w:rPr>
        <w:t>adverse</w:t>
      </w:r>
      <w:r>
        <w:rPr>
          <w:rFonts w:ascii="Arial" w:hAnsi="Arial"/>
          <w:sz w:val="20"/>
        </w:rPr>
        <w:t> </w:t>
      </w:r>
      <w:r>
        <w:rPr>
          <w:rFonts w:ascii="Arial" w:hAnsi="Arial"/>
          <w:sz w:val="21"/>
        </w:rPr>
        <w:t>effect</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Cannon</w:t>
      </w:r>
      <w:r>
        <w:rPr>
          <w:rFonts w:ascii="Arial" w:hAnsi="Arial"/>
          <w:sz w:val="20"/>
        </w:rPr>
        <w:t> </w:t>
      </w:r>
      <w:r>
        <w:rPr>
          <w:rFonts w:ascii="Arial" w:hAnsi="Arial"/>
          <w:sz w:val="21"/>
        </w:rPr>
        <w:t>Park</w:t>
      </w:r>
      <w:r>
        <w:rPr>
          <w:rFonts w:ascii="Arial" w:hAnsi="Arial"/>
          <w:sz w:val="20"/>
        </w:rPr>
        <w:t> </w:t>
      </w:r>
      <w:r>
        <w:rPr>
          <w:rFonts w:ascii="Arial" w:hAnsi="Arial"/>
          <w:sz w:val="21"/>
        </w:rPr>
        <w:t>Property;</w:t>
      </w:r>
      <w:r>
        <w:rPr>
          <w:rFonts w:ascii="Arial" w:hAnsi="Arial"/>
          <w:sz w:val="20"/>
        </w:rPr>
        <w:t xml:space="preserve"> </w:t>
      </w:r>
      <w:r>
        <w:rPr>
          <w:rFonts w:ascii="Arial" w:hAnsi="Arial"/>
          <w:sz w:val="21"/>
        </w:rPr>
        <w:t>and</w:t>
      </w:r>
      <w:r>
        <w:rPr>
          <w:rFonts w:ascii="Arial" w:hAnsi="Arial"/>
          <w:sz w:val="20"/>
        </w:rPr>
        <w:t xml:space="preserve"> </w:t>
      </w:r>
    </w:p>
    <w:p>
      <w:pPr>
        <w:pStyle w:val="TextBody"/>
        <w:bidi w:val="0"/>
        <w:spacing w:lineRule="auto" w:line="266" w:before="148" w:after="0"/>
        <w:ind w:left="3686" w:right="1914" w:hanging="0"/>
        <w:jc w:val="left"/>
        <w:rPr>
          <w:rFonts w:ascii="Arial" w:hAnsi="Arial"/>
          <w:sz w:val="20"/>
        </w:rPr>
      </w:pPr>
      <w:r>
        <w:rPr>
          <w:rFonts w:ascii="Arial" w:hAnsi="Arial"/>
          <w:sz w:val="21"/>
        </w:rPr>
        <w:t>(b)reasonably</w:t>
      </w:r>
      <w:r>
        <w:rPr>
          <w:rFonts w:ascii="Arial" w:hAnsi="Arial"/>
          <w:sz w:val="20"/>
        </w:rPr>
        <w:t> </w:t>
      </w:r>
      <w:r>
        <w:rPr>
          <w:rFonts w:ascii="Arial" w:hAnsi="Arial"/>
          <w:sz w:val="21"/>
        </w:rPr>
        <w:t>prevents</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from</w:t>
      </w:r>
      <w:r>
        <w:rPr>
          <w:rFonts w:ascii="Arial" w:hAnsi="Arial"/>
          <w:sz w:val="20"/>
        </w:rPr>
        <w:t> </w:t>
      </w:r>
      <w:r>
        <w:rPr>
          <w:rFonts w:ascii="Arial" w:hAnsi="Arial"/>
          <w:sz w:val="21"/>
        </w:rPr>
        <w:t>complying</w:t>
      </w:r>
      <w:r>
        <w:rPr>
          <w:rFonts w:ascii="Arial" w:hAnsi="Arial"/>
          <w:sz w:val="20"/>
        </w:rPr>
        <w:t> </w:t>
      </w:r>
      <w:r>
        <w:rPr>
          <w:rFonts w:ascii="Arial" w:hAnsi="Arial"/>
          <w:sz w:val="21"/>
        </w:rPr>
        <w:t>with</w:t>
      </w:r>
      <w:r>
        <w:rPr>
          <w:rFonts w:ascii="Arial" w:hAnsi="Arial"/>
          <w:sz w:val="20"/>
        </w:rPr>
        <w:t> </w:t>
      </w:r>
      <w:r>
        <w:rPr>
          <w:rFonts w:ascii="Arial" w:hAnsi="Arial"/>
          <w:sz w:val="21"/>
        </w:rPr>
        <w:t>its</w:t>
      </w:r>
      <w:r>
        <w:rPr>
          <w:rFonts w:ascii="Arial" w:hAnsi="Arial"/>
          <w:sz w:val="20"/>
        </w:rPr>
        <w:t> </w:t>
      </w:r>
      <w:r>
        <w:rPr>
          <w:rFonts w:ascii="Arial" w:hAnsi="Arial"/>
          <w:sz w:val="21"/>
        </w:rPr>
        <w:t xml:space="preserve">obligation under </w:t>
      </w:r>
      <w:r>
        <w:rPr>
          <w:rFonts w:ascii="Arial" w:hAnsi="Arial"/>
          <w:b/>
          <w:sz w:val="21"/>
        </w:rPr>
        <w:t xml:space="preserve">clause 9.5(h) </w:t>
      </w:r>
      <w:r>
        <w:rPr>
          <w:rFonts w:ascii="Arial" w:hAnsi="Arial"/>
          <w:sz w:val="21"/>
        </w:rPr>
        <w:t>by 15 March 2025.</w:t>
      </w:r>
      <w:r>
        <w:rPr>
          <w:rFonts w:ascii="Arial" w:hAnsi="Arial"/>
          <w:sz w:val="20"/>
        </w:rPr>
        <w:t xml:space="preserve"> </w:t>
      </w:r>
    </w:p>
    <w:p>
      <w:pPr>
        <w:pStyle w:val="TextBody"/>
        <w:pBdr/>
        <w:bidi w:val="0"/>
        <w:spacing w:lineRule="auto" w:line="266" w:before="119" w:after="0"/>
        <w:ind w:left="3120" w:right="1471" w:hanging="0"/>
        <w:jc w:val="left"/>
        <w:rPr>
          <w:rFonts w:ascii="Arial" w:hAnsi="Arial"/>
          <w:sz w:val="22"/>
        </w:rPr>
      </w:pPr>
      <w:r>
        <w:rPr>
          <w:rFonts w:ascii="Arial" w:hAnsi="Arial"/>
          <w:b/>
          <w:sz w:val="22"/>
        </w:rPr>
        <w:t>Disposal</w:t>
      </w:r>
      <w:r>
        <w:rPr>
          <w:rFonts w:ascii="Arial" w:hAnsi="Arial"/>
          <w:sz w:val="22"/>
        </w:rPr>
        <w:t xml:space="preserve"> means a sale, lease, transfer or other disposal by any Transaction Party of any interest in: </w:t>
      </w:r>
    </w:p>
    <w:p>
      <w:pPr>
        <w:pStyle w:val="TextBody"/>
        <w:pBdr/>
        <w:bidi w:val="0"/>
        <w:spacing w:lineRule="auto" w:line="266" w:before="0" w:after="0"/>
        <w:ind w:left="1700" w:right="700" w:hanging="0"/>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1435" w:hanging="0"/>
        <w:jc w:val="left"/>
        <w:rPr>
          <w:rFonts w:ascii="Arial" w:hAnsi="Arial"/>
          <w:sz w:val="20"/>
        </w:rPr>
      </w:pPr>
      <w:r>
        <w:rPr>
          <w:rFonts w:ascii="Arial" w:hAnsi="Arial"/>
          <w:sz w:val="21"/>
        </w:rPr>
        <w:t>(a)any</w:t>
      </w:r>
      <w:r>
        <w:rPr>
          <w:rFonts w:ascii="Arial" w:hAnsi="Arial"/>
          <w:sz w:val="20"/>
        </w:rPr>
        <w:t> </w:t>
      </w:r>
      <w:r>
        <w:rPr>
          <w:rFonts w:ascii="Arial" w:hAnsi="Arial"/>
          <w:sz w:val="21"/>
        </w:rPr>
        <w:t>share</w:t>
      </w:r>
      <w:r>
        <w:rPr>
          <w:rFonts w:ascii="Arial" w:hAnsi="Arial"/>
          <w:sz w:val="20"/>
        </w:rPr>
        <w:t> </w:t>
      </w:r>
      <w:r>
        <w:rPr>
          <w:rFonts w:ascii="Arial" w:hAnsi="Arial"/>
          <w:sz w:val="21"/>
        </w:rPr>
        <w:t>or</w:t>
      </w:r>
      <w:r>
        <w:rPr>
          <w:rFonts w:ascii="Arial" w:hAnsi="Arial"/>
          <w:sz w:val="20"/>
        </w:rPr>
        <w:t> </w:t>
      </w:r>
      <w:r>
        <w:rPr>
          <w:rFonts w:ascii="Arial" w:hAnsi="Arial"/>
          <w:sz w:val="21"/>
        </w:rPr>
        <w:t>stock</w:t>
      </w:r>
      <w:r>
        <w:rPr>
          <w:rFonts w:ascii="Arial" w:hAnsi="Arial"/>
          <w:sz w:val="20"/>
        </w:rPr>
        <w:t> </w:t>
      </w:r>
      <w:r>
        <w:rPr>
          <w:rFonts w:ascii="Arial" w:hAnsi="Arial"/>
          <w:sz w:val="21"/>
        </w:rPr>
        <w:t>(whether</w:t>
      </w:r>
      <w:r>
        <w:rPr>
          <w:rFonts w:ascii="Arial" w:hAnsi="Arial"/>
          <w:sz w:val="20"/>
        </w:rPr>
        <w:t> </w:t>
      </w:r>
      <w:r>
        <w:rPr>
          <w:rFonts w:ascii="Arial" w:hAnsi="Arial"/>
          <w:sz w:val="21"/>
        </w:rPr>
        <w:t>or</w:t>
      </w:r>
      <w:r>
        <w:rPr>
          <w:rFonts w:ascii="Arial" w:hAnsi="Arial"/>
          <w:sz w:val="20"/>
        </w:rPr>
        <w:t> </w:t>
      </w:r>
      <w:r>
        <w:rPr>
          <w:rFonts w:ascii="Arial" w:hAnsi="Arial"/>
          <w:sz w:val="21"/>
        </w:rPr>
        <w:t>not</w:t>
      </w:r>
      <w:r>
        <w:rPr>
          <w:rFonts w:ascii="Arial" w:hAnsi="Arial"/>
          <w:sz w:val="20"/>
        </w:rPr>
        <w:t> </w:t>
      </w:r>
      <w:r>
        <w:rPr>
          <w:rFonts w:ascii="Arial" w:hAnsi="Arial"/>
          <w:sz w:val="21"/>
        </w:rPr>
        <w:t>ordinary</w:t>
      </w:r>
      <w:r>
        <w:rPr>
          <w:rFonts w:ascii="Arial" w:hAnsi="Arial"/>
          <w:sz w:val="20"/>
        </w:rPr>
        <w:t> </w:t>
      </w:r>
      <w:r>
        <w:rPr>
          <w:rFonts w:ascii="Arial" w:hAnsi="Arial"/>
          <w:sz w:val="21"/>
        </w:rPr>
        <w:t>or</w:t>
      </w:r>
      <w:r>
        <w:rPr>
          <w:rFonts w:ascii="Arial" w:hAnsi="Arial"/>
          <w:sz w:val="20"/>
        </w:rPr>
        <w:t> </w:t>
      </w:r>
      <w:r>
        <w:rPr>
          <w:rFonts w:ascii="Arial" w:hAnsi="Arial"/>
          <w:sz w:val="21"/>
        </w:rPr>
        <w:t>preference</w:t>
      </w:r>
      <w:r>
        <w:rPr>
          <w:rFonts w:ascii="Arial" w:hAnsi="Arial"/>
          <w:sz w:val="20"/>
        </w:rPr>
        <w:t> </w:t>
      </w:r>
      <w:r>
        <w:rPr>
          <w:rFonts w:ascii="Arial" w:hAnsi="Arial"/>
          <w:sz w:val="21"/>
        </w:rPr>
        <w:t>and</w:t>
      </w:r>
      <w:r>
        <w:rPr>
          <w:rFonts w:ascii="Arial" w:hAnsi="Arial"/>
          <w:sz w:val="20"/>
        </w:rPr>
        <w:t> </w:t>
      </w:r>
      <w:r>
        <w:rPr>
          <w:rFonts w:ascii="Arial" w:hAnsi="Arial"/>
          <w:sz w:val="21"/>
        </w:rPr>
        <w:t>whether</w:t>
      </w:r>
      <w:r>
        <w:rPr>
          <w:rFonts w:ascii="Arial" w:hAnsi="Arial"/>
          <w:sz w:val="20"/>
        </w:rPr>
        <w:t> </w:t>
      </w:r>
      <w:r>
        <w:rPr>
          <w:rFonts w:ascii="Arial" w:hAnsi="Arial"/>
          <w:sz w:val="21"/>
        </w:rPr>
        <w:t>or not redeemable) or any other instrument convertible or exchangeable into or entitling a person to acquire or subscribe for any share or stock;</w:t>
      </w:r>
      <w:r>
        <w:rPr>
          <w:rFonts w:ascii="Arial" w:hAnsi="Arial"/>
          <w:sz w:val="20"/>
        </w:rPr>
        <w:t xml:space="preserve"> </w:t>
      </w:r>
    </w:p>
    <w:p>
      <w:pPr>
        <w:pStyle w:val="TextBody"/>
        <w:bidi w:val="0"/>
        <w:spacing w:before="120" w:after="0"/>
        <w:ind w:left="3686" w:right="700" w:hanging="0"/>
        <w:jc w:val="left"/>
        <w:rPr>
          <w:rFonts w:ascii="Arial" w:hAnsi="Arial"/>
          <w:sz w:val="20"/>
        </w:rPr>
      </w:pPr>
      <w:r>
        <w:rPr>
          <w:rFonts w:ascii="Arial" w:hAnsi="Arial"/>
          <w:sz w:val="21"/>
        </w:rPr>
        <w:t>(b)the</w:t>
      </w:r>
      <w:r>
        <w:rPr>
          <w:rFonts w:ascii="Arial" w:hAnsi="Arial"/>
          <w:sz w:val="20"/>
        </w:rPr>
        <w:t> </w:t>
      </w:r>
      <w:r>
        <w:rPr>
          <w:rFonts w:ascii="Arial" w:hAnsi="Arial"/>
          <w:sz w:val="21"/>
        </w:rPr>
        <w:t>whole</w:t>
      </w:r>
      <w:r>
        <w:rPr>
          <w:rFonts w:ascii="Arial" w:hAnsi="Arial"/>
          <w:sz w:val="20"/>
        </w:rPr>
        <w:t> </w:t>
      </w:r>
      <w:r>
        <w:rPr>
          <w:rFonts w:ascii="Arial" w:hAnsi="Arial"/>
          <w:sz w:val="21"/>
        </w:rPr>
        <w:t>or</w:t>
      </w:r>
      <w:r>
        <w:rPr>
          <w:rFonts w:ascii="Arial" w:hAnsi="Arial"/>
          <w:sz w:val="20"/>
        </w:rPr>
        <w:t> </w:t>
      </w:r>
      <w:r>
        <w:rPr>
          <w:rFonts w:ascii="Arial" w:hAnsi="Arial"/>
          <w:sz w:val="21"/>
        </w:rPr>
        <w:t>any</w:t>
      </w:r>
      <w:r>
        <w:rPr>
          <w:rFonts w:ascii="Arial" w:hAnsi="Arial"/>
          <w:sz w:val="20"/>
        </w:rPr>
        <w:t> </w:t>
      </w:r>
      <w:r>
        <w:rPr>
          <w:rFonts w:ascii="Arial" w:hAnsi="Arial"/>
          <w:sz w:val="21"/>
        </w:rPr>
        <w:t>part</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business,</w:t>
      </w:r>
      <w:r>
        <w:rPr>
          <w:rFonts w:ascii="Arial" w:hAnsi="Arial"/>
          <w:sz w:val="20"/>
        </w:rPr>
        <w:t> </w:t>
      </w:r>
      <w:r>
        <w:rPr>
          <w:rFonts w:ascii="Arial" w:hAnsi="Arial"/>
          <w:sz w:val="21"/>
        </w:rPr>
        <w:t>business</w:t>
      </w:r>
      <w:r>
        <w:rPr>
          <w:rFonts w:ascii="Arial" w:hAnsi="Arial"/>
          <w:sz w:val="20"/>
        </w:rPr>
        <w:t> </w:t>
      </w:r>
      <w:r>
        <w:rPr>
          <w:rFonts w:ascii="Arial" w:hAnsi="Arial"/>
          <w:sz w:val="21"/>
        </w:rPr>
        <w:t>unit</w:t>
      </w:r>
      <w:r>
        <w:rPr>
          <w:rFonts w:ascii="Arial" w:hAnsi="Arial"/>
          <w:sz w:val="20"/>
        </w:rPr>
        <w:t> </w:t>
      </w:r>
      <w:r>
        <w:rPr>
          <w:rFonts w:ascii="Arial" w:hAnsi="Arial"/>
          <w:sz w:val="21"/>
        </w:rPr>
        <w:t>or</w:t>
      </w:r>
      <w:r>
        <w:rPr>
          <w:rFonts w:ascii="Arial" w:hAnsi="Arial"/>
          <w:sz w:val="20"/>
        </w:rPr>
        <w:t> </w:t>
      </w:r>
      <w:r>
        <w:rPr>
          <w:rFonts w:ascii="Arial" w:hAnsi="Arial"/>
          <w:sz w:val="21"/>
        </w:rPr>
        <w:t>line</w:t>
      </w:r>
      <w:r>
        <w:rPr>
          <w:rFonts w:ascii="Arial" w:hAnsi="Arial"/>
          <w:sz w:val="20"/>
        </w:rPr>
        <w:t> </w:t>
      </w:r>
      <w:r>
        <w:rPr>
          <w:rFonts w:ascii="Arial" w:hAnsi="Arial"/>
          <w:sz w:val="21"/>
        </w:rPr>
        <w:t>of</w:t>
      </w:r>
      <w:r>
        <w:rPr>
          <w:rFonts w:ascii="Arial" w:hAnsi="Arial"/>
          <w:sz w:val="20"/>
        </w:rPr>
        <w:t> </w:t>
      </w:r>
      <w:r>
        <w:rPr>
          <w:rFonts w:ascii="Arial" w:hAnsi="Arial"/>
          <w:sz w:val="21"/>
        </w:rPr>
        <w:t>business;</w:t>
      </w:r>
      <w:r>
        <w:rPr>
          <w:rFonts w:ascii="Arial" w:hAnsi="Arial"/>
          <w:sz w:val="20"/>
        </w:rPr>
        <w:t> </w:t>
      </w:r>
      <w:r>
        <w:rPr>
          <w:rFonts w:ascii="Arial" w:hAnsi="Arial"/>
          <w:sz w:val="21"/>
        </w:rPr>
        <w:t>or</w:t>
      </w:r>
      <w:r>
        <w:rPr>
          <w:rFonts w:ascii="Arial" w:hAnsi="Arial"/>
          <w:sz w:val="20"/>
        </w:rPr>
        <w:t xml:space="preserve"> </w:t>
      </w:r>
    </w:p>
    <w:p>
      <w:pPr>
        <w:pStyle w:val="TextBody"/>
        <w:bidi w:val="0"/>
        <w:spacing w:lineRule="auto" w:line="266" w:before="147" w:after="0"/>
        <w:ind w:left="3686" w:right="1507" w:hanging="0"/>
        <w:jc w:val="left"/>
        <w:rPr>
          <w:rFonts w:ascii="Arial" w:hAnsi="Arial"/>
          <w:sz w:val="20"/>
        </w:rPr>
      </w:pPr>
      <w:r>
        <w:rPr>
          <w:rFonts w:ascii="Arial" w:hAnsi="Arial"/>
          <w:sz w:val="21"/>
        </w:rPr>
        <w:t>(c)any</w:t>
      </w:r>
      <w:r>
        <w:rPr>
          <w:rFonts w:ascii="Arial" w:hAnsi="Arial"/>
          <w:sz w:val="20"/>
        </w:rPr>
        <w:t> </w:t>
      </w:r>
      <w:r>
        <w:rPr>
          <w:rFonts w:ascii="Arial" w:hAnsi="Arial"/>
          <w:sz w:val="21"/>
        </w:rPr>
        <w:t>other</w:t>
      </w:r>
      <w:r>
        <w:rPr>
          <w:rFonts w:ascii="Arial" w:hAnsi="Arial"/>
          <w:sz w:val="20"/>
        </w:rPr>
        <w:t> </w:t>
      </w:r>
      <w:r>
        <w:rPr>
          <w:rFonts w:ascii="Arial" w:hAnsi="Arial"/>
          <w:sz w:val="21"/>
        </w:rPr>
        <w:t>asset</w:t>
      </w:r>
      <w:r>
        <w:rPr>
          <w:rFonts w:ascii="Arial" w:hAnsi="Arial"/>
          <w:sz w:val="20"/>
        </w:rPr>
        <w:t> </w:t>
      </w:r>
      <w:r>
        <w:rPr>
          <w:rFonts w:ascii="Arial" w:hAnsi="Arial"/>
          <w:sz w:val="21"/>
        </w:rPr>
        <w:t>under</w:t>
      </w:r>
      <w:r>
        <w:rPr>
          <w:rFonts w:ascii="Arial" w:hAnsi="Arial"/>
          <w:sz w:val="20"/>
        </w:rPr>
        <w:t> </w:t>
      </w:r>
      <w:r>
        <w:rPr>
          <w:rFonts w:ascii="Arial" w:hAnsi="Arial"/>
          <w:sz w:val="21"/>
        </w:rPr>
        <w:t>a</w:t>
      </w:r>
      <w:r>
        <w:rPr>
          <w:rFonts w:ascii="Arial" w:hAnsi="Arial"/>
          <w:sz w:val="20"/>
        </w:rPr>
        <w:t> </w:t>
      </w:r>
      <w:r>
        <w:rPr>
          <w:rFonts w:ascii="Arial" w:hAnsi="Arial"/>
          <w:sz w:val="21"/>
        </w:rPr>
        <w:t>particular</w:t>
      </w:r>
      <w:r>
        <w:rPr>
          <w:rFonts w:ascii="Arial" w:hAnsi="Arial"/>
          <w:sz w:val="20"/>
        </w:rPr>
        <w:t> </w:t>
      </w:r>
      <w:r>
        <w:rPr>
          <w:rFonts w:ascii="Arial" w:hAnsi="Arial"/>
          <w:sz w:val="21"/>
        </w:rPr>
        <w:t>transaction</w:t>
      </w:r>
      <w:r>
        <w:rPr>
          <w:rFonts w:ascii="Arial" w:hAnsi="Arial"/>
          <w:sz w:val="20"/>
        </w:rPr>
        <w:t> </w:t>
      </w:r>
      <w:r>
        <w:rPr>
          <w:rFonts w:ascii="Arial" w:hAnsi="Arial"/>
          <w:sz w:val="21"/>
        </w:rPr>
        <w:t>or</w:t>
      </w:r>
      <w:r>
        <w:rPr>
          <w:rFonts w:ascii="Arial" w:hAnsi="Arial"/>
          <w:sz w:val="20"/>
        </w:rPr>
        <w:t> </w:t>
      </w:r>
      <w:r>
        <w:rPr>
          <w:rFonts w:ascii="Arial" w:hAnsi="Arial"/>
          <w:sz w:val="21"/>
        </w:rPr>
        <w:t>related</w:t>
      </w:r>
      <w:r>
        <w:rPr>
          <w:rFonts w:ascii="Arial" w:hAnsi="Arial"/>
          <w:sz w:val="20"/>
        </w:rPr>
        <w:t> </w:t>
      </w:r>
      <w:r>
        <w:rPr>
          <w:rFonts w:ascii="Arial" w:hAnsi="Arial"/>
          <w:sz w:val="21"/>
        </w:rPr>
        <w:t>transactions</w:t>
      </w:r>
      <w:r>
        <w:rPr>
          <w:rFonts w:ascii="Arial" w:hAnsi="Arial"/>
          <w:sz w:val="20"/>
        </w:rPr>
        <w:t> </w:t>
      </w:r>
      <w:r>
        <w:rPr>
          <w:rFonts w:ascii="Arial" w:hAnsi="Arial"/>
          <w:sz w:val="21"/>
        </w:rPr>
        <w:t>not in the ordinary course of business of the Reading Entertainment Australia Group taken as a whole.</w:t>
      </w:r>
      <w:r>
        <w:rPr>
          <w:rFonts w:ascii="Arial" w:hAnsi="Arial"/>
          <w:sz w:val="20"/>
        </w:rPr>
        <w:t xml:space="preserve"> </w:t>
      </w:r>
    </w:p>
    <w:p>
      <w:pPr>
        <w:pStyle w:val="TextBody"/>
        <w:bidi w:val="0"/>
        <w:spacing w:before="121" w:after="0"/>
        <w:ind w:left="3120" w:right="700" w:hanging="0"/>
        <w:jc w:val="left"/>
        <w:rPr>
          <w:rFonts w:ascii="Arial" w:hAnsi="Arial"/>
          <w:sz w:val="20"/>
        </w:rPr>
      </w:pPr>
      <w:r>
        <w:rPr>
          <w:rFonts w:ascii="Arial" w:hAnsi="Arial"/>
          <w:b/>
          <w:sz w:val="21"/>
        </w:rPr>
        <w:t>Distribution</w:t>
      </w:r>
      <w:r>
        <w:rPr>
          <w:rFonts w:ascii="Arial" w:hAnsi="Arial"/>
          <w:sz w:val="20"/>
        </w:rPr>
        <w:t> </w:t>
      </w:r>
      <w:r>
        <w:rPr>
          <w:rFonts w:ascii="Arial" w:hAnsi="Arial"/>
          <w:sz w:val="21"/>
        </w:rPr>
        <w:t>means:</w:t>
      </w:r>
      <w:r>
        <w:rPr>
          <w:rFonts w:ascii="Arial" w:hAnsi="Arial"/>
          <w:sz w:val="20"/>
        </w:rPr>
        <w:t xml:space="preserve"> </w:t>
      </w:r>
    </w:p>
    <w:p>
      <w:pPr>
        <w:pStyle w:val="TextBody"/>
        <w:bidi w:val="0"/>
        <w:spacing w:lineRule="auto" w:line="266" w:before="147" w:after="0"/>
        <w:ind w:left="3686" w:right="1508" w:hanging="0"/>
        <w:jc w:val="left"/>
        <w:rPr>
          <w:rFonts w:ascii="Arial" w:hAnsi="Arial"/>
          <w:sz w:val="20"/>
        </w:rPr>
      </w:pPr>
      <w:r>
        <w:rPr>
          <w:rFonts w:ascii="Arial" w:hAnsi="Arial"/>
          <w:sz w:val="21"/>
        </w:rPr>
        <w:t>(a)in relation to any share capital of a Transaction Party, any dividend, charge,</w:t>
      </w:r>
      <w:r>
        <w:rPr>
          <w:rFonts w:ascii="Arial" w:hAnsi="Arial"/>
          <w:sz w:val="20"/>
        </w:rPr>
        <w:t> </w:t>
      </w:r>
      <w:r>
        <w:rPr>
          <w:rFonts w:ascii="Arial" w:hAnsi="Arial"/>
          <w:sz w:val="21"/>
        </w:rPr>
        <w:t>interest,</w:t>
      </w:r>
      <w:r>
        <w:rPr>
          <w:rFonts w:ascii="Arial" w:hAnsi="Arial"/>
          <w:sz w:val="20"/>
        </w:rPr>
        <w:t> </w:t>
      </w:r>
      <w:r>
        <w:rPr>
          <w:rFonts w:ascii="Arial" w:hAnsi="Arial"/>
          <w:sz w:val="21"/>
        </w:rPr>
        <w:t>fee,</w:t>
      </w:r>
      <w:r>
        <w:rPr>
          <w:rFonts w:ascii="Arial" w:hAnsi="Arial"/>
          <w:sz w:val="20"/>
        </w:rPr>
        <w:t> </w:t>
      </w:r>
      <w:r>
        <w:rPr>
          <w:rFonts w:ascii="Arial" w:hAnsi="Arial"/>
          <w:sz w:val="21"/>
        </w:rPr>
        <w:t>payment</w:t>
      </w:r>
      <w:r>
        <w:rPr>
          <w:rFonts w:ascii="Arial" w:hAnsi="Arial"/>
          <w:sz w:val="20"/>
        </w:rPr>
        <w:t> </w:t>
      </w:r>
      <w:r>
        <w:rPr>
          <w:rFonts w:ascii="Arial" w:hAnsi="Arial"/>
          <w:sz w:val="21"/>
        </w:rPr>
        <w:t>or</w:t>
      </w:r>
      <w:r>
        <w:rPr>
          <w:rFonts w:ascii="Arial" w:hAnsi="Arial"/>
          <w:sz w:val="20"/>
        </w:rPr>
        <w:t> </w:t>
      </w:r>
      <w:r>
        <w:rPr>
          <w:rFonts w:ascii="Arial" w:hAnsi="Arial"/>
          <w:sz w:val="21"/>
        </w:rPr>
        <w:t>other</w:t>
      </w:r>
      <w:r>
        <w:rPr>
          <w:rFonts w:ascii="Arial" w:hAnsi="Arial"/>
          <w:sz w:val="20"/>
        </w:rPr>
        <w:t> </w:t>
      </w:r>
      <w:r>
        <w:rPr>
          <w:rFonts w:ascii="Arial" w:hAnsi="Arial"/>
          <w:sz w:val="21"/>
        </w:rPr>
        <w:t>distribution</w:t>
      </w:r>
      <w:r>
        <w:rPr>
          <w:rFonts w:ascii="Arial" w:hAnsi="Arial"/>
          <w:sz w:val="20"/>
        </w:rPr>
        <w:t> </w:t>
      </w:r>
      <w:r>
        <w:rPr>
          <w:rFonts w:ascii="Arial" w:hAnsi="Arial"/>
          <w:sz w:val="21"/>
        </w:rPr>
        <w:t>(whether</w:t>
      </w:r>
      <w:r>
        <w:rPr>
          <w:rFonts w:ascii="Arial" w:hAnsi="Arial"/>
          <w:sz w:val="20"/>
        </w:rPr>
        <w:t> </w:t>
      </w:r>
      <w:r>
        <w:rPr>
          <w:rFonts w:ascii="Arial" w:hAnsi="Arial"/>
          <w:sz w:val="21"/>
        </w:rPr>
        <w:t>in</w:t>
      </w:r>
      <w:r>
        <w:rPr>
          <w:rFonts w:ascii="Arial" w:hAnsi="Arial"/>
          <w:sz w:val="20"/>
        </w:rPr>
        <w:t> </w:t>
      </w:r>
      <w:r>
        <w:rPr>
          <w:rFonts w:ascii="Arial" w:hAnsi="Arial"/>
          <w:sz w:val="21"/>
        </w:rPr>
        <w:t>cash</w:t>
      </w:r>
      <w:r>
        <w:rPr>
          <w:rFonts w:ascii="Arial" w:hAnsi="Arial"/>
          <w:sz w:val="20"/>
        </w:rPr>
        <w:t> </w:t>
      </w:r>
      <w:r>
        <w:rPr>
          <w:rFonts w:ascii="Arial" w:hAnsi="Arial"/>
          <w:sz w:val="21"/>
        </w:rPr>
        <w:t>or</w:t>
      </w:r>
      <w:r>
        <w:rPr>
          <w:rFonts w:ascii="Arial" w:hAnsi="Arial"/>
          <w:sz w:val="20"/>
        </w:rPr>
        <w:t> </w:t>
      </w:r>
      <w:r>
        <w:rPr>
          <w:rFonts w:ascii="Arial" w:hAnsi="Arial"/>
          <w:sz w:val="21"/>
        </w:rPr>
        <w:t>in kind) or redemption, repurchase, defeasance, retirement or redemption;</w:t>
      </w:r>
      <w:r>
        <w:rPr>
          <w:rFonts w:ascii="Arial" w:hAnsi="Arial"/>
          <w:sz w:val="20"/>
        </w:rPr>
        <w:t xml:space="preserve"> </w:t>
      </w:r>
    </w:p>
    <w:p>
      <w:pPr>
        <w:pStyle w:val="TextBody"/>
        <w:bidi w:val="0"/>
        <w:spacing w:lineRule="auto" w:line="266" w:before="120" w:after="0"/>
        <w:ind w:left="3686" w:right="1914" w:hanging="0"/>
        <w:jc w:val="left"/>
        <w:rPr>
          <w:rFonts w:ascii="Arial" w:hAnsi="Arial"/>
          <w:sz w:val="20"/>
        </w:rPr>
      </w:pPr>
      <w:r>
        <w:rPr>
          <w:rFonts w:ascii="Arial" w:hAnsi="Arial"/>
          <w:sz w:val="21"/>
        </w:rPr>
        <w:t>(b)any interest, any redemption or early redemption of any amount of principal</w:t>
      </w:r>
      <w:r>
        <w:rPr>
          <w:rFonts w:ascii="Arial" w:hAnsi="Arial"/>
          <w:sz w:val="20"/>
        </w:rPr>
        <w:t> </w:t>
      </w:r>
      <w:r>
        <w:rPr>
          <w:rFonts w:ascii="Arial" w:hAnsi="Arial"/>
          <w:sz w:val="21"/>
        </w:rPr>
        <w:t>or</w:t>
      </w:r>
      <w:r>
        <w:rPr>
          <w:rFonts w:ascii="Arial" w:hAnsi="Arial"/>
          <w:sz w:val="20"/>
        </w:rPr>
        <w:t> </w:t>
      </w:r>
      <w:r>
        <w:rPr>
          <w:rFonts w:ascii="Arial" w:hAnsi="Arial"/>
          <w:sz w:val="21"/>
        </w:rPr>
        <w:t>any</w:t>
      </w:r>
      <w:r>
        <w:rPr>
          <w:rFonts w:ascii="Arial" w:hAnsi="Arial"/>
          <w:sz w:val="20"/>
        </w:rPr>
        <w:t> </w:t>
      </w:r>
      <w:r>
        <w:rPr>
          <w:rFonts w:ascii="Arial" w:hAnsi="Arial"/>
          <w:sz w:val="21"/>
        </w:rPr>
        <w:t>other</w:t>
      </w:r>
      <w:r>
        <w:rPr>
          <w:rFonts w:ascii="Arial" w:hAnsi="Arial"/>
          <w:sz w:val="20"/>
        </w:rPr>
        <w:t> </w:t>
      </w:r>
      <w:r>
        <w:rPr>
          <w:rFonts w:ascii="Arial" w:hAnsi="Arial"/>
          <w:sz w:val="21"/>
        </w:rPr>
        <w:t>payment</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shareholder</w:t>
      </w:r>
      <w:r>
        <w:rPr>
          <w:rFonts w:ascii="Arial" w:hAnsi="Arial"/>
          <w:sz w:val="20"/>
        </w:rPr>
        <w:t> </w:t>
      </w:r>
      <w:r>
        <w:rPr>
          <w:rFonts w:ascii="Arial" w:hAnsi="Arial"/>
          <w:sz w:val="21"/>
        </w:rPr>
        <w:t>loan</w:t>
      </w:r>
      <w:r>
        <w:rPr>
          <w:rFonts w:ascii="Arial" w:hAnsi="Arial"/>
          <w:sz w:val="20"/>
        </w:rPr>
        <w:t> </w:t>
      </w:r>
      <w:r>
        <w:rPr>
          <w:rFonts w:ascii="Arial" w:hAnsi="Arial"/>
          <w:sz w:val="21"/>
        </w:rPr>
        <w:t>or other subordinated loans made to any Transaction Party; or</w:t>
      </w:r>
      <w:r>
        <w:rPr>
          <w:rFonts w:ascii="Arial" w:hAnsi="Arial"/>
          <w:sz w:val="20"/>
        </w:rPr>
        <w:t xml:space="preserve"> </w:t>
      </w:r>
    </w:p>
    <w:p>
      <w:pPr>
        <w:pStyle w:val="TextBody"/>
        <w:bidi w:val="0"/>
        <w:spacing w:lineRule="auto" w:line="266" w:before="117" w:after="0"/>
        <w:ind w:left="3686" w:right="1915" w:hanging="0"/>
        <w:jc w:val="left"/>
        <w:rPr>
          <w:rFonts w:ascii="Arial" w:hAnsi="Arial"/>
          <w:sz w:val="20"/>
        </w:rPr>
      </w:pPr>
      <w:r>
        <w:rPr>
          <w:rFonts w:ascii="Arial" w:hAnsi="Arial"/>
          <w:sz w:val="21"/>
        </w:rPr>
        <w:t>(c)any loan or other financial accommodation made available by a Transaction</w:t>
      </w:r>
      <w:r>
        <w:rPr>
          <w:rFonts w:ascii="Arial" w:hAnsi="Arial"/>
          <w:sz w:val="20"/>
        </w:rPr>
        <w:t> </w:t>
      </w:r>
      <w:r>
        <w:rPr>
          <w:rFonts w:ascii="Arial" w:hAnsi="Arial"/>
          <w:sz w:val="21"/>
        </w:rPr>
        <w:t>Party</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person</w:t>
      </w:r>
      <w:r>
        <w:rPr>
          <w:rFonts w:ascii="Arial" w:hAnsi="Arial"/>
          <w:sz w:val="20"/>
        </w:rPr>
        <w:t> </w:t>
      </w:r>
      <w:r>
        <w:rPr>
          <w:rFonts w:ascii="Arial" w:hAnsi="Arial"/>
          <w:sz w:val="21"/>
        </w:rPr>
        <w:t>other</w:t>
      </w:r>
      <w:r>
        <w:rPr>
          <w:rFonts w:ascii="Arial" w:hAnsi="Arial"/>
          <w:sz w:val="20"/>
        </w:rPr>
        <w:t> </w:t>
      </w:r>
      <w:r>
        <w:rPr>
          <w:rFonts w:ascii="Arial" w:hAnsi="Arial"/>
          <w:sz w:val="21"/>
        </w:rPr>
        <w:t>than</w:t>
      </w:r>
      <w:r>
        <w:rPr>
          <w:rFonts w:ascii="Arial" w:hAnsi="Arial"/>
          <w:sz w:val="20"/>
        </w:rPr>
        <w:t> </w:t>
      </w:r>
      <w:r>
        <w:rPr>
          <w:rFonts w:ascii="Arial" w:hAnsi="Arial"/>
          <w:sz w:val="21"/>
        </w:rPr>
        <w:t>another</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xml:space="preserve"> </w:t>
      </w:r>
    </w:p>
    <w:p>
      <w:pPr>
        <w:pStyle w:val="TextBody"/>
        <w:pBdr/>
        <w:bidi w:val="0"/>
        <w:spacing w:lineRule="auto" w:line="266" w:before="120" w:after="0"/>
        <w:ind w:left="3120" w:right="1471" w:hanging="0"/>
        <w:jc w:val="left"/>
        <w:rPr>
          <w:rFonts w:ascii="Arial" w:hAnsi="Arial"/>
          <w:sz w:val="22"/>
        </w:rPr>
      </w:pPr>
      <w:r>
        <w:rPr>
          <w:rFonts w:ascii="Arial" w:hAnsi="Arial"/>
          <w:b/>
          <w:sz w:val="22"/>
        </w:rPr>
        <w:t>Drawing</w:t>
      </w:r>
      <w:r>
        <w:rPr>
          <w:rFonts w:ascii="Arial" w:hAnsi="Arial"/>
          <w:sz w:val="22"/>
        </w:rPr>
        <w:t xml:space="preserve"> means each Bank Guarantee issued or to be issued in accordance with this document under the same Funding Notice. </w:t>
      </w:r>
    </w:p>
    <w:p>
      <w:pPr>
        <w:pStyle w:val="TextBody"/>
        <w:pBdr/>
        <w:bidi w:val="0"/>
        <w:spacing w:lineRule="auto" w:line="266" w:before="119" w:after="0"/>
        <w:ind w:left="3120" w:right="1486" w:hanging="0"/>
        <w:jc w:val="left"/>
        <w:rPr>
          <w:rFonts w:ascii="Arial" w:hAnsi="Arial"/>
          <w:sz w:val="22"/>
        </w:rPr>
      </w:pPr>
      <w:r>
        <w:rPr>
          <w:rFonts w:ascii="Arial" w:hAnsi="Arial"/>
          <w:b/>
          <w:sz w:val="22"/>
        </w:rPr>
        <w:t>EBIT</w:t>
      </w:r>
      <w:r>
        <w:rPr>
          <w:rFonts w:ascii="Arial" w:hAnsi="Arial"/>
          <w:sz w:val="22"/>
        </w:rPr>
        <w:t xml:space="preserve"> means, in relation to any period and without double counting, operating profit (loss) of the Reading Entertainment Australia Group (on a consolidated basis) from ordinary operations before interest, income tax and minority interests, but after deduction of depreciation and amortisation for that period, as determined in accordance with Accounting Standards. </w:t>
      </w:r>
    </w:p>
    <w:p>
      <w:pPr>
        <w:pStyle w:val="TextBody"/>
        <w:pBdr/>
        <w:bidi w:val="0"/>
        <w:spacing w:lineRule="auto" w:line="266" w:before="119" w:after="0"/>
        <w:ind w:left="3120" w:right="1471" w:hanging="0"/>
        <w:jc w:val="left"/>
        <w:rPr>
          <w:rFonts w:ascii="Arial" w:hAnsi="Arial"/>
          <w:sz w:val="22"/>
        </w:rPr>
      </w:pPr>
      <w:r>
        <w:rPr>
          <w:rFonts w:ascii="Arial" w:hAnsi="Arial"/>
          <w:b/>
          <w:sz w:val="22"/>
        </w:rPr>
        <w:t>EBITDA</w:t>
      </w:r>
      <w:r>
        <w:rPr>
          <w:rFonts w:ascii="Arial" w:hAnsi="Arial"/>
          <w:sz w:val="22"/>
        </w:rPr>
        <w:t xml:space="preserve"> means, in relation to any period, EBIT for the Reading Entertainment Australia Group for that period, plus depreciation and amortisation as determined in accordance with Accounting Standards </w:t>
      </w:r>
    </w:p>
    <w:p>
      <w:pPr>
        <w:pStyle w:val="TextBody"/>
        <w:pBdr/>
        <w:bidi w:val="0"/>
        <w:spacing w:lineRule="auto" w:line="266" w:before="118" w:after="0"/>
        <w:ind w:left="3120" w:right="1471" w:hanging="0"/>
        <w:jc w:val="left"/>
        <w:rPr>
          <w:rFonts w:ascii="Arial" w:hAnsi="Arial"/>
          <w:sz w:val="22"/>
        </w:rPr>
      </w:pPr>
      <w:r>
        <w:rPr>
          <w:rFonts w:ascii="Arial" w:hAnsi="Arial"/>
          <w:b/>
          <w:sz w:val="22"/>
        </w:rPr>
        <w:t>Encumbrance</w:t>
      </w:r>
      <w:r>
        <w:rPr>
          <w:rFonts w:ascii="Arial" w:hAnsi="Arial"/>
          <w:sz w:val="22"/>
        </w:rPr>
        <w:t xml:space="preserve"> means any interest in or right over property and anything which would at any time prevent, restrict or delay the registration of any interest in or dealing with property. It includes a Security Interest. </w:t>
      </w:r>
    </w:p>
    <w:p>
      <w:pPr>
        <w:pStyle w:val="TextBody"/>
        <w:bidi w:val="0"/>
        <w:spacing w:lineRule="auto" w:line="266" w:before="120" w:after="0"/>
        <w:ind w:left="3120" w:right="1471" w:hanging="0"/>
        <w:jc w:val="left"/>
        <w:rPr>
          <w:rFonts w:ascii="Arial" w:hAnsi="Arial"/>
          <w:sz w:val="20"/>
        </w:rPr>
      </w:pPr>
      <w:r>
        <w:rPr>
          <w:rFonts w:ascii="Arial" w:hAnsi="Arial"/>
          <w:b/>
          <w:sz w:val="21"/>
        </w:rPr>
        <w:t>Environmental</w:t>
      </w:r>
      <w:r>
        <w:rPr>
          <w:rFonts w:ascii="Arial" w:hAnsi="Arial"/>
          <w:sz w:val="20"/>
        </w:rPr>
        <w:t> </w:t>
      </w:r>
      <w:r>
        <w:rPr>
          <w:rFonts w:ascii="Arial" w:hAnsi="Arial"/>
          <w:b/>
          <w:sz w:val="21"/>
        </w:rPr>
        <w:t>Assessment</w:t>
      </w:r>
      <w:r>
        <w:rPr>
          <w:rFonts w:ascii="Arial" w:hAnsi="Arial"/>
          <w:sz w:val="20"/>
        </w:rPr>
        <w:t> </w:t>
      </w:r>
      <w:r>
        <w:rPr>
          <w:rFonts w:ascii="Arial" w:hAnsi="Arial"/>
          <w:b/>
          <w:sz w:val="21"/>
        </w:rPr>
        <w:t>Report</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report</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compliance with</w:t>
      </w:r>
      <w:r>
        <w:rPr>
          <w:rFonts w:ascii="Arial" w:hAnsi="Arial"/>
          <w:sz w:val="20"/>
        </w:rPr>
        <w:t> </w:t>
      </w:r>
      <w:r>
        <w:rPr>
          <w:rFonts w:ascii="Arial" w:hAnsi="Arial"/>
          <w:sz w:val="21"/>
        </w:rPr>
        <w:t>Environmental</w:t>
      </w:r>
      <w:r>
        <w:rPr>
          <w:rFonts w:ascii="Arial" w:hAnsi="Arial"/>
          <w:sz w:val="20"/>
        </w:rPr>
        <w:t> </w:t>
      </w:r>
      <w:r>
        <w:rPr>
          <w:rFonts w:ascii="Arial" w:hAnsi="Arial"/>
          <w:sz w:val="21"/>
        </w:rPr>
        <w:t>Law</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Land</w:t>
      </w:r>
      <w:r>
        <w:rPr>
          <w:rFonts w:ascii="Arial" w:hAnsi="Arial"/>
          <w:sz w:val="20"/>
        </w:rPr>
        <w:t> </w:t>
      </w:r>
      <w:r>
        <w:rPr>
          <w:rFonts w:ascii="Arial" w:hAnsi="Arial"/>
          <w:sz w:val="21"/>
        </w:rPr>
        <w:t>and</w:t>
      </w:r>
      <w:r>
        <w:rPr>
          <w:rFonts w:ascii="Arial" w:hAnsi="Arial"/>
          <w:sz w:val="20"/>
        </w:rPr>
        <w:t> </w:t>
      </w:r>
      <w:r>
        <w:rPr>
          <w:rFonts w:ascii="Arial" w:hAnsi="Arial"/>
          <w:sz w:val="21"/>
        </w:rPr>
        <w:t>any</w:t>
      </w:r>
      <w:r>
        <w:rPr>
          <w:rFonts w:ascii="Arial" w:hAnsi="Arial"/>
          <w:sz w:val="20"/>
        </w:rPr>
        <w:t> </w:t>
      </w:r>
      <w:r>
        <w:rPr>
          <w:rFonts w:ascii="Arial" w:hAnsi="Arial"/>
          <w:sz w:val="21"/>
        </w:rPr>
        <w:t>activities</w:t>
      </w:r>
      <w:r>
        <w:rPr>
          <w:rFonts w:ascii="Arial" w:hAnsi="Arial"/>
          <w:sz w:val="20"/>
        </w:rPr>
        <w:t> </w:t>
      </w:r>
      <w:r>
        <w:rPr>
          <w:rFonts w:ascii="Arial" w:hAnsi="Arial"/>
          <w:sz w:val="21"/>
        </w:rPr>
        <w:t>carried</w:t>
      </w:r>
      <w:r>
        <w:rPr>
          <w:rFonts w:ascii="Arial" w:hAnsi="Arial"/>
          <w:sz w:val="20"/>
        </w:rPr>
        <w:t> </w:t>
      </w:r>
      <w:r>
        <w:rPr>
          <w:rFonts w:ascii="Arial" w:hAnsi="Arial"/>
          <w:sz w:val="21"/>
        </w:rPr>
        <w:t>out</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Land.</w:t>
      </w:r>
      <w:r>
        <w:rPr>
          <w:rFonts w:ascii="Arial" w:hAnsi="Arial"/>
          <w:sz w:val="20"/>
        </w:rPr>
        <w:t xml:space="preserve"> </w:t>
      </w:r>
    </w:p>
    <w:p>
      <w:pPr>
        <w:pStyle w:val="TextBody"/>
        <w:pBdr/>
        <w:bidi w:val="0"/>
        <w:spacing w:lineRule="auto" w:line="266" w:before="119" w:after="0"/>
        <w:ind w:left="3120" w:right="1486" w:hanging="0"/>
        <w:jc w:val="left"/>
        <w:rPr>
          <w:rFonts w:ascii="Arial" w:hAnsi="Arial"/>
          <w:sz w:val="22"/>
        </w:rPr>
      </w:pPr>
      <w:r>
        <w:rPr>
          <w:rFonts w:ascii="Arial" w:hAnsi="Arial"/>
          <w:b/>
          <w:sz w:val="22"/>
        </w:rPr>
        <w:t xml:space="preserve">Environmental Law </w:t>
      </w:r>
      <w:r>
        <w:rPr>
          <w:rFonts w:ascii="Arial" w:hAnsi="Arial"/>
          <w:sz w:val="22"/>
        </w:rPr>
        <w:t xml:space="preserve">means any legislation, regulations or related codes, standards or policies which relate to environmental and planning matters, including matters concerning land use, development, building works, pollution, contamination, waste, toxic and hazardous substances, disposal of waste or other substances, human health, conservation of natural or cultural resources, heritage and resource allocation. </w:t>
      </w:r>
    </w:p>
    <w:p>
      <w:pPr>
        <w:pStyle w:val="TextBody"/>
        <w:pBdr/>
        <w:bidi w:val="0"/>
        <w:spacing w:lineRule="auto" w:line="266" w:before="117" w:after="0"/>
        <w:ind w:left="3120" w:right="1500" w:hanging="0"/>
        <w:jc w:val="left"/>
        <w:rPr>
          <w:rFonts w:ascii="Arial" w:hAnsi="Arial"/>
          <w:sz w:val="22"/>
        </w:rPr>
      </w:pPr>
      <w:r>
        <w:rPr>
          <w:rFonts w:ascii="Arial" w:hAnsi="Arial"/>
          <w:b/>
          <w:sz w:val="22"/>
        </w:rPr>
        <w:t xml:space="preserve">Environmental Liability </w:t>
      </w:r>
      <w:r>
        <w:rPr>
          <w:rFonts w:ascii="Arial" w:hAnsi="Arial"/>
          <w:sz w:val="22"/>
        </w:rPr>
        <w:t xml:space="preserve">means any liability, obligation, expense, penalty or fine arising out of a breach of Environmental Law which could be imposed on any Transaction Party or the Bank in respect of the Land as a result of activities carried on during the ownership, occupation or control of the Land by </w:t>
      </w:r>
    </w:p>
    <w:p>
      <w:pPr>
        <w:pStyle w:val="TextBody"/>
        <w:pBdr/>
        <w:bidi w:val="0"/>
        <w:spacing w:lineRule="auto" w:line="266" w:before="0" w:after="0"/>
        <w:ind w:left="1700" w:right="700" w:hanging="0"/>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20" w:right="1471" w:hanging="0"/>
        <w:jc w:val="left"/>
        <w:rPr>
          <w:rFonts w:ascii="Arial" w:hAnsi="Arial"/>
          <w:sz w:val="22"/>
        </w:rPr>
      </w:pPr>
      <w:r>
        <w:rPr>
          <w:rFonts w:ascii="Arial" w:hAnsi="Arial"/>
          <w:sz w:val="22"/>
        </w:rPr>
        <w:t xml:space="preserve">that Transaction Party, the Bank, any predecessor in title or any previous occupier or controller of the Land. </w:t>
      </w:r>
    </w:p>
    <w:p>
      <w:pPr>
        <w:pStyle w:val="TextBody"/>
        <w:bidi w:val="0"/>
        <w:spacing w:before="119" w:after="0"/>
        <w:ind w:left="3120" w:right="700" w:hanging="0"/>
        <w:jc w:val="left"/>
        <w:rPr/>
      </w:pPr>
      <w:r>
        <w:rPr>
          <w:rFonts w:ascii="Arial" w:hAnsi="Arial"/>
          <w:b/>
          <w:sz w:val="21"/>
        </w:rPr>
        <w:t>Event</w:t>
      </w:r>
      <w:r>
        <w:rPr>
          <w:rFonts w:ascii="Arial" w:hAnsi="Arial"/>
          <w:sz w:val="20"/>
        </w:rPr>
        <w:t> </w:t>
      </w:r>
      <w:r>
        <w:rPr>
          <w:rFonts w:ascii="Arial" w:hAnsi="Arial"/>
          <w:b/>
          <w:sz w:val="21"/>
        </w:rPr>
        <w:t>of</w:t>
      </w:r>
      <w:r>
        <w:rPr>
          <w:rFonts w:ascii="Arial" w:hAnsi="Arial"/>
          <w:sz w:val="20"/>
        </w:rPr>
        <w:t> </w:t>
      </w:r>
      <w:r>
        <w:rPr>
          <w:rFonts w:ascii="Arial" w:hAnsi="Arial"/>
          <w:b/>
          <w:sz w:val="21"/>
        </w:rPr>
        <w:t>Default</w:t>
      </w:r>
      <w:r>
        <w:rPr>
          <w:rFonts w:ascii="Arial" w:hAnsi="Arial"/>
          <w:sz w:val="20"/>
        </w:rPr>
        <w:t> </w:t>
      </w:r>
      <w:r>
        <w:rPr>
          <w:rFonts w:ascii="Arial" w:hAnsi="Arial"/>
          <w:sz w:val="21"/>
        </w:rPr>
        <w:t>means</w:t>
      </w:r>
      <w:r>
        <w:rPr>
          <w:rFonts w:ascii="Arial" w:hAnsi="Arial"/>
          <w:sz w:val="20"/>
        </w:rPr>
        <w:t> </w:t>
      </w:r>
      <w:r>
        <w:rPr>
          <w:rFonts w:ascii="Arial" w:hAnsi="Arial"/>
          <w:sz w:val="21"/>
        </w:rPr>
        <w:t>any</w:t>
      </w:r>
      <w:r>
        <w:rPr>
          <w:rFonts w:ascii="Arial" w:hAnsi="Arial"/>
          <w:sz w:val="20"/>
        </w:rPr>
        <w:t> </w:t>
      </w:r>
      <w:r>
        <w:rPr>
          <w:rFonts w:ascii="Arial" w:hAnsi="Arial"/>
          <w:sz w:val="21"/>
        </w:rPr>
        <w:t>event</w:t>
      </w:r>
      <w:r>
        <w:rPr>
          <w:rFonts w:ascii="Arial" w:hAnsi="Arial"/>
          <w:sz w:val="20"/>
        </w:rPr>
        <w:t> </w:t>
      </w:r>
      <w:r>
        <w:rPr>
          <w:rFonts w:ascii="Arial" w:hAnsi="Arial"/>
          <w:sz w:val="21"/>
        </w:rPr>
        <w:t>or</w:t>
      </w:r>
      <w:r>
        <w:rPr>
          <w:rFonts w:ascii="Arial" w:hAnsi="Arial"/>
          <w:sz w:val="20"/>
        </w:rPr>
        <w:t> </w:t>
      </w:r>
      <w:r>
        <w:rPr>
          <w:rFonts w:ascii="Arial" w:hAnsi="Arial"/>
          <w:sz w:val="21"/>
        </w:rPr>
        <w:t>circumstance</w:t>
      </w:r>
      <w:r>
        <w:rPr>
          <w:rFonts w:ascii="Arial" w:hAnsi="Arial"/>
          <w:sz w:val="20"/>
        </w:rPr>
        <w:t> </w:t>
      </w:r>
      <w:r>
        <w:rPr>
          <w:rFonts w:ascii="Arial" w:hAnsi="Arial"/>
          <w:sz w:val="21"/>
        </w:rPr>
        <w:t>described</w:t>
      </w:r>
      <w:r>
        <w:rPr>
          <w:rFonts w:ascii="Arial" w:hAnsi="Arial"/>
          <w:sz w:val="20"/>
        </w:rPr>
        <w:t> </w:t>
      </w:r>
      <w:r>
        <w:rPr>
          <w:rFonts w:ascii="Arial" w:hAnsi="Arial"/>
          <w:sz w:val="21"/>
        </w:rPr>
        <w:t>in</w:t>
      </w:r>
      <w:r>
        <w:rPr>
          <w:rFonts w:ascii="Arial" w:hAnsi="Arial"/>
          <w:sz w:val="20"/>
        </w:rPr>
        <w:t> </w:t>
      </w:r>
      <w:r>
        <w:rPr>
          <w:rFonts w:ascii="Arial" w:hAnsi="Arial"/>
          <w:b/>
          <w:sz w:val="21"/>
        </w:rPr>
        <w:t>clause</w:t>
      </w:r>
      <w:r>
        <w:rPr>
          <w:rFonts w:ascii="Arial" w:hAnsi="Arial"/>
          <w:sz w:val="20"/>
        </w:rPr>
        <w:t> </w:t>
      </w:r>
      <w:hyperlink w:anchor="_bookmark104">
        <w:r>
          <w:rPr>
            <w:rStyle w:val="InternetLink"/>
            <w:rFonts w:ascii="Arial" w:hAnsi="Arial"/>
            <w:b/>
            <w:sz w:val="21"/>
          </w:rPr>
          <w:t>10.1</w:t>
        </w:r>
      </w:hyperlink>
      <w:r>
        <w:rPr>
          <w:rFonts w:ascii="Arial" w:hAnsi="Arial"/>
          <w:sz w:val="21"/>
        </w:rPr>
        <w:t>.</w:t>
      </w:r>
      <w:r>
        <w:rPr>
          <w:rFonts w:ascii="Arial" w:hAnsi="Arial"/>
          <w:sz w:val="20"/>
        </w:rPr>
        <w:t xml:space="preserve"> </w:t>
      </w:r>
    </w:p>
    <w:p>
      <w:pPr>
        <w:pStyle w:val="TextBody"/>
        <w:bidi w:val="0"/>
        <w:spacing w:lineRule="auto" w:line="266" w:before="150" w:after="0"/>
        <w:ind w:left="3120" w:right="1471" w:hanging="0"/>
        <w:jc w:val="left"/>
        <w:rPr>
          <w:rFonts w:ascii="Arial" w:hAnsi="Arial"/>
          <w:sz w:val="22"/>
        </w:rPr>
      </w:pPr>
      <w:r>
        <w:rPr>
          <w:rFonts w:ascii="Arial" w:hAnsi="Arial"/>
          <w:b/>
          <w:sz w:val="22"/>
        </w:rPr>
        <w:t>Excluded</w:t>
      </w:r>
      <w:r>
        <w:rPr>
          <w:rFonts w:ascii="Arial" w:hAnsi="Arial"/>
          <w:sz w:val="22"/>
        </w:rPr>
        <w:t> </w:t>
      </w:r>
      <w:r>
        <w:rPr>
          <w:rFonts w:ascii="Arial" w:hAnsi="Arial"/>
          <w:b/>
          <w:sz w:val="22"/>
        </w:rPr>
        <w:t>Financial</w:t>
      </w:r>
      <w:r>
        <w:rPr>
          <w:rFonts w:ascii="Arial" w:hAnsi="Arial"/>
          <w:sz w:val="22"/>
        </w:rPr>
        <w:t> </w:t>
      </w:r>
      <w:r>
        <w:rPr>
          <w:rFonts w:ascii="Arial" w:hAnsi="Arial"/>
          <w:b/>
          <w:sz w:val="22"/>
        </w:rPr>
        <w:t>Indebtedness</w:t>
      </w:r>
      <w:r>
        <w:rPr>
          <w:rFonts w:ascii="Arial" w:hAnsi="Arial"/>
          <w:sz w:val="22"/>
        </w:rPr>
        <w:t xml:space="preserve"> means Financial Indebtedness of the kind referred to in paragraph (a), (c) or (d) of the definition of Permitted Financial Indebtedness. </w:t>
      </w:r>
    </w:p>
    <w:p>
      <w:pPr>
        <w:pStyle w:val="TextBody"/>
        <w:bidi w:val="0"/>
        <w:spacing w:before="120" w:after="0"/>
        <w:ind w:left="3120" w:right="700" w:hanging="0"/>
        <w:jc w:val="left"/>
        <w:rPr>
          <w:rFonts w:ascii="Arial" w:hAnsi="Arial"/>
          <w:sz w:val="20"/>
        </w:rPr>
      </w:pPr>
      <w:r>
        <w:rPr>
          <w:rFonts w:ascii="Arial" w:hAnsi="Arial"/>
          <w:b/>
          <w:sz w:val="21"/>
        </w:rPr>
        <w:t>Excluded</w:t>
      </w:r>
      <w:r>
        <w:rPr>
          <w:rFonts w:ascii="Arial" w:hAnsi="Arial"/>
          <w:sz w:val="20"/>
        </w:rPr>
        <w:t> </w:t>
      </w:r>
      <w:r>
        <w:rPr>
          <w:rFonts w:ascii="Arial" w:hAnsi="Arial"/>
          <w:b/>
          <w:sz w:val="21"/>
        </w:rPr>
        <w:t>Property</w:t>
      </w:r>
      <w:r>
        <w:rPr>
          <w:rFonts w:ascii="Arial" w:hAnsi="Arial"/>
          <w:sz w:val="20"/>
        </w:rPr>
        <w:t> </w:t>
      </w:r>
      <w:r>
        <w:rPr>
          <w:rFonts w:ascii="Arial" w:hAnsi="Arial"/>
          <w:sz w:val="21"/>
        </w:rPr>
        <w:t>means:</w:t>
      </w:r>
      <w:r>
        <w:rPr>
          <w:rFonts w:ascii="Arial" w:hAnsi="Arial"/>
          <w:sz w:val="20"/>
        </w:rPr>
        <w:t xml:space="preserve"> </w:t>
      </w:r>
    </w:p>
    <w:p>
      <w:pPr>
        <w:pStyle w:val="TextBody"/>
        <w:bidi w:val="0"/>
        <w:spacing w:lineRule="auto" w:line="266" w:before="148" w:after="0"/>
        <w:ind w:left="3686" w:right="1481" w:hanging="0"/>
        <w:jc w:val="left"/>
        <w:rPr>
          <w:rFonts w:ascii="Arial" w:hAnsi="Arial"/>
          <w:sz w:val="20"/>
        </w:rPr>
      </w:pPr>
      <w:r>
        <w:rPr>
          <w:rFonts w:ascii="Arial" w:hAnsi="Arial"/>
          <w:sz w:val="21"/>
        </w:rPr>
        <w:t>(a)the</w:t>
      </w:r>
      <w:r>
        <w:rPr>
          <w:rFonts w:ascii="Arial" w:hAnsi="Arial"/>
          <w:sz w:val="20"/>
        </w:rPr>
        <w:t> </w:t>
      </w:r>
      <w:r>
        <w:rPr>
          <w:rFonts w:ascii="Arial" w:hAnsi="Arial"/>
          <w:sz w:val="21"/>
        </w:rPr>
        <w:t>present</w:t>
      </w:r>
      <w:r>
        <w:rPr>
          <w:rFonts w:ascii="Arial" w:hAnsi="Arial"/>
          <w:sz w:val="20"/>
        </w:rPr>
        <w:t> </w:t>
      </w:r>
      <w:r>
        <w:rPr>
          <w:rFonts w:ascii="Arial" w:hAnsi="Arial"/>
          <w:sz w:val="21"/>
        </w:rPr>
        <w:t>or</w:t>
      </w:r>
      <w:r>
        <w:rPr>
          <w:rFonts w:ascii="Arial" w:hAnsi="Arial"/>
          <w:sz w:val="20"/>
        </w:rPr>
        <w:t> </w:t>
      </w:r>
      <w:r>
        <w:rPr>
          <w:rFonts w:ascii="Arial" w:hAnsi="Arial"/>
          <w:sz w:val="21"/>
        </w:rPr>
        <w:t>future</w:t>
      </w:r>
      <w:r>
        <w:rPr>
          <w:rFonts w:ascii="Arial" w:hAnsi="Arial"/>
          <w:sz w:val="20"/>
        </w:rPr>
        <w:t> </w:t>
      </w:r>
      <w:r>
        <w:rPr>
          <w:rFonts w:ascii="Arial" w:hAnsi="Arial"/>
          <w:sz w:val="21"/>
        </w:rPr>
        <w:t>interest</w:t>
      </w:r>
      <w:r>
        <w:rPr>
          <w:rFonts w:ascii="Arial" w:hAnsi="Arial"/>
          <w:sz w:val="20"/>
        </w:rPr>
        <w:t> </w:t>
      </w:r>
      <w:r>
        <w:rPr>
          <w:rFonts w:ascii="Arial" w:hAnsi="Arial"/>
          <w:sz w:val="21"/>
        </w:rPr>
        <w:t>of</w:t>
      </w:r>
      <w:r>
        <w:rPr>
          <w:rFonts w:ascii="Arial" w:hAnsi="Arial"/>
          <w:sz w:val="20"/>
        </w:rPr>
        <w:t> </w:t>
      </w:r>
      <w:r>
        <w:rPr>
          <w:rFonts w:ascii="Arial" w:hAnsi="Arial"/>
          <w:sz w:val="21"/>
        </w:rPr>
        <w:t>Reading</w:t>
      </w:r>
      <w:r>
        <w:rPr>
          <w:rFonts w:ascii="Arial" w:hAnsi="Arial"/>
          <w:sz w:val="20"/>
        </w:rPr>
        <w:t> </w:t>
      </w:r>
      <w:r>
        <w:rPr>
          <w:rFonts w:ascii="Arial" w:hAnsi="Arial"/>
          <w:sz w:val="21"/>
        </w:rPr>
        <w:t>Exhibition</w:t>
      </w:r>
      <w:r>
        <w:rPr>
          <w:rFonts w:ascii="Arial" w:hAnsi="Arial"/>
          <w:sz w:val="20"/>
        </w:rPr>
        <w:t> </w:t>
      </w:r>
      <w:r>
        <w:rPr>
          <w:rFonts w:ascii="Arial" w:hAnsi="Arial"/>
          <w:sz w:val="21"/>
        </w:rPr>
        <w:t>Pty</w:t>
      </w:r>
      <w:r>
        <w:rPr>
          <w:rFonts w:ascii="Arial" w:hAnsi="Arial"/>
          <w:sz w:val="20"/>
        </w:rPr>
        <w:t> </w:t>
      </w:r>
      <w:r>
        <w:rPr>
          <w:rFonts w:ascii="Arial" w:hAnsi="Arial"/>
          <w:sz w:val="21"/>
        </w:rPr>
        <w:t>Ltd</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Garden City Cinema joint venture with Village Roadshow Exhibition and Birch Carroll &amp; Coyle or the assets the subject of the joint venture or the relevant joint venture agreement; and</w:t>
      </w:r>
      <w:r>
        <w:rPr>
          <w:rFonts w:ascii="Arial" w:hAnsi="Arial"/>
          <w:sz w:val="20"/>
        </w:rPr>
        <w:t xml:space="preserve"> </w:t>
      </w:r>
    </w:p>
    <w:p>
      <w:pPr>
        <w:pStyle w:val="TextBody"/>
        <w:bidi w:val="0"/>
        <w:spacing w:lineRule="auto" w:line="266" w:before="118" w:after="0"/>
        <w:ind w:left="3686" w:right="1574" w:hanging="0"/>
        <w:jc w:val="left"/>
        <w:rPr>
          <w:rFonts w:ascii="Arial" w:hAnsi="Arial"/>
          <w:sz w:val="20"/>
        </w:rPr>
      </w:pPr>
      <w:r>
        <w:rPr>
          <w:rFonts w:ascii="Arial" w:hAnsi="Arial"/>
          <w:sz w:val="21"/>
        </w:rPr>
        <w:t>(b)the present or future interest of Epping Cinemas Pty Ltd in the lease granted</w:t>
      </w:r>
      <w:r>
        <w:rPr>
          <w:rFonts w:ascii="Arial" w:hAnsi="Arial"/>
          <w:sz w:val="20"/>
        </w:rPr>
        <w:t> </w:t>
      </w:r>
      <w:r>
        <w:rPr>
          <w:rFonts w:ascii="Arial" w:hAnsi="Arial"/>
          <w:sz w:val="21"/>
        </w:rPr>
        <w:t>by</w:t>
      </w:r>
      <w:r>
        <w:rPr>
          <w:rFonts w:ascii="Arial" w:hAnsi="Arial"/>
          <w:sz w:val="20"/>
        </w:rPr>
        <w:t> </w:t>
      </w:r>
      <w:r>
        <w:rPr>
          <w:rFonts w:ascii="Arial" w:hAnsi="Arial"/>
          <w:sz w:val="21"/>
        </w:rPr>
        <w:t>Bevendale</w:t>
      </w:r>
      <w:r>
        <w:rPr>
          <w:rFonts w:ascii="Arial" w:hAnsi="Arial"/>
          <w:sz w:val="20"/>
        </w:rPr>
        <w:t> </w:t>
      </w:r>
      <w:r>
        <w:rPr>
          <w:rFonts w:ascii="Arial" w:hAnsi="Arial"/>
          <w:sz w:val="21"/>
        </w:rPr>
        <w:t>Pty</w:t>
      </w:r>
      <w:r>
        <w:rPr>
          <w:rFonts w:ascii="Arial" w:hAnsi="Arial"/>
          <w:sz w:val="20"/>
        </w:rPr>
        <w:t> </w:t>
      </w:r>
      <w:r>
        <w:rPr>
          <w:rFonts w:ascii="Arial" w:hAnsi="Arial"/>
          <w:sz w:val="21"/>
        </w:rPr>
        <w:t>Ltd</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property</w:t>
      </w:r>
      <w:r>
        <w:rPr>
          <w:rFonts w:ascii="Arial" w:hAnsi="Arial"/>
          <w:sz w:val="20"/>
        </w:rPr>
        <w:t> </w:t>
      </w:r>
      <w:r>
        <w:rPr>
          <w:rFonts w:ascii="Arial" w:hAnsi="Arial"/>
          <w:sz w:val="21"/>
        </w:rPr>
        <w:t>the</w:t>
      </w:r>
      <w:r>
        <w:rPr>
          <w:rFonts w:ascii="Arial" w:hAnsi="Arial"/>
          <w:sz w:val="20"/>
        </w:rPr>
        <w:t> </w:t>
      </w:r>
      <w:r>
        <w:rPr>
          <w:rFonts w:ascii="Arial" w:hAnsi="Arial"/>
          <w:sz w:val="21"/>
        </w:rPr>
        <w:t>subject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lease</w:t>
      </w:r>
      <w:r>
        <w:rPr>
          <w:rFonts w:ascii="Arial" w:hAnsi="Arial"/>
          <w:sz w:val="20"/>
        </w:rPr>
        <w:t> </w:t>
      </w:r>
      <w:r>
        <w:rPr>
          <w:rFonts w:ascii="Arial" w:hAnsi="Arial"/>
          <w:sz w:val="21"/>
        </w:rPr>
        <w:t>to the extent that the existence of a charge over that interest or property would cause a breach of the that lease.</w:t>
      </w:r>
      <w:r>
        <w:rPr>
          <w:rFonts w:ascii="Arial" w:hAnsi="Arial"/>
          <w:sz w:val="20"/>
        </w:rPr>
        <w:t xml:space="preserve"> </w:t>
      </w:r>
    </w:p>
    <w:p>
      <w:pPr>
        <w:pStyle w:val="TextBody"/>
        <w:pBdr/>
        <w:bidi w:val="0"/>
        <w:spacing w:lineRule="auto" w:line="266" w:before="118" w:after="0"/>
        <w:ind w:left="3120" w:right="1471" w:hanging="0"/>
        <w:jc w:val="left"/>
        <w:rPr>
          <w:rFonts w:ascii="Arial" w:hAnsi="Arial"/>
          <w:sz w:val="22"/>
        </w:rPr>
      </w:pPr>
      <w:r>
        <w:rPr>
          <w:rFonts w:ascii="Arial" w:hAnsi="Arial"/>
          <w:b/>
          <w:sz w:val="22"/>
        </w:rPr>
        <w:t xml:space="preserve">Expired </w:t>
      </w:r>
      <w:r>
        <w:rPr>
          <w:rFonts w:ascii="Arial" w:hAnsi="Arial"/>
          <w:sz w:val="22"/>
        </w:rPr>
        <w:t xml:space="preserve">means, in relation to a Bank Guarantee, that its Expiry Date has passed whether or not a claim has been made under it by the Beneficiary. </w:t>
      </w:r>
    </w:p>
    <w:p>
      <w:pPr>
        <w:pStyle w:val="TextBody"/>
        <w:pBdr/>
        <w:bidi w:val="0"/>
        <w:spacing w:lineRule="auto" w:line="266" w:before="120" w:after="0"/>
        <w:ind w:left="3120" w:right="1509" w:hanging="0"/>
        <w:jc w:val="both"/>
        <w:rPr>
          <w:rFonts w:ascii="Arial" w:hAnsi="Arial"/>
          <w:sz w:val="22"/>
        </w:rPr>
      </w:pPr>
      <w:r>
        <w:rPr>
          <w:rFonts w:ascii="Arial" w:hAnsi="Arial"/>
          <w:b/>
          <w:sz w:val="22"/>
        </w:rPr>
        <w:t>Expiry</w:t>
      </w:r>
      <w:r>
        <w:rPr>
          <w:rFonts w:ascii="Arial" w:hAnsi="Arial"/>
          <w:sz w:val="22"/>
        </w:rPr>
        <w:t> </w:t>
      </w:r>
      <w:r>
        <w:rPr>
          <w:rFonts w:ascii="Arial" w:hAnsi="Arial"/>
          <w:b/>
          <w:sz w:val="22"/>
        </w:rPr>
        <w:t>Date</w:t>
      </w:r>
      <w:r>
        <w:rPr>
          <w:rFonts w:ascii="Arial" w:hAnsi="Arial"/>
          <w:sz w:val="22"/>
        </w:rPr>
        <w:t xml:space="preserve"> means, in relation to a Bank Guarantee, the date specified in that Bank Guarantee as the latest date by which the Beneficiary may make a claim under it. </w:t>
      </w:r>
    </w:p>
    <w:p>
      <w:pPr>
        <w:pStyle w:val="TextBody"/>
        <w:bidi w:val="0"/>
        <w:spacing w:before="119" w:after="0"/>
        <w:ind w:left="3120" w:right="700" w:hanging="0"/>
        <w:jc w:val="both"/>
        <w:rPr>
          <w:rFonts w:ascii="Arial" w:hAnsi="Arial"/>
          <w:sz w:val="20"/>
        </w:rPr>
      </w:pPr>
      <w:r>
        <w:rPr>
          <w:rFonts w:ascii="Arial" w:hAnsi="Arial"/>
          <w:b/>
          <w:sz w:val="21"/>
        </w:rPr>
        <w:t>Face</w:t>
      </w:r>
      <w:r>
        <w:rPr>
          <w:rFonts w:ascii="Arial" w:hAnsi="Arial"/>
          <w:sz w:val="20"/>
        </w:rPr>
        <w:t> </w:t>
      </w:r>
      <w:r>
        <w:rPr>
          <w:rFonts w:ascii="Arial" w:hAnsi="Arial"/>
          <w:b/>
          <w:sz w:val="21"/>
        </w:rPr>
        <w:t>Value</w:t>
      </w:r>
      <w:r>
        <w:rPr>
          <w:rFonts w:ascii="Arial" w:hAnsi="Arial"/>
          <w:sz w:val="20"/>
        </w:rPr>
        <w:t> </w:t>
      </w:r>
      <w:r>
        <w:rPr>
          <w:rFonts w:ascii="Arial" w:hAnsi="Arial"/>
          <w:sz w:val="21"/>
        </w:rPr>
        <w:t>means,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Bank</w:t>
      </w:r>
      <w:r>
        <w:rPr>
          <w:rFonts w:ascii="Arial" w:hAnsi="Arial"/>
          <w:sz w:val="20"/>
        </w:rPr>
        <w:t> </w:t>
      </w:r>
      <w:r>
        <w:rPr>
          <w:rFonts w:ascii="Arial" w:hAnsi="Arial"/>
          <w:sz w:val="21"/>
        </w:rPr>
        <w:t>Guarantee:</w:t>
      </w:r>
      <w:r>
        <w:rPr>
          <w:rFonts w:ascii="Arial" w:hAnsi="Arial"/>
          <w:sz w:val="20"/>
        </w:rPr>
        <w:t xml:space="preserve"> </w:t>
      </w:r>
    </w:p>
    <w:p>
      <w:pPr>
        <w:pStyle w:val="TextBody"/>
        <w:bidi w:val="0"/>
        <w:spacing w:lineRule="auto" w:line="266" w:before="145" w:after="0"/>
        <w:ind w:left="3686" w:right="1420" w:hanging="0"/>
        <w:jc w:val="left"/>
        <w:rPr/>
      </w:pPr>
      <w:r>
        <w:rPr>
          <w:rFonts w:ascii="Arial" w:hAnsi="Arial"/>
          <w:sz w:val="21"/>
        </w:rPr>
        <w:t>(a)subject</w:t>
      </w:r>
      <w:r>
        <w:rPr>
          <w:rFonts w:ascii="Arial" w:hAnsi="Arial"/>
          <w:sz w:val="20"/>
        </w:rPr>
        <w:t> </w:t>
      </w:r>
      <w:r>
        <w:rPr>
          <w:rFonts w:ascii="Arial" w:hAnsi="Arial"/>
          <w:sz w:val="21"/>
        </w:rPr>
        <w:t>to</w:t>
      </w:r>
      <w:r>
        <w:rPr>
          <w:rFonts w:ascii="Arial" w:hAnsi="Arial"/>
          <w:sz w:val="20"/>
        </w:rPr>
        <w:t> </w:t>
      </w:r>
      <w:r>
        <w:rPr>
          <w:rFonts w:ascii="Arial" w:hAnsi="Arial"/>
          <w:sz w:val="21"/>
        </w:rPr>
        <w:t>paragraph</w:t>
      </w:r>
      <w:r>
        <w:rPr>
          <w:rFonts w:ascii="Arial" w:hAnsi="Arial"/>
          <w:sz w:val="20"/>
        </w:rPr>
        <w:t> </w:t>
      </w:r>
      <w:hyperlink w:anchor="_bookmark27">
        <w:r>
          <w:rPr>
            <w:rStyle w:val="InternetLink"/>
            <w:rFonts w:ascii="Arial" w:hAnsi="Arial"/>
            <w:sz w:val="21"/>
          </w:rPr>
          <w:t>(b)</w:t>
        </w:r>
      </w:hyperlink>
      <w:r>
        <w:rPr>
          <w:rFonts w:ascii="Arial" w:hAnsi="Arial"/>
          <w:sz w:val="21"/>
        </w:rPr>
        <w:t>,</w:t>
      </w:r>
      <w:r>
        <w:rPr>
          <w:rFonts w:ascii="Arial" w:hAnsi="Arial"/>
          <w:sz w:val="20"/>
        </w:rPr>
        <w:t> </w:t>
      </w:r>
      <w:r>
        <w:rPr>
          <w:rFonts w:ascii="Arial" w:hAnsi="Arial"/>
          <w:sz w:val="21"/>
        </w:rPr>
        <w:t>the</w:t>
      </w:r>
      <w:r>
        <w:rPr>
          <w:rFonts w:ascii="Arial" w:hAnsi="Arial"/>
          <w:sz w:val="20"/>
        </w:rPr>
        <w:t> </w:t>
      </w:r>
      <w:r>
        <w:rPr>
          <w:rFonts w:ascii="Arial" w:hAnsi="Arial"/>
          <w:sz w:val="21"/>
        </w:rPr>
        <w:t>amount</w:t>
      </w:r>
      <w:r>
        <w:rPr>
          <w:rFonts w:ascii="Arial" w:hAnsi="Arial"/>
          <w:sz w:val="20"/>
        </w:rPr>
        <w:t> </w:t>
      </w:r>
      <w:r>
        <w:rPr>
          <w:rFonts w:ascii="Arial" w:hAnsi="Arial"/>
          <w:sz w:val="21"/>
        </w:rPr>
        <w:t>specified</w:t>
      </w:r>
      <w:r>
        <w:rPr>
          <w:rFonts w:ascii="Arial" w:hAnsi="Arial"/>
          <w:sz w:val="20"/>
        </w:rPr>
        <w:t> </w:t>
      </w:r>
      <w:r>
        <w:rPr>
          <w:rFonts w:ascii="Arial" w:hAnsi="Arial"/>
          <w:sz w:val="21"/>
        </w:rPr>
        <w:t>in</w:t>
      </w:r>
      <w:r>
        <w:rPr>
          <w:rFonts w:ascii="Arial" w:hAnsi="Arial"/>
          <w:sz w:val="20"/>
        </w:rPr>
        <w:t> </w:t>
      </w:r>
      <w:r>
        <w:rPr>
          <w:rFonts w:ascii="Arial" w:hAnsi="Arial"/>
          <w:sz w:val="21"/>
        </w:rPr>
        <w:t>that</w:t>
      </w:r>
      <w:r>
        <w:rPr>
          <w:rFonts w:ascii="Arial" w:hAnsi="Arial"/>
          <w:sz w:val="20"/>
        </w:rPr>
        <w:t> </w:t>
      </w:r>
      <w:r>
        <w:rPr>
          <w:rFonts w:ascii="Arial" w:hAnsi="Arial"/>
          <w:sz w:val="21"/>
        </w:rPr>
        <w:t>Bank</w:t>
      </w:r>
      <w:r>
        <w:rPr>
          <w:rFonts w:ascii="Arial" w:hAnsi="Arial"/>
          <w:sz w:val="20"/>
        </w:rPr>
        <w:t> </w:t>
      </w:r>
      <w:r>
        <w:rPr>
          <w:rFonts w:ascii="Arial" w:hAnsi="Arial"/>
          <w:sz w:val="21"/>
        </w:rPr>
        <w:t>Guarantee</w:t>
      </w:r>
      <w:r>
        <w:rPr>
          <w:rFonts w:ascii="Arial" w:hAnsi="Arial"/>
          <w:sz w:val="20"/>
        </w:rPr>
        <w:t> </w:t>
      </w:r>
      <w:r>
        <w:rPr>
          <w:rFonts w:ascii="Arial" w:hAnsi="Arial"/>
          <w:sz w:val="21"/>
        </w:rPr>
        <w:t>as the aggregate maximum amount which the Beneficiary may claim under it; or</w:t>
      </w:r>
      <w:r>
        <w:rPr>
          <w:rFonts w:ascii="Arial" w:hAnsi="Arial"/>
          <w:sz w:val="20"/>
        </w:rPr>
        <w:t xml:space="preserve"> </w:t>
      </w:r>
    </w:p>
    <w:p>
      <w:pPr>
        <w:pStyle w:val="TextBody"/>
        <w:bidi w:val="0"/>
        <w:spacing w:lineRule="auto" w:line="266" w:before="120" w:after="0"/>
        <w:ind w:left="3686" w:right="1427" w:hanging="0"/>
        <w:jc w:val="left"/>
        <w:rPr>
          <w:rFonts w:ascii="Arial" w:hAnsi="Arial"/>
          <w:sz w:val="20"/>
        </w:rPr>
      </w:pPr>
      <w:r>
        <w:rPr>
          <w:rFonts w:ascii="Arial" w:hAnsi="Arial"/>
          <w:sz w:val="21"/>
        </w:rPr>
        <w:t>(b)if the Beneficiary makes a claim, then between when the Beneficiary makes the first of those claims and the first to occur of the Bank Guarantee Maturing or Expiring, the Face Value of the Bank Guarantee will</w:t>
      </w:r>
      <w:r>
        <w:rPr>
          <w:rFonts w:ascii="Arial" w:hAnsi="Arial"/>
          <w:sz w:val="20"/>
        </w:rPr>
        <w:t> </w:t>
      </w:r>
      <w:r>
        <w:rPr>
          <w:rFonts w:ascii="Arial" w:hAnsi="Arial"/>
          <w:sz w:val="21"/>
        </w:rPr>
        <w:t>be</w:t>
      </w:r>
      <w:r>
        <w:rPr>
          <w:rFonts w:ascii="Arial" w:hAnsi="Arial"/>
          <w:sz w:val="20"/>
        </w:rPr>
        <w:t> </w:t>
      </w:r>
      <w:r>
        <w:rPr>
          <w:rFonts w:ascii="Arial" w:hAnsi="Arial"/>
          <w:sz w:val="21"/>
        </w:rPr>
        <w:t>the</w:t>
      </w:r>
      <w:r>
        <w:rPr>
          <w:rFonts w:ascii="Arial" w:hAnsi="Arial"/>
          <w:sz w:val="20"/>
        </w:rPr>
        <w:t> </w:t>
      </w:r>
      <w:r>
        <w:rPr>
          <w:rFonts w:ascii="Arial" w:hAnsi="Arial"/>
          <w:sz w:val="21"/>
        </w:rPr>
        <w:t>difference</w:t>
      </w:r>
      <w:r>
        <w:rPr>
          <w:rFonts w:ascii="Arial" w:hAnsi="Arial"/>
          <w:sz w:val="20"/>
        </w:rPr>
        <w:t> </w:t>
      </w:r>
      <w:r>
        <w:rPr>
          <w:rFonts w:ascii="Arial" w:hAnsi="Arial"/>
          <w:sz w:val="21"/>
        </w:rPr>
        <w:t>between</w:t>
      </w:r>
      <w:r>
        <w:rPr>
          <w:rFonts w:ascii="Arial" w:hAnsi="Arial"/>
          <w:sz w:val="20"/>
        </w:rPr>
        <w:t> </w:t>
      </w:r>
      <w:r>
        <w:rPr>
          <w:rFonts w:ascii="Arial" w:hAnsi="Arial"/>
          <w:sz w:val="21"/>
        </w:rPr>
        <w:t>its</w:t>
      </w:r>
      <w:r>
        <w:rPr>
          <w:rFonts w:ascii="Arial" w:hAnsi="Arial"/>
          <w:sz w:val="20"/>
        </w:rPr>
        <w:t> </w:t>
      </w:r>
      <w:r>
        <w:rPr>
          <w:rFonts w:ascii="Arial" w:hAnsi="Arial"/>
          <w:sz w:val="21"/>
        </w:rPr>
        <w:t>original</w:t>
      </w:r>
      <w:r>
        <w:rPr>
          <w:rFonts w:ascii="Arial" w:hAnsi="Arial"/>
          <w:sz w:val="20"/>
        </w:rPr>
        <w:t> </w:t>
      </w:r>
      <w:r>
        <w:rPr>
          <w:rFonts w:ascii="Arial" w:hAnsi="Arial"/>
          <w:sz w:val="21"/>
        </w:rPr>
        <w:t>face</w:t>
      </w:r>
      <w:r>
        <w:rPr>
          <w:rFonts w:ascii="Arial" w:hAnsi="Arial"/>
          <w:sz w:val="20"/>
        </w:rPr>
        <w:t> </w:t>
      </w:r>
      <w:r>
        <w:rPr>
          <w:rFonts w:ascii="Arial" w:hAnsi="Arial"/>
          <w:sz w:val="21"/>
        </w:rPr>
        <w:t>value</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aggregate</w:t>
      </w:r>
      <w:r>
        <w:rPr>
          <w:rFonts w:ascii="Arial" w:hAnsi="Arial"/>
          <w:sz w:val="20"/>
        </w:rPr>
        <w:t> </w:t>
      </w:r>
      <w:r>
        <w:rPr>
          <w:rFonts w:ascii="Arial" w:hAnsi="Arial"/>
          <w:sz w:val="21"/>
        </w:rPr>
        <w:t>of all valid claims made under it.</w:t>
      </w:r>
      <w:r>
        <w:rPr>
          <w:rFonts w:ascii="Arial" w:hAnsi="Arial"/>
          <w:sz w:val="20"/>
        </w:rPr>
        <w:t xml:space="preserve"> </w:t>
      </w:r>
    </w:p>
    <w:p>
      <w:pPr>
        <w:pStyle w:val="TextBody"/>
        <w:bidi w:val="0"/>
        <w:spacing w:lineRule="auto" w:line="266" w:before="120" w:after="0"/>
        <w:ind w:left="3120" w:right="1635" w:hanging="0"/>
        <w:jc w:val="left"/>
        <w:rPr/>
      </w:pPr>
      <w:r>
        <w:rPr>
          <w:rFonts w:ascii="Arial" w:hAnsi="Arial"/>
          <w:b/>
          <w:sz w:val="21"/>
        </w:rPr>
        <w:t>Facility</w:t>
      </w:r>
      <w:r>
        <w:rPr>
          <w:rFonts w:ascii="Arial" w:hAnsi="Arial"/>
          <w:sz w:val="20"/>
        </w:rPr>
        <w:t> </w:t>
      </w:r>
      <w:r>
        <w:rPr>
          <w:rFonts w:ascii="Arial" w:hAnsi="Arial"/>
          <w:sz w:val="21"/>
        </w:rPr>
        <w:t>means</w:t>
      </w:r>
      <w:r>
        <w:rPr>
          <w:rFonts w:ascii="Arial" w:hAnsi="Arial"/>
          <w:sz w:val="20"/>
        </w:rPr>
        <w:t> </w:t>
      </w:r>
      <w:r>
        <w:rPr>
          <w:rFonts w:ascii="Arial" w:hAnsi="Arial"/>
          <w:sz w:val="21"/>
        </w:rPr>
        <w:t>each</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facilities</w:t>
      </w:r>
      <w:r>
        <w:rPr>
          <w:rFonts w:ascii="Arial" w:hAnsi="Arial"/>
          <w:sz w:val="20"/>
        </w:rPr>
        <w:t> </w:t>
      </w:r>
      <w:r>
        <w:rPr>
          <w:rFonts w:ascii="Arial" w:hAnsi="Arial"/>
          <w:sz w:val="21"/>
        </w:rPr>
        <w:t>listed</w:t>
      </w:r>
      <w:r>
        <w:rPr>
          <w:rFonts w:ascii="Arial" w:hAnsi="Arial"/>
          <w:sz w:val="20"/>
        </w:rPr>
        <w:t> </w:t>
      </w:r>
      <w:r>
        <w:rPr>
          <w:rFonts w:ascii="Arial" w:hAnsi="Arial"/>
          <w:sz w:val="21"/>
        </w:rPr>
        <w:t>in</w:t>
      </w:r>
      <w:r>
        <w:rPr>
          <w:rFonts w:ascii="Arial" w:hAnsi="Arial"/>
          <w:sz w:val="20"/>
        </w:rPr>
        <w:t> </w:t>
      </w:r>
      <w:r>
        <w:rPr>
          <w:rFonts w:ascii="Arial" w:hAnsi="Arial"/>
          <w:b/>
          <w:sz w:val="21"/>
        </w:rPr>
        <w:t>schedule</w:t>
      </w:r>
      <w:r>
        <w:rPr>
          <w:rFonts w:ascii="Arial" w:hAnsi="Arial"/>
          <w:sz w:val="20"/>
        </w:rPr>
        <w:t> </w:t>
      </w:r>
      <w:hyperlink w:anchor="_bookmark201">
        <w:r>
          <w:rPr>
            <w:rStyle w:val="InternetLink"/>
            <w:rFonts w:ascii="Arial" w:hAnsi="Arial"/>
            <w:b/>
            <w:sz w:val="21"/>
          </w:rPr>
          <w:t>2</w:t>
        </w:r>
      </w:hyperlink>
      <w:r>
        <w:rPr>
          <w:rFonts w:ascii="Arial" w:hAnsi="Arial"/>
          <w:sz w:val="20"/>
        </w:rPr>
        <w:t> </w:t>
      </w:r>
      <w:r>
        <w:rPr>
          <w:rFonts w:ascii="Arial" w:hAnsi="Arial"/>
          <w:sz w:val="21"/>
        </w:rPr>
        <w:t>(and</w:t>
      </w:r>
      <w:r>
        <w:rPr>
          <w:rFonts w:ascii="Arial" w:hAnsi="Arial"/>
          <w:sz w:val="20"/>
        </w:rPr>
        <w:t> </w:t>
      </w:r>
      <w:r>
        <w:rPr>
          <w:rFonts w:ascii="Arial" w:hAnsi="Arial"/>
          <w:sz w:val="21"/>
        </w:rPr>
        <w:t>each</w:t>
      </w:r>
      <w:r>
        <w:rPr>
          <w:rFonts w:ascii="Arial" w:hAnsi="Arial"/>
          <w:sz w:val="20"/>
        </w:rPr>
        <w:t> </w:t>
      </w:r>
      <w:r>
        <w:rPr>
          <w:rFonts w:ascii="Arial" w:hAnsi="Arial"/>
          <w:sz w:val="21"/>
        </w:rPr>
        <w:t xml:space="preserve">Facility may be referred to by the Facility Name listed in </w:t>
      </w:r>
      <w:r>
        <w:rPr>
          <w:rFonts w:ascii="Arial" w:hAnsi="Arial"/>
          <w:b/>
          <w:sz w:val="21"/>
        </w:rPr>
        <w:t xml:space="preserve">schedule </w:t>
      </w:r>
      <w:hyperlink w:anchor="_bookmark201">
        <w:r>
          <w:rPr>
            <w:rStyle w:val="InternetLink"/>
            <w:rFonts w:ascii="Arial" w:hAnsi="Arial"/>
            <w:b/>
            <w:sz w:val="21"/>
          </w:rPr>
          <w:t>2</w:t>
        </w:r>
      </w:hyperlink>
      <w:r>
        <w:rPr>
          <w:rFonts w:ascii="Arial" w:hAnsi="Arial"/>
          <w:sz w:val="21"/>
        </w:rPr>
        <w:t>).</w:t>
      </w:r>
      <w:r>
        <w:rPr>
          <w:rFonts w:ascii="Arial" w:hAnsi="Arial"/>
          <w:sz w:val="20"/>
        </w:rPr>
        <w:t xml:space="preserve"> </w:t>
      </w:r>
    </w:p>
    <w:p>
      <w:pPr>
        <w:pStyle w:val="TextBody"/>
        <w:bidi w:val="0"/>
        <w:spacing w:lineRule="auto" w:line="266" w:before="119" w:after="0"/>
        <w:ind w:left="3120" w:right="1471" w:hanging="0"/>
        <w:jc w:val="left"/>
        <w:rPr/>
      </w:pPr>
      <w:r>
        <w:rPr>
          <w:rFonts w:ascii="Arial" w:hAnsi="Arial"/>
          <w:b/>
          <w:sz w:val="21"/>
        </w:rPr>
        <w:t>Facility</w:t>
      </w:r>
      <w:r>
        <w:rPr>
          <w:rFonts w:ascii="Arial" w:hAnsi="Arial"/>
          <w:sz w:val="20"/>
        </w:rPr>
        <w:t> </w:t>
      </w:r>
      <w:r>
        <w:rPr>
          <w:rFonts w:ascii="Arial" w:hAnsi="Arial"/>
          <w:b/>
          <w:sz w:val="21"/>
        </w:rPr>
        <w:t>Limit</w:t>
      </w:r>
      <w:r>
        <w:rPr>
          <w:rFonts w:ascii="Arial" w:hAnsi="Arial"/>
          <w:sz w:val="20"/>
        </w:rPr>
        <w:t> </w:t>
      </w:r>
      <w:r>
        <w:rPr>
          <w:rFonts w:ascii="Arial" w:hAnsi="Arial"/>
          <w:sz w:val="21"/>
        </w:rPr>
        <w:t>means,</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each</w:t>
      </w:r>
      <w:r>
        <w:rPr>
          <w:rFonts w:ascii="Arial" w:hAnsi="Arial"/>
          <w:sz w:val="20"/>
        </w:rPr>
        <w:t> </w:t>
      </w:r>
      <w:r>
        <w:rPr>
          <w:rFonts w:ascii="Arial" w:hAnsi="Arial"/>
          <w:sz w:val="21"/>
        </w:rPr>
        <w:t>Facility,</w:t>
      </w:r>
      <w:r>
        <w:rPr>
          <w:rFonts w:ascii="Arial" w:hAnsi="Arial"/>
          <w:sz w:val="20"/>
        </w:rPr>
        <w:t> </w:t>
      </w:r>
      <w:r>
        <w:rPr>
          <w:rFonts w:ascii="Arial" w:hAnsi="Arial"/>
          <w:sz w:val="21"/>
        </w:rPr>
        <w:t>the</w:t>
      </w:r>
      <w:r>
        <w:rPr>
          <w:rFonts w:ascii="Arial" w:hAnsi="Arial"/>
          <w:sz w:val="20"/>
        </w:rPr>
        <w:t> </w:t>
      </w:r>
      <w:r>
        <w:rPr>
          <w:rFonts w:ascii="Arial" w:hAnsi="Arial"/>
          <w:sz w:val="21"/>
        </w:rPr>
        <w:t>relevant</w:t>
      </w:r>
      <w:r>
        <w:rPr>
          <w:rFonts w:ascii="Arial" w:hAnsi="Arial"/>
          <w:sz w:val="20"/>
        </w:rPr>
        <w:t> </w:t>
      </w:r>
      <w:r>
        <w:rPr>
          <w:rFonts w:ascii="Arial" w:hAnsi="Arial"/>
          <w:sz w:val="21"/>
        </w:rPr>
        <w:t>Facility</w:t>
      </w:r>
      <w:r>
        <w:rPr>
          <w:rFonts w:ascii="Arial" w:hAnsi="Arial"/>
          <w:sz w:val="20"/>
        </w:rPr>
        <w:t> </w:t>
      </w:r>
      <w:r>
        <w:rPr>
          <w:rFonts w:ascii="Arial" w:hAnsi="Arial"/>
          <w:sz w:val="21"/>
        </w:rPr>
        <w:t>Limit</w:t>
      </w:r>
      <w:r>
        <w:rPr>
          <w:rFonts w:ascii="Arial" w:hAnsi="Arial"/>
          <w:sz w:val="20"/>
        </w:rPr>
        <w:t> </w:t>
      </w:r>
      <w:r>
        <w:rPr>
          <w:rFonts w:ascii="Arial" w:hAnsi="Arial"/>
          <w:sz w:val="21"/>
        </w:rPr>
        <w:t xml:space="preserve">set out in </w:t>
      </w:r>
      <w:r>
        <w:rPr>
          <w:rFonts w:ascii="Arial" w:hAnsi="Arial"/>
          <w:b/>
          <w:sz w:val="21"/>
        </w:rPr>
        <w:t xml:space="preserve">schedule </w:t>
      </w:r>
      <w:hyperlink w:anchor="_bookmark201">
        <w:r>
          <w:rPr>
            <w:rStyle w:val="InternetLink"/>
            <w:rFonts w:ascii="Arial" w:hAnsi="Arial"/>
            <w:b/>
            <w:sz w:val="21"/>
          </w:rPr>
          <w:t>2</w:t>
        </w:r>
      </w:hyperlink>
      <w:r>
        <w:rPr>
          <w:rFonts w:ascii="Arial" w:hAnsi="Arial"/>
          <w:sz w:val="21"/>
        </w:rPr>
        <w:t xml:space="preserve">, as reduced under this document including in accordance with </w:t>
      </w:r>
      <w:r>
        <w:rPr>
          <w:rFonts w:ascii="Arial" w:hAnsi="Arial"/>
          <w:b/>
          <w:sz w:val="21"/>
        </w:rPr>
        <w:t>clause 5.6</w:t>
      </w:r>
      <w:r>
        <w:rPr>
          <w:rFonts w:ascii="Arial" w:hAnsi="Arial"/>
          <w:sz w:val="21"/>
        </w:rPr>
        <w:t>.</w:t>
      </w:r>
      <w:r>
        <w:rPr>
          <w:rFonts w:ascii="Arial" w:hAnsi="Arial"/>
          <w:sz w:val="20"/>
        </w:rPr>
        <w:t xml:space="preserve"> </w:t>
      </w:r>
    </w:p>
    <w:p>
      <w:pPr>
        <w:pStyle w:val="TextBody"/>
        <w:bidi w:val="0"/>
        <w:spacing w:before="120" w:after="0"/>
        <w:ind w:left="3120" w:right="700" w:hanging="0"/>
        <w:jc w:val="left"/>
        <w:rPr>
          <w:rFonts w:ascii="Arial" w:hAnsi="Arial"/>
          <w:sz w:val="20"/>
        </w:rPr>
      </w:pPr>
      <w:r>
        <w:rPr>
          <w:rFonts w:ascii="Arial" w:hAnsi="Arial"/>
          <w:b/>
          <w:sz w:val="21"/>
        </w:rPr>
        <w:t>Financial</w:t>
      </w:r>
      <w:r>
        <w:rPr>
          <w:rFonts w:ascii="Arial" w:hAnsi="Arial"/>
          <w:sz w:val="20"/>
        </w:rPr>
        <w:t> </w:t>
      </w:r>
      <w:r>
        <w:rPr>
          <w:rFonts w:ascii="Arial" w:hAnsi="Arial"/>
          <w:b/>
          <w:sz w:val="21"/>
        </w:rPr>
        <w:t>Close</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initial</w:t>
      </w:r>
      <w:r>
        <w:rPr>
          <w:rFonts w:ascii="Arial" w:hAnsi="Arial"/>
          <w:sz w:val="20"/>
        </w:rPr>
        <w:t> </w:t>
      </w:r>
      <w:r>
        <w:rPr>
          <w:rFonts w:ascii="Arial" w:hAnsi="Arial"/>
          <w:sz w:val="21"/>
        </w:rPr>
        <w:t>Funding</w:t>
      </w:r>
      <w:r>
        <w:rPr>
          <w:rFonts w:ascii="Arial" w:hAnsi="Arial"/>
          <w:sz w:val="20"/>
        </w:rPr>
        <w:t> </w:t>
      </w:r>
      <w:r>
        <w:rPr>
          <w:rFonts w:ascii="Arial" w:hAnsi="Arial"/>
          <w:sz w:val="21"/>
        </w:rPr>
        <w:t>Date.</w:t>
      </w:r>
      <w:r>
        <w:rPr>
          <w:rFonts w:ascii="Arial" w:hAnsi="Arial"/>
          <w:sz w:val="20"/>
        </w:rPr>
        <w:t xml:space="preserve"> </w:t>
      </w:r>
    </w:p>
    <w:p>
      <w:pPr>
        <w:pStyle w:val="TextBody"/>
        <w:bidi w:val="0"/>
        <w:spacing w:lineRule="auto" w:line="266" w:before="147" w:after="0"/>
        <w:ind w:left="3120" w:right="1486" w:hanging="0"/>
        <w:jc w:val="left"/>
        <w:rPr>
          <w:rFonts w:ascii="Arial" w:hAnsi="Arial"/>
          <w:sz w:val="22"/>
        </w:rPr>
      </w:pPr>
      <w:r>
        <w:rPr>
          <w:rFonts w:ascii="Arial" w:hAnsi="Arial"/>
          <w:b/>
          <w:sz w:val="22"/>
        </w:rPr>
        <w:t>Financial</w:t>
      </w:r>
      <w:r>
        <w:rPr>
          <w:rFonts w:ascii="Arial" w:hAnsi="Arial"/>
          <w:sz w:val="22"/>
        </w:rPr>
        <w:t> </w:t>
      </w:r>
      <w:r>
        <w:rPr>
          <w:rFonts w:ascii="Arial" w:hAnsi="Arial"/>
          <w:b/>
          <w:sz w:val="22"/>
        </w:rPr>
        <w:t>Indebtedness</w:t>
      </w:r>
      <w:r>
        <w:rPr>
          <w:rFonts w:ascii="Arial" w:hAnsi="Arial"/>
          <w:sz w:val="22"/>
        </w:rPr>
        <w:t xml:space="preserve"> means any indebtedness or other liability (present or future, actual or contingent) relating to any financial accommodation including indebtedness or other liability: </w:t>
      </w:r>
    </w:p>
    <w:p>
      <w:pPr>
        <w:pStyle w:val="TextBody"/>
        <w:bidi w:val="0"/>
        <w:spacing w:before="120" w:after="0"/>
        <w:ind w:left="3686" w:right="700" w:hanging="0"/>
        <w:jc w:val="left"/>
        <w:rPr>
          <w:rFonts w:ascii="Arial" w:hAnsi="Arial"/>
          <w:sz w:val="20"/>
        </w:rPr>
      </w:pPr>
      <w:r>
        <w:rPr>
          <w:rFonts w:ascii="Arial" w:hAnsi="Arial"/>
          <w:sz w:val="21"/>
        </w:rPr>
        <w:t>(a)for</w:t>
      </w:r>
      <w:r>
        <w:rPr>
          <w:rFonts w:ascii="Arial" w:hAnsi="Arial"/>
          <w:sz w:val="20"/>
        </w:rPr>
        <w:t> </w:t>
      </w:r>
      <w:r>
        <w:rPr>
          <w:rFonts w:ascii="Arial" w:hAnsi="Arial"/>
          <w:sz w:val="21"/>
        </w:rPr>
        <w:t>money</w:t>
      </w:r>
      <w:r>
        <w:rPr>
          <w:rFonts w:ascii="Arial" w:hAnsi="Arial"/>
          <w:sz w:val="20"/>
        </w:rPr>
        <w:t> </w:t>
      </w:r>
      <w:r>
        <w:rPr>
          <w:rFonts w:ascii="Arial" w:hAnsi="Arial"/>
          <w:sz w:val="21"/>
        </w:rPr>
        <w:t>borrowed</w:t>
      </w:r>
      <w:r>
        <w:rPr>
          <w:rFonts w:ascii="Arial" w:hAnsi="Arial"/>
          <w:sz w:val="20"/>
        </w:rPr>
        <w:t> </w:t>
      </w:r>
      <w:r>
        <w:rPr>
          <w:rFonts w:ascii="Arial" w:hAnsi="Arial"/>
          <w:sz w:val="21"/>
        </w:rPr>
        <w:t>or</w:t>
      </w:r>
      <w:r>
        <w:rPr>
          <w:rFonts w:ascii="Arial" w:hAnsi="Arial"/>
          <w:sz w:val="20"/>
        </w:rPr>
        <w:t> </w:t>
      </w:r>
      <w:r>
        <w:rPr>
          <w:rFonts w:ascii="Arial" w:hAnsi="Arial"/>
          <w:sz w:val="21"/>
        </w:rPr>
        <w:t>raised;</w:t>
      </w:r>
      <w:r>
        <w:rPr>
          <w:rFonts w:ascii="Arial" w:hAnsi="Arial"/>
          <w:sz w:val="20"/>
        </w:rPr>
        <w:t xml:space="preserve"> </w:t>
      </w:r>
    </w:p>
    <w:p>
      <w:pPr>
        <w:pStyle w:val="TextBody"/>
        <w:bidi w:val="0"/>
        <w:spacing w:before="147" w:after="0"/>
        <w:ind w:left="3686" w:right="700" w:hanging="0"/>
        <w:jc w:val="left"/>
        <w:rPr>
          <w:rFonts w:ascii="Arial" w:hAnsi="Arial"/>
          <w:sz w:val="20"/>
        </w:rPr>
      </w:pPr>
      <w:r>
        <w:rPr>
          <w:rFonts w:ascii="Arial" w:hAnsi="Arial"/>
          <w:sz w:val="21"/>
        </w:rPr>
        <w:t>(b)relating</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sale</w:t>
      </w:r>
      <w:r>
        <w:rPr>
          <w:rFonts w:ascii="Arial" w:hAnsi="Arial"/>
          <w:sz w:val="20"/>
        </w:rPr>
        <w:t> </w:t>
      </w:r>
      <w:r>
        <w:rPr>
          <w:rFonts w:ascii="Arial" w:hAnsi="Arial"/>
          <w:sz w:val="21"/>
        </w:rPr>
        <w:t>or</w:t>
      </w:r>
      <w:r>
        <w:rPr>
          <w:rFonts w:ascii="Arial" w:hAnsi="Arial"/>
          <w:sz w:val="20"/>
        </w:rPr>
        <w:t> </w:t>
      </w:r>
      <w:r>
        <w:rPr>
          <w:rFonts w:ascii="Arial" w:hAnsi="Arial"/>
          <w:sz w:val="21"/>
        </w:rPr>
        <w:t>negotiation</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negotiable</w:t>
      </w:r>
      <w:r>
        <w:rPr>
          <w:rFonts w:ascii="Arial" w:hAnsi="Arial"/>
          <w:sz w:val="20"/>
        </w:rPr>
        <w:t> </w:t>
      </w:r>
      <w:r>
        <w:rPr>
          <w:rFonts w:ascii="Arial" w:hAnsi="Arial"/>
          <w:sz w:val="21"/>
        </w:rPr>
        <w:t>instrument;</w:t>
      </w:r>
      <w:r>
        <w:rPr>
          <w:rFonts w:ascii="Arial" w:hAnsi="Arial"/>
          <w:sz w:val="20"/>
        </w:rPr>
        <w:t xml:space="preserve"> </w:t>
      </w:r>
    </w:p>
    <w:p>
      <w:pPr>
        <w:pStyle w:val="TextBody"/>
        <w:bidi w:val="0"/>
        <w:spacing w:before="119" w:after="0"/>
        <w:ind w:left="3646" w:right="700" w:hanging="567"/>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1893" w:hanging="0"/>
        <w:jc w:val="left"/>
        <w:rPr>
          <w:rFonts w:ascii="Arial" w:hAnsi="Arial"/>
          <w:sz w:val="20"/>
        </w:rPr>
      </w:pPr>
      <w:r>
        <w:rPr>
          <w:rFonts w:ascii="Arial" w:hAnsi="Arial"/>
          <w:sz w:val="21"/>
        </w:rPr>
        <w:t>(c)as</w:t>
      </w:r>
      <w:r>
        <w:rPr>
          <w:rFonts w:ascii="Arial" w:hAnsi="Arial"/>
          <w:sz w:val="20"/>
        </w:rPr>
        <w:t> </w:t>
      </w:r>
      <w:r>
        <w:rPr>
          <w:rFonts w:ascii="Arial" w:hAnsi="Arial"/>
          <w:sz w:val="21"/>
        </w:rPr>
        <w:t>lessee</w:t>
      </w:r>
      <w:r>
        <w:rPr>
          <w:rFonts w:ascii="Arial" w:hAnsi="Arial"/>
          <w:sz w:val="20"/>
        </w:rPr>
        <w:t> </w:t>
      </w:r>
      <w:r>
        <w:rPr>
          <w:rFonts w:ascii="Arial" w:hAnsi="Arial"/>
          <w:sz w:val="21"/>
        </w:rPr>
        <w:t>under</w:t>
      </w:r>
      <w:r>
        <w:rPr>
          <w:rFonts w:ascii="Arial" w:hAnsi="Arial"/>
          <w:sz w:val="20"/>
        </w:rPr>
        <w:t> </w:t>
      </w:r>
      <w:r>
        <w:rPr>
          <w:rFonts w:ascii="Arial" w:hAnsi="Arial"/>
          <w:sz w:val="21"/>
        </w:rPr>
        <w:t>any</w:t>
      </w:r>
      <w:r>
        <w:rPr>
          <w:rFonts w:ascii="Arial" w:hAnsi="Arial"/>
          <w:sz w:val="20"/>
        </w:rPr>
        <w:t> </w:t>
      </w:r>
      <w:r>
        <w:rPr>
          <w:rFonts w:ascii="Arial" w:hAnsi="Arial"/>
          <w:sz w:val="21"/>
        </w:rPr>
        <w:t>finance</w:t>
      </w:r>
      <w:r>
        <w:rPr>
          <w:rFonts w:ascii="Arial" w:hAnsi="Arial"/>
          <w:sz w:val="20"/>
        </w:rPr>
        <w:t> </w:t>
      </w:r>
      <w:r>
        <w:rPr>
          <w:rFonts w:ascii="Arial" w:hAnsi="Arial"/>
          <w:sz w:val="21"/>
        </w:rPr>
        <w:t>lease,</w:t>
      </w:r>
      <w:r>
        <w:rPr>
          <w:rFonts w:ascii="Arial" w:hAnsi="Arial"/>
          <w:sz w:val="20"/>
        </w:rPr>
        <w:t> </w:t>
      </w:r>
      <w:r>
        <w:rPr>
          <w:rFonts w:ascii="Arial" w:hAnsi="Arial"/>
          <w:sz w:val="21"/>
        </w:rPr>
        <w:t>as</w:t>
      </w:r>
      <w:r>
        <w:rPr>
          <w:rFonts w:ascii="Arial" w:hAnsi="Arial"/>
          <w:sz w:val="20"/>
        </w:rPr>
        <w:t> </w:t>
      </w:r>
      <w:r>
        <w:rPr>
          <w:rFonts w:ascii="Arial" w:hAnsi="Arial"/>
          <w:sz w:val="21"/>
        </w:rPr>
        <w:t>hirer</w:t>
      </w:r>
      <w:r>
        <w:rPr>
          <w:rFonts w:ascii="Arial" w:hAnsi="Arial"/>
          <w:sz w:val="20"/>
        </w:rPr>
        <w:t> </w:t>
      </w:r>
      <w:r>
        <w:rPr>
          <w:rFonts w:ascii="Arial" w:hAnsi="Arial"/>
          <w:sz w:val="21"/>
        </w:rPr>
        <w:t>under</w:t>
      </w:r>
      <w:r>
        <w:rPr>
          <w:rFonts w:ascii="Arial" w:hAnsi="Arial"/>
          <w:sz w:val="20"/>
        </w:rPr>
        <w:t> </w:t>
      </w:r>
      <w:r>
        <w:rPr>
          <w:rFonts w:ascii="Arial" w:hAnsi="Arial"/>
          <w:sz w:val="21"/>
        </w:rPr>
        <w:t>any</w:t>
      </w:r>
      <w:r>
        <w:rPr>
          <w:rFonts w:ascii="Arial" w:hAnsi="Arial"/>
          <w:sz w:val="20"/>
        </w:rPr>
        <w:t> </w:t>
      </w:r>
      <w:r>
        <w:rPr>
          <w:rFonts w:ascii="Arial" w:hAnsi="Arial"/>
          <w:sz w:val="21"/>
        </w:rPr>
        <w:t>hire</w:t>
      </w:r>
      <w:r>
        <w:rPr>
          <w:rFonts w:ascii="Arial" w:hAnsi="Arial"/>
          <w:sz w:val="20"/>
        </w:rPr>
        <w:t> </w:t>
      </w:r>
      <w:r>
        <w:rPr>
          <w:rFonts w:ascii="Arial" w:hAnsi="Arial"/>
          <w:sz w:val="21"/>
        </w:rPr>
        <w:t>purchase agreement or as purchaser under any title retention agreement;</w:t>
      </w:r>
      <w:r>
        <w:rPr>
          <w:rFonts w:ascii="Arial" w:hAnsi="Arial"/>
          <w:sz w:val="20"/>
        </w:rPr>
        <w:t xml:space="preserve"> </w:t>
      </w:r>
    </w:p>
    <w:p>
      <w:pPr>
        <w:pStyle w:val="TextBody"/>
        <w:bidi w:val="0"/>
        <w:spacing w:lineRule="auto" w:line="266" w:before="0" w:after="0"/>
        <w:ind w:left="3686" w:right="2112" w:hanging="0"/>
        <w:jc w:val="left"/>
        <w:rPr>
          <w:rFonts w:ascii="Arial" w:hAnsi="Arial"/>
          <w:sz w:val="20"/>
        </w:rPr>
      </w:pPr>
      <w:r>
        <w:rPr>
          <w:rFonts w:ascii="Arial" w:hAnsi="Arial"/>
          <w:sz w:val="21"/>
        </w:rPr>
        <w:t>(d)relating</w:t>
      </w:r>
      <w:r>
        <w:rPr>
          <w:rFonts w:ascii="Arial" w:hAnsi="Arial"/>
          <w:sz w:val="20"/>
        </w:rPr>
        <w:t> </w:t>
      </w:r>
      <w:r>
        <w:rPr>
          <w:rFonts w:ascii="Arial" w:hAnsi="Arial"/>
          <w:sz w:val="21"/>
        </w:rPr>
        <w:t>to</w:t>
      </w:r>
      <w:r>
        <w:rPr>
          <w:rFonts w:ascii="Arial" w:hAnsi="Arial"/>
          <w:sz w:val="20"/>
        </w:rPr>
        <w:t> </w:t>
      </w:r>
      <w:r>
        <w:rPr>
          <w:rFonts w:ascii="Arial" w:hAnsi="Arial"/>
          <w:sz w:val="21"/>
        </w:rPr>
        <w:t>any</w:t>
      </w:r>
      <w:r>
        <w:rPr>
          <w:rFonts w:ascii="Arial" w:hAnsi="Arial"/>
          <w:sz w:val="20"/>
        </w:rPr>
        <w:t> </w:t>
      </w:r>
      <w:r>
        <w:rPr>
          <w:rFonts w:ascii="Arial" w:hAnsi="Arial"/>
          <w:sz w:val="21"/>
        </w:rPr>
        <w:t>preference</w:t>
      </w:r>
      <w:r>
        <w:rPr>
          <w:rFonts w:ascii="Arial" w:hAnsi="Arial"/>
          <w:sz w:val="20"/>
        </w:rPr>
        <w:t> </w:t>
      </w:r>
      <w:r>
        <w:rPr>
          <w:rFonts w:ascii="Arial" w:hAnsi="Arial"/>
          <w:sz w:val="21"/>
        </w:rPr>
        <w:t>share</w:t>
      </w:r>
      <w:r>
        <w:rPr>
          <w:rFonts w:ascii="Arial" w:hAnsi="Arial"/>
          <w:sz w:val="20"/>
        </w:rPr>
        <w:t> </w:t>
      </w:r>
      <w:r>
        <w:rPr>
          <w:rFonts w:ascii="Arial" w:hAnsi="Arial"/>
          <w:sz w:val="21"/>
        </w:rPr>
        <w:t>or</w:t>
      </w:r>
      <w:r>
        <w:rPr>
          <w:rFonts w:ascii="Arial" w:hAnsi="Arial"/>
          <w:sz w:val="20"/>
        </w:rPr>
        <w:t> </w:t>
      </w:r>
      <w:r>
        <w:rPr>
          <w:rFonts w:ascii="Arial" w:hAnsi="Arial"/>
          <w:sz w:val="21"/>
        </w:rPr>
        <w:t>unit</w:t>
      </w:r>
      <w:r>
        <w:rPr>
          <w:rFonts w:ascii="Arial" w:hAnsi="Arial"/>
          <w:sz w:val="20"/>
        </w:rPr>
        <w:t> </w:t>
      </w:r>
      <w:r>
        <w:rPr>
          <w:rFonts w:ascii="Arial" w:hAnsi="Arial"/>
          <w:sz w:val="21"/>
        </w:rPr>
        <w:t>categorised</w:t>
      </w:r>
      <w:r>
        <w:rPr>
          <w:rFonts w:ascii="Arial" w:hAnsi="Arial"/>
          <w:sz w:val="20"/>
        </w:rPr>
        <w:t> </w:t>
      </w:r>
      <w:r>
        <w:rPr>
          <w:rFonts w:ascii="Arial" w:hAnsi="Arial"/>
          <w:sz w:val="21"/>
        </w:rPr>
        <w:t>as</w:t>
      </w:r>
      <w:r>
        <w:rPr>
          <w:rFonts w:ascii="Arial" w:hAnsi="Arial"/>
          <w:sz w:val="20"/>
        </w:rPr>
        <w:t> </w:t>
      </w:r>
      <w:r>
        <w:rPr>
          <w:rFonts w:ascii="Arial" w:hAnsi="Arial"/>
          <w:sz w:val="21"/>
        </w:rPr>
        <w:t>debt</w:t>
      </w:r>
      <w:r>
        <w:rPr>
          <w:rFonts w:ascii="Arial" w:hAnsi="Arial"/>
          <w:sz w:val="20"/>
        </w:rPr>
        <w:t> </w:t>
      </w:r>
      <w:r>
        <w:rPr>
          <w:rFonts w:ascii="Arial" w:hAnsi="Arial"/>
          <w:sz w:val="21"/>
        </w:rPr>
        <w:t>under Accounting Standards;</w:t>
      </w:r>
      <w:r>
        <w:rPr>
          <w:rFonts w:ascii="Arial" w:hAnsi="Arial"/>
          <w:sz w:val="20"/>
        </w:rPr>
        <w:t xml:space="preserve"> </w:t>
      </w:r>
    </w:p>
    <w:p>
      <w:pPr>
        <w:pStyle w:val="TextBody"/>
        <w:bidi w:val="0"/>
        <w:spacing w:lineRule="auto" w:line="266" w:before="0" w:after="0"/>
        <w:ind w:left="3686" w:right="1436" w:hanging="0"/>
        <w:jc w:val="left"/>
        <w:rPr>
          <w:rFonts w:ascii="Arial" w:hAnsi="Arial"/>
          <w:sz w:val="20"/>
        </w:rPr>
      </w:pPr>
      <w:r>
        <w:rPr>
          <w:rFonts w:ascii="Arial" w:hAnsi="Arial"/>
          <w:sz w:val="21"/>
        </w:rPr>
        <w:t>(e)under</w:t>
      </w:r>
      <w:r>
        <w:rPr>
          <w:rFonts w:ascii="Arial" w:hAnsi="Arial"/>
          <w:sz w:val="20"/>
        </w:rPr>
        <w:t> </w:t>
      </w:r>
      <w:r>
        <w:rPr>
          <w:rFonts w:ascii="Arial" w:hAnsi="Arial"/>
          <w:sz w:val="21"/>
        </w:rPr>
        <w:t>any</w:t>
      </w:r>
      <w:r>
        <w:rPr>
          <w:rFonts w:ascii="Arial" w:hAnsi="Arial"/>
          <w:sz w:val="20"/>
        </w:rPr>
        <w:t> </w:t>
      </w:r>
      <w:r>
        <w:rPr>
          <w:rFonts w:ascii="Arial" w:hAnsi="Arial"/>
          <w:sz w:val="21"/>
        </w:rPr>
        <w:t>commodity,</w:t>
      </w:r>
      <w:r>
        <w:rPr>
          <w:rFonts w:ascii="Arial" w:hAnsi="Arial"/>
          <w:sz w:val="20"/>
        </w:rPr>
        <w:t> </w:t>
      </w:r>
      <w:r>
        <w:rPr>
          <w:rFonts w:ascii="Arial" w:hAnsi="Arial"/>
          <w:sz w:val="21"/>
        </w:rPr>
        <w:t>currency</w:t>
      </w:r>
      <w:r>
        <w:rPr>
          <w:rFonts w:ascii="Arial" w:hAnsi="Arial"/>
          <w:sz w:val="20"/>
        </w:rPr>
        <w:t> </w:t>
      </w:r>
      <w:r>
        <w:rPr>
          <w:rFonts w:ascii="Arial" w:hAnsi="Arial"/>
          <w:sz w:val="21"/>
        </w:rPr>
        <w:t>or</w:t>
      </w:r>
      <w:r>
        <w:rPr>
          <w:rFonts w:ascii="Arial" w:hAnsi="Arial"/>
          <w:sz w:val="20"/>
        </w:rPr>
        <w:t> </w:t>
      </w:r>
      <w:r>
        <w:rPr>
          <w:rFonts w:ascii="Arial" w:hAnsi="Arial"/>
          <w:sz w:val="21"/>
        </w:rPr>
        <w:t>interest</w:t>
      </w:r>
      <w:r>
        <w:rPr>
          <w:rFonts w:ascii="Arial" w:hAnsi="Arial"/>
          <w:sz w:val="20"/>
        </w:rPr>
        <w:t> </w:t>
      </w:r>
      <w:r>
        <w:rPr>
          <w:rFonts w:ascii="Arial" w:hAnsi="Arial"/>
          <w:sz w:val="21"/>
        </w:rPr>
        <w:t>rate</w:t>
      </w:r>
      <w:r>
        <w:rPr>
          <w:rFonts w:ascii="Arial" w:hAnsi="Arial"/>
          <w:sz w:val="20"/>
        </w:rPr>
        <w:t> </w:t>
      </w:r>
      <w:r>
        <w:rPr>
          <w:rFonts w:ascii="Arial" w:hAnsi="Arial"/>
          <w:sz w:val="21"/>
        </w:rPr>
        <w:t>swap</w:t>
      </w:r>
      <w:r>
        <w:rPr>
          <w:rFonts w:ascii="Arial" w:hAnsi="Arial"/>
          <w:sz w:val="20"/>
        </w:rPr>
        <w:t> </w:t>
      </w:r>
      <w:r>
        <w:rPr>
          <w:rFonts w:ascii="Arial" w:hAnsi="Arial"/>
          <w:sz w:val="21"/>
        </w:rPr>
        <w:t>agreement,</w:t>
      </w:r>
      <w:r>
        <w:rPr>
          <w:rFonts w:ascii="Arial" w:hAnsi="Arial"/>
          <w:sz w:val="20"/>
        </w:rPr>
        <w:t> </w:t>
      </w:r>
      <w:r>
        <w:rPr>
          <w:rFonts w:ascii="Arial" w:hAnsi="Arial"/>
          <w:sz w:val="21"/>
        </w:rPr>
        <w:t>forward exchange rate agreement or futures contract (as defined in any statute);</w:t>
      </w:r>
      <w:r>
        <w:rPr>
          <w:rFonts w:ascii="Arial" w:hAnsi="Arial"/>
          <w:sz w:val="20"/>
        </w:rPr>
        <w:t xml:space="preserve"> </w:t>
      </w:r>
    </w:p>
    <w:p>
      <w:pPr>
        <w:pStyle w:val="TextBody"/>
        <w:bidi w:val="0"/>
        <w:spacing w:before="122" w:after="0"/>
        <w:ind w:left="3686" w:right="700" w:hanging="0"/>
        <w:jc w:val="left"/>
        <w:rPr>
          <w:rFonts w:ascii="Arial" w:hAnsi="Arial"/>
          <w:sz w:val="20"/>
        </w:rPr>
      </w:pPr>
      <w:r>
        <w:rPr>
          <w:rFonts w:ascii="Arial" w:hAnsi="Arial"/>
          <w:sz w:val="21"/>
        </w:rPr>
        <w:t>(f)under</w:t>
      </w:r>
      <w:r>
        <w:rPr>
          <w:rFonts w:ascii="Arial" w:hAnsi="Arial"/>
          <w:sz w:val="20"/>
        </w:rPr>
        <w:t> </w:t>
      </w:r>
      <w:r>
        <w:rPr>
          <w:rFonts w:ascii="Arial" w:hAnsi="Arial"/>
          <w:sz w:val="21"/>
        </w:rPr>
        <w:t>any</w:t>
      </w:r>
      <w:r>
        <w:rPr>
          <w:rFonts w:ascii="Arial" w:hAnsi="Arial"/>
          <w:sz w:val="20"/>
        </w:rPr>
        <w:t> </w:t>
      </w:r>
      <w:r>
        <w:rPr>
          <w:rFonts w:ascii="Arial" w:hAnsi="Arial"/>
          <w:sz w:val="21"/>
        </w:rPr>
        <w:t>Guarantee</w:t>
      </w:r>
      <w:r>
        <w:rPr>
          <w:rFonts w:ascii="Arial" w:hAnsi="Arial"/>
          <w:sz w:val="20"/>
        </w:rPr>
        <w:t> </w:t>
      </w:r>
      <w:r>
        <w:rPr>
          <w:rFonts w:ascii="Arial" w:hAnsi="Arial"/>
          <w:sz w:val="21"/>
        </w:rPr>
        <w:t>relating</w:t>
      </w:r>
      <w:r>
        <w:rPr>
          <w:rFonts w:ascii="Arial" w:hAnsi="Arial"/>
          <w:sz w:val="20"/>
        </w:rPr>
        <w:t> </w:t>
      </w:r>
      <w:r>
        <w:rPr>
          <w:rFonts w:ascii="Arial" w:hAnsi="Arial"/>
          <w:sz w:val="21"/>
        </w:rPr>
        <w:t>to</w:t>
      </w:r>
      <w:r>
        <w:rPr>
          <w:rFonts w:ascii="Arial" w:hAnsi="Arial"/>
          <w:sz w:val="20"/>
        </w:rPr>
        <w:t> </w:t>
      </w:r>
      <w:r>
        <w:rPr>
          <w:rFonts w:ascii="Arial" w:hAnsi="Arial"/>
          <w:sz w:val="21"/>
        </w:rPr>
        <w:t>any</w:t>
      </w:r>
      <w:r>
        <w:rPr>
          <w:rFonts w:ascii="Arial" w:hAnsi="Arial"/>
          <w:sz w:val="20"/>
        </w:rPr>
        <w:t> </w:t>
      </w:r>
      <w:r>
        <w:rPr>
          <w:rFonts w:ascii="Arial" w:hAnsi="Arial"/>
          <w:sz w:val="21"/>
        </w:rPr>
        <w:t>financial</w:t>
      </w:r>
      <w:r>
        <w:rPr>
          <w:rFonts w:ascii="Arial" w:hAnsi="Arial"/>
          <w:sz w:val="20"/>
        </w:rPr>
        <w:t> </w:t>
      </w:r>
      <w:r>
        <w:rPr>
          <w:rFonts w:ascii="Arial" w:hAnsi="Arial"/>
          <w:sz w:val="21"/>
        </w:rPr>
        <w:t>accommodation;</w:t>
      </w:r>
      <w:r>
        <w:rPr>
          <w:rFonts w:ascii="Arial" w:hAnsi="Arial"/>
          <w:sz w:val="20"/>
        </w:rPr>
        <w:t> </w:t>
      </w:r>
      <w:r>
        <w:rPr>
          <w:rFonts w:ascii="Arial" w:hAnsi="Arial"/>
          <w:sz w:val="21"/>
        </w:rPr>
        <w:t>or</w:t>
      </w:r>
      <w:r>
        <w:rPr>
          <w:rFonts w:ascii="Arial" w:hAnsi="Arial"/>
          <w:sz w:val="20"/>
        </w:rPr>
        <w:t xml:space="preserve"> </w:t>
      </w:r>
    </w:p>
    <w:p>
      <w:pPr>
        <w:pStyle w:val="TextBody"/>
        <w:bidi w:val="0"/>
        <w:spacing w:lineRule="auto" w:line="266" w:before="148" w:after="0"/>
        <w:ind w:left="3686" w:right="1890" w:hanging="0"/>
        <w:jc w:val="left"/>
        <w:rPr>
          <w:rFonts w:ascii="Arial" w:hAnsi="Arial"/>
          <w:sz w:val="20"/>
        </w:rPr>
      </w:pPr>
      <w:r>
        <w:rPr>
          <w:rFonts w:ascii="Arial" w:hAnsi="Arial"/>
          <w:sz w:val="21"/>
        </w:rPr>
        <w:t>(g)for</w:t>
      </w:r>
      <w:r>
        <w:rPr>
          <w:rFonts w:ascii="Arial" w:hAnsi="Arial"/>
          <w:sz w:val="20"/>
        </w:rPr>
        <w:t> </w:t>
      </w:r>
      <w:r>
        <w:rPr>
          <w:rFonts w:ascii="Arial" w:hAnsi="Arial"/>
          <w:sz w:val="21"/>
        </w:rPr>
        <w:t>any</w:t>
      </w:r>
      <w:r>
        <w:rPr>
          <w:rFonts w:ascii="Arial" w:hAnsi="Arial"/>
          <w:sz w:val="20"/>
        </w:rPr>
        <w:t> </w:t>
      </w:r>
      <w:r>
        <w:rPr>
          <w:rFonts w:ascii="Arial" w:hAnsi="Arial"/>
          <w:sz w:val="21"/>
        </w:rPr>
        <w:t>deferred</w:t>
      </w:r>
      <w:r>
        <w:rPr>
          <w:rFonts w:ascii="Arial" w:hAnsi="Arial"/>
          <w:sz w:val="20"/>
        </w:rPr>
        <w:t> </w:t>
      </w:r>
      <w:r>
        <w:rPr>
          <w:rFonts w:ascii="Arial" w:hAnsi="Arial"/>
          <w:sz w:val="21"/>
        </w:rPr>
        <w:t>purchase</w:t>
      </w:r>
      <w:r>
        <w:rPr>
          <w:rFonts w:ascii="Arial" w:hAnsi="Arial"/>
          <w:sz w:val="20"/>
        </w:rPr>
        <w:t> </w:t>
      </w:r>
      <w:r>
        <w:rPr>
          <w:rFonts w:ascii="Arial" w:hAnsi="Arial"/>
          <w:sz w:val="21"/>
        </w:rPr>
        <w:t>price</w:t>
      </w:r>
      <w:r>
        <w:rPr>
          <w:rFonts w:ascii="Arial" w:hAnsi="Arial"/>
          <w:sz w:val="20"/>
        </w:rPr>
        <w:t> </w:t>
      </w:r>
      <w:r>
        <w:rPr>
          <w:rFonts w:ascii="Arial" w:hAnsi="Arial"/>
          <w:sz w:val="21"/>
        </w:rPr>
        <w:t>(other</w:t>
      </w:r>
      <w:r>
        <w:rPr>
          <w:rFonts w:ascii="Arial" w:hAnsi="Arial"/>
          <w:sz w:val="20"/>
        </w:rPr>
        <w:t> </w:t>
      </w:r>
      <w:r>
        <w:rPr>
          <w:rFonts w:ascii="Arial" w:hAnsi="Arial"/>
          <w:sz w:val="21"/>
        </w:rPr>
        <w:t>than</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nature</w:t>
      </w:r>
      <w:r>
        <w:rPr>
          <w:rFonts w:ascii="Arial" w:hAnsi="Arial"/>
          <w:sz w:val="20"/>
        </w:rPr>
        <w:t> </w:t>
      </w:r>
      <w:r>
        <w:rPr>
          <w:rFonts w:ascii="Arial" w:hAnsi="Arial"/>
          <w:sz w:val="21"/>
        </w:rPr>
        <w:t>of</w:t>
      </w:r>
      <w:r>
        <w:rPr>
          <w:rFonts w:ascii="Arial" w:hAnsi="Arial"/>
          <w:sz w:val="20"/>
        </w:rPr>
        <w:t> </w:t>
      </w:r>
      <w:r>
        <w:rPr>
          <w:rFonts w:ascii="Arial" w:hAnsi="Arial"/>
          <w:sz w:val="21"/>
        </w:rPr>
        <w:t>warranty retention amounts) for any asset or service.</w:t>
      </w:r>
      <w:r>
        <w:rPr>
          <w:rFonts w:ascii="Arial" w:hAnsi="Arial"/>
          <w:sz w:val="20"/>
        </w:rPr>
        <w:t xml:space="preserve"> </w:t>
      </w:r>
    </w:p>
    <w:p>
      <w:pPr>
        <w:pStyle w:val="TextBody"/>
        <w:bidi w:val="0"/>
        <w:spacing w:before="116" w:after="0"/>
        <w:ind w:left="3120" w:right="700" w:hanging="0"/>
        <w:jc w:val="left"/>
        <w:rPr/>
      </w:pPr>
      <w:r>
        <w:rPr>
          <w:rFonts w:ascii="Arial" w:hAnsi="Arial"/>
          <w:b/>
          <w:sz w:val="21"/>
        </w:rPr>
        <w:t>Financial</w:t>
      </w:r>
      <w:r>
        <w:rPr>
          <w:rFonts w:ascii="Arial" w:hAnsi="Arial"/>
          <w:sz w:val="20"/>
        </w:rPr>
        <w:t> </w:t>
      </w:r>
      <w:r>
        <w:rPr>
          <w:rFonts w:ascii="Arial" w:hAnsi="Arial"/>
          <w:b/>
          <w:sz w:val="21"/>
        </w:rPr>
        <w:t>Ratio</w:t>
      </w:r>
      <w:r>
        <w:rPr>
          <w:rFonts w:ascii="Arial" w:hAnsi="Arial"/>
          <w:sz w:val="20"/>
        </w:rPr>
        <w:t> </w:t>
      </w:r>
      <w:r>
        <w:rPr>
          <w:rFonts w:ascii="Arial" w:hAnsi="Arial"/>
          <w:sz w:val="21"/>
        </w:rPr>
        <w:t>means</w:t>
      </w:r>
      <w:r>
        <w:rPr>
          <w:rFonts w:ascii="Arial" w:hAnsi="Arial"/>
          <w:sz w:val="20"/>
        </w:rPr>
        <w:t> </w:t>
      </w:r>
      <w:r>
        <w:rPr>
          <w:rFonts w:ascii="Arial" w:hAnsi="Arial"/>
          <w:sz w:val="21"/>
        </w:rPr>
        <w:t>any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financial</w:t>
      </w:r>
      <w:r>
        <w:rPr>
          <w:rFonts w:ascii="Arial" w:hAnsi="Arial"/>
          <w:sz w:val="20"/>
        </w:rPr>
        <w:t> </w:t>
      </w:r>
      <w:r>
        <w:rPr>
          <w:rFonts w:ascii="Arial" w:hAnsi="Arial"/>
          <w:sz w:val="21"/>
        </w:rPr>
        <w:t>ratios</w:t>
      </w:r>
      <w:r>
        <w:rPr>
          <w:rFonts w:ascii="Arial" w:hAnsi="Arial"/>
          <w:sz w:val="20"/>
        </w:rPr>
        <w:t> </w:t>
      </w:r>
      <w:r>
        <w:rPr>
          <w:rFonts w:ascii="Arial" w:hAnsi="Arial"/>
          <w:sz w:val="21"/>
        </w:rPr>
        <w:t>referred</w:t>
      </w:r>
      <w:r>
        <w:rPr>
          <w:rFonts w:ascii="Arial" w:hAnsi="Arial"/>
          <w:sz w:val="20"/>
        </w:rPr>
        <w:t> </w:t>
      </w:r>
      <w:r>
        <w:rPr>
          <w:rFonts w:ascii="Arial" w:hAnsi="Arial"/>
          <w:sz w:val="21"/>
        </w:rPr>
        <w:t>to</w:t>
      </w:r>
      <w:r>
        <w:rPr>
          <w:rFonts w:ascii="Arial" w:hAnsi="Arial"/>
          <w:sz w:val="20"/>
        </w:rPr>
        <w:t> </w:t>
      </w:r>
      <w:r>
        <w:rPr>
          <w:rFonts w:ascii="Arial" w:hAnsi="Arial"/>
          <w:sz w:val="21"/>
        </w:rPr>
        <w:t>in</w:t>
      </w:r>
      <w:r>
        <w:rPr>
          <w:rFonts w:ascii="Arial" w:hAnsi="Arial"/>
          <w:sz w:val="20"/>
        </w:rPr>
        <w:t> </w:t>
      </w:r>
      <w:r>
        <w:rPr>
          <w:rFonts w:ascii="Arial" w:hAnsi="Arial"/>
          <w:b/>
          <w:sz w:val="21"/>
        </w:rPr>
        <w:t>clause</w:t>
      </w:r>
      <w:r>
        <w:rPr>
          <w:rFonts w:ascii="Arial" w:hAnsi="Arial"/>
          <w:sz w:val="20"/>
        </w:rPr>
        <w:t> </w:t>
      </w:r>
      <w:hyperlink w:anchor="_bookmark97">
        <w:r>
          <w:rPr>
            <w:rStyle w:val="InternetLink"/>
            <w:rFonts w:ascii="Arial" w:hAnsi="Arial"/>
            <w:b/>
            <w:sz w:val="21"/>
          </w:rPr>
          <w:t>9.8</w:t>
        </w:r>
      </w:hyperlink>
      <w:r>
        <w:rPr>
          <w:rFonts w:ascii="Arial" w:hAnsi="Arial"/>
          <w:sz w:val="21"/>
        </w:rPr>
        <w:t>.</w:t>
      </w:r>
      <w:r>
        <w:rPr>
          <w:rFonts w:ascii="Arial" w:hAnsi="Arial"/>
          <w:sz w:val="20"/>
        </w:rPr>
        <w:t xml:space="preserve"> </w:t>
      </w:r>
    </w:p>
    <w:p>
      <w:pPr>
        <w:pStyle w:val="TextBody"/>
        <w:bidi w:val="0"/>
        <w:spacing w:lineRule="auto" w:line="266" w:before="150" w:after="0"/>
        <w:ind w:left="3120" w:right="1366" w:hanging="0"/>
        <w:jc w:val="left"/>
        <w:rPr>
          <w:rFonts w:ascii="Arial" w:hAnsi="Arial"/>
          <w:sz w:val="22"/>
        </w:rPr>
      </w:pPr>
      <w:r>
        <w:rPr>
          <w:rFonts w:ascii="Arial" w:hAnsi="Arial"/>
          <w:b/>
          <w:sz w:val="22"/>
        </w:rPr>
        <w:t xml:space="preserve">Financial Statements </w:t>
      </w:r>
      <w:r>
        <w:rPr>
          <w:rFonts w:ascii="Arial" w:hAnsi="Arial"/>
          <w:sz w:val="22"/>
        </w:rPr>
        <w:t xml:space="preserve">means a balance sheet, an income statement, a statement of changes in equity, a cash flow statement, notes comprising a summary of significant accounting policies and other explanatory note; and any directors’ declarations, directors’ reports and auditor’s reports attached to, intended to be read with or required by the Corporations Act to accompany, all or any of those documents. </w:t>
      </w:r>
    </w:p>
    <w:p>
      <w:pPr>
        <w:pStyle w:val="TextBody"/>
        <w:bidi w:val="0"/>
        <w:spacing w:before="120" w:after="0"/>
        <w:ind w:left="3120" w:right="700" w:hanging="0"/>
        <w:jc w:val="left"/>
        <w:rPr>
          <w:rFonts w:ascii="Arial" w:hAnsi="Arial"/>
          <w:sz w:val="20"/>
        </w:rPr>
      </w:pPr>
      <w:r>
        <w:rPr>
          <w:rFonts w:ascii="Arial" w:hAnsi="Arial"/>
          <w:b/>
          <w:sz w:val="21"/>
        </w:rPr>
        <w:t>Financial</w:t>
      </w:r>
      <w:r>
        <w:rPr>
          <w:rFonts w:ascii="Arial" w:hAnsi="Arial"/>
          <w:sz w:val="20"/>
        </w:rPr>
        <w:t> </w:t>
      </w:r>
      <w:r>
        <w:rPr>
          <w:rFonts w:ascii="Arial" w:hAnsi="Arial"/>
          <w:b/>
          <w:sz w:val="21"/>
        </w:rPr>
        <w:t>Year</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period</w:t>
      </w:r>
      <w:r>
        <w:rPr>
          <w:rFonts w:ascii="Arial" w:hAnsi="Arial"/>
          <w:sz w:val="20"/>
        </w:rPr>
        <w:t> </w:t>
      </w:r>
      <w:r>
        <w:rPr>
          <w:rFonts w:ascii="Arial" w:hAnsi="Arial"/>
          <w:sz w:val="21"/>
        </w:rPr>
        <w:t>of</w:t>
      </w:r>
      <w:r>
        <w:rPr>
          <w:rFonts w:ascii="Arial" w:hAnsi="Arial"/>
          <w:sz w:val="20"/>
        </w:rPr>
        <w:t> </w:t>
      </w:r>
      <w:r>
        <w:rPr>
          <w:rFonts w:ascii="Arial" w:hAnsi="Arial"/>
          <w:sz w:val="21"/>
        </w:rPr>
        <w:t>12</w:t>
      </w:r>
      <w:r>
        <w:rPr>
          <w:rFonts w:ascii="Arial" w:hAnsi="Arial"/>
          <w:sz w:val="20"/>
        </w:rPr>
        <w:t> </w:t>
      </w:r>
      <w:r>
        <w:rPr>
          <w:rFonts w:ascii="Arial" w:hAnsi="Arial"/>
          <w:sz w:val="21"/>
        </w:rPr>
        <w:t>months</w:t>
      </w:r>
      <w:r>
        <w:rPr>
          <w:rFonts w:ascii="Arial" w:hAnsi="Arial"/>
          <w:sz w:val="20"/>
        </w:rPr>
        <w:t> </w:t>
      </w:r>
      <w:r>
        <w:rPr>
          <w:rFonts w:ascii="Arial" w:hAnsi="Arial"/>
          <w:sz w:val="21"/>
        </w:rPr>
        <w:t>ending</w:t>
      </w:r>
      <w:r>
        <w:rPr>
          <w:rFonts w:ascii="Arial" w:hAnsi="Arial"/>
          <w:sz w:val="20"/>
        </w:rPr>
        <w:t> </w:t>
      </w:r>
      <w:r>
        <w:rPr>
          <w:rFonts w:ascii="Arial" w:hAnsi="Arial"/>
          <w:sz w:val="21"/>
        </w:rPr>
        <w:t>on</w:t>
      </w:r>
      <w:r>
        <w:rPr>
          <w:rFonts w:ascii="Arial" w:hAnsi="Arial"/>
          <w:sz w:val="20"/>
        </w:rPr>
        <w:t> </w:t>
      </w:r>
      <w:r>
        <w:rPr>
          <w:rFonts w:ascii="Arial" w:hAnsi="Arial"/>
          <w:sz w:val="21"/>
        </w:rPr>
        <w:t>31</w:t>
      </w:r>
      <w:r>
        <w:rPr>
          <w:rFonts w:ascii="Arial" w:hAnsi="Arial"/>
          <w:sz w:val="20"/>
        </w:rPr>
        <w:t> </w:t>
      </w:r>
      <w:r>
        <w:rPr>
          <w:rFonts w:ascii="Arial" w:hAnsi="Arial"/>
          <w:sz w:val="21"/>
        </w:rPr>
        <w:t>December.</w:t>
      </w:r>
      <w:r>
        <w:rPr>
          <w:rFonts w:ascii="Arial" w:hAnsi="Arial"/>
          <w:sz w:val="20"/>
        </w:rPr>
        <w:t xml:space="preserve"> </w:t>
      </w:r>
    </w:p>
    <w:p>
      <w:pPr>
        <w:pStyle w:val="TextBody"/>
        <w:bidi w:val="0"/>
        <w:spacing w:before="148" w:after="0"/>
        <w:ind w:left="3120" w:right="700" w:hanging="0"/>
        <w:jc w:val="left"/>
        <w:rPr>
          <w:rFonts w:ascii="Arial" w:hAnsi="Arial"/>
          <w:sz w:val="20"/>
        </w:rPr>
      </w:pPr>
      <w:r>
        <w:rPr>
          <w:rFonts w:ascii="Arial" w:hAnsi="Arial"/>
          <w:b/>
          <w:sz w:val="21"/>
        </w:rPr>
        <w:t>Fixed</w:t>
      </w:r>
      <w:r>
        <w:rPr>
          <w:rFonts w:ascii="Arial" w:hAnsi="Arial"/>
          <w:sz w:val="20"/>
        </w:rPr>
        <w:t> </w:t>
      </w:r>
      <w:r>
        <w:rPr>
          <w:rFonts w:ascii="Arial" w:hAnsi="Arial"/>
          <w:b/>
          <w:sz w:val="21"/>
        </w:rPr>
        <w:t>Charges</w:t>
      </w:r>
      <w:r>
        <w:rPr>
          <w:rFonts w:ascii="Arial" w:hAnsi="Arial"/>
          <w:sz w:val="20"/>
        </w:rPr>
        <w:t> </w:t>
      </w:r>
      <w:r>
        <w:rPr>
          <w:rFonts w:ascii="Arial" w:hAnsi="Arial"/>
          <w:b/>
          <w:sz w:val="21"/>
        </w:rPr>
        <w:t>Cover</w:t>
      </w:r>
      <w:r>
        <w:rPr>
          <w:rFonts w:ascii="Arial" w:hAnsi="Arial"/>
          <w:sz w:val="20"/>
        </w:rPr>
        <w:t> </w:t>
      </w:r>
      <w:r>
        <w:rPr>
          <w:rFonts w:ascii="Arial" w:hAnsi="Arial"/>
          <w:b/>
          <w:sz w:val="21"/>
        </w:rPr>
        <w:t>Ratio</w:t>
      </w:r>
      <w:r>
        <w:rPr>
          <w:rFonts w:ascii="Arial" w:hAnsi="Arial"/>
          <w:sz w:val="20"/>
        </w:rPr>
        <w:t> </w:t>
      </w:r>
      <w:r>
        <w:rPr>
          <w:rFonts w:ascii="Arial" w:hAnsi="Arial"/>
          <w:sz w:val="21"/>
        </w:rPr>
        <w:t>means</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date</w:t>
      </w:r>
      <w:r>
        <w:rPr>
          <w:rFonts w:ascii="Arial" w:hAnsi="Arial"/>
          <w:sz w:val="20"/>
        </w:rPr>
        <w:t> </w:t>
      </w:r>
      <w:r>
        <w:rPr>
          <w:rFonts w:ascii="Arial" w:hAnsi="Arial"/>
          <w:sz w:val="21"/>
        </w:rPr>
        <w:t>the</w:t>
      </w:r>
      <w:r>
        <w:rPr>
          <w:rFonts w:ascii="Arial" w:hAnsi="Arial"/>
          <w:sz w:val="20"/>
        </w:rPr>
        <w:t> </w:t>
      </w:r>
      <w:r>
        <w:rPr>
          <w:rFonts w:ascii="Arial" w:hAnsi="Arial"/>
          <w:sz w:val="21"/>
        </w:rPr>
        <w:t>ratio</w:t>
      </w:r>
      <w:r>
        <w:rPr>
          <w:rFonts w:ascii="Arial" w:hAnsi="Arial"/>
          <w:sz w:val="20"/>
        </w:rPr>
        <w:t> </w:t>
      </w:r>
      <w:r>
        <w:rPr>
          <w:rFonts w:ascii="Arial" w:hAnsi="Arial"/>
          <w:sz w:val="21"/>
        </w:rPr>
        <w:t>of:</w:t>
      </w:r>
      <w:r>
        <w:rPr>
          <w:rFonts w:ascii="Arial" w:hAnsi="Arial"/>
          <w:sz w:val="20"/>
        </w:rPr>
        <w:t xml:space="preserve"> </w:t>
      </w:r>
    </w:p>
    <w:p>
      <w:pPr>
        <w:pStyle w:val="TextBody"/>
        <w:bidi w:val="0"/>
        <w:spacing w:before="5" w:after="1"/>
        <w:ind w:left="1700" w:right="700" w:hanging="0"/>
        <w:jc w:val="left"/>
        <w:rPr>
          <w:rFonts w:cs="Arial"/>
          <w:szCs w:val="12"/>
        </w:rPr>
      </w:pPr>
      <w:r>
        <w:rPr>
          <w:rFonts w:cs="Arial"/>
          <w:szCs w:val="13"/>
        </w:rPr>
        <w:t>﻿</w:t>
      </w:r>
      <w:r>
        <w:rPr>
          <w:rFonts w:cs="Arial"/>
          <w:szCs w:val="12"/>
        </w:rPr>
        <w:t xml:space="preserve"> </w:t>
      </w:r>
    </w:p>
    <w:tbl>
      <w:tblPr>
        <w:tblW w:w="7805" w:type="dxa"/>
        <w:jc w:val="left"/>
        <w:tblInd w:w="1700" w:type="dxa"/>
        <w:tblLayout w:type="fixed"/>
        <w:tblCellMar>
          <w:top w:w="0" w:type="dxa"/>
          <w:left w:w="0" w:type="dxa"/>
          <w:bottom w:w="0" w:type="dxa"/>
          <w:right w:w="0" w:type="dxa"/>
        </w:tblCellMar>
      </w:tblPr>
      <w:tblGrid>
        <w:gridCol w:w="241"/>
        <w:gridCol w:w="320"/>
        <w:gridCol w:w="7244"/>
      </w:tblGrid>
      <w:tr>
        <w:trPr/>
        <w:tc>
          <w:tcPr>
            <w:tcW w:w="241" w:type="dxa"/>
            <w:tcBorders/>
          </w:tcPr>
          <w:p>
            <w:pPr>
              <w:pStyle w:val="TableContents"/>
              <w:bidi w:val="0"/>
              <w:spacing w:lineRule="atLeast" w:line="236" w:before="0" w:after="0"/>
              <w:ind w:left="50" w:right="0" w:hanging="0"/>
              <w:jc w:val="left"/>
              <w:rPr>
                <w:rFonts w:ascii="Arial" w:hAnsi="Arial"/>
                <w:sz w:val="21"/>
              </w:rPr>
            </w:pPr>
            <w:r>
              <w:rPr>
                <w:rFonts w:ascii="Arial" w:hAnsi="Arial"/>
                <w:sz w:val="21"/>
              </w:rPr>
              <w:t>(a)</w:t>
            </w:r>
          </w:p>
        </w:tc>
        <w:tc>
          <w:tcPr>
            <w:tcW w:w="320" w:type="dxa"/>
            <w:tcBorders/>
          </w:tcPr>
          <w:p>
            <w:pPr>
              <w:pStyle w:val="TableContents"/>
              <w:bidi w:val="0"/>
              <w:spacing w:lineRule="atLeast" w:line="236" w:before="0" w:after="0"/>
              <w:ind w:left="125" w:right="0" w:hanging="0"/>
              <w:jc w:val="center"/>
              <w:rPr>
                <w:rFonts w:ascii="Arial" w:hAnsi="Arial"/>
                <w:sz w:val="21"/>
              </w:rPr>
            </w:pPr>
            <w:r>
              <w:rPr>
                <w:rFonts w:ascii="Arial" w:hAnsi="Arial"/>
                <w:sz w:val="21"/>
              </w:rPr>
              <w:t>the</w:t>
            </w:r>
          </w:p>
        </w:tc>
        <w:tc>
          <w:tcPr>
            <w:tcW w:w="7244" w:type="dxa"/>
            <w:tcBorders/>
          </w:tcPr>
          <w:p>
            <w:pPr>
              <w:pStyle w:val="TableContents"/>
              <w:bidi w:val="0"/>
              <w:spacing w:lineRule="atLeast" w:line="236" w:before="0" w:after="0"/>
              <w:ind w:left="28" w:right="0" w:hanging="0"/>
              <w:jc w:val="left"/>
              <w:rPr>
                <w:rFonts w:ascii="Arial" w:hAnsi="Arial"/>
                <w:sz w:val="20"/>
              </w:rPr>
            </w:pPr>
            <w:r>
              <w:rPr>
                <w:rFonts w:ascii="Arial" w:hAnsi="Arial"/>
                <w:sz w:val="21"/>
              </w:rPr>
              <w:t>aggregate</w:t>
            </w:r>
            <w:r>
              <w:rPr>
                <w:rFonts w:ascii="Arial" w:hAnsi="Arial"/>
                <w:sz w:val="20"/>
              </w:rPr>
              <w:t> </w:t>
            </w:r>
            <w:r>
              <w:rPr>
                <w:rFonts w:ascii="Arial" w:hAnsi="Arial"/>
                <w:sz w:val="21"/>
              </w:rPr>
              <w:t>amount</w:t>
            </w:r>
            <w:r>
              <w:rPr>
                <w:rFonts w:ascii="Arial" w:hAnsi="Arial"/>
                <w:sz w:val="20"/>
              </w:rPr>
              <w:t> </w:t>
            </w:r>
            <w:r>
              <w:rPr>
                <w:rFonts w:ascii="Arial" w:hAnsi="Arial"/>
                <w:sz w:val="21"/>
              </w:rPr>
              <w:t>of:</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lineRule="atLeast" w:line="239" w:before="70" w:after="0"/>
              <w:ind w:left="102" w:right="0" w:hanging="0"/>
              <w:jc w:val="center"/>
              <w:rPr>
                <w:rFonts w:ascii="Arial" w:hAnsi="Arial"/>
                <w:sz w:val="21"/>
              </w:rPr>
            </w:pPr>
            <w:r>
              <w:rPr>
                <w:rFonts w:ascii="Arial" w:hAnsi="Arial"/>
                <w:sz w:val="21"/>
              </w:rPr>
              <w:t>(i)</w:t>
            </w:r>
          </w:p>
        </w:tc>
        <w:tc>
          <w:tcPr>
            <w:tcW w:w="7244" w:type="dxa"/>
            <w:tcBorders/>
          </w:tcPr>
          <w:p>
            <w:pPr>
              <w:pStyle w:val="TableContents"/>
              <w:bidi w:val="0"/>
              <w:spacing w:lineRule="atLeast" w:line="239" w:before="70" w:after="0"/>
              <w:ind w:left="0" w:right="98" w:hanging="0"/>
              <w:jc w:val="right"/>
              <w:rPr>
                <w:rFonts w:ascii="Arial" w:hAnsi="Arial"/>
                <w:sz w:val="20"/>
              </w:rPr>
            </w:pPr>
            <w:r>
              <w:rPr>
                <w:rFonts w:ascii="Arial" w:hAnsi="Arial"/>
                <w:sz w:val="21"/>
              </w:rPr>
              <w:t>Adjusted</w:t>
            </w:r>
            <w:r>
              <w:rPr>
                <w:rFonts w:ascii="Arial" w:hAnsi="Arial"/>
                <w:sz w:val="20"/>
              </w:rPr>
              <w:t> </w:t>
            </w:r>
            <w:r>
              <w:rPr>
                <w:rFonts w:ascii="Arial" w:hAnsi="Arial"/>
                <w:sz w:val="21"/>
              </w:rPr>
              <w:t>EBITDA</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12</w:t>
            </w:r>
            <w:r>
              <w:rPr>
                <w:rFonts w:ascii="Arial" w:hAnsi="Arial"/>
                <w:sz w:val="20"/>
              </w:rPr>
              <w:t> </w:t>
            </w:r>
            <w:r>
              <w:rPr>
                <w:rFonts w:ascii="Arial" w:hAnsi="Arial"/>
                <w:sz w:val="21"/>
              </w:rPr>
              <w:t>month</w:t>
            </w:r>
            <w:r>
              <w:rPr>
                <w:rFonts w:ascii="Arial" w:hAnsi="Arial"/>
                <w:sz w:val="20"/>
              </w:rPr>
              <w:t> </w:t>
            </w:r>
            <w:r>
              <w:rPr>
                <w:rFonts w:ascii="Arial" w:hAnsi="Arial"/>
                <w:sz w:val="21"/>
              </w:rPr>
              <w:t>period</w:t>
            </w:r>
            <w:r>
              <w:rPr>
                <w:rFonts w:ascii="Arial" w:hAnsi="Arial"/>
                <w:sz w:val="20"/>
              </w:rPr>
              <w:t> </w:t>
            </w:r>
            <w:r>
              <w:rPr>
                <w:rFonts w:ascii="Arial" w:hAnsi="Arial"/>
                <w:sz w:val="21"/>
              </w:rPr>
              <w:t>ending</w:t>
            </w:r>
            <w:r>
              <w:rPr>
                <w:rFonts w:ascii="Arial" w:hAnsi="Arial"/>
                <w:sz w:val="20"/>
              </w:rPr>
              <w:t> </w:t>
            </w:r>
            <w:r>
              <w:rPr>
                <w:rFonts w:ascii="Arial" w:hAnsi="Arial"/>
                <w:sz w:val="21"/>
              </w:rPr>
              <w:t>on</w:t>
            </w:r>
            <w:r>
              <w:rPr>
                <w:rFonts w:ascii="Arial" w:hAnsi="Arial"/>
                <w:sz w:val="20"/>
              </w:rPr>
              <w:t xml:space="preserve"> </w:t>
            </w:r>
            <w:r>
              <w:rPr>
                <w:rFonts w:ascii="Arial" w:hAnsi="Arial"/>
                <w:sz w:val="21"/>
              </w:rPr>
              <w:t>that</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before="12" w:after="0"/>
              <w:ind w:left="286" w:right="0" w:hanging="0"/>
              <w:jc w:val="left"/>
              <w:rPr>
                <w:rFonts w:ascii="Arial" w:hAnsi="Arial"/>
                <w:sz w:val="20"/>
              </w:rPr>
            </w:pPr>
            <w:r>
              <w:rPr>
                <w:rFonts w:ascii="Arial" w:hAnsi="Arial"/>
                <w:sz w:val="21"/>
              </w:rPr>
              <w:t>date;</w:t>
            </w:r>
            <w:r>
              <w:rPr>
                <w:rFonts w:ascii="Arial" w:hAnsi="Arial"/>
                <w:sz w:val="20"/>
              </w:rPr>
              <w:t xml:space="preserve"> </w:t>
            </w:r>
            <w:r>
              <w:rPr>
                <w:rFonts w:ascii="Arial" w:hAnsi="Arial"/>
                <w:sz w:val="21"/>
              </w:rPr>
              <w:t>and</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lineRule="atLeast" w:line="239" w:before="70" w:after="0"/>
              <w:ind w:left="149" w:right="0" w:hanging="0"/>
              <w:jc w:val="center"/>
              <w:rPr>
                <w:rFonts w:ascii="Arial" w:hAnsi="Arial"/>
                <w:sz w:val="21"/>
              </w:rPr>
            </w:pPr>
            <w:r>
              <w:rPr>
                <w:rFonts w:ascii="Arial" w:hAnsi="Arial"/>
                <w:sz w:val="21"/>
              </w:rPr>
              <w:t>(ii)</w:t>
            </w:r>
          </w:p>
        </w:tc>
        <w:tc>
          <w:tcPr>
            <w:tcW w:w="7244" w:type="dxa"/>
            <w:tcBorders/>
          </w:tcPr>
          <w:p>
            <w:pPr>
              <w:pStyle w:val="TableContents"/>
              <w:bidi w:val="0"/>
              <w:spacing w:lineRule="atLeast" w:line="239" w:before="70" w:after="0"/>
              <w:ind w:left="0" w:right="48" w:hanging="0"/>
              <w:jc w:val="right"/>
              <w:rPr>
                <w:rFonts w:ascii="Arial" w:hAnsi="Arial"/>
                <w:sz w:val="20"/>
              </w:rPr>
            </w:pPr>
            <w:r>
              <w:rPr>
                <w:rFonts w:ascii="Arial" w:hAnsi="Arial"/>
                <w:sz w:val="21"/>
              </w:rPr>
              <w:t>Total</w:t>
            </w:r>
            <w:r>
              <w:rPr>
                <w:rFonts w:ascii="Arial" w:hAnsi="Arial"/>
                <w:sz w:val="20"/>
              </w:rPr>
              <w:t> </w:t>
            </w:r>
            <w:r>
              <w:rPr>
                <w:rFonts w:ascii="Arial" w:hAnsi="Arial"/>
                <w:sz w:val="21"/>
              </w:rPr>
              <w:t>Lease</w:t>
            </w:r>
            <w:r>
              <w:rPr>
                <w:rFonts w:ascii="Arial" w:hAnsi="Arial"/>
                <w:sz w:val="20"/>
              </w:rPr>
              <w:t> </w:t>
            </w:r>
            <w:r>
              <w:rPr>
                <w:rFonts w:ascii="Arial" w:hAnsi="Arial"/>
                <w:sz w:val="21"/>
              </w:rPr>
              <w:t>Payments</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12</w:t>
            </w:r>
            <w:r>
              <w:rPr>
                <w:rFonts w:ascii="Arial" w:hAnsi="Arial"/>
                <w:sz w:val="20"/>
              </w:rPr>
              <w:t> </w:t>
            </w:r>
            <w:r>
              <w:rPr>
                <w:rFonts w:ascii="Arial" w:hAnsi="Arial"/>
                <w:sz w:val="21"/>
              </w:rPr>
              <w:t>month</w:t>
            </w:r>
            <w:r>
              <w:rPr>
                <w:rFonts w:ascii="Arial" w:hAnsi="Arial"/>
                <w:sz w:val="20"/>
              </w:rPr>
              <w:t> </w:t>
            </w:r>
            <w:r>
              <w:rPr>
                <w:rFonts w:ascii="Arial" w:hAnsi="Arial"/>
                <w:sz w:val="21"/>
              </w:rPr>
              <w:t>period</w:t>
            </w:r>
            <w:r>
              <w:rPr>
                <w:rFonts w:ascii="Arial" w:hAnsi="Arial"/>
                <w:sz w:val="20"/>
              </w:rPr>
              <w:t> </w:t>
            </w:r>
            <w:r>
              <w:rPr>
                <w:rFonts w:ascii="Arial" w:hAnsi="Arial"/>
                <w:sz w:val="21"/>
              </w:rPr>
              <w:t>ending</w:t>
            </w:r>
            <w:r>
              <w:rPr>
                <w:rFonts w:ascii="Arial" w:hAnsi="Arial"/>
                <w:sz w:val="20"/>
              </w:rPr>
              <w:t> </w:t>
            </w:r>
            <w:r>
              <w:rPr>
                <w:rFonts w:ascii="Arial" w:hAnsi="Arial"/>
                <w:sz w:val="21"/>
              </w:rPr>
              <w:t>on</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before="12" w:after="0"/>
              <w:ind w:left="286" w:right="0" w:hanging="0"/>
              <w:jc w:val="left"/>
              <w:rPr>
                <w:rFonts w:ascii="Arial" w:hAnsi="Arial"/>
                <w:sz w:val="20"/>
              </w:rPr>
            </w:pPr>
            <w:r>
              <w:rPr>
                <w:rFonts w:ascii="Arial" w:hAnsi="Arial"/>
                <w:sz w:val="21"/>
              </w:rPr>
              <w:t>that</w:t>
            </w:r>
            <w:r>
              <w:rPr>
                <w:rFonts w:ascii="Arial" w:hAnsi="Arial"/>
                <w:sz w:val="20"/>
              </w:rPr>
              <w:t> </w:t>
            </w:r>
            <w:r>
              <w:rPr>
                <w:rFonts w:ascii="Arial" w:hAnsi="Arial"/>
                <w:sz w:val="21"/>
              </w:rPr>
              <w:t>date,</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before="70" w:after="0"/>
              <w:ind w:left="88" w:right="0" w:hanging="0"/>
              <w:jc w:val="center"/>
              <w:rPr>
                <w:rFonts w:ascii="Arial" w:hAnsi="Arial"/>
                <w:sz w:val="21"/>
              </w:rPr>
            </w:pPr>
            <w:r>
              <w:rPr>
                <w:rFonts w:ascii="Arial" w:hAnsi="Arial"/>
                <w:sz w:val="21"/>
              </w:rPr>
              <w:t>to</w:t>
            </w:r>
          </w:p>
        </w:tc>
        <w:tc>
          <w:tcPr>
            <w:tcW w:w="7244" w:type="dxa"/>
            <w:tcBorders/>
          </w:tcPr>
          <w:p>
            <w:pPr>
              <w:pStyle w:val="TableContents"/>
              <w:bidi w:val="0"/>
              <w:spacing w:before="0" w:after="0"/>
              <w:ind w:left="0" w:right="0" w:hanging="0"/>
              <w:jc w:val="left"/>
              <w:rPr/>
            </w:pPr>
            <w:r>
              <w:rPr/>
              <w:t> </w:t>
            </w:r>
          </w:p>
        </w:tc>
      </w:tr>
      <w:tr>
        <w:trPr/>
        <w:tc>
          <w:tcPr>
            <w:tcW w:w="241" w:type="dxa"/>
            <w:tcBorders/>
          </w:tcPr>
          <w:p>
            <w:pPr>
              <w:pStyle w:val="TableContents"/>
              <w:bidi w:val="0"/>
              <w:spacing w:before="72" w:after="0"/>
              <w:ind w:left="50" w:right="0" w:hanging="0"/>
              <w:jc w:val="left"/>
              <w:rPr>
                <w:rFonts w:ascii="Arial" w:hAnsi="Arial"/>
                <w:sz w:val="21"/>
              </w:rPr>
            </w:pPr>
            <w:r>
              <w:rPr>
                <w:rFonts w:ascii="Arial" w:hAnsi="Arial"/>
                <w:sz w:val="21"/>
              </w:rPr>
              <w:t>(b)</w:t>
            </w:r>
          </w:p>
        </w:tc>
        <w:tc>
          <w:tcPr>
            <w:tcW w:w="320" w:type="dxa"/>
            <w:tcBorders/>
          </w:tcPr>
          <w:p>
            <w:pPr>
              <w:pStyle w:val="TableContents"/>
              <w:bidi w:val="0"/>
              <w:spacing w:before="72" w:after="0"/>
              <w:ind w:left="125" w:right="0" w:hanging="0"/>
              <w:jc w:val="center"/>
              <w:rPr>
                <w:rFonts w:ascii="Arial" w:hAnsi="Arial"/>
                <w:sz w:val="21"/>
              </w:rPr>
            </w:pPr>
            <w:r>
              <w:rPr>
                <w:rFonts w:ascii="Arial" w:hAnsi="Arial"/>
                <w:sz w:val="21"/>
              </w:rPr>
              <w:t>the</w:t>
            </w:r>
          </w:p>
        </w:tc>
        <w:tc>
          <w:tcPr>
            <w:tcW w:w="7244" w:type="dxa"/>
            <w:tcBorders/>
          </w:tcPr>
          <w:p>
            <w:pPr>
              <w:pStyle w:val="TableContents"/>
              <w:bidi w:val="0"/>
              <w:spacing w:before="72" w:after="0"/>
              <w:ind w:left="29" w:right="0" w:hanging="0"/>
              <w:jc w:val="left"/>
              <w:rPr>
                <w:rFonts w:ascii="Arial" w:hAnsi="Arial"/>
                <w:sz w:val="20"/>
              </w:rPr>
            </w:pPr>
            <w:r>
              <w:rPr>
                <w:rFonts w:ascii="Arial" w:hAnsi="Arial"/>
                <w:sz w:val="21"/>
              </w:rPr>
              <w:t>aggregate</w:t>
            </w:r>
            <w:r>
              <w:rPr>
                <w:rFonts w:ascii="Arial" w:hAnsi="Arial"/>
                <w:sz w:val="20"/>
              </w:rPr>
              <w:t> </w:t>
            </w:r>
            <w:r>
              <w:rPr>
                <w:rFonts w:ascii="Arial" w:hAnsi="Arial"/>
                <w:sz w:val="21"/>
              </w:rPr>
              <w:t>amount</w:t>
            </w:r>
            <w:r>
              <w:rPr>
                <w:rFonts w:ascii="Arial" w:hAnsi="Arial"/>
                <w:sz w:val="20"/>
              </w:rPr>
              <w:t> </w:t>
            </w:r>
            <w:r>
              <w:rPr>
                <w:rFonts w:ascii="Arial" w:hAnsi="Arial"/>
                <w:sz w:val="21"/>
              </w:rPr>
              <w:t>of:</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before="70" w:after="0"/>
              <w:ind w:left="102" w:right="0" w:hanging="0"/>
              <w:jc w:val="center"/>
              <w:rPr>
                <w:rFonts w:ascii="Arial" w:hAnsi="Arial"/>
                <w:sz w:val="21"/>
              </w:rPr>
            </w:pPr>
            <w:r>
              <w:rPr>
                <w:rFonts w:ascii="Arial" w:hAnsi="Arial"/>
                <w:sz w:val="21"/>
              </w:rPr>
              <w:t>(i)</w:t>
            </w:r>
          </w:p>
        </w:tc>
        <w:tc>
          <w:tcPr>
            <w:tcW w:w="7244" w:type="dxa"/>
            <w:tcBorders/>
          </w:tcPr>
          <w:p>
            <w:pPr>
              <w:pStyle w:val="TableContents"/>
              <w:bidi w:val="0"/>
              <w:spacing w:before="39" w:after="0"/>
              <w:ind w:left="286" w:right="0" w:hanging="0"/>
              <w:jc w:val="left"/>
              <w:rPr>
                <w:rFonts w:ascii="Arial" w:hAnsi="Arial"/>
                <w:sz w:val="20"/>
              </w:rPr>
            </w:pPr>
            <w:r>
              <w:rPr>
                <w:rFonts w:ascii="Arial" w:hAnsi="Arial"/>
                <w:sz w:val="21"/>
              </w:rPr>
              <w:t>Gross Interest Expense paid or payable by the Reading Entertainment</w:t>
            </w:r>
            <w:r>
              <w:rPr>
                <w:rFonts w:ascii="Arial" w:hAnsi="Arial"/>
                <w:sz w:val="20"/>
              </w:rPr>
              <w:t> </w:t>
            </w:r>
            <w:r>
              <w:rPr>
                <w:rFonts w:ascii="Arial" w:hAnsi="Arial"/>
                <w:sz w:val="21"/>
              </w:rPr>
              <w:t>Australia</w:t>
            </w:r>
            <w:r>
              <w:rPr>
                <w:rFonts w:ascii="Arial" w:hAnsi="Arial"/>
                <w:sz w:val="20"/>
              </w:rPr>
              <w:t> </w:t>
            </w:r>
            <w:r>
              <w:rPr>
                <w:rFonts w:ascii="Arial" w:hAnsi="Arial"/>
                <w:sz w:val="21"/>
              </w:rPr>
              <w:t>Group</w:t>
            </w:r>
            <w:r>
              <w:rPr>
                <w:rFonts w:ascii="Arial" w:hAnsi="Arial"/>
                <w:sz w:val="20"/>
              </w:rPr>
              <w:t> </w:t>
            </w:r>
            <w:r>
              <w:rPr>
                <w:rFonts w:ascii="Arial" w:hAnsi="Arial"/>
                <w:sz w:val="21"/>
              </w:rPr>
              <w:t>(whether</w:t>
            </w:r>
            <w:r>
              <w:rPr>
                <w:rFonts w:ascii="Arial" w:hAnsi="Arial"/>
                <w:sz w:val="20"/>
              </w:rPr>
              <w:t> </w:t>
            </w:r>
            <w:r>
              <w:rPr>
                <w:rFonts w:ascii="Arial" w:hAnsi="Arial"/>
                <w:sz w:val="21"/>
              </w:rPr>
              <w:t>payable</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lineRule="atLeast" w:line="239" w:before="12" w:after="0"/>
              <w:ind w:left="0" w:right="50" w:hanging="0"/>
              <w:jc w:val="right"/>
              <w:rPr>
                <w:rFonts w:ascii="Arial" w:hAnsi="Arial"/>
                <w:sz w:val="20"/>
              </w:rPr>
            </w:pPr>
            <w:r>
              <w:rPr>
                <w:rFonts w:ascii="Arial" w:hAnsi="Arial"/>
                <w:sz w:val="21"/>
              </w:rPr>
              <w:t>Facilities</w:t>
            </w:r>
            <w:r>
              <w:rPr>
                <w:rFonts w:ascii="Arial" w:hAnsi="Arial"/>
                <w:sz w:val="20"/>
              </w:rPr>
              <w:t> </w:t>
            </w:r>
            <w:r>
              <w:rPr>
                <w:rFonts w:ascii="Arial" w:hAnsi="Arial"/>
                <w:sz w:val="21"/>
              </w:rPr>
              <w:t>or</w:t>
            </w:r>
            <w:r>
              <w:rPr>
                <w:rFonts w:ascii="Arial" w:hAnsi="Arial"/>
                <w:sz w:val="20"/>
              </w:rPr>
              <w:t> </w:t>
            </w:r>
            <w:r>
              <w:rPr>
                <w:rFonts w:ascii="Arial" w:hAnsi="Arial"/>
                <w:sz w:val="21"/>
              </w:rPr>
              <w:t>otherwise)</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12</w:t>
            </w:r>
            <w:r>
              <w:rPr>
                <w:rFonts w:ascii="Arial" w:hAnsi="Arial"/>
                <w:sz w:val="20"/>
              </w:rPr>
              <w:t> </w:t>
            </w:r>
            <w:r>
              <w:rPr>
                <w:rFonts w:ascii="Arial" w:hAnsi="Arial"/>
                <w:sz w:val="21"/>
              </w:rPr>
              <w:t>month</w:t>
            </w:r>
            <w:r>
              <w:rPr>
                <w:rFonts w:ascii="Arial" w:hAnsi="Arial"/>
                <w:sz w:val="20"/>
              </w:rPr>
              <w:t> </w:t>
            </w:r>
            <w:r>
              <w:rPr>
                <w:rFonts w:ascii="Arial" w:hAnsi="Arial"/>
                <w:sz w:val="21"/>
              </w:rPr>
              <w:t>period</w:t>
            </w:r>
            <w:r>
              <w:rPr>
                <w:rFonts w:ascii="Arial" w:hAnsi="Arial"/>
                <w:sz w:val="20"/>
              </w:rPr>
              <w:t> </w:t>
            </w:r>
            <w:r>
              <w:rPr>
                <w:rFonts w:ascii="Arial" w:hAnsi="Arial"/>
                <w:sz w:val="21"/>
              </w:rPr>
              <w:t>ending</w:t>
            </w:r>
            <w:r>
              <w:rPr>
                <w:rFonts w:ascii="Arial" w:hAnsi="Arial"/>
                <w:sz w:val="20"/>
              </w:rPr>
              <w:t> </w:t>
            </w:r>
            <w:r>
              <w:rPr>
                <w:rFonts w:ascii="Arial" w:hAnsi="Arial"/>
                <w:sz w:val="21"/>
              </w:rPr>
              <w:t>on</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before="12" w:after="0"/>
              <w:ind w:left="286" w:right="0" w:hanging="0"/>
              <w:jc w:val="left"/>
              <w:rPr>
                <w:rFonts w:ascii="Arial" w:hAnsi="Arial"/>
                <w:sz w:val="20"/>
              </w:rPr>
            </w:pPr>
            <w:r>
              <w:rPr>
                <w:rFonts w:ascii="Arial" w:hAnsi="Arial"/>
                <w:sz w:val="21"/>
              </w:rPr>
              <w:t>that</w:t>
            </w:r>
            <w:r>
              <w:rPr>
                <w:rFonts w:ascii="Arial" w:hAnsi="Arial"/>
                <w:sz w:val="20"/>
              </w:rPr>
              <w:t> </w:t>
            </w:r>
            <w:r>
              <w:rPr>
                <w:rFonts w:ascii="Arial" w:hAnsi="Arial"/>
                <w:sz w:val="21"/>
              </w:rPr>
              <w:t>date;</w:t>
            </w:r>
            <w:r>
              <w:rPr>
                <w:rFonts w:ascii="Arial" w:hAnsi="Arial"/>
                <w:sz w:val="20"/>
              </w:rPr>
              <w:t> </w:t>
            </w:r>
            <w:r>
              <w:rPr>
                <w:rFonts w:ascii="Arial" w:hAnsi="Arial"/>
                <w:sz w:val="21"/>
              </w:rPr>
              <w:t>and</w:t>
            </w:r>
          </w:p>
        </w:tc>
      </w:tr>
      <w:tr>
        <w:trPr/>
        <w:tc>
          <w:tcPr>
            <w:tcW w:w="241" w:type="dxa"/>
            <w:tcBorders/>
          </w:tcPr>
          <w:p>
            <w:pPr>
              <w:pStyle w:val="TableContents"/>
              <w:bidi w:val="0"/>
              <w:spacing w:before="0" w:after="0"/>
              <w:ind w:left="0" w:right="0" w:hanging="0"/>
              <w:jc w:val="left"/>
              <w:rPr>
                <w:rFonts w:cs="Times New Roman"/>
                <w:szCs w:val="20"/>
              </w:rPr>
            </w:pPr>
            <w:r>
              <w:rPr>
                <w:rFonts w:cs="Times New Roman"/>
                <w:szCs w:val="20"/>
              </w:rPr>
              <w:t>﻿</w:t>
            </w:r>
          </w:p>
        </w:tc>
        <w:tc>
          <w:tcPr>
            <w:tcW w:w="320" w:type="dxa"/>
            <w:tcBorders/>
          </w:tcPr>
          <w:p>
            <w:pPr>
              <w:pStyle w:val="TableContents"/>
              <w:bidi w:val="0"/>
              <w:spacing w:lineRule="atLeast" w:line="239" w:before="70" w:after="0"/>
              <w:ind w:left="149" w:right="0" w:hanging="0"/>
              <w:jc w:val="center"/>
              <w:rPr>
                <w:rFonts w:ascii="Arial" w:hAnsi="Arial"/>
                <w:sz w:val="21"/>
              </w:rPr>
            </w:pPr>
            <w:r>
              <w:rPr>
                <w:rFonts w:ascii="Arial" w:hAnsi="Arial"/>
                <w:sz w:val="21"/>
              </w:rPr>
              <w:t>(ii)</w:t>
            </w:r>
          </w:p>
        </w:tc>
        <w:tc>
          <w:tcPr>
            <w:tcW w:w="7244" w:type="dxa"/>
            <w:tcBorders/>
          </w:tcPr>
          <w:p>
            <w:pPr>
              <w:pStyle w:val="TableContents"/>
              <w:bidi w:val="0"/>
              <w:spacing w:lineRule="atLeast" w:line="239" w:before="70" w:after="0"/>
              <w:ind w:left="0" w:right="48" w:hanging="0"/>
              <w:jc w:val="right"/>
              <w:rPr>
                <w:rFonts w:ascii="Arial" w:hAnsi="Arial"/>
                <w:sz w:val="20"/>
              </w:rPr>
            </w:pPr>
            <w:r>
              <w:rPr>
                <w:rFonts w:ascii="Arial" w:hAnsi="Arial"/>
                <w:sz w:val="21"/>
              </w:rPr>
              <w:t>Total</w:t>
            </w:r>
            <w:r>
              <w:rPr>
                <w:rFonts w:ascii="Arial" w:hAnsi="Arial"/>
                <w:sz w:val="20"/>
              </w:rPr>
              <w:t> </w:t>
            </w:r>
            <w:r>
              <w:rPr>
                <w:rFonts w:ascii="Arial" w:hAnsi="Arial"/>
                <w:sz w:val="21"/>
              </w:rPr>
              <w:t>Lease</w:t>
            </w:r>
            <w:r>
              <w:rPr>
                <w:rFonts w:ascii="Arial" w:hAnsi="Arial"/>
                <w:sz w:val="20"/>
              </w:rPr>
              <w:t> </w:t>
            </w:r>
            <w:r>
              <w:rPr>
                <w:rFonts w:ascii="Arial" w:hAnsi="Arial"/>
                <w:sz w:val="21"/>
              </w:rPr>
              <w:t>Payments</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12</w:t>
            </w:r>
            <w:r>
              <w:rPr>
                <w:rFonts w:ascii="Arial" w:hAnsi="Arial"/>
                <w:sz w:val="20"/>
              </w:rPr>
              <w:t> </w:t>
            </w:r>
            <w:r>
              <w:rPr>
                <w:rFonts w:ascii="Arial" w:hAnsi="Arial"/>
                <w:sz w:val="21"/>
              </w:rPr>
              <w:t>month</w:t>
            </w:r>
            <w:r>
              <w:rPr>
                <w:rFonts w:ascii="Arial" w:hAnsi="Arial"/>
                <w:sz w:val="20"/>
              </w:rPr>
              <w:t> </w:t>
            </w:r>
            <w:r>
              <w:rPr>
                <w:rFonts w:ascii="Arial" w:hAnsi="Arial"/>
                <w:sz w:val="21"/>
              </w:rPr>
              <w:t>period</w:t>
            </w:r>
            <w:r>
              <w:rPr>
                <w:rFonts w:ascii="Arial" w:hAnsi="Arial"/>
                <w:sz w:val="20"/>
              </w:rPr>
              <w:t> </w:t>
            </w:r>
            <w:r>
              <w:rPr>
                <w:rFonts w:ascii="Arial" w:hAnsi="Arial"/>
                <w:sz w:val="21"/>
              </w:rPr>
              <w:t>ending</w:t>
            </w:r>
            <w:r>
              <w:rPr>
                <w:rFonts w:ascii="Arial" w:hAnsi="Arial"/>
                <w:sz w:val="20"/>
              </w:rPr>
              <w:t> </w:t>
            </w:r>
            <w:r>
              <w:rPr>
                <w:rFonts w:ascii="Arial" w:hAnsi="Arial"/>
                <w:sz w:val="21"/>
              </w:rPr>
              <w:t>on</w:t>
            </w:r>
          </w:p>
        </w:tc>
      </w:tr>
      <w:tr>
        <w:trPr/>
        <w:tc>
          <w:tcPr>
            <w:tcW w:w="241" w:type="dxa"/>
            <w:tcBorders/>
          </w:tcPr>
          <w:p>
            <w:pPr>
              <w:pStyle w:val="TableContents"/>
              <w:bidi w:val="0"/>
              <w:spacing w:before="0" w:after="0"/>
              <w:ind w:left="0" w:right="0" w:hanging="0"/>
              <w:jc w:val="left"/>
              <w:rPr>
                <w:rFonts w:cs="Times New Roman"/>
                <w:szCs w:val="18"/>
              </w:rPr>
            </w:pPr>
            <w:r>
              <w:rPr>
                <w:rFonts w:cs="Times New Roman"/>
                <w:szCs w:val="18"/>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lineRule="atLeast" w:line="222" w:before="12" w:after="0"/>
              <w:ind w:left="286" w:right="0" w:hanging="0"/>
              <w:jc w:val="left"/>
              <w:rPr>
                <w:rFonts w:ascii="Arial" w:hAnsi="Arial"/>
                <w:sz w:val="20"/>
              </w:rPr>
            </w:pPr>
            <w:r>
              <w:rPr>
                <w:rFonts w:ascii="Arial" w:hAnsi="Arial"/>
                <w:sz w:val="21"/>
              </w:rPr>
              <w:t>that</w:t>
            </w:r>
            <w:r>
              <w:rPr>
                <w:rFonts w:ascii="Arial" w:hAnsi="Arial"/>
                <w:sz w:val="20"/>
              </w:rPr>
              <w:t> </w:t>
            </w:r>
            <w:r>
              <w:rPr>
                <w:rFonts w:ascii="Arial" w:hAnsi="Arial"/>
                <w:sz w:val="21"/>
              </w:rPr>
              <w:t>date;</w:t>
            </w:r>
          </w:p>
        </w:tc>
      </w:tr>
    </w:tbl>
    <w:p>
      <w:pPr>
        <w:pStyle w:val="TextBody"/>
        <w:bidi w:val="0"/>
        <w:spacing w:lineRule="auto" w:line="266" w:before="149" w:after="0"/>
        <w:ind w:left="3120" w:right="1635" w:hanging="0"/>
        <w:jc w:val="left"/>
        <w:rPr/>
      </w:pPr>
      <w:r>
        <w:rPr>
          <w:rFonts w:ascii="Arial" w:hAnsi="Arial"/>
          <w:b/>
          <w:sz w:val="22"/>
        </w:rPr>
        <w:t>Freehold</w:t>
      </w:r>
      <w:r>
        <w:rPr>
          <w:rFonts w:ascii="Arial" w:hAnsi="Arial"/>
          <w:sz w:val="22"/>
        </w:rPr>
        <w:t> </w:t>
      </w:r>
      <w:r>
        <w:rPr>
          <w:rFonts w:ascii="Arial" w:hAnsi="Arial"/>
          <w:b/>
          <w:sz w:val="22"/>
        </w:rPr>
        <w:t>Property</w:t>
      </w:r>
      <w:r>
        <w:rPr>
          <w:rFonts w:ascii="Arial" w:hAnsi="Arial"/>
          <w:sz w:val="22"/>
        </w:rPr>
        <w:t xml:space="preserve"> means each freehold property owned by a Transaction Party that is the subject of a real property mortgage referred to in of </w:t>
      </w:r>
      <w:r>
        <w:rPr>
          <w:rFonts w:ascii="Arial" w:hAnsi="Arial"/>
          <w:b/>
          <w:sz w:val="22"/>
        </w:rPr>
        <w:t xml:space="preserve">schedule </w:t>
      </w:r>
      <w:hyperlink w:anchor="_bookmark203">
        <w:r>
          <w:rPr>
            <w:rStyle w:val="InternetLink"/>
            <w:rFonts w:ascii="Arial" w:hAnsi="Arial"/>
            <w:b/>
            <w:sz w:val="22"/>
          </w:rPr>
          <w:t>3</w:t>
        </w:r>
      </w:hyperlink>
      <w:r>
        <w:rPr>
          <w:rFonts w:ascii="Arial" w:hAnsi="Arial"/>
          <w:sz w:val="22"/>
        </w:rPr>
        <w:t xml:space="preserve">. </w:t>
      </w:r>
    </w:p>
    <w:p>
      <w:pPr>
        <w:pStyle w:val="TextBody"/>
        <w:bidi w:val="0"/>
        <w:spacing w:before="121" w:after="0"/>
        <w:ind w:left="3120" w:right="700" w:hanging="0"/>
        <w:jc w:val="left"/>
        <w:rPr>
          <w:rFonts w:ascii="Arial" w:hAnsi="Arial"/>
          <w:sz w:val="20"/>
        </w:rPr>
      </w:pPr>
      <w:r>
        <w:rPr>
          <w:rFonts w:ascii="Arial" w:hAnsi="Arial"/>
          <w:b/>
          <w:sz w:val="21"/>
        </w:rPr>
        <w:t>Funding</w:t>
      </w:r>
      <w:r>
        <w:rPr>
          <w:rFonts w:ascii="Arial" w:hAnsi="Arial"/>
          <w:sz w:val="20"/>
        </w:rPr>
        <w:t> </w:t>
      </w:r>
      <w:r>
        <w:rPr>
          <w:rFonts w:ascii="Arial" w:hAnsi="Arial"/>
          <w:b/>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date</w:t>
      </w:r>
      <w:r>
        <w:rPr>
          <w:rFonts w:ascii="Arial" w:hAnsi="Arial"/>
          <w:sz w:val="20"/>
        </w:rPr>
        <w:t> </w:t>
      </w:r>
      <w:r>
        <w:rPr>
          <w:rFonts w:ascii="Arial" w:hAnsi="Arial"/>
          <w:sz w:val="21"/>
        </w:rPr>
        <w:t>on</w:t>
      </w:r>
      <w:r>
        <w:rPr>
          <w:rFonts w:ascii="Arial" w:hAnsi="Arial"/>
          <w:sz w:val="20"/>
        </w:rPr>
        <w:t> </w:t>
      </w:r>
      <w:r>
        <w:rPr>
          <w:rFonts w:ascii="Arial" w:hAnsi="Arial"/>
          <w:sz w:val="21"/>
        </w:rPr>
        <w:t>which:</w:t>
      </w:r>
      <w:r>
        <w:rPr>
          <w:rFonts w:ascii="Arial" w:hAnsi="Arial"/>
          <w:sz w:val="20"/>
        </w:rPr>
        <w:t xml:space="preserve"> </w:t>
      </w:r>
    </w:p>
    <w:p>
      <w:pPr>
        <w:pStyle w:val="TextBody"/>
        <w:bidi w:val="0"/>
        <w:spacing w:before="147" w:after="0"/>
        <w:ind w:left="3686" w:right="700" w:hanging="0"/>
        <w:jc w:val="left"/>
        <w:rPr>
          <w:rFonts w:ascii="Arial" w:hAnsi="Arial"/>
          <w:sz w:val="20"/>
        </w:rPr>
      </w:pPr>
      <w:r>
        <w:rPr>
          <w:rFonts w:ascii="Arial" w:hAnsi="Arial"/>
          <w:sz w:val="21"/>
        </w:rPr>
        <w:t>(a)an</w:t>
      </w:r>
      <w:r>
        <w:rPr>
          <w:rFonts w:ascii="Arial" w:hAnsi="Arial"/>
          <w:sz w:val="20"/>
        </w:rPr>
        <w:t> </w:t>
      </w:r>
      <w:r>
        <w:rPr>
          <w:rFonts w:ascii="Arial" w:hAnsi="Arial"/>
          <w:sz w:val="21"/>
        </w:rPr>
        <w:t>Advance</w:t>
      </w:r>
      <w:r>
        <w:rPr>
          <w:rFonts w:ascii="Arial" w:hAnsi="Arial"/>
          <w:sz w:val="20"/>
        </w:rPr>
        <w:t> </w:t>
      </w:r>
      <w:r>
        <w:rPr>
          <w:rFonts w:ascii="Arial" w:hAnsi="Arial"/>
          <w:sz w:val="21"/>
        </w:rPr>
        <w:t>is,</w:t>
      </w:r>
      <w:r>
        <w:rPr>
          <w:rFonts w:ascii="Arial" w:hAnsi="Arial"/>
          <w:sz w:val="20"/>
        </w:rPr>
        <w:t> </w:t>
      </w:r>
      <w:r>
        <w:rPr>
          <w:rFonts w:ascii="Arial" w:hAnsi="Arial"/>
          <w:sz w:val="21"/>
        </w:rPr>
        <w:t>or</w:t>
      </w:r>
      <w:r>
        <w:rPr>
          <w:rFonts w:ascii="Arial" w:hAnsi="Arial"/>
          <w:sz w:val="20"/>
        </w:rPr>
        <w:t> </w:t>
      </w:r>
      <w:r>
        <w:rPr>
          <w:rFonts w:ascii="Arial" w:hAnsi="Arial"/>
          <w:sz w:val="21"/>
        </w:rPr>
        <w:t>is</w:t>
      </w:r>
      <w:r>
        <w:rPr>
          <w:rFonts w:ascii="Arial" w:hAnsi="Arial"/>
          <w:sz w:val="20"/>
        </w:rPr>
        <w:t> </w:t>
      </w:r>
      <w:r>
        <w:rPr>
          <w:rFonts w:ascii="Arial" w:hAnsi="Arial"/>
          <w:sz w:val="21"/>
        </w:rPr>
        <w:t>proposed</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made;</w:t>
      </w:r>
      <w:r>
        <w:rPr>
          <w:rFonts w:ascii="Arial" w:hAnsi="Arial"/>
          <w:sz w:val="20"/>
        </w:rPr>
        <w:t> </w:t>
      </w:r>
      <w:r>
        <w:rPr>
          <w:rFonts w:ascii="Arial" w:hAnsi="Arial"/>
          <w:sz w:val="21"/>
        </w:rPr>
        <w:t>or</w:t>
      </w:r>
      <w:r>
        <w:rPr>
          <w:rFonts w:ascii="Arial" w:hAnsi="Arial"/>
          <w:sz w:val="20"/>
        </w:rPr>
        <w:t xml:space="preserve"> </w:t>
      </w:r>
    </w:p>
    <w:p>
      <w:pPr>
        <w:pStyle w:val="TextBody"/>
        <w:bidi w:val="0"/>
        <w:spacing w:lineRule="auto" w:line="384" w:before="150" w:after="0"/>
        <w:ind w:left="3120" w:right="3534" w:hanging="0"/>
        <w:jc w:val="left"/>
        <w:rPr>
          <w:rFonts w:ascii="Arial" w:hAnsi="Arial"/>
          <w:sz w:val="20"/>
        </w:rPr>
      </w:pPr>
      <w:r>
        <w:rPr>
          <w:rFonts w:ascii="Arial" w:hAnsi="Arial"/>
          <w:sz w:val="21"/>
        </w:rPr>
        <w:t>(b)a</w:t>
      </w:r>
      <w:r>
        <w:rPr>
          <w:rFonts w:ascii="Arial" w:hAnsi="Arial"/>
          <w:sz w:val="20"/>
        </w:rPr>
        <w:t> </w:t>
      </w:r>
      <w:r>
        <w:rPr>
          <w:rFonts w:ascii="Arial" w:hAnsi="Arial"/>
          <w:sz w:val="21"/>
        </w:rPr>
        <w:t>Bank</w:t>
      </w:r>
      <w:r>
        <w:rPr>
          <w:rFonts w:ascii="Arial" w:hAnsi="Arial"/>
          <w:sz w:val="20"/>
        </w:rPr>
        <w:t> </w:t>
      </w:r>
      <w:r>
        <w:rPr>
          <w:rFonts w:ascii="Arial" w:hAnsi="Arial"/>
          <w:sz w:val="21"/>
        </w:rPr>
        <w:t>Guarantee</w:t>
      </w:r>
      <w:r>
        <w:rPr>
          <w:rFonts w:ascii="Arial" w:hAnsi="Arial"/>
          <w:sz w:val="20"/>
        </w:rPr>
        <w:t> </w:t>
      </w:r>
      <w:r>
        <w:rPr>
          <w:rFonts w:ascii="Arial" w:hAnsi="Arial"/>
          <w:sz w:val="21"/>
        </w:rPr>
        <w:t>is,</w:t>
      </w:r>
      <w:r>
        <w:rPr>
          <w:rFonts w:ascii="Arial" w:hAnsi="Arial"/>
          <w:sz w:val="20"/>
        </w:rPr>
        <w:t> </w:t>
      </w:r>
      <w:r>
        <w:rPr>
          <w:rFonts w:ascii="Arial" w:hAnsi="Arial"/>
          <w:sz w:val="21"/>
        </w:rPr>
        <w:t>or</w:t>
      </w:r>
      <w:r>
        <w:rPr>
          <w:rFonts w:ascii="Arial" w:hAnsi="Arial"/>
          <w:sz w:val="20"/>
        </w:rPr>
        <w:t> </w:t>
      </w:r>
      <w:r>
        <w:rPr>
          <w:rFonts w:ascii="Arial" w:hAnsi="Arial"/>
          <w:sz w:val="21"/>
        </w:rPr>
        <w:t>is</w:t>
      </w:r>
      <w:r>
        <w:rPr>
          <w:rFonts w:ascii="Arial" w:hAnsi="Arial"/>
          <w:sz w:val="20"/>
        </w:rPr>
        <w:t> </w:t>
      </w:r>
      <w:r>
        <w:rPr>
          <w:rFonts w:ascii="Arial" w:hAnsi="Arial"/>
          <w:sz w:val="21"/>
        </w:rPr>
        <w:t>proposed</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issued, under this document.</w:t>
      </w:r>
      <w:r>
        <w:rPr>
          <w:rFonts w:ascii="Arial" w:hAnsi="Arial"/>
          <w:sz w:val="20"/>
        </w:rPr>
        <w:t xml:space="preserve"> </w:t>
      </w:r>
    </w:p>
    <w:p>
      <w:pPr>
        <w:pStyle w:val="TextBody"/>
        <w:bidi w:val="0"/>
        <w:spacing w:before="0" w:after="0"/>
        <w:ind w:left="3120" w:right="700" w:hanging="0"/>
        <w:jc w:val="left"/>
        <w:rPr/>
      </w:pPr>
      <w:r>
        <w:rPr>
          <w:rFonts w:ascii="Arial" w:hAnsi="Arial"/>
          <w:b/>
          <w:sz w:val="21"/>
        </w:rPr>
        <w:t>Funding</w:t>
      </w:r>
      <w:r>
        <w:rPr>
          <w:rFonts w:ascii="Arial" w:hAnsi="Arial"/>
          <w:sz w:val="20"/>
        </w:rPr>
        <w:t> </w:t>
      </w:r>
      <w:r>
        <w:rPr>
          <w:rFonts w:ascii="Arial" w:hAnsi="Arial"/>
          <w:b/>
          <w:sz w:val="21"/>
        </w:rPr>
        <w:t>Notice</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notice</w:t>
      </w:r>
      <w:r>
        <w:rPr>
          <w:rFonts w:ascii="Arial" w:hAnsi="Arial"/>
          <w:sz w:val="20"/>
        </w:rPr>
        <w:t> </w:t>
      </w:r>
      <w:r>
        <w:rPr>
          <w:rFonts w:ascii="Arial" w:hAnsi="Arial"/>
          <w:sz w:val="21"/>
        </w:rPr>
        <w:t>in</w:t>
      </w:r>
      <w:r>
        <w:rPr>
          <w:rFonts w:ascii="Arial" w:hAnsi="Arial"/>
          <w:sz w:val="20"/>
        </w:rPr>
        <w:t> </w:t>
      </w:r>
      <w:r>
        <w:rPr>
          <w:rFonts w:ascii="Arial" w:hAnsi="Arial"/>
          <w:sz w:val="21"/>
        </w:rPr>
        <w:t>accordance</w:t>
      </w:r>
      <w:r>
        <w:rPr>
          <w:rFonts w:ascii="Arial" w:hAnsi="Arial"/>
          <w:sz w:val="20"/>
        </w:rPr>
        <w:t> </w:t>
      </w:r>
      <w:r>
        <w:rPr>
          <w:rFonts w:ascii="Arial" w:hAnsi="Arial"/>
          <w:sz w:val="21"/>
        </w:rPr>
        <w:t>with</w:t>
      </w:r>
      <w:r>
        <w:rPr>
          <w:rFonts w:ascii="Arial" w:hAnsi="Arial"/>
          <w:sz w:val="20"/>
        </w:rPr>
        <w:t> </w:t>
      </w:r>
      <w:r>
        <w:rPr>
          <w:rFonts w:ascii="Arial" w:hAnsi="Arial"/>
          <w:b/>
          <w:sz w:val="21"/>
        </w:rPr>
        <w:t>clause</w:t>
      </w:r>
      <w:r>
        <w:rPr>
          <w:rFonts w:ascii="Arial" w:hAnsi="Arial"/>
          <w:sz w:val="20"/>
        </w:rPr>
        <w:t> </w:t>
      </w:r>
      <w:hyperlink w:anchor="_bookmark45">
        <w:r>
          <w:rPr>
            <w:rStyle w:val="InternetLink"/>
            <w:rFonts w:ascii="Arial" w:hAnsi="Arial"/>
            <w:b/>
            <w:sz w:val="21"/>
          </w:rPr>
          <w:t>4.4</w:t>
        </w:r>
      </w:hyperlink>
      <w:r>
        <w:rPr>
          <w:rFonts w:ascii="Arial" w:hAnsi="Arial"/>
          <w:sz w:val="21"/>
        </w:rPr>
        <w:t>.</w:t>
      </w:r>
      <w:r>
        <w:rPr>
          <w:rFonts w:ascii="Arial" w:hAnsi="Arial"/>
          <w:sz w:val="20"/>
        </w:rPr>
        <w:t xml:space="preserve"> </w:t>
      </w:r>
    </w:p>
    <w:p>
      <w:pPr>
        <w:pStyle w:val="TextBody"/>
        <w:bidi w:val="0"/>
        <w:spacing w:before="0" w:after="0"/>
        <w:ind w:left="1700" w:right="700" w:hanging="0"/>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20" w:right="1471" w:hanging="0"/>
        <w:jc w:val="left"/>
        <w:rPr>
          <w:rFonts w:ascii="Arial" w:hAnsi="Arial"/>
          <w:sz w:val="22"/>
        </w:rPr>
      </w:pPr>
      <w:r>
        <w:rPr>
          <w:rFonts w:ascii="Arial" w:hAnsi="Arial"/>
          <w:b/>
          <w:sz w:val="22"/>
        </w:rPr>
        <w:t xml:space="preserve">Government Body </w:t>
      </w:r>
      <w:r>
        <w:rPr>
          <w:rFonts w:ascii="Arial" w:hAnsi="Arial"/>
          <w:sz w:val="22"/>
        </w:rPr>
        <w:t xml:space="preserve">means any person or body exercising an executive, legislative, judicial or other governmental function. It includes any public authority constituted under a law of any country or political sub-division of any country. It also includes any person deriving a power directly or indirectly from any other person or body referred to in this definition. </w:t>
      </w:r>
    </w:p>
    <w:p>
      <w:pPr>
        <w:pStyle w:val="TextBody"/>
        <w:pBdr/>
        <w:bidi w:val="0"/>
        <w:spacing w:lineRule="auto" w:line="266" w:before="119" w:after="0"/>
        <w:ind w:left="3120" w:right="1471" w:hanging="0"/>
        <w:jc w:val="left"/>
        <w:rPr>
          <w:rFonts w:ascii="Arial" w:hAnsi="Arial"/>
          <w:sz w:val="22"/>
        </w:rPr>
      </w:pPr>
      <w:r>
        <w:rPr>
          <w:rFonts w:ascii="Arial" w:hAnsi="Arial"/>
          <w:b/>
          <w:sz w:val="22"/>
        </w:rPr>
        <w:t xml:space="preserve">Gross Interest Expense </w:t>
      </w:r>
      <w:r>
        <w:rPr>
          <w:rFonts w:ascii="Arial" w:hAnsi="Arial"/>
          <w:sz w:val="22"/>
        </w:rPr>
        <w:t xml:space="preserve">means, in relation to any period, the aggregate of all interest and amounts in the nature of interest (including commissions, 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 </w:t>
      </w:r>
    </w:p>
    <w:p>
      <w:pPr>
        <w:pStyle w:val="TextBody"/>
        <w:bidi w:val="0"/>
        <w:spacing w:before="119" w:after="0"/>
        <w:ind w:left="3120" w:right="700" w:hanging="0"/>
        <w:jc w:val="left"/>
        <w:rPr>
          <w:rFonts w:ascii="Arial" w:hAnsi="Arial"/>
          <w:sz w:val="20"/>
        </w:rPr>
      </w:pPr>
      <w:r>
        <w:rPr>
          <w:rFonts w:ascii="Arial" w:hAnsi="Arial"/>
          <w:b/>
          <w:sz w:val="21"/>
        </w:rPr>
        <w:t>Guarantee</w:t>
      </w:r>
      <w:r>
        <w:rPr>
          <w:rFonts w:ascii="Arial" w:hAnsi="Arial"/>
          <w:sz w:val="20"/>
        </w:rPr>
        <w:t> </w:t>
      </w:r>
      <w:r>
        <w:rPr>
          <w:rFonts w:ascii="Arial" w:hAnsi="Arial"/>
          <w:sz w:val="21"/>
        </w:rPr>
        <w:t>means:</w:t>
      </w:r>
      <w:r>
        <w:rPr>
          <w:rFonts w:ascii="Arial" w:hAnsi="Arial"/>
          <w:sz w:val="20"/>
        </w:rPr>
        <w:t xml:space="preserve"> </w:t>
      </w:r>
    </w:p>
    <w:p>
      <w:pPr>
        <w:pStyle w:val="TextBody"/>
        <w:bidi w:val="0"/>
        <w:spacing w:lineRule="auto" w:line="266" w:before="147" w:after="0"/>
        <w:ind w:left="3686" w:right="2345" w:hanging="0"/>
        <w:jc w:val="left"/>
        <w:rPr>
          <w:rFonts w:ascii="Arial" w:hAnsi="Arial"/>
          <w:sz w:val="20"/>
        </w:rPr>
      </w:pPr>
      <w:r>
        <w:rPr>
          <w:rFonts w:ascii="Arial" w:hAnsi="Arial"/>
          <w:sz w:val="21"/>
        </w:rPr>
        <w:t>(a)a guarantee, indemnity, undertaking, letter of credit, Security, acceptance</w:t>
      </w:r>
      <w:r>
        <w:rPr>
          <w:rFonts w:ascii="Arial" w:hAnsi="Arial"/>
          <w:sz w:val="20"/>
        </w:rPr>
        <w:t> </w:t>
      </w:r>
      <w:r>
        <w:rPr>
          <w:rFonts w:ascii="Arial" w:hAnsi="Arial"/>
          <w:sz w:val="21"/>
        </w:rPr>
        <w:t>or</w:t>
      </w:r>
      <w:r>
        <w:rPr>
          <w:rFonts w:ascii="Arial" w:hAnsi="Arial"/>
          <w:sz w:val="20"/>
        </w:rPr>
        <w:t> </w:t>
      </w:r>
      <w:r>
        <w:rPr>
          <w:rFonts w:ascii="Arial" w:hAnsi="Arial"/>
          <w:sz w:val="21"/>
        </w:rPr>
        <w:t>endorsement</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negotiable</w:t>
      </w:r>
      <w:r>
        <w:rPr>
          <w:rFonts w:ascii="Arial" w:hAnsi="Arial"/>
          <w:sz w:val="20"/>
        </w:rPr>
        <w:t> </w:t>
      </w:r>
      <w:r>
        <w:rPr>
          <w:rFonts w:ascii="Arial" w:hAnsi="Arial"/>
          <w:sz w:val="21"/>
        </w:rPr>
        <w:t>instrument</w:t>
      </w:r>
      <w:r>
        <w:rPr>
          <w:rFonts w:ascii="Arial" w:hAnsi="Arial"/>
          <w:sz w:val="20"/>
        </w:rPr>
        <w:t> </w:t>
      </w:r>
      <w:r>
        <w:rPr>
          <w:rFonts w:ascii="Arial" w:hAnsi="Arial"/>
          <w:sz w:val="21"/>
        </w:rPr>
        <w:t>or</w:t>
      </w:r>
      <w:r>
        <w:rPr>
          <w:rFonts w:ascii="Arial" w:hAnsi="Arial"/>
          <w:sz w:val="20"/>
        </w:rPr>
        <w:t> </w:t>
      </w:r>
      <w:r>
        <w:rPr>
          <w:rFonts w:ascii="Arial" w:hAnsi="Arial"/>
          <w:sz w:val="21"/>
        </w:rPr>
        <w:t>other obligation (actual or contingent) given by any person to secure compliance with an obligation by another person;</w:t>
      </w:r>
      <w:r>
        <w:rPr>
          <w:rFonts w:ascii="Arial" w:hAnsi="Arial"/>
          <w:sz w:val="20"/>
        </w:rPr>
        <w:t xml:space="preserve"> </w:t>
      </w:r>
    </w:p>
    <w:p>
      <w:pPr>
        <w:pStyle w:val="TextBody"/>
        <w:bidi w:val="0"/>
        <w:spacing w:lineRule="auto" w:line="266" w:before="0" w:after="0"/>
        <w:ind w:left="3686" w:right="1482" w:hanging="0"/>
        <w:jc w:val="left"/>
        <w:rPr>
          <w:rFonts w:ascii="Arial" w:hAnsi="Arial"/>
          <w:sz w:val="20"/>
        </w:rPr>
      </w:pPr>
      <w:r>
        <w:rPr>
          <w:rFonts w:ascii="Arial" w:hAnsi="Arial"/>
          <w:sz w:val="21"/>
        </w:rPr>
        <w:t>(b)an</w:t>
      </w:r>
      <w:r>
        <w:rPr>
          <w:rFonts w:ascii="Arial" w:hAnsi="Arial"/>
          <w:sz w:val="20"/>
        </w:rPr>
        <w:t> </w:t>
      </w:r>
      <w:r>
        <w:rPr>
          <w:rFonts w:ascii="Arial" w:hAnsi="Arial"/>
          <w:sz w:val="21"/>
        </w:rPr>
        <w:t>obligation</w:t>
      </w:r>
      <w:r>
        <w:rPr>
          <w:rFonts w:ascii="Arial" w:hAnsi="Arial"/>
          <w:sz w:val="20"/>
        </w:rPr>
        <w:t> </w:t>
      </w:r>
      <w:r>
        <w:rPr>
          <w:rFonts w:ascii="Arial" w:hAnsi="Arial"/>
          <w:sz w:val="21"/>
        </w:rPr>
        <w:t>(actual</w:t>
      </w:r>
      <w:r>
        <w:rPr>
          <w:rFonts w:ascii="Arial" w:hAnsi="Arial"/>
          <w:sz w:val="20"/>
        </w:rPr>
        <w:t> </w:t>
      </w:r>
      <w:r>
        <w:rPr>
          <w:rFonts w:ascii="Arial" w:hAnsi="Arial"/>
          <w:sz w:val="21"/>
        </w:rPr>
        <w:t>or</w:t>
      </w:r>
      <w:r>
        <w:rPr>
          <w:rFonts w:ascii="Arial" w:hAnsi="Arial"/>
          <w:sz w:val="20"/>
        </w:rPr>
        <w:t> </w:t>
      </w:r>
      <w:r>
        <w:rPr>
          <w:rFonts w:ascii="Arial" w:hAnsi="Arial"/>
          <w:sz w:val="21"/>
        </w:rPr>
        <w:t>contingent)</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person</w:t>
      </w:r>
      <w:r>
        <w:rPr>
          <w:rFonts w:ascii="Arial" w:hAnsi="Arial"/>
          <w:sz w:val="20"/>
        </w:rPr>
        <w:t> </w:t>
      </w:r>
      <w:r>
        <w:rPr>
          <w:rFonts w:ascii="Arial" w:hAnsi="Arial"/>
          <w:sz w:val="21"/>
        </w:rPr>
        <w:t>to</w:t>
      </w:r>
      <w:r>
        <w:rPr>
          <w:rFonts w:ascii="Arial" w:hAnsi="Arial"/>
          <w:sz w:val="20"/>
        </w:rPr>
        <w:t> </w:t>
      </w:r>
      <w:r>
        <w:rPr>
          <w:rFonts w:ascii="Arial" w:hAnsi="Arial"/>
          <w:sz w:val="21"/>
        </w:rPr>
        <w:t>ensure</w:t>
      </w:r>
      <w:r>
        <w:rPr>
          <w:rFonts w:ascii="Arial" w:hAnsi="Arial"/>
          <w:sz w:val="20"/>
        </w:rPr>
        <w:t> </w:t>
      </w:r>
      <w:r>
        <w:rPr>
          <w:rFonts w:ascii="Arial" w:hAnsi="Arial"/>
          <w:sz w:val="21"/>
        </w:rPr>
        <w:t>the</w:t>
      </w:r>
      <w:r>
        <w:rPr>
          <w:rFonts w:ascii="Arial" w:hAnsi="Arial"/>
          <w:sz w:val="20"/>
        </w:rPr>
        <w:t> </w:t>
      </w:r>
      <w:r>
        <w:rPr>
          <w:rFonts w:ascii="Arial" w:hAnsi="Arial"/>
          <w:sz w:val="21"/>
        </w:rPr>
        <w:t>solvency</w:t>
      </w:r>
      <w:r>
        <w:rPr>
          <w:rFonts w:ascii="Arial" w:hAnsi="Arial"/>
          <w:sz w:val="20"/>
        </w:rPr>
        <w:t> </w:t>
      </w:r>
      <w:r>
        <w:rPr>
          <w:rFonts w:ascii="Arial" w:hAnsi="Arial"/>
          <w:sz w:val="21"/>
        </w:rPr>
        <w:t>of another person or the ability of another person to comply with an obligation, including by the advance of money or the acquisition for valuable consideration of property or services; and</w:t>
      </w:r>
      <w:r>
        <w:rPr>
          <w:rFonts w:ascii="Arial" w:hAnsi="Arial"/>
          <w:sz w:val="20"/>
        </w:rPr>
        <w:t xml:space="preserve"> </w:t>
      </w:r>
    </w:p>
    <w:p>
      <w:pPr>
        <w:pStyle w:val="TextBody"/>
        <w:bidi w:val="0"/>
        <w:spacing w:lineRule="auto" w:line="266" w:before="118" w:after="0"/>
        <w:ind w:left="3686" w:right="1637" w:hanging="0"/>
        <w:jc w:val="left"/>
        <w:rPr>
          <w:rFonts w:ascii="Arial" w:hAnsi="Arial"/>
          <w:sz w:val="20"/>
        </w:rPr>
      </w:pPr>
      <w:r>
        <w:rPr>
          <w:rFonts w:ascii="Arial" w:hAnsi="Arial"/>
          <w:sz w:val="21"/>
        </w:rPr>
        <w:t>(c)an</w:t>
      </w:r>
      <w:r>
        <w:rPr>
          <w:rFonts w:ascii="Arial" w:hAnsi="Arial"/>
          <w:sz w:val="20"/>
        </w:rPr>
        <w:t> </w:t>
      </w:r>
      <w:r>
        <w:rPr>
          <w:rFonts w:ascii="Arial" w:hAnsi="Arial"/>
          <w:sz w:val="21"/>
        </w:rPr>
        <w:t>option</w:t>
      </w:r>
      <w:r>
        <w:rPr>
          <w:rFonts w:ascii="Arial" w:hAnsi="Arial"/>
          <w:sz w:val="20"/>
        </w:rPr>
        <w:t> </w:t>
      </w:r>
      <w:r>
        <w:rPr>
          <w:rFonts w:ascii="Arial" w:hAnsi="Arial"/>
          <w:sz w:val="21"/>
        </w:rPr>
        <w:t>under</w:t>
      </w:r>
      <w:r>
        <w:rPr>
          <w:rFonts w:ascii="Arial" w:hAnsi="Arial"/>
          <w:sz w:val="20"/>
        </w:rPr>
        <w:t> </w:t>
      </w:r>
      <w:r>
        <w:rPr>
          <w:rFonts w:ascii="Arial" w:hAnsi="Arial"/>
          <w:sz w:val="21"/>
        </w:rPr>
        <w:t>which</w:t>
      </w:r>
      <w:r>
        <w:rPr>
          <w:rFonts w:ascii="Arial" w:hAnsi="Arial"/>
          <w:sz w:val="20"/>
        </w:rPr>
        <w:t> </w:t>
      </w:r>
      <w:r>
        <w:rPr>
          <w:rFonts w:ascii="Arial" w:hAnsi="Arial"/>
          <w:sz w:val="21"/>
        </w:rPr>
        <w:t>a</w:t>
      </w:r>
      <w:r>
        <w:rPr>
          <w:rFonts w:ascii="Arial" w:hAnsi="Arial"/>
          <w:sz w:val="20"/>
        </w:rPr>
        <w:t> </w:t>
      </w:r>
      <w:r>
        <w:rPr>
          <w:rFonts w:ascii="Arial" w:hAnsi="Arial"/>
          <w:sz w:val="21"/>
        </w:rPr>
        <w:t>person</w:t>
      </w:r>
      <w:r>
        <w:rPr>
          <w:rFonts w:ascii="Arial" w:hAnsi="Arial"/>
          <w:sz w:val="20"/>
        </w:rPr>
        <w:t> </w:t>
      </w:r>
      <w:r>
        <w:rPr>
          <w:rFonts w:ascii="Arial" w:hAnsi="Arial"/>
          <w:sz w:val="21"/>
        </w:rPr>
        <w:t>is</w:t>
      </w:r>
      <w:r>
        <w:rPr>
          <w:rFonts w:ascii="Arial" w:hAnsi="Arial"/>
          <w:sz w:val="20"/>
        </w:rPr>
        <w:t> </w:t>
      </w:r>
      <w:r>
        <w:rPr>
          <w:rFonts w:ascii="Arial" w:hAnsi="Arial"/>
          <w:sz w:val="21"/>
        </w:rPr>
        <w:t>obliged</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exercise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option to buy:</w:t>
      </w:r>
      <w:r>
        <w:rPr>
          <w:rFonts w:ascii="Arial" w:hAnsi="Arial"/>
          <w:sz w:val="20"/>
        </w:rPr>
        <w:t xml:space="preserve"> </w:t>
      </w:r>
    </w:p>
    <w:p>
      <w:pPr>
        <w:pStyle w:val="TextBody"/>
        <w:bidi w:val="0"/>
        <w:spacing w:before="0" w:after="0"/>
        <w:ind w:left="4253" w:right="700" w:hanging="0"/>
        <w:jc w:val="left"/>
        <w:rPr>
          <w:rFonts w:ascii="Arial" w:hAnsi="Arial"/>
          <w:sz w:val="20"/>
        </w:rPr>
      </w:pPr>
      <w:r>
        <w:rPr>
          <w:rFonts w:ascii="Arial" w:hAnsi="Arial"/>
          <w:sz w:val="21"/>
        </w:rPr>
        <w:t>(i)any</w:t>
      </w:r>
      <w:r>
        <w:rPr>
          <w:rFonts w:ascii="Arial" w:hAnsi="Arial"/>
          <w:sz w:val="20"/>
        </w:rPr>
        <w:t> </w:t>
      </w:r>
      <w:r>
        <w:rPr>
          <w:rFonts w:ascii="Arial" w:hAnsi="Arial"/>
          <w:sz w:val="21"/>
        </w:rPr>
        <w:t>debt</w:t>
      </w:r>
      <w:r>
        <w:rPr>
          <w:rFonts w:ascii="Arial" w:hAnsi="Arial"/>
          <w:sz w:val="20"/>
        </w:rPr>
        <w:t> </w:t>
      </w:r>
      <w:r>
        <w:rPr>
          <w:rFonts w:ascii="Arial" w:hAnsi="Arial"/>
          <w:sz w:val="21"/>
        </w:rPr>
        <w:t>or</w:t>
      </w:r>
      <w:r>
        <w:rPr>
          <w:rFonts w:ascii="Arial" w:hAnsi="Arial"/>
          <w:sz w:val="20"/>
        </w:rPr>
        <w:t> </w:t>
      </w:r>
      <w:r>
        <w:rPr>
          <w:rFonts w:ascii="Arial" w:hAnsi="Arial"/>
          <w:sz w:val="21"/>
        </w:rPr>
        <w:t>liability</w:t>
      </w:r>
      <w:r>
        <w:rPr>
          <w:rFonts w:ascii="Arial" w:hAnsi="Arial"/>
          <w:sz w:val="20"/>
        </w:rPr>
        <w:t> </w:t>
      </w:r>
      <w:r>
        <w:rPr>
          <w:rFonts w:ascii="Arial" w:hAnsi="Arial"/>
          <w:sz w:val="21"/>
        </w:rPr>
        <w:t>owed</w:t>
      </w:r>
      <w:r>
        <w:rPr>
          <w:rFonts w:ascii="Arial" w:hAnsi="Arial"/>
          <w:sz w:val="20"/>
        </w:rPr>
        <w:t> </w:t>
      </w:r>
      <w:r>
        <w:rPr>
          <w:rFonts w:ascii="Arial" w:hAnsi="Arial"/>
          <w:sz w:val="21"/>
        </w:rPr>
        <w:t>by</w:t>
      </w:r>
      <w:r>
        <w:rPr>
          <w:rFonts w:ascii="Arial" w:hAnsi="Arial"/>
          <w:sz w:val="20"/>
        </w:rPr>
        <w:t> </w:t>
      </w:r>
      <w:r>
        <w:rPr>
          <w:rFonts w:ascii="Arial" w:hAnsi="Arial"/>
          <w:sz w:val="21"/>
        </w:rPr>
        <w:t>another</w:t>
      </w:r>
      <w:r>
        <w:rPr>
          <w:rFonts w:ascii="Arial" w:hAnsi="Arial"/>
          <w:sz w:val="20"/>
        </w:rPr>
        <w:t> </w:t>
      </w:r>
      <w:r>
        <w:rPr>
          <w:rFonts w:ascii="Arial" w:hAnsi="Arial"/>
          <w:sz w:val="21"/>
        </w:rPr>
        <w:t>person;</w:t>
      </w:r>
      <w:r>
        <w:rPr>
          <w:rFonts w:ascii="Arial" w:hAnsi="Arial"/>
          <w:sz w:val="20"/>
        </w:rPr>
        <w:t xml:space="preserve"> </w:t>
      </w:r>
      <w:r>
        <w:rPr>
          <w:rFonts w:ascii="Arial" w:hAnsi="Arial"/>
          <w:sz w:val="21"/>
        </w:rPr>
        <w:t>or</w:t>
      </w:r>
      <w:r>
        <w:rPr>
          <w:rFonts w:ascii="Arial" w:hAnsi="Arial"/>
          <w:sz w:val="20"/>
        </w:rPr>
        <w:t xml:space="preserve"> </w:t>
      </w:r>
    </w:p>
    <w:p>
      <w:pPr>
        <w:pStyle w:val="TextBody"/>
        <w:bidi w:val="0"/>
        <w:spacing w:before="150" w:after="0"/>
        <w:ind w:left="4253" w:right="700" w:hanging="0"/>
        <w:jc w:val="left"/>
        <w:rPr>
          <w:rFonts w:ascii="Arial" w:hAnsi="Arial"/>
          <w:sz w:val="20"/>
        </w:rPr>
      </w:pPr>
      <w:r>
        <w:rPr>
          <w:rFonts w:ascii="Arial" w:hAnsi="Arial"/>
          <w:sz w:val="21"/>
        </w:rPr>
        <w:t>(ii)any</w:t>
      </w:r>
      <w:r>
        <w:rPr>
          <w:rFonts w:ascii="Arial" w:hAnsi="Arial"/>
          <w:sz w:val="20"/>
        </w:rPr>
        <w:t> </w:t>
      </w:r>
      <w:r>
        <w:rPr>
          <w:rFonts w:ascii="Arial" w:hAnsi="Arial"/>
          <w:sz w:val="21"/>
        </w:rPr>
        <w:t>property</w:t>
      </w:r>
      <w:r>
        <w:rPr>
          <w:rFonts w:ascii="Arial" w:hAnsi="Arial"/>
          <w:sz w:val="20"/>
        </w:rPr>
        <w:t> </w:t>
      </w:r>
      <w:r>
        <w:rPr>
          <w:rFonts w:ascii="Arial" w:hAnsi="Arial"/>
          <w:sz w:val="21"/>
        </w:rPr>
        <w:t>which</w:t>
      </w:r>
      <w:r>
        <w:rPr>
          <w:rFonts w:ascii="Arial" w:hAnsi="Arial"/>
          <w:sz w:val="20"/>
        </w:rPr>
        <w:t> </w:t>
      </w:r>
      <w:r>
        <w:rPr>
          <w:rFonts w:ascii="Arial" w:hAnsi="Arial"/>
          <w:sz w:val="21"/>
        </w:rPr>
        <w:t>is</w:t>
      </w:r>
      <w:r>
        <w:rPr>
          <w:rFonts w:ascii="Arial" w:hAnsi="Arial"/>
          <w:sz w:val="20"/>
        </w:rPr>
        <w:t> </w:t>
      </w:r>
      <w:r>
        <w:rPr>
          <w:rFonts w:ascii="Arial" w:hAnsi="Arial"/>
          <w:sz w:val="21"/>
        </w:rPr>
        <w:t>subject</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Security</w:t>
      </w:r>
      <w:r>
        <w:rPr>
          <w:rFonts w:ascii="Arial" w:hAnsi="Arial"/>
          <w:sz w:val="20"/>
        </w:rPr>
        <w:t> </w:t>
      </w:r>
      <w:r>
        <w:rPr>
          <w:rFonts w:ascii="Arial" w:hAnsi="Arial"/>
          <w:sz w:val="21"/>
        </w:rPr>
        <w:t>Interest.</w:t>
      </w:r>
      <w:r>
        <w:rPr>
          <w:rFonts w:ascii="Arial" w:hAnsi="Arial"/>
          <w:sz w:val="20"/>
        </w:rPr>
        <w:t xml:space="preserve"> </w:t>
      </w:r>
    </w:p>
    <w:p>
      <w:pPr>
        <w:pStyle w:val="TextBody"/>
        <w:bidi w:val="0"/>
        <w:spacing w:before="147" w:after="0"/>
        <w:ind w:left="3120" w:right="700" w:hanging="0"/>
        <w:jc w:val="left"/>
        <w:rPr>
          <w:rFonts w:ascii="Arial" w:hAnsi="Arial"/>
          <w:sz w:val="20"/>
        </w:rPr>
      </w:pPr>
      <w:r>
        <w:rPr>
          <w:rFonts w:ascii="Arial" w:hAnsi="Arial"/>
          <w:b/>
          <w:sz w:val="21"/>
        </w:rPr>
        <w:t>Guaranteed</w:t>
      </w:r>
      <w:r>
        <w:rPr>
          <w:rFonts w:ascii="Arial" w:hAnsi="Arial"/>
          <w:sz w:val="20"/>
        </w:rPr>
        <w:t> </w:t>
      </w:r>
      <w:r>
        <w:rPr>
          <w:rFonts w:ascii="Arial" w:hAnsi="Arial"/>
          <w:b/>
          <w:sz w:val="21"/>
        </w:rPr>
        <w:t>Money</w:t>
      </w:r>
      <w:r>
        <w:rPr>
          <w:rFonts w:ascii="Arial" w:hAnsi="Arial"/>
          <w:sz w:val="20"/>
        </w:rPr>
        <w:t> </w:t>
      </w:r>
      <w:r>
        <w:rPr>
          <w:rFonts w:ascii="Arial" w:hAnsi="Arial"/>
          <w:sz w:val="21"/>
        </w:rPr>
        <w:t>means</w:t>
      </w:r>
      <w:r>
        <w:rPr>
          <w:rFonts w:ascii="Arial" w:hAnsi="Arial"/>
          <w:sz w:val="20"/>
        </w:rPr>
        <w:t> </w:t>
      </w:r>
      <w:r>
        <w:rPr>
          <w:rFonts w:ascii="Arial" w:hAnsi="Arial"/>
          <w:sz w:val="21"/>
        </w:rPr>
        <w:t>all</w:t>
      </w:r>
      <w:r>
        <w:rPr>
          <w:rFonts w:ascii="Arial" w:hAnsi="Arial"/>
          <w:sz w:val="20"/>
        </w:rPr>
        <w:t> </w:t>
      </w:r>
      <w:r>
        <w:rPr>
          <w:rFonts w:ascii="Arial" w:hAnsi="Arial"/>
          <w:sz w:val="21"/>
        </w:rPr>
        <w:t>money:</w:t>
      </w:r>
      <w:r>
        <w:rPr>
          <w:rFonts w:ascii="Arial" w:hAnsi="Arial"/>
          <w:sz w:val="20"/>
        </w:rPr>
        <w:t xml:space="preserve"> </w:t>
      </w:r>
    </w:p>
    <w:p>
      <w:pPr>
        <w:pStyle w:val="TextBody"/>
        <w:bidi w:val="0"/>
        <w:spacing w:lineRule="auto" w:line="266" w:before="148" w:after="0"/>
        <w:ind w:left="3686" w:right="2208" w:hanging="0"/>
        <w:jc w:val="left"/>
        <w:rPr>
          <w:rFonts w:ascii="Arial" w:hAnsi="Arial"/>
          <w:sz w:val="20"/>
        </w:rPr>
      </w:pPr>
      <w:r>
        <w:rPr>
          <w:rFonts w:ascii="Arial" w:hAnsi="Arial"/>
          <w:sz w:val="21"/>
        </w:rPr>
        <w:t>(a)which</w:t>
      </w:r>
      <w:r>
        <w:rPr>
          <w:rFonts w:ascii="Arial" w:hAnsi="Arial"/>
          <w:sz w:val="20"/>
        </w:rPr>
        <w:t> </w:t>
      </w:r>
      <w:r>
        <w:rPr>
          <w:rFonts w:ascii="Arial" w:hAnsi="Arial"/>
          <w:sz w:val="21"/>
        </w:rPr>
        <w:t>now</w:t>
      </w:r>
      <w:r>
        <w:rPr>
          <w:rFonts w:ascii="Arial" w:hAnsi="Arial"/>
          <w:sz w:val="20"/>
        </w:rPr>
        <w:t> </w:t>
      </w:r>
      <w:r>
        <w:rPr>
          <w:rFonts w:ascii="Arial" w:hAnsi="Arial"/>
          <w:sz w:val="21"/>
        </w:rPr>
        <w:t>or</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future</w:t>
      </w:r>
      <w:r>
        <w:rPr>
          <w:rFonts w:ascii="Arial" w:hAnsi="Arial"/>
          <w:sz w:val="20"/>
        </w:rPr>
        <w:t> </w:t>
      </w:r>
      <w:r>
        <w:rPr>
          <w:rFonts w:ascii="Arial" w:hAnsi="Arial"/>
          <w:sz w:val="21"/>
        </w:rPr>
        <w:t>is</w:t>
      </w:r>
      <w:r>
        <w:rPr>
          <w:rFonts w:ascii="Arial" w:hAnsi="Arial"/>
          <w:sz w:val="20"/>
        </w:rPr>
        <w:t> </w:t>
      </w:r>
      <w:r>
        <w:rPr>
          <w:rFonts w:ascii="Arial" w:hAnsi="Arial"/>
          <w:sz w:val="21"/>
        </w:rPr>
        <w:t>owing</w:t>
      </w:r>
      <w:r>
        <w:rPr>
          <w:rFonts w:ascii="Arial" w:hAnsi="Arial"/>
          <w:sz w:val="20"/>
        </w:rPr>
        <w:t> </w:t>
      </w:r>
      <w:r>
        <w:rPr>
          <w:rFonts w:ascii="Arial" w:hAnsi="Arial"/>
          <w:sz w:val="21"/>
        </w:rPr>
        <w:t>(actually</w:t>
      </w:r>
      <w:r>
        <w:rPr>
          <w:rFonts w:ascii="Arial" w:hAnsi="Arial"/>
          <w:sz w:val="20"/>
        </w:rPr>
        <w:t> </w:t>
      </w:r>
      <w:r>
        <w:rPr>
          <w:rFonts w:ascii="Arial" w:hAnsi="Arial"/>
          <w:sz w:val="21"/>
        </w:rPr>
        <w:t>or</w:t>
      </w:r>
      <w:r>
        <w:rPr>
          <w:rFonts w:ascii="Arial" w:hAnsi="Arial"/>
          <w:sz w:val="20"/>
        </w:rPr>
        <w:t> </w:t>
      </w:r>
      <w:r>
        <w:rPr>
          <w:rFonts w:ascii="Arial" w:hAnsi="Arial"/>
          <w:sz w:val="21"/>
        </w:rPr>
        <w:t>contingently)</w:t>
      </w:r>
      <w:r>
        <w:rPr>
          <w:rFonts w:ascii="Arial" w:hAnsi="Arial"/>
          <w:sz w:val="20"/>
        </w:rPr>
        <w:t> </w:t>
      </w:r>
      <w:r>
        <w:rPr>
          <w:rFonts w:ascii="Arial" w:hAnsi="Arial"/>
          <w:sz w:val="21"/>
        </w:rPr>
        <w:t>by</w:t>
      </w:r>
      <w:r>
        <w:rPr>
          <w:rFonts w:ascii="Arial" w:hAnsi="Arial"/>
          <w:sz w:val="20"/>
        </w:rPr>
        <w:t> </w:t>
      </w:r>
      <w:r>
        <w:rPr>
          <w:rFonts w:ascii="Arial" w:hAnsi="Arial"/>
          <w:sz w:val="21"/>
        </w:rPr>
        <w:t>a Transaction Party to the Bank under or in relation to any of the Transaction Documents;</w:t>
      </w:r>
      <w:r>
        <w:rPr>
          <w:rFonts w:ascii="Arial" w:hAnsi="Arial"/>
          <w:sz w:val="20"/>
        </w:rPr>
        <w:t xml:space="preserve"> </w:t>
      </w:r>
    </w:p>
    <w:p>
      <w:pPr>
        <w:pStyle w:val="TextBody"/>
        <w:bidi w:val="0"/>
        <w:spacing w:lineRule="auto" w:line="266" w:before="120" w:after="0"/>
        <w:ind w:left="3686" w:right="1481" w:hanging="0"/>
        <w:jc w:val="left"/>
        <w:rPr>
          <w:rFonts w:ascii="Arial" w:hAnsi="Arial"/>
          <w:sz w:val="20"/>
        </w:rPr>
      </w:pPr>
      <w:r>
        <w:rPr>
          <w:rFonts w:ascii="Arial" w:hAnsi="Arial"/>
          <w:sz w:val="21"/>
        </w:rPr>
        <w:t>(b)which having now or in the future become owing (actually or contingently) by a Transaction Party to the Bank under or in relation to any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Documents,</w:t>
      </w:r>
      <w:r>
        <w:rPr>
          <w:rFonts w:ascii="Arial" w:hAnsi="Arial"/>
          <w:sz w:val="20"/>
        </w:rPr>
        <w:t> </w:t>
      </w:r>
      <w:r>
        <w:rPr>
          <w:rFonts w:ascii="Arial" w:hAnsi="Arial"/>
          <w:sz w:val="21"/>
        </w:rPr>
        <w:t>ceases</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owing</w:t>
      </w:r>
      <w:r>
        <w:rPr>
          <w:rFonts w:ascii="Arial" w:hAnsi="Arial"/>
          <w:sz w:val="20"/>
        </w:rPr>
        <w:t> </w:t>
      </w:r>
      <w:r>
        <w:rPr>
          <w:rFonts w:ascii="Arial" w:hAnsi="Arial"/>
          <w:sz w:val="21"/>
        </w:rPr>
        <w:t>by</w:t>
      </w:r>
      <w:r>
        <w:rPr>
          <w:rFonts w:ascii="Arial" w:hAnsi="Arial"/>
          <w:sz w:val="20"/>
        </w:rPr>
        <w:t> </w:t>
      </w:r>
      <w:r>
        <w:rPr>
          <w:rFonts w:ascii="Arial" w:hAnsi="Arial"/>
          <w:sz w:val="21"/>
        </w:rPr>
        <w:t>reason</w:t>
      </w:r>
      <w:r>
        <w:rPr>
          <w:rFonts w:ascii="Arial" w:hAnsi="Arial"/>
          <w:sz w:val="20"/>
        </w:rPr>
        <w:t> </w:t>
      </w:r>
      <w:r>
        <w:rPr>
          <w:rFonts w:ascii="Arial" w:hAnsi="Arial"/>
          <w:sz w:val="21"/>
        </w:rPr>
        <w:t>of</w:t>
      </w:r>
      <w:r>
        <w:rPr>
          <w:rFonts w:ascii="Arial" w:hAnsi="Arial"/>
          <w:sz w:val="20"/>
        </w:rPr>
        <w:t> </w:t>
      </w:r>
      <w:r>
        <w:rPr>
          <w:rFonts w:ascii="Arial" w:hAnsi="Arial"/>
          <w:sz w:val="21"/>
        </w:rPr>
        <w:t>any law relating to insolvency and remains unpaid by the Transaction Party and unreleased by the Bank; or</w:t>
      </w:r>
      <w:r>
        <w:rPr>
          <w:rFonts w:ascii="Arial" w:hAnsi="Arial"/>
          <w:sz w:val="20"/>
        </w:rPr>
        <w:t xml:space="preserve"> </w:t>
      </w:r>
    </w:p>
    <w:p>
      <w:pPr>
        <w:pStyle w:val="TextBody"/>
        <w:bidi w:val="0"/>
        <w:spacing w:lineRule="auto" w:line="266" w:before="116" w:after="0"/>
        <w:ind w:left="3686" w:right="1518" w:hanging="0"/>
        <w:jc w:val="left"/>
        <w:rPr>
          <w:rFonts w:ascii="Arial" w:hAnsi="Arial"/>
          <w:sz w:val="20"/>
        </w:rPr>
      </w:pPr>
      <w:r>
        <w:rPr>
          <w:rFonts w:ascii="Arial" w:hAnsi="Arial"/>
          <w:sz w:val="21"/>
        </w:rPr>
        <w:t>(c)that</w:t>
      </w:r>
      <w:r>
        <w:rPr>
          <w:rFonts w:ascii="Arial" w:hAnsi="Arial"/>
          <w:sz w:val="20"/>
        </w:rPr>
        <w:t> </w:t>
      </w:r>
      <w:r>
        <w:rPr>
          <w:rFonts w:ascii="Arial" w:hAnsi="Arial"/>
          <w:sz w:val="21"/>
        </w:rPr>
        <w:t>now</w:t>
      </w:r>
      <w:r>
        <w:rPr>
          <w:rFonts w:ascii="Arial" w:hAnsi="Arial"/>
          <w:sz w:val="20"/>
        </w:rPr>
        <w:t> </w:t>
      </w:r>
      <w:r>
        <w:rPr>
          <w:rFonts w:ascii="Arial" w:hAnsi="Arial"/>
          <w:sz w:val="21"/>
        </w:rPr>
        <w:t>or</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future</w:t>
      </w:r>
      <w:r>
        <w:rPr>
          <w:rFonts w:ascii="Arial" w:hAnsi="Arial"/>
          <w:sz w:val="20"/>
        </w:rPr>
        <w:t> </w:t>
      </w:r>
      <w:r>
        <w:rPr>
          <w:rFonts w:ascii="Arial" w:hAnsi="Arial"/>
          <w:sz w:val="21"/>
        </w:rPr>
        <w:t>may</w:t>
      </w:r>
      <w:r>
        <w:rPr>
          <w:rFonts w:ascii="Arial" w:hAnsi="Arial"/>
          <w:sz w:val="20"/>
        </w:rPr>
        <w:t> </w:t>
      </w:r>
      <w:r>
        <w:rPr>
          <w:rFonts w:ascii="Arial" w:hAnsi="Arial"/>
          <w:sz w:val="21"/>
        </w:rPr>
        <w:t>become</w:t>
      </w:r>
      <w:r>
        <w:rPr>
          <w:rFonts w:ascii="Arial" w:hAnsi="Arial"/>
          <w:sz w:val="20"/>
        </w:rPr>
        <w:t> </w:t>
      </w:r>
      <w:r>
        <w:rPr>
          <w:rFonts w:ascii="Arial" w:hAnsi="Arial"/>
          <w:sz w:val="21"/>
        </w:rPr>
        <w:t>owing</w:t>
      </w:r>
      <w:r>
        <w:rPr>
          <w:rFonts w:ascii="Arial" w:hAnsi="Arial"/>
          <w:sz w:val="20"/>
        </w:rPr>
        <w:t> </w:t>
      </w:r>
      <w:r>
        <w:rPr>
          <w:rFonts w:ascii="Arial" w:hAnsi="Arial"/>
          <w:sz w:val="21"/>
        </w:rPr>
        <w:t>(actually</w:t>
      </w:r>
      <w:r>
        <w:rPr>
          <w:rFonts w:ascii="Arial" w:hAnsi="Arial"/>
          <w:sz w:val="20"/>
        </w:rPr>
        <w:t> </w:t>
      </w:r>
      <w:r>
        <w:rPr>
          <w:rFonts w:ascii="Arial" w:hAnsi="Arial"/>
          <w:sz w:val="21"/>
        </w:rPr>
        <w:t>or</w:t>
      </w:r>
      <w:r>
        <w:rPr>
          <w:rFonts w:ascii="Arial" w:hAnsi="Arial"/>
          <w:sz w:val="20"/>
        </w:rPr>
        <w:t> </w:t>
      </w:r>
      <w:r>
        <w:rPr>
          <w:rFonts w:ascii="Arial" w:hAnsi="Arial"/>
          <w:sz w:val="21"/>
        </w:rPr>
        <w:t>contingently)</w:t>
      </w:r>
      <w:r>
        <w:rPr>
          <w:rFonts w:ascii="Arial" w:hAnsi="Arial"/>
          <w:sz w:val="20"/>
        </w:rPr>
        <w:t> </w:t>
      </w:r>
      <w:r>
        <w:rPr>
          <w:rFonts w:ascii="Arial" w:hAnsi="Arial"/>
          <w:sz w:val="21"/>
        </w:rPr>
        <w:t>by a Transaction Party to the Bank under or in relation to any of the Transaction Documents,</w:t>
      </w:r>
      <w:r>
        <w:rPr>
          <w:rFonts w:ascii="Arial" w:hAnsi="Arial"/>
          <w:sz w:val="20"/>
        </w:rPr>
        <w:t xml:space="preserve"> </w:t>
      </w:r>
    </w:p>
    <w:p>
      <w:pPr>
        <w:pStyle w:val="TextBody"/>
        <w:bidi w:val="0"/>
        <w:spacing w:before="120" w:after="0"/>
        <w:ind w:left="3120" w:right="700" w:hanging="0"/>
        <w:jc w:val="left"/>
        <w:rPr>
          <w:rFonts w:ascii="Arial" w:hAnsi="Arial"/>
          <w:sz w:val="22"/>
        </w:rPr>
      </w:pPr>
      <w:r>
        <w:rPr>
          <w:rFonts w:ascii="Arial" w:hAnsi="Arial"/>
          <w:sz w:val="22"/>
        </w:rPr>
        <w:t xml:space="preserve">for any reason, whether such money is payable: </w:t>
      </w:r>
    </w:p>
    <w:p>
      <w:pPr>
        <w:pStyle w:val="TextBody"/>
        <w:bidi w:val="0"/>
        <w:spacing w:before="150" w:after="0"/>
        <w:ind w:left="3686" w:right="700" w:hanging="0"/>
        <w:jc w:val="left"/>
        <w:rPr>
          <w:rFonts w:ascii="Arial" w:hAnsi="Arial"/>
          <w:sz w:val="20"/>
        </w:rPr>
      </w:pPr>
      <w:r>
        <w:rPr>
          <w:rFonts w:ascii="Arial" w:hAnsi="Arial"/>
          <w:sz w:val="21"/>
        </w:rPr>
        <w:t>(d)by</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alone</w:t>
      </w:r>
      <w:r>
        <w:rPr>
          <w:rFonts w:ascii="Arial" w:hAnsi="Arial"/>
          <w:sz w:val="20"/>
        </w:rPr>
        <w:t> </w:t>
      </w:r>
      <w:r>
        <w:rPr>
          <w:rFonts w:ascii="Arial" w:hAnsi="Arial"/>
          <w:sz w:val="21"/>
        </w:rPr>
        <w:t>or</w:t>
      </w:r>
      <w:r>
        <w:rPr>
          <w:rFonts w:ascii="Arial" w:hAnsi="Arial"/>
          <w:sz w:val="20"/>
        </w:rPr>
        <w:t> </w:t>
      </w:r>
      <w:r>
        <w:rPr>
          <w:rFonts w:ascii="Arial" w:hAnsi="Arial"/>
          <w:sz w:val="21"/>
        </w:rPr>
        <w:t>jointly</w:t>
      </w:r>
      <w:r>
        <w:rPr>
          <w:rFonts w:ascii="Arial" w:hAnsi="Arial"/>
          <w:sz w:val="20"/>
        </w:rPr>
        <w:t> </w:t>
      </w:r>
      <w:r>
        <w:rPr>
          <w:rFonts w:ascii="Arial" w:hAnsi="Arial"/>
          <w:sz w:val="21"/>
        </w:rPr>
        <w:t>or</w:t>
      </w:r>
      <w:r>
        <w:rPr>
          <w:rFonts w:ascii="Arial" w:hAnsi="Arial"/>
          <w:sz w:val="20"/>
        </w:rPr>
        <w:t> </w:t>
      </w:r>
      <w:r>
        <w:rPr>
          <w:rFonts w:ascii="Arial" w:hAnsi="Arial"/>
          <w:sz w:val="21"/>
        </w:rPr>
        <w:t>severally</w:t>
      </w:r>
      <w:r>
        <w:rPr>
          <w:rFonts w:ascii="Arial" w:hAnsi="Arial"/>
          <w:sz w:val="20"/>
        </w:rPr>
        <w:t> </w:t>
      </w:r>
      <w:r>
        <w:rPr>
          <w:rFonts w:ascii="Arial" w:hAnsi="Arial"/>
          <w:sz w:val="21"/>
        </w:rPr>
        <w:t>with</w:t>
      </w:r>
      <w:r>
        <w:rPr>
          <w:rFonts w:ascii="Arial" w:hAnsi="Arial"/>
          <w:sz w:val="20"/>
        </w:rPr>
        <w:t> </w:t>
      </w:r>
      <w:r>
        <w:rPr>
          <w:rFonts w:ascii="Arial" w:hAnsi="Arial"/>
          <w:sz w:val="21"/>
        </w:rPr>
        <w:t>any</w:t>
      </w:r>
      <w:r>
        <w:rPr>
          <w:rFonts w:ascii="Arial" w:hAnsi="Arial"/>
          <w:sz w:val="20"/>
        </w:rPr>
        <w:t> </w:t>
      </w:r>
      <w:r>
        <w:rPr>
          <w:rFonts w:ascii="Arial" w:hAnsi="Arial"/>
          <w:sz w:val="21"/>
        </w:rPr>
        <w:t>other</w:t>
      </w:r>
      <w:r>
        <w:rPr>
          <w:rFonts w:ascii="Arial" w:hAnsi="Arial"/>
          <w:sz w:val="20"/>
        </w:rPr>
        <w:t> </w:t>
      </w:r>
      <w:r>
        <w:rPr>
          <w:rFonts w:ascii="Arial" w:hAnsi="Arial"/>
          <w:sz w:val="21"/>
        </w:rPr>
        <w:t>person;</w:t>
      </w:r>
      <w:r>
        <w:rPr>
          <w:rFonts w:ascii="Arial" w:hAnsi="Arial"/>
          <w:sz w:val="20"/>
        </w:rPr>
        <w:t xml:space="preserve"> </w:t>
      </w:r>
    </w:p>
    <w:p>
      <w:pPr>
        <w:pStyle w:val="TextBody"/>
        <w:bidi w:val="0"/>
        <w:spacing w:before="147" w:after="0"/>
        <w:ind w:left="3686" w:right="700" w:hanging="0"/>
        <w:jc w:val="left"/>
        <w:rPr>
          <w:rFonts w:ascii="Arial" w:hAnsi="Arial"/>
          <w:sz w:val="20"/>
        </w:rPr>
      </w:pPr>
      <w:r>
        <w:rPr>
          <w:rFonts w:ascii="Arial" w:hAnsi="Arial"/>
          <w:sz w:val="21"/>
        </w:rPr>
        <w:t>(e)by</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in</w:t>
      </w:r>
      <w:r>
        <w:rPr>
          <w:rFonts w:ascii="Arial" w:hAnsi="Arial"/>
          <w:sz w:val="20"/>
        </w:rPr>
        <w:t> </w:t>
      </w:r>
      <w:r>
        <w:rPr>
          <w:rFonts w:ascii="Arial" w:hAnsi="Arial"/>
          <w:sz w:val="21"/>
        </w:rPr>
        <w:t>its</w:t>
      </w:r>
      <w:r>
        <w:rPr>
          <w:rFonts w:ascii="Arial" w:hAnsi="Arial"/>
          <w:sz w:val="20"/>
        </w:rPr>
        <w:t> </w:t>
      </w:r>
      <w:r>
        <w:rPr>
          <w:rFonts w:ascii="Arial" w:hAnsi="Arial"/>
          <w:sz w:val="21"/>
        </w:rPr>
        <w:t>own</w:t>
      </w:r>
      <w:r>
        <w:rPr>
          <w:rFonts w:ascii="Arial" w:hAnsi="Arial"/>
          <w:sz w:val="20"/>
        </w:rPr>
        <w:t> </w:t>
      </w:r>
      <w:r>
        <w:rPr>
          <w:rFonts w:ascii="Arial" w:hAnsi="Arial"/>
          <w:sz w:val="21"/>
        </w:rPr>
        <w:t>right</w:t>
      </w:r>
      <w:r>
        <w:rPr>
          <w:rFonts w:ascii="Arial" w:hAnsi="Arial"/>
          <w:sz w:val="20"/>
        </w:rPr>
        <w:t> </w:t>
      </w:r>
      <w:r>
        <w:rPr>
          <w:rFonts w:ascii="Arial" w:hAnsi="Arial"/>
          <w:sz w:val="21"/>
        </w:rPr>
        <w:t>or</w:t>
      </w:r>
      <w:r>
        <w:rPr>
          <w:rFonts w:ascii="Arial" w:hAnsi="Arial"/>
          <w:sz w:val="20"/>
        </w:rPr>
        <w:t> </w:t>
      </w:r>
      <w:r>
        <w:rPr>
          <w:rFonts w:ascii="Arial" w:hAnsi="Arial"/>
          <w:sz w:val="21"/>
        </w:rPr>
        <w:t>in</w:t>
      </w:r>
      <w:r>
        <w:rPr>
          <w:rFonts w:ascii="Arial" w:hAnsi="Arial"/>
          <w:sz w:val="20"/>
        </w:rPr>
        <w:t> </w:t>
      </w:r>
      <w:r>
        <w:rPr>
          <w:rFonts w:ascii="Arial" w:hAnsi="Arial"/>
          <w:sz w:val="21"/>
        </w:rPr>
        <w:t>any</w:t>
      </w:r>
      <w:r>
        <w:rPr>
          <w:rFonts w:ascii="Arial" w:hAnsi="Arial"/>
          <w:sz w:val="20"/>
        </w:rPr>
        <w:t> </w:t>
      </w:r>
      <w:r>
        <w:rPr>
          <w:rFonts w:ascii="Arial" w:hAnsi="Arial"/>
          <w:sz w:val="21"/>
        </w:rPr>
        <w:t>capacity;</w:t>
      </w:r>
      <w:r>
        <w:rPr>
          <w:rFonts w:ascii="Arial" w:hAnsi="Arial"/>
          <w:sz w:val="20"/>
        </w:rPr>
        <w:t xml:space="preserve"> </w:t>
      </w:r>
    </w:p>
    <w:p>
      <w:pPr>
        <w:pStyle w:val="TextBody"/>
        <w:bidi w:val="0"/>
        <w:spacing w:before="150" w:after="0"/>
        <w:ind w:left="3686" w:right="700" w:hanging="0"/>
        <w:jc w:val="left"/>
        <w:rPr>
          <w:rFonts w:ascii="Arial" w:hAnsi="Arial"/>
          <w:sz w:val="20"/>
        </w:rPr>
      </w:pPr>
      <w:r>
        <w:rPr>
          <w:rFonts w:ascii="Arial" w:hAnsi="Arial"/>
          <w:sz w:val="21"/>
        </w:rPr>
        <w:t>(f)to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in</w:t>
      </w:r>
      <w:r>
        <w:rPr>
          <w:rFonts w:ascii="Arial" w:hAnsi="Arial"/>
          <w:sz w:val="20"/>
        </w:rPr>
        <w:t> </w:t>
      </w:r>
      <w:r>
        <w:rPr>
          <w:rFonts w:ascii="Arial" w:hAnsi="Arial"/>
          <w:sz w:val="21"/>
        </w:rPr>
        <w:t>its</w:t>
      </w:r>
      <w:r>
        <w:rPr>
          <w:rFonts w:ascii="Arial" w:hAnsi="Arial"/>
          <w:sz w:val="20"/>
        </w:rPr>
        <w:t> </w:t>
      </w:r>
      <w:r>
        <w:rPr>
          <w:rFonts w:ascii="Arial" w:hAnsi="Arial"/>
          <w:sz w:val="21"/>
        </w:rPr>
        <w:t>own</w:t>
      </w:r>
      <w:r>
        <w:rPr>
          <w:rFonts w:ascii="Arial" w:hAnsi="Arial"/>
          <w:sz w:val="20"/>
        </w:rPr>
        <w:t> </w:t>
      </w:r>
      <w:r>
        <w:rPr>
          <w:rFonts w:ascii="Arial" w:hAnsi="Arial"/>
          <w:sz w:val="21"/>
        </w:rPr>
        <w:t>right</w:t>
      </w:r>
      <w:r>
        <w:rPr>
          <w:rFonts w:ascii="Arial" w:hAnsi="Arial"/>
          <w:sz w:val="20"/>
        </w:rPr>
        <w:t> </w:t>
      </w:r>
      <w:r>
        <w:rPr>
          <w:rFonts w:ascii="Arial" w:hAnsi="Arial"/>
          <w:sz w:val="21"/>
        </w:rPr>
        <w:t>or</w:t>
      </w:r>
      <w:r>
        <w:rPr>
          <w:rFonts w:ascii="Arial" w:hAnsi="Arial"/>
          <w:sz w:val="20"/>
        </w:rPr>
        <w:t> </w:t>
      </w:r>
      <w:r>
        <w:rPr>
          <w:rFonts w:ascii="Arial" w:hAnsi="Arial"/>
          <w:sz w:val="21"/>
        </w:rPr>
        <w:t>in</w:t>
      </w:r>
      <w:r>
        <w:rPr>
          <w:rFonts w:ascii="Arial" w:hAnsi="Arial"/>
          <w:sz w:val="20"/>
        </w:rPr>
        <w:t> </w:t>
      </w:r>
      <w:r>
        <w:rPr>
          <w:rFonts w:ascii="Arial" w:hAnsi="Arial"/>
          <w:sz w:val="21"/>
        </w:rPr>
        <w:t>any</w:t>
      </w:r>
      <w:r>
        <w:rPr>
          <w:rFonts w:ascii="Arial" w:hAnsi="Arial"/>
          <w:sz w:val="20"/>
        </w:rPr>
        <w:t> </w:t>
      </w:r>
      <w:r>
        <w:rPr>
          <w:rFonts w:ascii="Arial" w:hAnsi="Arial"/>
          <w:sz w:val="21"/>
        </w:rPr>
        <w:t>capacity;</w:t>
      </w:r>
      <w:r>
        <w:rPr>
          <w:rFonts w:ascii="Arial" w:hAnsi="Arial"/>
          <w:sz w:val="20"/>
        </w:rPr>
        <w:t> </w:t>
      </w:r>
      <w:r>
        <w:rPr>
          <w:rFonts w:ascii="Arial" w:hAnsi="Arial"/>
          <w:sz w:val="21"/>
        </w:rPr>
        <w:t>and</w:t>
      </w:r>
      <w:r>
        <w:rPr>
          <w:rFonts w:ascii="Arial" w:hAnsi="Arial"/>
          <w:sz w:val="20"/>
        </w:rPr>
        <w:t xml:space="preserve"> </w:t>
      </w:r>
    </w:p>
    <w:p>
      <w:pPr>
        <w:pStyle w:val="TextBody"/>
        <w:bidi w:val="0"/>
        <w:spacing w:before="119" w:after="0"/>
        <w:ind w:left="3646" w:right="700" w:hanging="567"/>
        <w:jc w:val="left"/>
        <w:rPr/>
      </w:pPr>
      <w:r>
        <w:rPr/>
        <w:t xml:space="preserve">  </w:t>
      </w:r>
    </w:p>
    <w:tbl>
      <w:tblPr>
        <w:tblW w:w="1840" w:type="dxa"/>
        <w:jc w:val="left"/>
        <w:tblInd w:w="1700" w:type="dxa"/>
        <w:tblLayout w:type="fixed"/>
        <w:tblCellMar>
          <w:top w:w="0" w:type="dxa"/>
          <w:left w:w="0" w:type="dxa"/>
          <w:bottom w:w="0" w:type="dxa"/>
          <w:right w:w="0" w:type="dxa"/>
        </w:tblCellMar>
      </w:tblPr>
      <w:tblGrid>
        <w:gridCol w:w="1310"/>
        <w:gridCol w:w="530"/>
      </w:tblGrid>
      <w:tr>
        <w:trPr/>
        <w:tc>
          <w:tcPr>
            <w:tcW w:w="1310" w:type="dxa"/>
            <w:tcBorders/>
          </w:tcPr>
          <w:p>
            <w:pPr>
              <w:pStyle w:val="TableContents"/>
              <w:bidi w:val="0"/>
              <w:spacing w:before="0" w:after="0"/>
              <w:ind w:left="0" w:right="0" w:hanging="0"/>
              <w:jc w:val="left"/>
              <w:rPr/>
            </w:pPr>
            <w:r>
              <w:rPr/>
              <w:t> </w:t>
            </w:r>
          </w:p>
        </w:tc>
        <w:tc>
          <w:tcPr>
            <w:tcW w:w="53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530" w:type="dxa"/>
            <w:tcBorders/>
          </w:tcPr>
          <w:p>
            <w:pPr>
              <w:pStyle w:val="TableContents"/>
              <w:bidi w:val="0"/>
              <w:spacing w:before="0" w:after="0"/>
              <w:ind w:left="0" w:right="0" w:hanging="0"/>
              <w:jc w:val="right"/>
              <w:rPr>
                <w:rFonts w:ascii="Arial" w:hAnsi="Arial"/>
                <w:sz w:val="15"/>
              </w:rPr>
            </w:pPr>
            <w:r>
              <w:rPr>
                <w:rFonts w:ascii="Arial" w:hAnsi="Arial"/>
                <w:sz w:val="15"/>
              </w:rPr>
              <w:t>page 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1533" w:hanging="0"/>
        <w:jc w:val="left"/>
        <w:rPr>
          <w:rFonts w:ascii="Arial" w:hAnsi="Arial"/>
          <w:sz w:val="20"/>
        </w:rPr>
      </w:pPr>
      <w:r>
        <w:rPr>
          <w:rFonts w:ascii="Arial" w:hAnsi="Arial"/>
          <w:sz w:val="21"/>
        </w:rPr>
        <w:t>(g)by</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as</w:t>
      </w:r>
      <w:r>
        <w:rPr>
          <w:rFonts w:ascii="Arial" w:hAnsi="Arial"/>
          <w:sz w:val="20"/>
        </w:rPr>
        <w:t> </w:t>
      </w:r>
      <w:r>
        <w:rPr>
          <w:rFonts w:ascii="Arial" w:hAnsi="Arial"/>
          <w:sz w:val="21"/>
        </w:rPr>
        <w:t>liquidated</w:t>
      </w:r>
      <w:r>
        <w:rPr>
          <w:rFonts w:ascii="Arial" w:hAnsi="Arial"/>
          <w:sz w:val="20"/>
        </w:rPr>
        <w:t> </w:t>
      </w:r>
      <w:r>
        <w:rPr>
          <w:rFonts w:ascii="Arial" w:hAnsi="Arial"/>
          <w:sz w:val="21"/>
        </w:rPr>
        <w:t>or</w:t>
      </w:r>
      <w:r>
        <w:rPr>
          <w:rFonts w:ascii="Arial" w:hAnsi="Arial"/>
          <w:sz w:val="20"/>
        </w:rPr>
        <w:t> </w:t>
      </w:r>
      <w:r>
        <w:rPr>
          <w:rFonts w:ascii="Arial" w:hAnsi="Arial"/>
          <w:sz w:val="21"/>
        </w:rPr>
        <w:t>unliquidated</w:t>
      </w:r>
      <w:r>
        <w:rPr>
          <w:rFonts w:ascii="Arial" w:hAnsi="Arial"/>
          <w:sz w:val="20"/>
        </w:rPr>
        <w:t> </w:t>
      </w:r>
      <w:r>
        <w:rPr>
          <w:rFonts w:ascii="Arial" w:hAnsi="Arial"/>
          <w:sz w:val="21"/>
        </w:rPr>
        <w:t>damages</w:t>
      </w:r>
      <w:r>
        <w:rPr>
          <w:rFonts w:ascii="Arial" w:hAnsi="Arial"/>
          <w:sz w:val="20"/>
        </w:rPr>
        <w:t> </w:t>
      </w:r>
      <w:r>
        <w:rPr>
          <w:rFonts w:ascii="Arial" w:hAnsi="Arial"/>
          <w:sz w:val="21"/>
        </w:rPr>
        <w:t>caused</w:t>
      </w:r>
      <w:r>
        <w:rPr>
          <w:rFonts w:ascii="Arial" w:hAnsi="Arial"/>
          <w:sz w:val="20"/>
        </w:rPr>
        <w:t> </w:t>
      </w:r>
      <w:r>
        <w:rPr>
          <w:rFonts w:ascii="Arial" w:hAnsi="Arial"/>
          <w:sz w:val="21"/>
        </w:rPr>
        <w:t>or contributed to by any breach by the Transaction Party of any obligation owed by the Transaction Party (or any other Transaction Party) to the Bank under or in relation to any of the Transaction Documents,</w:t>
      </w:r>
      <w:r>
        <w:rPr>
          <w:rFonts w:ascii="Arial" w:hAnsi="Arial"/>
          <w:sz w:val="20"/>
        </w:rPr>
        <w:t xml:space="preserve"> </w:t>
      </w:r>
    </w:p>
    <w:p>
      <w:pPr>
        <w:pStyle w:val="TextBody"/>
        <w:pBdr/>
        <w:bidi w:val="0"/>
        <w:spacing w:lineRule="auto" w:line="266" w:before="118" w:after="0"/>
        <w:ind w:left="3120" w:right="1486" w:hanging="0"/>
        <w:jc w:val="left"/>
        <w:rPr>
          <w:rFonts w:ascii="Arial" w:hAnsi="Arial"/>
          <w:sz w:val="22"/>
        </w:rPr>
      </w:pPr>
      <w:r>
        <w:rPr>
          <w:rFonts w:ascii="Arial" w:hAnsi="Arial"/>
          <w:sz w:val="22"/>
        </w:rPr>
        <w:t xml:space="preserve">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 </w:t>
      </w:r>
    </w:p>
    <w:p>
      <w:pPr>
        <w:pStyle w:val="TextBody"/>
        <w:pBdr/>
        <w:bidi w:val="0"/>
        <w:spacing w:lineRule="auto" w:line="266" w:before="118" w:after="0"/>
        <w:ind w:left="3120" w:right="1424" w:hanging="0"/>
        <w:jc w:val="left"/>
        <w:rPr/>
      </w:pPr>
      <w:r>
        <w:rPr>
          <w:rFonts w:ascii="Arial" w:hAnsi="Arial"/>
          <w:b/>
          <w:sz w:val="22"/>
        </w:rPr>
        <w:t xml:space="preserve">Guarantor </w:t>
      </w:r>
      <w:r>
        <w:rPr>
          <w:rFonts w:ascii="Arial" w:hAnsi="Arial"/>
          <w:sz w:val="22"/>
        </w:rPr>
        <w:t>means the Original Guarantors and each person that becomes a guarantor under </w:t>
      </w:r>
      <w:r>
        <w:rPr>
          <w:rFonts w:ascii="Arial" w:hAnsi="Arial"/>
          <w:b/>
          <w:sz w:val="22"/>
        </w:rPr>
        <w:t>clause</w:t>
      </w:r>
      <w:r>
        <w:rPr>
          <w:rFonts w:ascii="Arial" w:hAnsi="Arial"/>
          <w:sz w:val="22"/>
        </w:rPr>
        <w:t> </w:t>
      </w:r>
      <w:hyperlink w:anchor="_bookmark140">
        <w:r>
          <w:rPr>
            <w:rStyle w:val="InternetLink"/>
            <w:rFonts w:ascii="Arial" w:hAnsi="Arial"/>
            <w:b/>
            <w:sz w:val="22"/>
          </w:rPr>
          <w:t>16</w:t>
        </w:r>
      </w:hyperlink>
      <w:r>
        <w:rPr>
          <w:rFonts w:ascii="Arial" w:hAnsi="Arial"/>
          <w:sz w:val="22"/>
        </w:rPr>
        <w:t xml:space="preserve">. If there are more than one, Guarantor means each of them individually and every two or more of them jointly. </w:t>
      </w:r>
    </w:p>
    <w:p>
      <w:pPr>
        <w:pStyle w:val="TextBody"/>
        <w:bidi w:val="0"/>
        <w:spacing w:before="120" w:after="0"/>
        <w:ind w:left="3120" w:right="700" w:hanging="0"/>
        <w:jc w:val="left"/>
        <w:rPr>
          <w:rFonts w:ascii="Arial" w:hAnsi="Arial"/>
          <w:sz w:val="20"/>
        </w:rPr>
      </w:pPr>
      <w:r>
        <w:rPr>
          <w:rFonts w:ascii="Arial" w:hAnsi="Arial"/>
          <w:b/>
          <w:sz w:val="21"/>
        </w:rPr>
        <w:t>Guarantor</w:t>
      </w:r>
      <w:r>
        <w:rPr>
          <w:rFonts w:ascii="Arial" w:hAnsi="Arial"/>
          <w:sz w:val="20"/>
        </w:rPr>
        <w:t> </w:t>
      </w:r>
      <w:r>
        <w:rPr>
          <w:rFonts w:ascii="Arial" w:hAnsi="Arial"/>
          <w:b/>
          <w:sz w:val="21"/>
        </w:rPr>
        <w:t>Accession</w:t>
      </w:r>
      <w:r>
        <w:rPr>
          <w:rFonts w:ascii="Arial" w:hAnsi="Arial"/>
          <w:sz w:val="20"/>
        </w:rPr>
        <w:t> </w:t>
      </w:r>
      <w:r>
        <w:rPr>
          <w:rFonts w:ascii="Arial" w:hAnsi="Arial"/>
          <w:b/>
          <w:sz w:val="21"/>
        </w:rPr>
        <w:t>Deed</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deed</w:t>
      </w:r>
      <w:r>
        <w:rPr>
          <w:rFonts w:ascii="Arial" w:hAnsi="Arial"/>
          <w:sz w:val="20"/>
        </w:rPr>
        <w:t> </w:t>
      </w:r>
      <w:r>
        <w:rPr>
          <w:rFonts w:ascii="Arial" w:hAnsi="Arial"/>
          <w:sz w:val="21"/>
        </w:rPr>
        <w:t>substantially</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form</w:t>
      </w:r>
      <w:r>
        <w:rPr>
          <w:rFonts w:ascii="Arial" w:hAnsi="Arial"/>
          <w:sz w:val="20"/>
        </w:rPr>
        <w:t xml:space="preserve"> </w:t>
      </w:r>
      <w:r>
        <w:rPr>
          <w:rFonts w:ascii="Arial" w:hAnsi="Arial"/>
          <w:sz w:val="21"/>
        </w:rPr>
        <w:t>of</w:t>
      </w:r>
      <w:r>
        <w:rPr>
          <w:rFonts w:ascii="Arial" w:hAnsi="Arial"/>
          <w:sz w:val="20"/>
        </w:rPr>
        <w:t xml:space="preserve"> </w:t>
      </w:r>
    </w:p>
    <w:p>
      <w:pPr>
        <w:pStyle w:val="TextBody"/>
        <w:bidi w:val="0"/>
        <w:spacing w:before="30" w:after="0"/>
        <w:ind w:left="3120" w:right="700" w:hanging="0"/>
        <w:jc w:val="left"/>
        <w:rPr/>
      </w:pPr>
      <w:r>
        <w:rPr>
          <w:rFonts w:ascii="Arial" w:hAnsi="Arial"/>
          <w:b/>
          <w:sz w:val="22"/>
        </w:rPr>
        <w:t>schedule </w:t>
      </w:r>
      <w:hyperlink w:anchor="_bookmark211">
        <w:r>
          <w:rPr>
            <w:rStyle w:val="InternetLink"/>
            <w:rFonts w:ascii="Arial" w:hAnsi="Arial"/>
            <w:b/>
            <w:sz w:val="22"/>
          </w:rPr>
          <w:t>8</w:t>
        </w:r>
      </w:hyperlink>
      <w:r>
        <w:rPr>
          <w:rFonts w:ascii="Arial" w:hAnsi="Arial"/>
          <w:b w:val="false"/>
          <w:sz w:val="22"/>
        </w:rPr>
        <w:t>.</w:t>
      </w:r>
      <w:r>
        <w:rPr>
          <w:rFonts w:ascii="Arial" w:hAnsi="Arial"/>
          <w:b/>
          <w:sz w:val="22"/>
        </w:rPr>
        <w:t xml:space="preserve"> </w:t>
      </w:r>
    </w:p>
    <w:p>
      <w:pPr>
        <w:pStyle w:val="TextBody"/>
        <w:pBdr/>
        <w:bidi w:val="0"/>
        <w:spacing w:lineRule="auto" w:line="266" w:before="147" w:after="0"/>
        <w:ind w:left="3120" w:right="1471" w:hanging="0"/>
        <w:jc w:val="left"/>
        <w:rPr>
          <w:rFonts w:ascii="Arial" w:hAnsi="Arial"/>
          <w:sz w:val="22"/>
        </w:rPr>
      </w:pPr>
      <w:r>
        <w:rPr>
          <w:rFonts w:ascii="Arial" w:hAnsi="Arial"/>
          <w:b/>
          <w:sz w:val="22"/>
        </w:rPr>
        <w:t>Half</w:t>
      </w:r>
      <w:r>
        <w:rPr>
          <w:rFonts w:ascii="Arial" w:hAnsi="Arial"/>
          <w:sz w:val="22"/>
        </w:rPr>
        <w:t xml:space="preserve"> means each six month period ending on 30 June and 31 December in each year. </w:t>
      </w:r>
    </w:p>
    <w:p>
      <w:pPr>
        <w:pStyle w:val="TextBody"/>
        <w:pBdr/>
        <w:bidi w:val="0"/>
        <w:spacing w:lineRule="auto" w:line="266" w:before="120" w:after="0"/>
        <w:ind w:left="3120" w:right="1441" w:hanging="0"/>
        <w:jc w:val="left"/>
        <w:rPr>
          <w:rFonts w:ascii="Arial" w:hAnsi="Arial"/>
          <w:sz w:val="22"/>
        </w:rPr>
      </w:pPr>
      <w:r>
        <w:rPr>
          <w:rFonts w:ascii="Arial" w:hAnsi="Arial"/>
          <w:b/>
          <w:sz w:val="22"/>
        </w:rPr>
        <w:t xml:space="preserve">Hedging Transaction </w:t>
      </w:r>
      <w:r>
        <w:rPr>
          <w:rFonts w:ascii="Arial" w:hAnsi="Arial"/>
          <w:sz w:val="22"/>
        </w:rPr>
        <w:t xml:space="preserve">means a contract, agreement or arrangement (other than in respect of the price of electricity, gas, oil, foreign exchange or any other non-interest rate derivative contract) which is a futures contract or an interest rate hedge, swap, option, swaption, forward rate agreement or any other contract, agreement or arrangement similar to or having in respect of its subject matter a similar effect to any of the preceding. </w:t>
      </w:r>
    </w:p>
    <w:p>
      <w:pPr>
        <w:pStyle w:val="TextBody"/>
        <w:pBdr/>
        <w:bidi w:val="0"/>
        <w:spacing w:lineRule="auto" w:line="264" w:before="117" w:after="0"/>
        <w:ind w:left="3120" w:right="1471" w:hanging="0"/>
        <w:jc w:val="left"/>
        <w:rPr/>
      </w:pPr>
      <w:r>
        <w:rPr>
          <w:rFonts w:ascii="Arial" w:hAnsi="Arial"/>
          <w:b/>
          <w:sz w:val="22"/>
        </w:rPr>
        <w:t>Indemnity</w:t>
      </w:r>
      <w:r>
        <w:rPr>
          <w:rFonts w:ascii="Arial" w:hAnsi="Arial"/>
          <w:sz w:val="22"/>
        </w:rPr>
        <w:t> </w:t>
      </w:r>
      <w:r>
        <w:rPr>
          <w:rFonts w:ascii="Arial" w:hAnsi="Arial"/>
          <w:b/>
          <w:sz w:val="22"/>
        </w:rPr>
        <w:t>Amount</w:t>
      </w:r>
      <w:r>
        <w:rPr>
          <w:rFonts w:ascii="Arial" w:hAnsi="Arial"/>
          <w:sz w:val="22"/>
        </w:rPr>
        <w:t xml:space="preserve"> means, in relation to a Bank Guarantee, the amount or, as the case may be, the aggregate of the amounts payable by the Borrower in relation to a Bank Guarantee in accordance with </w:t>
      </w:r>
      <w:r>
        <w:rPr>
          <w:rFonts w:ascii="Arial" w:hAnsi="Arial"/>
          <w:b/>
          <w:sz w:val="22"/>
        </w:rPr>
        <w:t xml:space="preserve">clause </w:t>
      </w:r>
      <w:hyperlink w:anchor="_bookmark63">
        <w:r>
          <w:rPr>
            <w:rStyle w:val="InternetLink"/>
            <w:rFonts w:ascii="Arial" w:hAnsi="Arial"/>
            <w:b/>
            <w:sz w:val="22"/>
          </w:rPr>
          <w:t>5.3</w:t>
        </w:r>
      </w:hyperlink>
      <w:r>
        <w:rPr>
          <w:rFonts w:ascii="Arial" w:hAnsi="Arial"/>
          <w:sz w:val="22"/>
        </w:rPr>
        <w:t xml:space="preserve">. </w:t>
      </w:r>
    </w:p>
    <w:p>
      <w:pPr>
        <w:pStyle w:val="TextBody"/>
        <w:bidi w:val="0"/>
        <w:spacing w:before="127" w:after="0"/>
        <w:ind w:left="3120" w:right="700" w:hanging="0"/>
        <w:jc w:val="left"/>
        <w:rPr>
          <w:rFonts w:ascii="Arial" w:hAnsi="Arial"/>
          <w:sz w:val="20"/>
        </w:rPr>
      </w:pPr>
      <w:r>
        <w:rPr>
          <w:rFonts w:ascii="Arial" w:hAnsi="Arial"/>
          <w:b/>
          <w:sz w:val="21"/>
        </w:rPr>
        <w:t>Insolvency</w:t>
      </w:r>
      <w:r>
        <w:rPr>
          <w:rFonts w:ascii="Arial" w:hAnsi="Arial"/>
          <w:sz w:val="20"/>
        </w:rPr>
        <w:t> </w:t>
      </w:r>
      <w:r>
        <w:rPr>
          <w:rFonts w:ascii="Arial" w:hAnsi="Arial"/>
          <w:sz w:val="21"/>
        </w:rPr>
        <w:t>means:</w:t>
      </w:r>
      <w:r>
        <w:rPr>
          <w:rFonts w:ascii="Arial" w:hAnsi="Arial"/>
          <w:sz w:val="20"/>
        </w:rPr>
        <w:t xml:space="preserve"> </w:t>
      </w:r>
    </w:p>
    <w:p>
      <w:pPr>
        <w:pStyle w:val="TextBody"/>
        <w:bidi w:val="0"/>
        <w:spacing w:lineRule="auto" w:line="266" w:before="148" w:after="0"/>
        <w:ind w:left="3686" w:right="1917" w:hanging="0"/>
        <w:jc w:val="left"/>
        <w:rPr>
          <w:rFonts w:ascii="Arial" w:hAnsi="Arial"/>
          <w:sz w:val="20"/>
        </w:rPr>
      </w:pPr>
      <w:r>
        <w:rPr>
          <w:rFonts w:ascii="Arial" w:hAnsi="Arial"/>
          <w:sz w:val="21"/>
        </w:rPr>
        <w:t>(a)in relation to a corporation, its winding up or dissolution or its administration,</w:t>
      </w:r>
      <w:r>
        <w:rPr>
          <w:rFonts w:ascii="Arial" w:hAnsi="Arial"/>
          <w:sz w:val="20"/>
        </w:rPr>
        <w:t> </w:t>
      </w:r>
      <w:r>
        <w:rPr>
          <w:rFonts w:ascii="Arial" w:hAnsi="Arial"/>
          <w:sz w:val="21"/>
        </w:rPr>
        <w:t>provisional</w:t>
      </w:r>
      <w:r>
        <w:rPr>
          <w:rFonts w:ascii="Arial" w:hAnsi="Arial"/>
          <w:sz w:val="20"/>
        </w:rPr>
        <w:t> </w:t>
      </w:r>
      <w:r>
        <w:rPr>
          <w:rFonts w:ascii="Arial" w:hAnsi="Arial"/>
          <w:sz w:val="21"/>
        </w:rPr>
        <w:t>liquidation</w:t>
      </w:r>
      <w:r>
        <w:rPr>
          <w:rFonts w:ascii="Arial" w:hAnsi="Arial"/>
          <w:sz w:val="20"/>
        </w:rPr>
        <w:t> </w:t>
      </w:r>
      <w:r>
        <w:rPr>
          <w:rFonts w:ascii="Arial" w:hAnsi="Arial"/>
          <w:sz w:val="21"/>
        </w:rPr>
        <w:t>or</w:t>
      </w:r>
      <w:r>
        <w:rPr>
          <w:rFonts w:ascii="Arial" w:hAnsi="Arial"/>
          <w:sz w:val="20"/>
        </w:rPr>
        <w:t> </w:t>
      </w:r>
      <w:r>
        <w:rPr>
          <w:rFonts w:ascii="Arial" w:hAnsi="Arial"/>
          <w:sz w:val="21"/>
        </w:rPr>
        <w:t>any</w:t>
      </w:r>
      <w:r>
        <w:rPr>
          <w:rFonts w:ascii="Arial" w:hAnsi="Arial"/>
          <w:sz w:val="20"/>
        </w:rPr>
        <w:t> </w:t>
      </w:r>
      <w:r>
        <w:rPr>
          <w:rFonts w:ascii="Arial" w:hAnsi="Arial"/>
          <w:sz w:val="21"/>
        </w:rPr>
        <w:t>administration</w:t>
      </w:r>
      <w:r>
        <w:rPr>
          <w:rFonts w:ascii="Arial" w:hAnsi="Arial"/>
          <w:sz w:val="20"/>
        </w:rPr>
        <w:t> </w:t>
      </w:r>
      <w:r>
        <w:rPr>
          <w:rFonts w:ascii="Arial" w:hAnsi="Arial"/>
          <w:sz w:val="21"/>
        </w:rPr>
        <w:t>having</w:t>
      </w:r>
      <w:r>
        <w:rPr>
          <w:rFonts w:ascii="Arial" w:hAnsi="Arial"/>
          <w:sz w:val="20"/>
        </w:rPr>
        <w:t> </w:t>
      </w:r>
      <w:r>
        <w:rPr>
          <w:rFonts w:ascii="Arial" w:hAnsi="Arial"/>
          <w:sz w:val="21"/>
        </w:rPr>
        <w:t>a similar effect;</w:t>
      </w:r>
      <w:r>
        <w:rPr>
          <w:rFonts w:ascii="Arial" w:hAnsi="Arial"/>
          <w:sz w:val="20"/>
        </w:rPr>
        <w:t xml:space="preserve"> </w:t>
      </w:r>
    </w:p>
    <w:p>
      <w:pPr>
        <w:pStyle w:val="TextBody"/>
        <w:bidi w:val="0"/>
        <w:spacing w:before="120" w:after="0"/>
        <w:ind w:left="3686" w:right="700" w:hanging="0"/>
        <w:jc w:val="left"/>
        <w:rPr>
          <w:rFonts w:ascii="Arial" w:hAnsi="Arial"/>
          <w:sz w:val="20"/>
        </w:rPr>
      </w:pPr>
      <w:r>
        <w:rPr>
          <w:rFonts w:ascii="Arial" w:hAnsi="Arial"/>
          <w:sz w:val="21"/>
        </w:rPr>
        <w:t>(b)in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an</w:t>
      </w:r>
      <w:r>
        <w:rPr>
          <w:rFonts w:ascii="Arial" w:hAnsi="Arial"/>
          <w:sz w:val="20"/>
        </w:rPr>
        <w:t> </w:t>
      </w:r>
      <w:r>
        <w:rPr>
          <w:rFonts w:ascii="Arial" w:hAnsi="Arial"/>
          <w:sz w:val="21"/>
        </w:rPr>
        <w:t>individual,</w:t>
      </w:r>
      <w:r>
        <w:rPr>
          <w:rFonts w:ascii="Arial" w:hAnsi="Arial"/>
          <w:sz w:val="20"/>
        </w:rPr>
        <w:t> </w:t>
      </w:r>
      <w:r>
        <w:rPr>
          <w:rFonts w:ascii="Arial" w:hAnsi="Arial"/>
          <w:sz w:val="21"/>
        </w:rPr>
        <w:t>his</w:t>
      </w:r>
      <w:r>
        <w:rPr>
          <w:rFonts w:ascii="Arial" w:hAnsi="Arial"/>
          <w:sz w:val="20"/>
        </w:rPr>
        <w:t> </w:t>
      </w:r>
      <w:r>
        <w:rPr>
          <w:rFonts w:ascii="Arial" w:hAnsi="Arial"/>
          <w:sz w:val="21"/>
        </w:rPr>
        <w:t>or</w:t>
      </w:r>
      <w:r>
        <w:rPr>
          <w:rFonts w:ascii="Arial" w:hAnsi="Arial"/>
          <w:sz w:val="20"/>
        </w:rPr>
        <w:t> </w:t>
      </w:r>
      <w:r>
        <w:rPr>
          <w:rFonts w:ascii="Arial" w:hAnsi="Arial"/>
          <w:sz w:val="21"/>
        </w:rPr>
        <w:t>her</w:t>
      </w:r>
      <w:r>
        <w:rPr>
          <w:rFonts w:ascii="Arial" w:hAnsi="Arial"/>
          <w:sz w:val="20"/>
        </w:rPr>
        <w:t> </w:t>
      </w:r>
      <w:r>
        <w:rPr>
          <w:rFonts w:ascii="Arial" w:hAnsi="Arial"/>
          <w:sz w:val="21"/>
        </w:rPr>
        <w:t>bankruptcy;</w:t>
      </w:r>
      <w:r>
        <w:rPr>
          <w:rFonts w:ascii="Arial" w:hAnsi="Arial"/>
          <w:sz w:val="20"/>
        </w:rPr>
        <w:t xml:space="preserve"> </w:t>
      </w:r>
      <w:r>
        <w:rPr>
          <w:rFonts w:ascii="Arial" w:hAnsi="Arial"/>
          <w:sz w:val="21"/>
        </w:rPr>
        <w:t>and</w:t>
      </w:r>
      <w:r>
        <w:rPr>
          <w:rFonts w:ascii="Arial" w:hAnsi="Arial"/>
          <w:sz w:val="20"/>
        </w:rPr>
        <w:t xml:space="preserve"> </w:t>
      </w:r>
    </w:p>
    <w:p>
      <w:pPr>
        <w:pStyle w:val="TextBody"/>
        <w:bidi w:val="0"/>
        <w:spacing w:lineRule="auto" w:line="266" w:before="147" w:after="0"/>
        <w:ind w:left="3686" w:right="1472" w:hanging="0"/>
        <w:jc w:val="left"/>
        <w:rPr>
          <w:rFonts w:ascii="Arial" w:hAnsi="Arial"/>
          <w:sz w:val="20"/>
        </w:rPr>
      </w:pPr>
      <w:r>
        <w:rPr>
          <w:rFonts w:ascii="Arial" w:hAnsi="Arial"/>
          <w:sz w:val="21"/>
        </w:rPr>
        <w:t>(c)in relation to a person, any arrangement (including a scheme of arrangement or deed of company arrangement), composition or compromise</w:t>
      </w:r>
      <w:r>
        <w:rPr>
          <w:rFonts w:ascii="Arial" w:hAnsi="Arial"/>
          <w:sz w:val="20"/>
        </w:rPr>
        <w:t> </w:t>
      </w:r>
      <w:r>
        <w:rPr>
          <w:rFonts w:ascii="Arial" w:hAnsi="Arial"/>
          <w:sz w:val="21"/>
        </w:rPr>
        <w:t>with,</w:t>
      </w:r>
      <w:r>
        <w:rPr>
          <w:rFonts w:ascii="Arial" w:hAnsi="Arial"/>
          <w:sz w:val="20"/>
        </w:rPr>
        <w:t> </w:t>
      </w:r>
      <w:r>
        <w:rPr>
          <w:rFonts w:ascii="Arial" w:hAnsi="Arial"/>
          <w:sz w:val="21"/>
        </w:rPr>
        <w:t>or</w:t>
      </w:r>
      <w:r>
        <w:rPr>
          <w:rFonts w:ascii="Arial" w:hAnsi="Arial"/>
          <w:sz w:val="20"/>
        </w:rPr>
        <w:t> </w:t>
      </w:r>
      <w:r>
        <w:rPr>
          <w:rFonts w:ascii="Arial" w:hAnsi="Arial"/>
          <w:sz w:val="21"/>
        </w:rPr>
        <w:t>assignment</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benefit</w:t>
      </w:r>
      <w:r>
        <w:rPr>
          <w:rFonts w:ascii="Arial" w:hAnsi="Arial"/>
          <w:sz w:val="20"/>
        </w:rPr>
        <w:t> </w:t>
      </w:r>
      <w:r>
        <w:rPr>
          <w:rFonts w:ascii="Arial" w:hAnsi="Arial"/>
          <w:sz w:val="21"/>
        </w:rPr>
        <w:t>of,</w:t>
      </w:r>
      <w:r>
        <w:rPr>
          <w:rFonts w:ascii="Arial" w:hAnsi="Arial"/>
          <w:sz w:val="20"/>
        </w:rPr>
        <w:t> </w:t>
      </w:r>
      <w:r>
        <w:rPr>
          <w:rFonts w:ascii="Arial" w:hAnsi="Arial"/>
          <w:sz w:val="21"/>
        </w:rPr>
        <w:t>all</w:t>
      </w:r>
      <w:r>
        <w:rPr>
          <w:rFonts w:ascii="Arial" w:hAnsi="Arial"/>
          <w:sz w:val="20"/>
        </w:rPr>
        <w:t> </w:t>
      </w:r>
      <w:r>
        <w:rPr>
          <w:rFonts w:ascii="Arial" w:hAnsi="Arial"/>
          <w:sz w:val="21"/>
        </w:rPr>
        <w:t>or</w:t>
      </w:r>
      <w:r>
        <w:rPr>
          <w:rFonts w:ascii="Arial" w:hAnsi="Arial"/>
          <w:sz w:val="20"/>
        </w:rPr>
        <w:t> </w:t>
      </w:r>
      <w:r>
        <w:rPr>
          <w:rFonts w:ascii="Arial" w:hAnsi="Arial"/>
          <w:sz w:val="21"/>
        </w:rPr>
        <w:t>any</w:t>
      </w:r>
      <w:r>
        <w:rPr>
          <w:rFonts w:ascii="Arial" w:hAnsi="Arial"/>
          <w:sz w:val="20"/>
        </w:rPr>
        <w:t> </w:t>
      </w:r>
      <w:r>
        <w:rPr>
          <w:rFonts w:ascii="Arial" w:hAnsi="Arial"/>
          <w:sz w:val="21"/>
        </w:rPr>
        <w:t>class</w:t>
      </w:r>
      <w:r>
        <w:rPr>
          <w:rFonts w:ascii="Arial" w:hAnsi="Arial"/>
          <w:sz w:val="20"/>
        </w:rPr>
        <w:t> </w:t>
      </w:r>
      <w:r>
        <w:rPr>
          <w:rFonts w:ascii="Arial" w:hAnsi="Arial"/>
          <w:sz w:val="21"/>
        </w:rPr>
        <w:t>of</w:t>
      </w:r>
      <w:r>
        <w:rPr>
          <w:rFonts w:ascii="Arial" w:hAnsi="Arial"/>
          <w:sz w:val="20"/>
        </w:rPr>
        <w:t> </w:t>
      </w:r>
      <w:r>
        <w:rPr>
          <w:rFonts w:ascii="Arial" w:hAnsi="Arial"/>
          <w:sz w:val="21"/>
        </w:rPr>
        <w:t>that person’s creditors or members or a moratorium involving any of them.</w:t>
      </w:r>
      <w:r>
        <w:rPr>
          <w:rFonts w:ascii="Arial" w:hAnsi="Arial"/>
          <w:sz w:val="20"/>
        </w:rPr>
        <w:t xml:space="preserve"> </w:t>
      </w:r>
    </w:p>
    <w:p>
      <w:pPr>
        <w:pStyle w:val="TextBody"/>
        <w:bidi w:val="0"/>
        <w:spacing w:before="118" w:after="0"/>
        <w:ind w:left="3120" w:right="700" w:hanging="0"/>
        <w:jc w:val="left"/>
        <w:rPr>
          <w:rFonts w:ascii="Arial" w:hAnsi="Arial"/>
          <w:sz w:val="20"/>
        </w:rPr>
      </w:pPr>
      <w:r>
        <w:rPr>
          <w:rFonts w:ascii="Arial" w:hAnsi="Arial"/>
          <w:b/>
          <w:sz w:val="21"/>
        </w:rPr>
        <w:t>Insolvency</w:t>
      </w:r>
      <w:r>
        <w:rPr>
          <w:rFonts w:ascii="Arial" w:hAnsi="Arial"/>
          <w:sz w:val="20"/>
        </w:rPr>
        <w:t> </w:t>
      </w:r>
      <w:r>
        <w:rPr>
          <w:rFonts w:ascii="Arial" w:hAnsi="Arial"/>
          <w:b/>
          <w:sz w:val="21"/>
        </w:rPr>
        <w:t>Event</w:t>
      </w:r>
      <w:r>
        <w:rPr>
          <w:rFonts w:ascii="Arial" w:hAnsi="Arial"/>
          <w:sz w:val="20"/>
        </w:rPr>
        <w:t> </w:t>
      </w:r>
      <w:r>
        <w:rPr>
          <w:rFonts w:ascii="Arial" w:hAnsi="Arial"/>
          <w:sz w:val="21"/>
        </w:rPr>
        <w:t>means</w:t>
      </w:r>
      <w:r>
        <w:rPr>
          <w:rFonts w:ascii="Arial" w:hAnsi="Arial"/>
          <w:sz w:val="20"/>
        </w:rPr>
        <w:t> </w:t>
      </w:r>
      <w:r>
        <w:rPr>
          <w:rFonts w:ascii="Arial" w:hAnsi="Arial"/>
          <w:sz w:val="21"/>
        </w:rPr>
        <w:t>any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following:</w:t>
      </w:r>
      <w:r>
        <w:rPr>
          <w:rFonts w:ascii="Arial" w:hAnsi="Arial"/>
          <w:sz w:val="20"/>
        </w:rPr>
        <w:t xml:space="preserve"> </w:t>
      </w:r>
    </w:p>
    <w:p>
      <w:pPr>
        <w:pStyle w:val="TextBody"/>
        <w:bidi w:val="0"/>
        <w:spacing w:lineRule="auto" w:line="266" w:before="148" w:after="0"/>
        <w:ind w:left="3686" w:right="1644" w:hanging="0"/>
        <w:jc w:val="left"/>
        <w:rPr>
          <w:rFonts w:ascii="Arial" w:hAnsi="Arial"/>
          <w:sz w:val="20"/>
        </w:rPr>
      </w:pPr>
      <w:r>
        <w:rPr>
          <w:rFonts w:ascii="Arial" w:hAnsi="Arial"/>
          <w:sz w:val="21"/>
        </w:rPr>
        <w:t>(a)a</w:t>
      </w:r>
      <w:r>
        <w:rPr>
          <w:rFonts w:ascii="Arial" w:hAnsi="Arial"/>
          <w:sz w:val="20"/>
        </w:rPr>
        <w:t> </w:t>
      </w:r>
      <w:r>
        <w:rPr>
          <w:rFonts w:ascii="Arial" w:hAnsi="Arial"/>
          <w:sz w:val="21"/>
        </w:rPr>
        <w:t>person</w:t>
      </w:r>
      <w:r>
        <w:rPr>
          <w:rFonts w:ascii="Arial" w:hAnsi="Arial"/>
          <w:sz w:val="20"/>
        </w:rPr>
        <w:t> </w:t>
      </w:r>
      <w:r>
        <w:rPr>
          <w:rFonts w:ascii="Arial" w:hAnsi="Arial"/>
          <w:sz w:val="21"/>
        </w:rPr>
        <w:t>is</w:t>
      </w:r>
      <w:r>
        <w:rPr>
          <w:rFonts w:ascii="Arial" w:hAnsi="Arial"/>
          <w:sz w:val="20"/>
        </w:rPr>
        <w:t> </w:t>
      </w:r>
      <w:r>
        <w:rPr>
          <w:rFonts w:ascii="Arial" w:hAnsi="Arial"/>
          <w:sz w:val="21"/>
        </w:rPr>
        <w:t>or</w:t>
      </w:r>
      <w:r>
        <w:rPr>
          <w:rFonts w:ascii="Arial" w:hAnsi="Arial"/>
          <w:sz w:val="20"/>
        </w:rPr>
        <w:t> </w:t>
      </w:r>
      <w:r>
        <w:rPr>
          <w:rFonts w:ascii="Arial" w:hAnsi="Arial"/>
          <w:sz w:val="21"/>
        </w:rPr>
        <w:t>states</w:t>
      </w:r>
      <w:r>
        <w:rPr>
          <w:rFonts w:ascii="Arial" w:hAnsi="Arial"/>
          <w:sz w:val="20"/>
        </w:rPr>
        <w:t> </w:t>
      </w:r>
      <w:r>
        <w:rPr>
          <w:rFonts w:ascii="Arial" w:hAnsi="Arial"/>
          <w:sz w:val="21"/>
        </w:rPr>
        <w:t>that</w:t>
      </w:r>
      <w:r>
        <w:rPr>
          <w:rFonts w:ascii="Arial" w:hAnsi="Arial"/>
          <w:sz w:val="20"/>
        </w:rPr>
        <w:t> </w:t>
      </w:r>
      <w:r>
        <w:rPr>
          <w:rFonts w:ascii="Arial" w:hAnsi="Arial"/>
          <w:sz w:val="21"/>
        </w:rPr>
        <w:t>the</w:t>
      </w:r>
      <w:r>
        <w:rPr>
          <w:rFonts w:ascii="Arial" w:hAnsi="Arial"/>
          <w:sz w:val="20"/>
        </w:rPr>
        <w:t> </w:t>
      </w:r>
      <w:r>
        <w:rPr>
          <w:rFonts w:ascii="Arial" w:hAnsi="Arial"/>
          <w:sz w:val="21"/>
        </w:rPr>
        <w:t>person</w:t>
      </w:r>
      <w:r>
        <w:rPr>
          <w:rFonts w:ascii="Arial" w:hAnsi="Arial"/>
          <w:sz w:val="20"/>
        </w:rPr>
        <w:t> </w:t>
      </w:r>
      <w:r>
        <w:rPr>
          <w:rFonts w:ascii="Arial" w:hAnsi="Arial"/>
          <w:sz w:val="21"/>
        </w:rPr>
        <w:t>is</w:t>
      </w:r>
      <w:r>
        <w:rPr>
          <w:rFonts w:ascii="Arial" w:hAnsi="Arial"/>
          <w:sz w:val="20"/>
        </w:rPr>
        <w:t> </w:t>
      </w:r>
      <w:r>
        <w:rPr>
          <w:rFonts w:ascii="Arial" w:hAnsi="Arial"/>
          <w:sz w:val="21"/>
        </w:rPr>
        <w:t>unable</w:t>
      </w:r>
      <w:r>
        <w:rPr>
          <w:rFonts w:ascii="Arial" w:hAnsi="Arial"/>
          <w:sz w:val="20"/>
        </w:rPr>
        <w:t> </w:t>
      </w:r>
      <w:r>
        <w:rPr>
          <w:rFonts w:ascii="Arial" w:hAnsi="Arial"/>
          <w:sz w:val="21"/>
        </w:rPr>
        <w:t>to</w:t>
      </w:r>
      <w:r>
        <w:rPr>
          <w:rFonts w:ascii="Arial" w:hAnsi="Arial"/>
          <w:sz w:val="20"/>
        </w:rPr>
        <w:t> </w:t>
      </w:r>
      <w:r>
        <w:rPr>
          <w:rFonts w:ascii="Arial" w:hAnsi="Arial"/>
          <w:sz w:val="21"/>
        </w:rPr>
        <w:t>pay</w:t>
      </w:r>
      <w:r>
        <w:rPr>
          <w:rFonts w:ascii="Arial" w:hAnsi="Arial"/>
          <w:sz w:val="20"/>
        </w:rPr>
        <w:t> </w:t>
      </w:r>
      <w:r>
        <w:rPr>
          <w:rFonts w:ascii="Arial" w:hAnsi="Arial"/>
          <w:sz w:val="21"/>
        </w:rPr>
        <w:t>from the</w:t>
      </w:r>
      <w:r>
        <w:rPr>
          <w:rFonts w:ascii="Arial" w:hAnsi="Arial"/>
          <w:sz w:val="20"/>
        </w:rPr>
        <w:t> </w:t>
      </w:r>
      <w:r>
        <w:rPr>
          <w:rFonts w:ascii="Arial" w:hAnsi="Arial"/>
          <w:sz w:val="21"/>
        </w:rPr>
        <w:t>person’s own money (or funds or commitments provided by another Reading Entertainment Australia Group Member) all the person’s debts as and when they become due and payable;</w:t>
      </w:r>
      <w:r>
        <w:rPr>
          <w:rFonts w:ascii="Arial" w:hAnsi="Arial"/>
          <w:sz w:val="20"/>
        </w:rPr>
        <w:t xml:space="preserve"> </w:t>
      </w:r>
    </w:p>
    <w:p>
      <w:pPr>
        <w:pStyle w:val="TextBody"/>
        <w:bidi w:val="0"/>
        <w:spacing w:lineRule="auto" w:line="266" w:before="118" w:after="0"/>
        <w:ind w:left="3686" w:right="1585" w:hanging="0"/>
        <w:jc w:val="left"/>
        <w:rPr>
          <w:rFonts w:ascii="Arial" w:hAnsi="Arial"/>
          <w:sz w:val="20"/>
        </w:rPr>
      </w:pPr>
      <w:r>
        <w:rPr>
          <w:rFonts w:ascii="Arial" w:hAnsi="Arial"/>
          <w:sz w:val="21"/>
        </w:rPr>
        <w:t>(b)a</w:t>
      </w:r>
      <w:r>
        <w:rPr>
          <w:rFonts w:ascii="Arial" w:hAnsi="Arial"/>
          <w:sz w:val="20"/>
        </w:rPr>
        <w:t> </w:t>
      </w:r>
      <w:r>
        <w:rPr>
          <w:rFonts w:ascii="Arial" w:hAnsi="Arial"/>
          <w:sz w:val="21"/>
        </w:rPr>
        <w:t>person</w:t>
      </w:r>
      <w:r>
        <w:rPr>
          <w:rFonts w:ascii="Arial" w:hAnsi="Arial"/>
          <w:sz w:val="20"/>
        </w:rPr>
        <w:t> </w:t>
      </w:r>
      <w:r>
        <w:rPr>
          <w:rFonts w:ascii="Arial" w:hAnsi="Arial"/>
          <w:sz w:val="21"/>
        </w:rPr>
        <w:t>is</w:t>
      </w:r>
      <w:r>
        <w:rPr>
          <w:rFonts w:ascii="Arial" w:hAnsi="Arial"/>
          <w:sz w:val="20"/>
        </w:rPr>
        <w:t> </w:t>
      </w:r>
      <w:r>
        <w:rPr>
          <w:rFonts w:ascii="Arial" w:hAnsi="Arial"/>
          <w:sz w:val="21"/>
        </w:rPr>
        <w:t>taken</w:t>
      </w:r>
      <w:r>
        <w:rPr>
          <w:rFonts w:ascii="Arial" w:hAnsi="Arial"/>
          <w:sz w:val="20"/>
        </w:rPr>
        <w:t> </w:t>
      </w:r>
      <w:r>
        <w:rPr>
          <w:rFonts w:ascii="Arial" w:hAnsi="Arial"/>
          <w:sz w:val="21"/>
        </w:rPr>
        <w:t>or</w:t>
      </w:r>
      <w:r>
        <w:rPr>
          <w:rFonts w:ascii="Arial" w:hAnsi="Arial"/>
          <w:sz w:val="20"/>
        </w:rPr>
        <w:t> </w:t>
      </w:r>
      <w:r>
        <w:rPr>
          <w:rFonts w:ascii="Arial" w:hAnsi="Arial"/>
          <w:sz w:val="21"/>
        </w:rPr>
        <w:t>must</w:t>
      </w:r>
      <w:r>
        <w:rPr>
          <w:rFonts w:ascii="Arial" w:hAnsi="Arial"/>
          <w:sz w:val="20"/>
        </w:rPr>
        <w:t> </w:t>
      </w:r>
      <w:r>
        <w:rPr>
          <w:rFonts w:ascii="Arial" w:hAnsi="Arial"/>
          <w:sz w:val="21"/>
        </w:rPr>
        <w:t>be</w:t>
      </w:r>
      <w:r>
        <w:rPr>
          <w:rFonts w:ascii="Arial" w:hAnsi="Arial"/>
          <w:sz w:val="20"/>
        </w:rPr>
        <w:t> </w:t>
      </w:r>
      <w:r>
        <w:rPr>
          <w:rFonts w:ascii="Arial" w:hAnsi="Arial"/>
          <w:sz w:val="21"/>
        </w:rPr>
        <w:t>presumed</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insolvent</w:t>
      </w:r>
      <w:r>
        <w:rPr>
          <w:rFonts w:ascii="Arial" w:hAnsi="Arial"/>
          <w:sz w:val="20"/>
        </w:rPr>
        <w:t> </w:t>
      </w:r>
      <w:r>
        <w:rPr>
          <w:rFonts w:ascii="Arial" w:hAnsi="Arial"/>
          <w:sz w:val="21"/>
        </w:rPr>
        <w:t>or</w:t>
      </w:r>
      <w:r>
        <w:rPr>
          <w:rFonts w:ascii="Arial" w:hAnsi="Arial"/>
          <w:sz w:val="20"/>
        </w:rPr>
        <w:t> </w:t>
      </w:r>
      <w:r>
        <w:rPr>
          <w:rFonts w:ascii="Arial" w:hAnsi="Arial"/>
          <w:sz w:val="21"/>
        </w:rPr>
        <w:t>unable</w:t>
      </w:r>
      <w:r>
        <w:rPr>
          <w:rFonts w:ascii="Arial" w:hAnsi="Arial"/>
          <w:sz w:val="20"/>
        </w:rPr>
        <w:t> </w:t>
      </w:r>
      <w:r>
        <w:rPr>
          <w:rFonts w:ascii="Arial" w:hAnsi="Arial"/>
          <w:sz w:val="21"/>
        </w:rPr>
        <w:t>to</w:t>
      </w:r>
      <w:r>
        <w:rPr>
          <w:rFonts w:ascii="Arial" w:hAnsi="Arial"/>
          <w:sz w:val="20"/>
        </w:rPr>
        <w:t> </w:t>
      </w:r>
      <w:r>
        <w:rPr>
          <w:rFonts w:ascii="Arial" w:hAnsi="Arial"/>
          <w:sz w:val="21"/>
        </w:rPr>
        <w:t>pay the person’s debts under any applicable legislation;</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1762" w:hanging="0"/>
        <w:jc w:val="left"/>
        <w:rPr>
          <w:rFonts w:ascii="Arial" w:hAnsi="Arial"/>
          <w:sz w:val="20"/>
        </w:rPr>
      </w:pPr>
      <w:r>
        <w:rPr>
          <w:rFonts w:ascii="Arial" w:hAnsi="Arial"/>
          <w:sz w:val="21"/>
        </w:rPr>
        <w:t>(c)an order is made for the winding up or dissolution or an effective resolution</w:t>
      </w:r>
      <w:r>
        <w:rPr>
          <w:rFonts w:ascii="Arial" w:hAnsi="Arial"/>
          <w:sz w:val="20"/>
        </w:rPr>
        <w:t> </w:t>
      </w:r>
      <w:r>
        <w:rPr>
          <w:rFonts w:ascii="Arial" w:hAnsi="Arial"/>
          <w:sz w:val="21"/>
        </w:rPr>
        <w:t>is</w:t>
      </w:r>
      <w:r>
        <w:rPr>
          <w:rFonts w:ascii="Arial" w:hAnsi="Arial"/>
          <w:sz w:val="20"/>
        </w:rPr>
        <w:t> </w:t>
      </w:r>
      <w:r>
        <w:rPr>
          <w:rFonts w:ascii="Arial" w:hAnsi="Arial"/>
          <w:sz w:val="21"/>
        </w:rPr>
        <w:t>passed</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winding</w:t>
      </w:r>
      <w:r>
        <w:rPr>
          <w:rFonts w:ascii="Arial" w:hAnsi="Arial"/>
          <w:sz w:val="20"/>
        </w:rPr>
        <w:t> </w:t>
      </w:r>
      <w:r>
        <w:rPr>
          <w:rFonts w:ascii="Arial" w:hAnsi="Arial"/>
          <w:sz w:val="21"/>
        </w:rPr>
        <w:t>up</w:t>
      </w:r>
      <w:r>
        <w:rPr>
          <w:rFonts w:ascii="Arial" w:hAnsi="Arial"/>
          <w:sz w:val="20"/>
        </w:rPr>
        <w:t> </w:t>
      </w:r>
      <w:r>
        <w:rPr>
          <w:rFonts w:ascii="Arial" w:hAnsi="Arial"/>
          <w:sz w:val="21"/>
        </w:rPr>
        <w:t>or</w:t>
      </w:r>
      <w:r>
        <w:rPr>
          <w:rFonts w:ascii="Arial" w:hAnsi="Arial"/>
          <w:sz w:val="20"/>
        </w:rPr>
        <w:t> </w:t>
      </w:r>
      <w:r>
        <w:rPr>
          <w:rFonts w:ascii="Arial" w:hAnsi="Arial"/>
          <w:sz w:val="21"/>
        </w:rPr>
        <w:t>dissolution</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corporation;</w:t>
      </w:r>
      <w:r>
        <w:rPr>
          <w:rFonts w:ascii="Arial" w:hAnsi="Arial"/>
          <w:sz w:val="20"/>
        </w:rPr>
        <w:t xml:space="preserve"> </w:t>
      </w:r>
    </w:p>
    <w:p>
      <w:pPr>
        <w:pStyle w:val="TextBody"/>
        <w:bidi w:val="0"/>
        <w:spacing w:lineRule="auto" w:line="266" w:before="0" w:after="0"/>
        <w:ind w:left="3686" w:right="1414" w:hanging="0"/>
        <w:jc w:val="left"/>
        <w:rPr>
          <w:rFonts w:ascii="Arial" w:hAnsi="Arial"/>
          <w:sz w:val="20"/>
        </w:rPr>
      </w:pPr>
      <w:r>
        <w:rPr>
          <w:rFonts w:ascii="Arial" w:hAnsi="Arial"/>
          <w:sz w:val="21"/>
        </w:rPr>
        <w:t>(d)an administrator, provisional liquidator, liquidator or person having a similar</w:t>
      </w:r>
      <w:r>
        <w:rPr>
          <w:rFonts w:ascii="Arial" w:hAnsi="Arial"/>
          <w:sz w:val="20"/>
        </w:rPr>
        <w:t> </w:t>
      </w:r>
      <w:r>
        <w:rPr>
          <w:rFonts w:ascii="Arial" w:hAnsi="Arial"/>
          <w:sz w:val="21"/>
        </w:rPr>
        <w:t>or</w:t>
      </w:r>
      <w:r>
        <w:rPr>
          <w:rFonts w:ascii="Arial" w:hAnsi="Arial"/>
          <w:sz w:val="20"/>
        </w:rPr>
        <w:t> </w:t>
      </w:r>
      <w:r>
        <w:rPr>
          <w:rFonts w:ascii="Arial" w:hAnsi="Arial"/>
          <w:sz w:val="21"/>
        </w:rPr>
        <w:t>analogous</w:t>
      </w:r>
      <w:r>
        <w:rPr>
          <w:rFonts w:ascii="Arial" w:hAnsi="Arial"/>
          <w:sz w:val="20"/>
        </w:rPr>
        <w:t> </w:t>
      </w:r>
      <w:r>
        <w:rPr>
          <w:rFonts w:ascii="Arial" w:hAnsi="Arial"/>
          <w:sz w:val="21"/>
        </w:rPr>
        <w:t>function</w:t>
      </w:r>
      <w:r>
        <w:rPr>
          <w:rFonts w:ascii="Arial" w:hAnsi="Arial"/>
          <w:sz w:val="20"/>
        </w:rPr>
        <w:t> </w:t>
      </w:r>
      <w:r>
        <w:rPr>
          <w:rFonts w:ascii="Arial" w:hAnsi="Arial"/>
          <w:sz w:val="21"/>
        </w:rPr>
        <w:t>under</w:t>
      </w:r>
      <w:r>
        <w:rPr>
          <w:rFonts w:ascii="Arial" w:hAnsi="Arial"/>
          <w:sz w:val="20"/>
        </w:rPr>
        <w:t> </w:t>
      </w:r>
      <w:r>
        <w:rPr>
          <w:rFonts w:ascii="Arial" w:hAnsi="Arial"/>
          <w:sz w:val="21"/>
        </w:rPr>
        <w:t>the</w:t>
      </w:r>
      <w:r>
        <w:rPr>
          <w:rFonts w:ascii="Arial" w:hAnsi="Arial"/>
          <w:sz w:val="20"/>
        </w:rPr>
        <w:t> </w:t>
      </w:r>
      <w:r>
        <w:rPr>
          <w:rFonts w:ascii="Arial" w:hAnsi="Arial"/>
          <w:sz w:val="21"/>
        </w:rPr>
        <w:t>laws</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relevant</w:t>
      </w:r>
      <w:r>
        <w:rPr>
          <w:rFonts w:ascii="Arial" w:hAnsi="Arial"/>
          <w:sz w:val="20"/>
        </w:rPr>
        <w:t> </w:t>
      </w:r>
      <w:r>
        <w:rPr>
          <w:rFonts w:ascii="Arial" w:hAnsi="Arial"/>
          <w:sz w:val="21"/>
        </w:rPr>
        <w:t>jurisdiction</w:t>
      </w:r>
      <w:r>
        <w:rPr>
          <w:rFonts w:ascii="Arial" w:hAnsi="Arial"/>
          <w:sz w:val="20"/>
        </w:rPr>
        <w:t> </w:t>
      </w:r>
      <w:r>
        <w:rPr>
          <w:rFonts w:ascii="Arial" w:hAnsi="Arial"/>
          <w:sz w:val="21"/>
        </w:rPr>
        <w:t>is appointed in relation to a corporation or an effective resolution is passed to appoint any such person and the action is not stayed, withdrawn or dismissed within 10 Business Days;</w:t>
      </w:r>
      <w:r>
        <w:rPr>
          <w:rFonts w:ascii="Arial" w:hAnsi="Arial"/>
          <w:sz w:val="20"/>
        </w:rPr>
        <w:t xml:space="preserve"> </w:t>
      </w:r>
    </w:p>
    <w:p>
      <w:pPr>
        <w:pStyle w:val="TextBody"/>
        <w:bidi w:val="0"/>
        <w:spacing w:before="120" w:after="0"/>
        <w:ind w:left="3686" w:right="700" w:hanging="0"/>
        <w:jc w:val="left"/>
        <w:rPr>
          <w:rFonts w:ascii="Arial" w:hAnsi="Arial"/>
          <w:sz w:val="20"/>
        </w:rPr>
      </w:pPr>
      <w:r>
        <w:rPr>
          <w:rFonts w:ascii="Arial" w:hAnsi="Arial"/>
          <w:sz w:val="21"/>
        </w:rPr>
        <w:t>(e)a</w:t>
      </w:r>
      <w:r>
        <w:rPr>
          <w:rFonts w:ascii="Arial" w:hAnsi="Arial"/>
          <w:sz w:val="20"/>
        </w:rPr>
        <w:t> </w:t>
      </w:r>
      <w:r>
        <w:rPr>
          <w:rFonts w:ascii="Arial" w:hAnsi="Arial"/>
          <w:sz w:val="21"/>
        </w:rPr>
        <w:t>controller</w:t>
      </w:r>
      <w:r>
        <w:rPr>
          <w:rFonts w:ascii="Arial" w:hAnsi="Arial"/>
          <w:sz w:val="20"/>
        </w:rPr>
        <w:t> </w:t>
      </w:r>
      <w:r>
        <w:rPr>
          <w:rFonts w:ascii="Arial" w:hAnsi="Arial"/>
          <w:sz w:val="21"/>
        </w:rPr>
        <w:t>is</w:t>
      </w:r>
      <w:r>
        <w:rPr>
          <w:rFonts w:ascii="Arial" w:hAnsi="Arial"/>
          <w:sz w:val="20"/>
        </w:rPr>
        <w:t> </w:t>
      </w:r>
      <w:r>
        <w:rPr>
          <w:rFonts w:ascii="Arial" w:hAnsi="Arial"/>
          <w:sz w:val="21"/>
        </w:rPr>
        <w:t>appointed</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any</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corporation;</w:t>
      </w:r>
      <w:r>
        <w:rPr>
          <w:rFonts w:ascii="Arial" w:hAnsi="Arial"/>
          <w:sz w:val="20"/>
        </w:rPr>
        <w:t xml:space="preserve"> </w:t>
      </w:r>
    </w:p>
    <w:p>
      <w:pPr>
        <w:pStyle w:val="TextBody"/>
        <w:bidi w:val="0"/>
        <w:spacing w:lineRule="auto" w:line="266" w:before="147" w:after="0"/>
        <w:ind w:left="3686" w:right="1608" w:hanging="0"/>
        <w:jc w:val="left"/>
        <w:rPr>
          <w:rFonts w:ascii="Arial" w:hAnsi="Arial"/>
          <w:sz w:val="20"/>
        </w:rPr>
      </w:pPr>
      <w:r>
        <w:rPr>
          <w:rFonts w:ascii="Arial" w:hAnsi="Arial"/>
          <w:sz w:val="21"/>
        </w:rPr>
        <w:t>(f)a</w:t>
      </w:r>
      <w:r>
        <w:rPr>
          <w:rFonts w:ascii="Arial" w:hAnsi="Arial"/>
          <w:sz w:val="20"/>
        </w:rPr>
        <w:t> </w:t>
      </w:r>
      <w:r>
        <w:rPr>
          <w:rFonts w:ascii="Arial" w:hAnsi="Arial"/>
          <w:sz w:val="21"/>
        </w:rPr>
        <w:t>corporation</w:t>
      </w:r>
      <w:r>
        <w:rPr>
          <w:rFonts w:ascii="Arial" w:hAnsi="Arial"/>
          <w:sz w:val="20"/>
        </w:rPr>
        <w:t> </w:t>
      </w:r>
      <w:r>
        <w:rPr>
          <w:rFonts w:ascii="Arial" w:hAnsi="Arial"/>
          <w:sz w:val="21"/>
        </w:rPr>
        <w:t>is</w:t>
      </w:r>
      <w:r>
        <w:rPr>
          <w:rFonts w:ascii="Arial" w:hAnsi="Arial"/>
          <w:sz w:val="20"/>
        </w:rPr>
        <w:t> </w:t>
      </w:r>
      <w:r>
        <w:rPr>
          <w:rFonts w:ascii="Arial" w:hAnsi="Arial"/>
          <w:sz w:val="21"/>
        </w:rPr>
        <w:t>deregistered</w:t>
      </w:r>
      <w:r>
        <w:rPr>
          <w:rFonts w:ascii="Arial" w:hAnsi="Arial"/>
          <w:sz w:val="20"/>
        </w:rPr>
        <w:t> </w:t>
      </w:r>
      <w:r>
        <w:rPr>
          <w:rFonts w:ascii="Arial" w:hAnsi="Arial"/>
          <w:sz w:val="21"/>
        </w:rPr>
        <w:t>under</w:t>
      </w:r>
      <w:r>
        <w:rPr>
          <w:rFonts w:ascii="Arial" w:hAnsi="Arial"/>
          <w:sz w:val="20"/>
        </w:rPr>
        <w:t> </w:t>
      </w:r>
      <w:r>
        <w:rPr>
          <w:rFonts w:ascii="Arial" w:hAnsi="Arial"/>
          <w:sz w:val="21"/>
        </w:rPr>
        <w:t>the</w:t>
      </w:r>
      <w:r>
        <w:rPr>
          <w:rFonts w:ascii="Arial" w:hAnsi="Arial"/>
          <w:sz w:val="20"/>
        </w:rPr>
        <w:t> </w:t>
      </w:r>
      <w:r>
        <w:rPr>
          <w:rFonts w:ascii="Arial" w:hAnsi="Arial"/>
          <w:sz w:val="21"/>
        </w:rPr>
        <w:t>Corporations</w:t>
      </w:r>
      <w:r>
        <w:rPr>
          <w:rFonts w:ascii="Arial" w:hAnsi="Arial"/>
          <w:sz w:val="20"/>
        </w:rPr>
        <w:t> </w:t>
      </w:r>
      <w:r>
        <w:rPr>
          <w:rFonts w:ascii="Arial" w:hAnsi="Arial"/>
          <w:sz w:val="21"/>
        </w:rPr>
        <w:t>Act</w:t>
      </w:r>
      <w:r>
        <w:rPr>
          <w:rFonts w:ascii="Arial" w:hAnsi="Arial"/>
          <w:sz w:val="20"/>
        </w:rPr>
        <w:t> </w:t>
      </w:r>
      <w:r>
        <w:rPr>
          <w:rFonts w:ascii="Arial" w:hAnsi="Arial"/>
          <w:sz w:val="21"/>
        </w:rPr>
        <w:t>or</w:t>
      </w:r>
      <w:r>
        <w:rPr>
          <w:rFonts w:ascii="Arial" w:hAnsi="Arial"/>
          <w:sz w:val="20"/>
        </w:rPr>
        <w:t> </w:t>
      </w:r>
      <w:r>
        <w:rPr>
          <w:rFonts w:ascii="Arial" w:hAnsi="Arial"/>
          <w:sz w:val="21"/>
        </w:rPr>
        <w:t>notice</w:t>
      </w:r>
      <w:r>
        <w:rPr>
          <w:rFonts w:ascii="Arial" w:hAnsi="Arial"/>
          <w:sz w:val="20"/>
        </w:rPr>
        <w:t> </w:t>
      </w:r>
      <w:r>
        <w:rPr>
          <w:rFonts w:ascii="Arial" w:hAnsi="Arial"/>
          <w:sz w:val="21"/>
        </w:rPr>
        <w:t>of</w:t>
      </w:r>
      <w:r>
        <w:rPr>
          <w:rFonts w:ascii="Arial" w:hAnsi="Arial"/>
          <w:sz w:val="20"/>
        </w:rPr>
        <w:t> </w:t>
      </w:r>
      <w:r>
        <w:rPr>
          <w:rFonts w:ascii="Arial" w:hAnsi="Arial"/>
          <w:sz w:val="21"/>
        </w:rPr>
        <w:t>its proposed deregistration is given to the corporation;</w:t>
      </w:r>
      <w:r>
        <w:rPr>
          <w:rFonts w:ascii="Arial" w:hAnsi="Arial"/>
          <w:sz w:val="20"/>
        </w:rPr>
        <w:t xml:space="preserve"> </w:t>
      </w:r>
    </w:p>
    <w:p>
      <w:pPr>
        <w:pStyle w:val="TextBody"/>
        <w:bidi w:val="0"/>
        <w:spacing w:lineRule="auto" w:line="266" w:before="0" w:after="0"/>
        <w:ind w:left="3686" w:right="1821" w:hanging="0"/>
        <w:jc w:val="left"/>
        <w:rPr>
          <w:rFonts w:ascii="Arial" w:hAnsi="Arial"/>
          <w:sz w:val="20"/>
        </w:rPr>
      </w:pPr>
      <w:r>
        <w:rPr>
          <w:rFonts w:ascii="Arial" w:hAnsi="Arial"/>
          <w:sz w:val="21"/>
        </w:rPr>
        <w:t>(g)a</w:t>
      </w:r>
      <w:r>
        <w:rPr>
          <w:rFonts w:ascii="Arial" w:hAnsi="Arial"/>
          <w:sz w:val="20"/>
        </w:rPr>
        <w:t> </w:t>
      </w:r>
      <w:r>
        <w:rPr>
          <w:rFonts w:ascii="Arial" w:hAnsi="Arial"/>
          <w:sz w:val="21"/>
        </w:rPr>
        <w:t>distress,</w:t>
      </w:r>
      <w:r>
        <w:rPr>
          <w:rFonts w:ascii="Arial" w:hAnsi="Arial"/>
          <w:sz w:val="20"/>
        </w:rPr>
        <w:t> </w:t>
      </w:r>
      <w:r>
        <w:rPr>
          <w:rFonts w:ascii="Arial" w:hAnsi="Arial"/>
          <w:sz w:val="21"/>
        </w:rPr>
        <w:t>attachment</w:t>
      </w:r>
      <w:r>
        <w:rPr>
          <w:rFonts w:ascii="Arial" w:hAnsi="Arial"/>
          <w:sz w:val="20"/>
        </w:rPr>
        <w:t> </w:t>
      </w:r>
      <w:r>
        <w:rPr>
          <w:rFonts w:ascii="Arial" w:hAnsi="Arial"/>
          <w:sz w:val="21"/>
        </w:rPr>
        <w:t>or</w:t>
      </w:r>
      <w:r>
        <w:rPr>
          <w:rFonts w:ascii="Arial" w:hAnsi="Arial"/>
          <w:sz w:val="20"/>
        </w:rPr>
        <w:t> </w:t>
      </w:r>
      <w:r>
        <w:rPr>
          <w:rFonts w:ascii="Arial" w:hAnsi="Arial"/>
          <w:sz w:val="21"/>
        </w:rPr>
        <w:t>execution</w:t>
      </w:r>
      <w:r>
        <w:rPr>
          <w:rFonts w:ascii="Arial" w:hAnsi="Arial"/>
          <w:sz w:val="20"/>
        </w:rPr>
        <w:t> </w:t>
      </w:r>
      <w:r>
        <w:rPr>
          <w:rFonts w:ascii="Arial" w:hAnsi="Arial"/>
          <w:sz w:val="21"/>
        </w:rPr>
        <w:t>is</w:t>
      </w:r>
      <w:r>
        <w:rPr>
          <w:rFonts w:ascii="Arial" w:hAnsi="Arial"/>
          <w:sz w:val="20"/>
        </w:rPr>
        <w:t> </w:t>
      </w:r>
      <w:r>
        <w:rPr>
          <w:rFonts w:ascii="Arial" w:hAnsi="Arial"/>
          <w:sz w:val="21"/>
        </w:rPr>
        <w:t>levied</w:t>
      </w:r>
      <w:r>
        <w:rPr>
          <w:rFonts w:ascii="Arial" w:hAnsi="Arial"/>
          <w:sz w:val="20"/>
        </w:rPr>
        <w:t> </w:t>
      </w:r>
      <w:r>
        <w:rPr>
          <w:rFonts w:ascii="Arial" w:hAnsi="Arial"/>
          <w:sz w:val="21"/>
        </w:rPr>
        <w:t>or</w:t>
      </w:r>
      <w:r>
        <w:rPr>
          <w:rFonts w:ascii="Arial" w:hAnsi="Arial"/>
          <w:sz w:val="20"/>
        </w:rPr>
        <w:t> </w:t>
      </w:r>
      <w:r>
        <w:rPr>
          <w:rFonts w:ascii="Arial" w:hAnsi="Arial"/>
          <w:sz w:val="21"/>
        </w:rPr>
        <w:t>becomes</w:t>
      </w:r>
      <w:r>
        <w:rPr>
          <w:rFonts w:ascii="Arial" w:hAnsi="Arial"/>
          <w:sz w:val="20"/>
        </w:rPr>
        <w:t> </w:t>
      </w:r>
      <w:r>
        <w:rPr>
          <w:rFonts w:ascii="Arial" w:hAnsi="Arial"/>
          <w:sz w:val="21"/>
        </w:rPr>
        <w:t>enforceable against any property of a person;</w:t>
      </w:r>
      <w:r>
        <w:rPr>
          <w:rFonts w:ascii="Arial" w:hAnsi="Arial"/>
          <w:sz w:val="20"/>
        </w:rPr>
        <w:t xml:space="preserve"> </w:t>
      </w:r>
    </w:p>
    <w:p>
      <w:pPr>
        <w:pStyle w:val="TextBody"/>
        <w:bidi w:val="0"/>
        <w:spacing w:lineRule="auto" w:line="266" w:before="0" w:after="0"/>
        <w:ind w:left="3686" w:right="1438" w:hanging="0"/>
        <w:jc w:val="left"/>
        <w:rPr>
          <w:rFonts w:ascii="Arial" w:hAnsi="Arial"/>
          <w:sz w:val="20"/>
        </w:rPr>
      </w:pPr>
      <w:r>
        <w:rPr>
          <w:rFonts w:ascii="Arial" w:hAnsi="Arial"/>
          <w:sz w:val="21"/>
        </w:rPr>
        <w:t>(h)a person enters into or takes any action to enter into an arrangement (including a scheme of arrangement or deed of Borrower arrangement), composition or compromise with, or assignment for the benefit of, all or any</w:t>
      </w:r>
      <w:r>
        <w:rPr>
          <w:rFonts w:ascii="Arial" w:hAnsi="Arial"/>
          <w:sz w:val="20"/>
        </w:rPr>
        <w:t> </w:t>
      </w:r>
      <w:r>
        <w:rPr>
          <w:rFonts w:ascii="Arial" w:hAnsi="Arial"/>
          <w:sz w:val="21"/>
        </w:rPr>
        <w:t>class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person’s</w:t>
      </w:r>
      <w:r>
        <w:rPr>
          <w:rFonts w:ascii="Arial" w:hAnsi="Arial"/>
          <w:sz w:val="20"/>
        </w:rPr>
        <w:t> </w:t>
      </w:r>
      <w:r>
        <w:rPr>
          <w:rFonts w:ascii="Arial" w:hAnsi="Arial"/>
          <w:sz w:val="21"/>
        </w:rPr>
        <w:t>creditors</w:t>
      </w:r>
      <w:r>
        <w:rPr>
          <w:rFonts w:ascii="Arial" w:hAnsi="Arial"/>
          <w:sz w:val="20"/>
        </w:rPr>
        <w:t> </w:t>
      </w:r>
      <w:r>
        <w:rPr>
          <w:rFonts w:ascii="Arial" w:hAnsi="Arial"/>
          <w:sz w:val="21"/>
        </w:rPr>
        <w:t>or</w:t>
      </w:r>
      <w:r>
        <w:rPr>
          <w:rFonts w:ascii="Arial" w:hAnsi="Arial"/>
          <w:sz w:val="20"/>
        </w:rPr>
        <w:t> </w:t>
      </w:r>
      <w:r>
        <w:rPr>
          <w:rFonts w:ascii="Arial" w:hAnsi="Arial"/>
          <w:sz w:val="21"/>
        </w:rPr>
        <w:t>members</w:t>
      </w:r>
      <w:r>
        <w:rPr>
          <w:rFonts w:ascii="Arial" w:hAnsi="Arial"/>
          <w:sz w:val="20"/>
        </w:rPr>
        <w:t> </w:t>
      </w:r>
      <w:r>
        <w:rPr>
          <w:rFonts w:ascii="Arial" w:hAnsi="Arial"/>
          <w:sz w:val="21"/>
        </w:rPr>
        <w:t>or</w:t>
      </w:r>
      <w:r>
        <w:rPr>
          <w:rFonts w:ascii="Arial" w:hAnsi="Arial"/>
          <w:sz w:val="20"/>
        </w:rPr>
        <w:t> </w:t>
      </w:r>
      <w:r>
        <w:rPr>
          <w:rFonts w:ascii="Arial" w:hAnsi="Arial"/>
          <w:sz w:val="21"/>
        </w:rPr>
        <w:t>a</w:t>
      </w:r>
      <w:r>
        <w:rPr>
          <w:rFonts w:ascii="Arial" w:hAnsi="Arial"/>
          <w:sz w:val="20"/>
        </w:rPr>
        <w:t> </w:t>
      </w:r>
      <w:r>
        <w:rPr>
          <w:rFonts w:ascii="Arial" w:hAnsi="Arial"/>
          <w:sz w:val="21"/>
        </w:rPr>
        <w:t>moratorium</w:t>
      </w:r>
      <w:r>
        <w:rPr>
          <w:rFonts w:ascii="Arial" w:hAnsi="Arial"/>
          <w:sz w:val="20"/>
        </w:rPr>
        <w:t> </w:t>
      </w:r>
      <w:r>
        <w:rPr>
          <w:rFonts w:ascii="Arial" w:hAnsi="Arial"/>
          <w:sz w:val="21"/>
        </w:rPr>
        <w:t>involving any of them;</w:t>
      </w:r>
      <w:r>
        <w:rPr>
          <w:rFonts w:ascii="Arial" w:hAnsi="Arial"/>
          <w:sz w:val="20"/>
        </w:rPr>
        <w:t xml:space="preserve"> </w:t>
      </w:r>
    </w:p>
    <w:p>
      <w:pPr>
        <w:pStyle w:val="TextBody"/>
        <w:bidi w:val="0"/>
        <w:spacing w:lineRule="auto" w:line="266" w:before="120" w:after="0"/>
        <w:ind w:left="3686" w:right="1565" w:hanging="0"/>
        <w:jc w:val="left"/>
        <w:rPr>
          <w:rFonts w:ascii="Arial" w:hAnsi="Arial"/>
          <w:sz w:val="20"/>
        </w:rPr>
      </w:pPr>
      <w:r>
        <w:rPr>
          <w:rFonts w:ascii="Arial" w:hAnsi="Arial"/>
          <w:sz w:val="21"/>
        </w:rPr>
        <w:t>(i)a</w:t>
      </w:r>
      <w:r>
        <w:rPr>
          <w:rFonts w:ascii="Arial" w:hAnsi="Arial"/>
          <w:sz w:val="20"/>
        </w:rPr>
        <w:t> </w:t>
      </w:r>
      <w:r>
        <w:rPr>
          <w:rFonts w:ascii="Arial" w:hAnsi="Arial"/>
          <w:sz w:val="21"/>
        </w:rPr>
        <w:t>petition</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making</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sequestration</w:t>
      </w:r>
      <w:r>
        <w:rPr>
          <w:rFonts w:ascii="Arial" w:hAnsi="Arial"/>
          <w:sz w:val="20"/>
        </w:rPr>
        <w:t> </w:t>
      </w:r>
      <w:r>
        <w:rPr>
          <w:rFonts w:ascii="Arial" w:hAnsi="Arial"/>
          <w:sz w:val="21"/>
        </w:rPr>
        <w:t>order</w:t>
      </w:r>
      <w:r>
        <w:rPr>
          <w:rFonts w:ascii="Arial" w:hAnsi="Arial"/>
          <w:sz w:val="20"/>
        </w:rPr>
        <w:t> </w:t>
      </w:r>
      <w:r>
        <w:rPr>
          <w:rFonts w:ascii="Arial" w:hAnsi="Arial"/>
          <w:sz w:val="21"/>
        </w:rPr>
        <w:t>against</w:t>
      </w:r>
      <w:r>
        <w:rPr>
          <w:rFonts w:ascii="Arial" w:hAnsi="Arial"/>
          <w:sz w:val="20"/>
        </w:rPr>
        <w:t> </w:t>
      </w:r>
      <w:r>
        <w:rPr>
          <w:rFonts w:ascii="Arial" w:hAnsi="Arial"/>
          <w:sz w:val="21"/>
        </w:rPr>
        <w:t>the</w:t>
      </w:r>
      <w:r>
        <w:rPr>
          <w:rFonts w:ascii="Arial" w:hAnsi="Arial"/>
          <w:sz w:val="20"/>
        </w:rPr>
        <w:t> </w:t>
      </w:r>
      <w:r>
        <w:rPr>
          <w:rFonts w:ascii="Arial" w:hAnsi="Arial"/>
          <w:sz w:val="21"/>
        </w:rPr>
        <w:t>estate</w:t>
      </w:r>
      <w:r>
        <w:rPr>
          <w:rFonts w:ascii="Arial" w:hAnsi="Arial"/>
          <w:sz w:val="20"/>
        </w:rPr>
        <w:t> </w:t>
      </w:r>
      <w:r>
        <w:rPr>
          <w:rFonts w:ascii="Arial" w:hAnsi="Arial"/>
          <w:sz w:val="21"/>
        </w:rPr>
        <w:t>of</w:t>
      </w:r>
      <w:r>
        <w:rPr>
          <w:rFonts w:ascii="Arial" w:hAnsi="Arial"/>
          <w:sz w:val="20"/>
        </w:rPr>
        <w:t> </w:t>
      </w:r>
      <w:r>
        <w:rPr>
          <w:rFonts w:ascii="Arial" w:hAnsi="Arial"/>
          <w:sz w:val="21"/>
        </w:rPr>
        <w:t>a person is presented and the petition is not stayed, withdrawn or dismissed within seven days or a person presents a petition against himself or herself;</w:t>
      </w:r>
      <w:r>
        <w:rPr>
          <w:rFonts w:ascii="Arial" w:hAnsi="Arial"/>
          <w:sz w:val="20"/>
        </w:rPr>
        <w:t xml:space="preserve"> </w:t>
      </w:r>
    </w:p>
    <w:p>
      <w:pPr>
        <w:pStyle w:val="TextBody"/>
        <w:bidi w:val="0"/>
        <w:spacing w:before="118" w:after="0"/>
        <w:ind w:left="3686" w:right="700" w:hanging="0"/>
        <w:jc w:val="left"/>
        <w:rPr>
          <w:rFonts w:ascii="Arial" w:hAnsi="Arial"/>
          <w:sz w:val="20"/>
        </w:rPr>
      </w:pPr>
      <w:r>
        <w:rPr>
          <w:rFonts w:ascii="Arial" w:hAnsi="Arial"/>
          <w:sz w:val="21"/>
        </w:rPr>
        <w:t>(j)a</w:t>
      </w:r>
      <w:r>
        <w:rPr>
          <w:rFonts w:ascii="Arial" w:hAnsi="Arial"/>
          <w:sz w:val="20"/>
        </w:rPr>
        <w:t> </w:t>
      </w:r>
      <w:r>
        <w:rPr>
          <w:rFonts w:ascii="Arial" w:hAnsi="Arial"/>
          <w:sz w:val="21"/>
        </w:rPr>
        <w:t>person</w:t>
      </w:r>
      <w:r>
        <w:rPr>
          <w:rFonts w:ascii="Arial" w:hAnsi="Arial"/>
          <w:sz w:val="20"/>
        </w:rPr>
        <w:t> </w:t>
      </w:r>
      <w:r>
        <w:rPr>
          <w:rFonts w:ascii="Arial" w:hAnsi="Arial"/>
          <w:sz w:val="21"/>
        </w:rPr>
        <w:t>presents</w:t>
      </w:r>
      <w:r>
        <w:rPr>
          <w:rFonts w:ascii="Arial" w:hAnsi="Arial"/>
          <w:sz w:val="20"/>
        </w:rPr>
        <w:t> </w:t>
      </w:r>
      <w:r>
        <w:rPr>
          <w:rFonts w:ascii="Arial" w:hAnsi="Arial"/>
          <w:sz w:val="21"/>
        </w:rPr>
        <w:t>a</w:t>
      </w:r>
      <w:r>
        <w:rPr>
          <w:rFonts w:ascii="Arial" w:hAnsi="Arial"/>
          <w:sz w:val="20"/>
        </w:rPr>
        <w:t> </w:t>
      </w:r>
      <w:r>
        <w:rPr>
          <w:rFonts w:ascii="Arial" w:hAnsi="Arial"/>
          <w:sz w:val="21"/>
        </w:rPr>
        <w:t>declaration</w:t>
      </w:r>
      <w:r>
        <w:rPr>
          <w:rFonts w:ascii="Arial" w:hAnsi="Arial"/>
          <w:sz w:val="20"/>
        </w:rPr>
        <w:t> </w:t>
      </w:r>
      <w:r>
        <w:rPr>
          <w:rFonts w:ascii="Arial" w:hAnsi="Arial"/>
          <w:sz w:val="21"/>
        </w:rPr>
        <w:t>of</w:t>
      </w:r>
      <w:r>
        <w:rPr>
          <w:rFonts w:ascii="Arial" w:hAnsi="Arial"/>
          <w:sz w:val="20"/>
        </w:rPr>
        <w:t> </w:t>
      </w:r>
      <w:r>
        <w:rPr>
          <w:rFonts w:ascii="Arial" w:hAnsi="Arial"/>
          <w:sz w:val="21"/>
        </w:rPr>
        <w:t>intention</w:t>
      </w:r>
      <w:r>
        <w:rPr>
          <w:rFonts w:ascii="Arial" w:hAnsi="Arial"/>
          <w:sz w:val="20"/>
        </w:rPr>
        <w:t> </w:t>
      </w:r>
      <w:r>
        <w:rPr>
          <w:rFonts w:ascii="Arial" w:hAnsi="Arial"/>
          <w:sz w:val="21"/>
        </w:rPr>
        <w:t>under</w:t>
      </w:r>
      <w:r>
        <w:rPr>
          <w:rFonts w:ascii="Arial" w:hAnsi="Arial"/>
          <w:sz w:val="20"/>
        </w:rPr>
        <w:t> </w:t>
      </w:r>
      <w:r>
        <w:rPr>
          <w:rFonts w:ascii="Arial" w:hAnsi="Arial"/>
          <w:sz w:val="21"/>
        </w:rPr>
        <w:t>section</w:t>
      </w:r>
      <w:r>
        <w:rPr>
          <w:rFonts w:ascii="Arial" w:hAnsi="Arial"/>
          <w:sz w:val="20"/>
        </w:rPr>
        <w:t> </w:t>
      </w:r>
      <w:r>
        <w:rPr>
          <w:rFonts w:ascii="Arial" w:hAnsi="Arial"/>
          <w:sz w:val="21"/>
        </w:rPr>
        <w:t>54A</w:t>
      </w:r>
      <w:r>
        <w:rPr>
          <w:rFonts w:ascii="Arial" w:hAnsi="Arial"/>
          <w:sz w:val="20"/>
        </w:rPr>
        <w:t> </w:t>
      </w:r>
      <w:r>
        <w:rPr>
          <w:rFonts w:ascii="Arial" w:hAnsi="Arial"/>
          <w:sz w:val="21"/>
        </w:rPr>
        <w:t>of</w:t>
      </w:r>
      <w:r>
        <w:rPr>
          <w:rFonts w:ascii="Arial" w:hAnsi="Arial"/>
          <w:sz w:val="20"/>
        </w:rPr>
        <w:t xml:space="preserve"> </w:t>
      </w:r>
      <w:r>
        <w:rPr>
          <w:rFonts w:ascii="Arial" w:hAnsi="Arial"/>
          <w:sz w:val="21"/>
        </w:rPr>
        <w:t>the</w:t>
      </w:r>
      <w:r>
        <w:rPr>
          <w:rFonts w:ascii="Arial" w:hAnsi="Arial"/>
          <w:sz w:val="20"/>
        </w:rPr>
        <w:t xml:space="preserve"> </w:t>
      </w:r>
    </w:p>
    <w:p>
      <w:pPr>
        <w:pStyle w:val="TextBody"/>
        <w:bidi w:val="0"/>
        <w:spacing w:before="29" w:after="0"/>
        <w:ind w:left="3686" w:right="700" w:hanging="0"/>
        <w:jc w:val="left"/>
        <w:rPr>
          <w:rFonts w:ascii="Arial" w:hAnsi="Arial"/>
          <w:sz w:val="20"/>
        </w:rPr>
      </w:pPr>
      <w:r>
        <w:rPr>
          <w:rFonts w:ascii="Arial" w:hAnsi="Arial"/>
          <w:i/>
          <w:sz w:val="21"/>
        </w:rPr>
        <w:t>Bankruptcy</w:t>
      </w:r>
      <w:r>
        <w:rPr>
          <w:rFonts w:ascii="Arial" w:hAnsi="Arial"/>
          <w:sz w:val="20"/>
        </w:rPr>
        <w:t> </w:t>
      </w:r>
      <w:r>
        <w:rPr>
          <w:rFonts w:ascii="Arial" w:hAnsi="Arial"/>
          <w:i/>
          <w:sz w:val="21"/>
        </w:rPr>
        <w:t>Act</w:t>
      </w:r>
      <w:r>
        <w:rPr>
          <w:rFonts w:ascii="Arial" w:hAnsi="Arial"/>
          <w:sz w:val="20"/>
        </w:rPr>
        <w:t> </w:t>
      </w:r>
      <w:r>
        <w:rPr>
          <w:rFonts w:ascii="Arial" w:hAnsi="Arial"/>
          <w:i/>
          <w:sz w:val="21"/>
        </w:rPr>
        <w:t>1966</w:t>
      </w:r>
      <w:r>
        <w:rPr>
          <w:rFonts w:ascii="Arial" w:hAnsi="Arial"/>
          <w:sz w:val="21"/>
        </w:rPr>
        <w:t>;</w:t>
      </w:r>
      <w:r>
        <w:rPr>
          <w:rFonts w:ascii="Arial" w:hAnsi="Arial"/>
          <w:sz w:val="20"/>
        </w:rPr>
        <w:t> </w:t>
      </w:r>
      <w:r>
        <w:rPr>
          <w:rFonts w:ascii="Arial" w:hAnsi="Arial"/>
          <w:sz w:val="21"/>
        </w:rPr>
        <w:t>or</w:t>
      </w:r>
      <w:r>
        <w:rPr>
          <w:rFonts w:ascii="Arial" w:hAnsi="Arial"/>
          <w:sz w:val="20"/>
        </w:rPr>
        <w:t xml:space="preserve"> </w:t>
      </w:r>
    </w:p>
    <w:p>
      <w:pPr>
        <w:pStyle w:val="TextBody"/>
        <w:bidi w:val="0"/>
        <w:spacing w:lineRule="auto" w:line="266" w:before="148" w:after="0"/>
        <w:ind w:left="3686" w:right="1577" w:hanging="0"/>
        <w:jc w:val="left"/>
        <w:rPr>
          <w:rFonts w:ascii="Arial" w:hAnsi="Arial"/>
          <w:sz w:val="20"/>
        </w:rPr>
      </w:pPr>
      <w:r>
        <w:rPr>
          <w:rFonts w:ascii="Arial" w:hAnsi="Arial"/>
          <w:sz w:val="21"/>
        </w:rPr>
        <w:t>(k)anything</w:t>
      </w:r>
      <w:r>
        <w:rPr>
          <w:rFonts w:ascii="Arial" w:hAnsi="Arial"/>
          <w:sz w:val="20"/>
        </w:rPr>
        <w:t> </w:t>
      </w:r>
      <w:r>
        <w:rPr>
          <w:rFonts w:ascii="Arial" w:hAnsi="Arial"/>
          <w:sz w:val="21"/>
        </w:rPr>
        <w:t>analogous</w:t>
      </w:r>
      <w:r>
        <w:rPr>
          <w:rFonts w:ascii="Arial" w:hAnsi="Arial"/>
          <w:sz w:val="20"/>
        </w:rPr>
        <w:t> </w:t>
      </w:r>
      <w:r>
        <w:rPr>
          <w:rFonts w:ascii="Arial" w:hAnsi="Arial"/>
          <w:sz w:val="21"/>
        </w:rPr>
        <w:t>to</w:t>
      </w:r>
      <w:r>
        <w:rPr>
          <w:rFonts w:ascii="Arial" w:hAnsi="Arial"/>
          <w:sz w:val="20"/>
        </w:rPr>
        <w:t> </w:t>
      </w:r>
      <w:r>
        <w:rPr>
          <w:rFonts w:ascii="Arial" w:hAnsi="Arial"/>
          <w:sz w:val="21"/>
        </w:rPr>
        <w:t>or</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similar</w:t>
      </w:r>
      <w:r>
        <w:rPr>
          <w:rFonts w:ascii="Arial" w:hAnsi="Arial"/>
          <w:sz w:val="20"/>
        </w:rPr>
        <w:t> </w:t>
      </w:r>
      <w:r>
        <w:rPr>
          <w:rFonts w:ascii="Arial" w:hAnsi="Arial"/>
          <w:sz w:val="21"/>
        </w:rPr>
        <w:t>effect</w:t>
      </w:r>
      <w:r>
        <w:rPr>
          <w:rFonts w:ascii="Arial" w:hAnsi="Arial"/>
          <w:sz w:val="20"/>
        </w:rPr>
        <w:t> </w:t>
      </w:r>
      <w:r>
        <w:rPr>
          <w:rFonts w:ascii="Arial" w:hAnsi="Arial"/>
          <w:sz w:val="21"/>
        </w:rPr>
        <w:t>to</w:t>
      </w:r>
      <w:r>
        <w:rPr>
          <w:rFonts w:ascii="Arial" w:hAnsi="Arial"/>
          <w:sz w:val="20"/>
        </w:rPr>
        <w:t> </w:t>
      </w:r>
      <w:r>
        <w:rPr>
          <w:rFonts w:ascii="Arial" w:hAnsi="Arial"/>
          <w:sz w:val="21"/>
        </w:rPr>
        <w:t>anything</w:t>
      </w:r>
      <w:r>
        <w:rPr>
          <w:rFonts w:ascii="Arial" w:hAnsi="Arial"/>
          <w:sz w:val="20"/>
        </w:rPr>
        <w:t> </w:t>
      </w:r>
      <w:r>
        <w:rPr>
          <w:rFonts w:ascii="Arial" w:hAnsi="Arial"/>
          <w:sz w:val="21"/>
        </w:rPr>
        <w:t>described</w:t>
      </w:r>
      <w:r>
        <w:rPr>
          <w:rFonts w:ascii="Arial" w:hAnsi="Arial"/>
          <w:sz w:val="20"/>
        </w:rPr>
        <w:t> </w:t>
      </w:r>
      <w:r>
        <w:rPr>
          <w:rFonts w:ascii="Arial" w:hAnsi="Arial"/>
          <w:sz w:val="21"/>
        </w:rPr>
        <w:t>above under the law of any relevant jurisdiction occurs in relation to a person.</w:t>
      </w:r>
      <w:r>
        <w:rPr>
          <w:rFonts w:ascii="Arial" w:hAnsi="Arial"/>
          <w:sz w:val="20"/>
        </w:rPr>
        <w:t xml:space="preserve"> </w:t>
      </w:r>
    </w:p>
    <w:p>
      <w:pPr>
        <w:pStyle w:val="TextBody"/>
        <w:pBdr/>
        <w:bidi w:val="0"/>
        <w:spacing w:lineRule="auto" w:line="268" w:before="119" w:after="0"/>
        <w:ind w:left="3120" w:right="700" w:hanging="0"/>
        <w:jc w:val="left"/>
        <w:rPr>
          <w:rFonts w:ascii="Arial" w:hAnsi="Arial"/>
          <w:sz w:val="22"/>
        </w:rPr>
      </w:pPr>
      <w:r>
        <w:rPr>
          <w:rFonts w:ascii="Arial" w:hAnsi="Arial"/>
          <w:b/>
          <w:sz w:val="22"/>
        </w:rPr>
        <w:t>Insurance</w:t>
      </w:r>
      <w:r>
        <w:rPr>
          <w:rFonts w:ascii="Arial" w:hAnsi="Arial"/>
          <w:sz w:val="22"/>
        </w:rPr>
        <w:t xml:space="preserve"> means insurance which a Transaction Party is obliged to take out or maintain under a Transaction Document. </w:t>
      </w:r>
    </w:p>
    <w:p>
      <w:pPr>
        <w:pStyle w:val="TextBody"/>
        <w:pBdr/>
        <w:bidi w:val="0"/>
        <w:spacing w:lineRule="auto" w:line="266" w:before="115" w:after="0"/>
        <w:ind w:left="3120" w:right="1471" w:hanging="0"/>
        <w:jc w:val="left"/>
        <w:rPr>
          <w:rFonts w:ascii="Arial" w:hAnsi="Arial"/>
          <w:sz w:val="22"/>
        </w:rPr>
      </w:pPr>
      <w:r>
        <w:rPr>
          <w:rFonts w:ascii="Arial" w:hAnsi="Arial"/>
          <w:b/>
          <w:sz w:val="22"/>
        </w:rPr>
        <w:t xml:space="preserve">Interest Rate </w:t>
      </w:r>
      <w:r>
        <w:rPr>
          <w:rFonts w:ascii="Arial" w:hAnsi="Arial"/>
          <w:sz w:val="22"/>
        </w:rPr>
        <w:t xml:space="preserve">means, in relation to a Pricing Period for an Advance until it becomes due and owing, an interest rate equal to the aggregate of the Base Rate for that Pricing Period and the Margin. </w:t>
      </w:r>
    </w:p>
    <w:p>
      <w:pPr>
        <w:pStyle w:val="TextBody"/>
        <w:bidi w:val="0"/>
        <w:spacing w:lineRule="auto" w:line="266" w:before="117" w:after="0"/>
        <w:ind w:left="3120" w:right="1486" w:hanging="0"/>
        <w:jc w:val="left"/>
        <w:rPr/>
      </w:pPr>
      <w:r>
        <w:rPr>
          <w:rFonts w:ascii="Arial" w:hAnsi="Arial"/>
          <w:b/>
          <w:sz w:val="21"/>
        </w:rPr>
        <w:t>Interim</w:t>
      </w:r>
      <w:r>
        <w:rPr>
          <w:rFonts w:ascii="Arial" w:hAnsi="Arial"/>
          <w:sz w:val="20"/>
        </w:rPr>
        <w:t> </w:t>
      </w:r>
      <w:r>
        <w:rPr>
          <w:rFonts w:ascii="Arial" w:hAnsi="Arial"/>
          <w:b/>
          <w:sz w:val="21"/>
        </w:rPr>
        <w:t>Compliance</w:t>
      </w:r>
      <w:r>
        <w:rPr>
          <w:rFonts w:ascii="Arial" w:hAnsi="Arial"/>
          <w:sz w:val="20"/>
        </w:rPr>
        <w:t> </w:t>
      </w:r>
      <w:r>
        <w:rPr>
          <w:rFonts w:ascii="Arial" w:hAnsi="Arial"/>
          <w:b/>
          <w:sz w:val="21"/>
        </w:rPr>
        <w:t>Certificate</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certificate</w:t>
      </w:r>
      <w:r>
        <w:rPr>
          <w:rFonts w:ascii="Arial" w:hAnsi="Arial"/>
          <w:sz w:val="20"/>
        </w:rPr>
        <w:t> </w:t>
      </w:r>
      <w:r>
        <w:rPr>
          <w:rFonts w:ascii="Arial" w:hAnsi="Arial"/>
          <w:sz w:val="21"/>
        </w:rPr>
        <w:t>in</w:t>
      </w:r>
      <w:r>
        <w:rPr>
          <w:rFonts w:ascii="Arial" w:hAnsi="Arial"/>
          <w:sz w:val="20"/>
        </w:rPr>
        <w:t> </w:t>
      </w:r>
      <w:r>
        <w:rPr>
          <w:rFonts w:ascii="Arial" w:hAnsi="Arial"/>
          <w:sz w:val="21"/>
        </w:rPr>
        <w:t>substantially</w:t>
      </w:r>
      <w:r>
        <w:rPr>
          <w:rFonts w:ascii="Arial" w:hAnsi="Arial"/>
          <w:sz w:val="20"/>
        </w:rPr>
        <w:t> </w:t>
      </w:r>
      <w:r>
        <w:rPr>
          <w:rFonts w:ascii="Arial" w:hAnsi="Arial"/>
          <w:sz w:val="21"/>
        </w:rPr>
        <w:t>the</w:t>
      </w:r>
      <w:r>
        <w:rPr>
          <w:rFonts w:ascii="Arial" w:hAnsi="Arial"/>
          <w:sz w:val="20"/>
        </w:rPr>
        <w:t> </w:t>
      </w:r>
      <w:r>
        <w:rPr>
          <w:rFonts w:ascii="Arial" w:hAnsi="Arial"/>
          <w:sz w:val="21"/>
        </w:rPr>
        <w:t xml:space="preserve">form set out in </w:t>
      </w:r>
      <w:r>
        <w:rPr>
          <w:rFonts w:ascii="Arial" w:hAnsi="Arial"/>
          <w:b/>
          <w:sz w:val="21"/>
        </w:rPr>
        <w:t xml:space="preserve">schedule </w:t>
      </w:r>
      <w:hyperlink w:anchor="_bookmark215">
        <w:r>
          <w:rPr>
            <w:rStyle w:val="InternetLink"/>
            <w:rFonts w:ascii="Arial" w:hAnsi="Arial"/>
            <w:b/>
            <w:sz w:val="21"/>
          </w:rPr>
          <w:t>10</w:t>
        </w:r>
      </w:hyperlink>
      <w:r>
        <w:rPr>
          <w:rFonts w:ascii="Arial" w:hAnsi="Arial"/>
          <w:sz w:val="21"/>
        </w:rPr>
        <w:t>.</w:t>
      </w:r>
      <w:r>
        <w:rPr>
          <w:rFonts w:ascii="Arial" w:hAnsi="Arial"/>
          <w:sz w:val="20"/>
        </w:rPr>
        <w:t xml:space="preserve"> </w:t>
      </w:r>
    </w:p>
    <w:p>
      <w:pPr>
        <w:pStyle w:val="TextBody"/>
        <w:pBdr/>
        <w:bidi w:val="0"/>
        <w:spacing w:lineRule="auto" w:line="266" w:before="119" w:after="0"/>
        <w:ind w:left="3120" w:right="1471" w:hanging="0"/>
        <w:jc w:val="left"/>
        <w:rPr>
          <w:rFonts w:ascii="Arial" w:hAnsi="Arial"/>
          <w:sz w:val="22"/>
        </w:rPr>
      </w:pPr>
      <w:r>
        <w:rPr>
          <w:rFonts w:ascii="Arial" w:hAnsi="Arial"/>
          <w:b/>
          <w:sz w:val="22"/>
        </w:rPr>
        <w:t>Land</w:t>
      </w:r>
      <w:r>
        <w:rPr>
          <w:rFonts w:ascii="Arial" w:hAnsi="Arial"/>
          <w:sz w:val="22"/>
        </w:rPr>
        <w:t xml:space="preserve"> means any land owned or occupied by a Transaction Party that forms part of the Secured Property. </w:t>
      </w:r>
    </w:p>
    <w:p>
      <w:pPr>
        <w:pStyle w:val="TextBody"/>
        <w:pBdr/>
        <w:bidi w:val="0"/>
        <w:spacing w:lineRule="auto" w:line="266" w:before="119" w:after="0"/>
        <w:ind w:left="3120" w:right="1635" w:hanging="0"/>
        <w:jc w:val="left"/>
        <w:rPr/>
      </w:pPr>
      <w:r>
        <w:rPr>
          <w:rFonts w:ascii="Arial" w:hAnsi="Arial"/>
          <w:b/>
          <w:sz w:val="22"/>
        </w:rPr>
        <w:t xml:space="preserve">Leasehold Properties </w:t>
      </w:r>
      <w:r>
        <w:rPr>
          <w:rFonts w:ascii="Arial" w:hAnsi="Arial"/>
          <w:sz w:val="22"/>
        </w:rPr>
        <w:t xml:space="preserve">means each leasehold property leased by a Transaction Party that is the subject of a mortgage of lease referred to in </w:t>
      </w:r>
      <w:r>
        <w:rPr>
          <w:rFonts w:ascii="Arial" w:hAnsi="Arial"/>
          <w:b/>
          <w:sz w:val="22"/>
        </w:rPr>
        <w:t xml:space="preserve">schedule </w:t>
      </w:r>
      <w:hyperlink w:anchor="_bookmark203">
        <w:r>
          <w:rPr>
            <w:rStyle w:val="InternetLink"/>
            <w:rFonts w:ascii="Arial" w:hAnsi="Arial"/>
            <w:b/>
            <w:sz w:val="22"/>
          </w:rPr>
          <w:t>3</w:t>
        </w:r>
      </w:hyperlink>
      <w:r>
        <w:rPr>
          <w:rFonts w:ascii="Arial" w:hAnsi="Arial"/>
          <w:sz w:val="22"/>
        </w:rPr>
        <w:t xml:space="preserve"> (including the mortgage of lease described at item 11 of </w:t>
      </w:r>
      <w:r>
        <w:rPr>
          <w:rFonts w:ascii="Arial" w:hAnsi="Arial"/>
          <w:b/>
          <w:sz w:val="22"/>
        </w:rPr>
        <w:t xml:space="preserve">schedule </w:t>
      </w:r>
      <w:hyperlink w:anchor="_bookmark203">
        <w:r>
          <w:rPr>
            <w:rStyle w:val="InternetLink"/>
            <w:rFonts w:ascii="Arial" w:hAnsi="Arial"/>
            <w:b/>
            <w:sz w:val="22"/>
          </w:rPr>
          <w:t>3</w:t>
        </w:r>
      </w:hyperlink>
      <w:r>
        <w:rPr>
          <w:rFonts w:ascii="Arial" w:hAnsi="Arial"/>
          <w:sz w:val="22"/>
        </w:rPr>
        <w:t xml:space="preserve">). </w:t>
      </w:r>
    </w:p>
    <w:p>
      <w:pPr>
        <w:pStyle w:val="TextBody"/>
        <w:bidi w:val="0"/>
        <w:spacing w:before="121" w:after="0"/>
        <w:ind w:left="3120" w:right="700" w:hanging="0"/>
        <w:jc w:val="left"/>
        <w:rPr>
          <w:rFonts w:ascii="Arial" w:hAnsi="Arial"/>
          <w:sz w:val="20"/>
        </w:rPr>
      </w:pPr>
      <w:r>
        <w:rPr>
          <w:rFonts w:ascii="Arial" w:hAnsi="Arial"/>
          <w:b/>
          <w:sz w:val="21"/>
        </w:rPr>
        <w:t>Leverage</w:t>
      </w:r>
      <w:r>
        <w:rPr>
          <w:rFonts w:ascii="Arial" w:hAnsi="Arial"/>
          <w:sz w:val="20"/>
        </w:rPr>
        <w:t> </w:t>
      </w:r>
      <w:r>
        <w:rPr>
          <w:rFonts w:ascii="Arial" w:hAnsi="Arial"/>
          <w:b/>
          <w:sz w:val="21"/>
        </w:rPr>
        <w:t>Ratio</w:t>
      </w:r>
      <w:r>
        <w:rPr>
          <w:rFonts w:ascii="Arial" w:hAnsi="Arial"/>
          <w:sz w:val="20"/>
        </w:rPr>
        <w:t> </w:t>
      </w:r>
      <w:r>
        <w:rPr>
          <w:rFonts w:ascii="Arial" w:hAnsi="Arial"/>
          <w:sz w:val="21"/>
        </w:rPr>
        <w:t>means</w:t>
      </w:r>
      <w:r>
        <w:rPr>
          <w:rFonts w:ascii="Arial" w:hAnsi="Arial"/>
          <w:sz w:val="20"/>
        </w:rPr>
        <w:t> </w:t>
      </w:r>
      <w:r>
        <w:rPr>
          <w:rFonts w:ascii="Arial" w:hAnsi="Arial"/>
          <w:sz w:val="21"/>
        </w:rPr>
        <w:t>as</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date</w:t>
      </w:r>
      <w:r>
        <w:rPr>
          <w:rFonts w:ascii="Arial" w:hAnsi="Arial"/>
          <w:sz w:val="20"/>
        </w:rPr>
        <w:t> </w:t>
      </w:r>
      <w:r>
        <w:rPr>
          <w:rFonts w:ascii="Arial" w:hAnsi="Arial"/>
          <w:sz w:val="21"/>
        </w:rPr>
        <w:t>the</w:t>
      </w:r>
      <w:r>
        <w:rPr>
          <w:rFonts w:ascii="Arial" w:hAnsi="Arial"/>
          <w:sz w:val="20"/>
        </w:rPr>
        <w:t> </w:t>
      </w:r>
      <w:r>
        <w:rPr>
          <w:rFonts w:ascii="Arial" w:hAnsi="Arial"/>
          <w:sz w:val="21"/>
        </w:rPr>
        <w:t>ratio</w:t>
      </w:r>
      <w:r>
        <w:rPr>
          <w:rFonts w:ascii="Arial" w:hAnsi="Arial"/>
          <w:sz w:val="20"/>
        </w:rPr>
        <w:t> </w:t>
      </w:r>
      <w:r>
        <w:rPr>
          <w:rFonts w:ascii="Arial" w:hAnsi="Arial"/>
          <w:sz w:val="21"/>
        </w:rPr>
        <w:t>of:</w:t>
      </w:r>
      <w:r>
        <w:rPr>
          <w:rFonts w:ascii="Arial" w:hAnsi="Arial"/>
          <w:sz w:val="20"/>
        </w:rPr>
        <w:t xml:space="preserve"> </w:t>
      </w:r>
    </w:p>
    <w:p>
      <w:pPr>
        <w:pStyle w:val="TextBody"/>
        <w:bidi w:val="0"/>
        <w:spacing w:before="148" w:after="0"/>
        <w:ind w:left="3686" w:right="700" w:hanging="0"/>
        <w:jc w:val="left"/>
        <w:rPr>
          <w:rFonts w:ascii="Arial" w:hAnsi="Arial"/>
          <w:sz w:val="20"/>
        </w:rPr>
      </w:pPr>
      <w:r>
        <w:rPr>
          <w:rFonts w:ascii="Arial" w:hAnsi="Arial"/>
          <w:sz w:val="21"/>
        </w:rPr>
        <w:t>(a)Total</w:t>
      </w:r>
      <w:r>
        <w:rPr>
          <w:rFonts w:ascii="Arial" w:hAnsi="Arial"/>
          <w:sz w:val="20"/>
        </w:rPr>
        <w:t> </w:t>
      </w:r>
      <w:r>
        <w:rPr>
          <w:rFonts w:ascii="Arial" w:hAnsi="Arial"/>
          <w:sz w:val="21"/>
        </w:rPr>
        <w:t>Gross</w:t>
      </w:r>
      <w:r>
        <w:rPr>
          <w:rFonts w:ascii="Arial" w:hAnsi="Arial"/>
          <w:sz w:val="20"/>
        </w:rPr>
        <w:t> </w:t>
      </w:r>
      <w:r>
        <w:rPr>
          <w:rFonts w:ascii="Arial" w:hAnsi="Arial"/>
          <w:sz w:val="21"/>
        </w:rPr>
        <w:t>Debt</w:t>
      </w:r>
      <w:r>
        <w:rPr>
          <w:rFonts w:ascii="Arial" w:hAnsi="Arial"/>
          <w:sz w:val="20"/>
        </w:rPr>
        <w:t> </w:t>
      </w:r>
      <w:r>
        <w:rPr>
          <w:rFonts w:ascii="Arial" w:hAnsi="Arial"/>
          <w:sz w:val="21"/>
        </w:rPr>
        <w:t>outstanding</w:t>
      </w:r>
      <w:r>
        <w:rPr>
          <w:rFonts w:ascii="Arial" w:hAnsi="Arial"/>
          <w:sz w:val="20"/>
        </w:rPr>
        <w:t> </w:t>
      </w:r>
      <w:r>
        <w:rPr>
          <w:rFonts w:ascii="Arial" w:hAnsi="Arial"/>
          <w:sz w:val="21"/>
        </w:rPr>
        <w:t>on</w:t>
      </w:r>
      <w:r>
        <w:rPr>
          <w:rFonts w:ascii="Arial" w:hAnsi="Arial"/>
          <w:sz w:val="20"/>
        </w:rPr>
        <w:t> </w:t>
      </w:r>
      <w:r>
        <w:rPr>
          <w:rFonts w:ascii="Arial" w:hAnsi="Arial"/>
          <w:sz w:val="21"/>
        </w:rPr>
        <w:t>that</w:t>
      </w:r>
      <w:r>
        <w:rPr>
          <w:rFonts w:ascii="Arial" w:hAnsi="Arial"/>
          <w:sz w:val="20"/>
        </w:rPr>
        <w:t> </w:t>
      </w:r>
      <w:r>
        <w:rPr>
          <w:rFonts w:ascii="Arial" w:hAnsi="Arial"/>
          <w:sz w:val="21"/>
        </w:rPr>
        <w:t>date;</w:t>
      </w:r>
      <w:r>
        <w:rPr>
          <w:rFonts w:ascii="Arial" w:hAnsi="Arial"/>
          <w:sz w:val="20"/>
        </w:rPr>
        <w:t> </w:t>
      </w:r>
      <w:r>
        <w:rPr>
          <w:rFonts w:ascii="Arial" w:hAnsi="Arial"/>
          <w:sz w:val="21"/>
        </w:rPr>
        <w:t>to</w:t>
      </w:r>
      <w:r>
        <w:rPr>
          <w:rFonts w:ascii="Arial" w:hAnsi="Arial"/>
          <w:sz w:val="20"/>
        </w:rPr>
        <w:t xml:space="preserve"> </w:t>
      </w:r>
    </w:p>
    <w:p>
      <w:pPr>
        <w:pStyle w:val="TextBody"/>
        <w:bidi w:val="0"/>
        <w:spacing w:before="149" w:after="0"/>
        <w:ind w:left="3686" w:right="700" w:hanging="0"/>
        <w:jc w:val="left"/>
        <w:rPr>
          <w:rFonts w:ascii="Arial" w:hAnsi="Arial"/>
          <w:sz w:val="20"/>
        </w:rPr>
      </w:pPr>
      <w:r>
        <w:rPr>
          <w:rFonts w:ascii="Arial" w:hAnsi="Arial"/>
          <w:sz w:val="21"/>
        </w:rPr>
        <w:t>(b)Adjusted</w:t>
      </w:r>
      <w:r>
        <w:rPr>
          <w:rFonts w:ascii="Arial" w:hAnsi="Arial"/>
          <w:sz w:val="20"/>
        </w:rPr>
        <w:t> </w:t>
      </w:r>
      <w:r>
        <w:rPr>
          <w:rFonts w:ascii="Arial" w:hAnsi="Arial"/>
          <w:sz w:val="21"/>
        </w:rPr>
        <w:t>EBITDA</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12</w:t>
      </w:r>
      <w:r>
        <w:rPr>
          <w:rFonts w:ascii="Arial" w:hAnsi="Arial"/>
          <w:sz w:val="20"/>
        </w:rPr>
        <w:t> </w:t>
      </w:r>
      <w:r>
        <w:rPr>
          <w:rFonts w:ascii="Arial" w:hAnsi="Arial"/>
          <w:sz w:val="21"/>
        </w:rPr>
        <w:t>month</w:t>
      </w:r>
      <w:r>
        <w:rPr>
          <w:rFonts w:ascii="Arial" w:hAnsi="Arial"/>
          <w:sz w:val="20"/>
        </w:rPr>
        <w:t> </w:t>
      </w:r>
      <w:r>
        <w:rPr>
          <w:rFonts w:ascii="Arial" w:hAnsi="Arial"/>
          <w:sz w:val="21"/>
        </w:rPr>
        <w:t>period</w:t>
      </w:r>
      <w:r>
        <w:rPr>
          <w:rFonts w:ascii="Arial" w:hAnsi="Arial"/>
          <w:sz w:val="20"/>
        </w:rPr>
        <w:t> </w:t>
      </w:r>
      <w:r>
        <w:rPr>
          <w:rFonts w:ascii="Arial" w:hAnsi="Arial"/>
          <w:sz w:val="21"/>
        </w:rPr>
        <w:t>ending</w:t>
      </w:r>
      <w:r>
        <w:rPr>
          <w:rFonts w:ascii="Arial" w:hAnsi="Arial"/>
          <w:sz w:val="20"/>
        </w:rPr>
        <w:t> </w:t>
      </w:r>
      <w:r>
        <w:rPr>
          <w:rFonts w:ascii="Arial" w:hAnsi="Arial"/>
          <w:sz w:val="21"/>
        </w:rPr>
        <w:t>on</w:t>
      </w:r>
      <w:r>
        <w:rPr>
          <w:rFonts w:ascii="Arial" w:hAnsi="Arial"/>
          <w:sz w:val="20"/>
        </w:rPr>
        <w:t> </w:t>
      </w:r>
      <w:r>
        <w:rPr>
          <w:rFonts w:ascii="Arial" w:hAnsi="Arial"/>
          <w:sz w:val="21"/>
        </w:rPr>
        <w:t>that</w:t>
      </w:r>
      <w:r>
        <w:rPr>
          <w:rFonts w:ascii="Arial" w:hAnsi="Arial"/>
          <w:sz w:val="20"/>
        </w:rPr>
        <w:t> </w:t>
      </w:r>
      <w:r>
        <w:rPr>
          <w:rFonts w:ascii="Arial" w:hAnsi="Arial"/>
          <w:sz w:val="21"/>
        </w:rPr>
        <w:t>date.</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115" w:after="0"/>
        <w:ind w:left="1700" w:right="700" w:hanging="0"/>
        <w:jc w:val="left"/>
        <w:rPr>
          <w:rFonts w:cs="Arial"/>
          <w:szCs w:val="22"/>
        </w:rPr>
      </w:pPr>
      <w:r>
        <w:rPr>
          <w:rFonts w:cs="Arial"/>
          <w:szCs w:val="22"/>
        </w:rPr>
        <w:t xml:space="preserve">﻿ </w:t>
      </w:r>
    </w:p>
    <w:p>
      <w:pPr>
        <w:pStyle w:val="TextBody"/>
        <w:bidi w:val="0"/>
        <w:spacing w:lineRule="auto" w:line="266" w:before="0" w:after="0"/>
        <w:ind w:left="3120" w:right="1478" w:hanging="0"/>
        <w:jc w:val="both"/>
        <w:rPr>
          <w:rFonts w:ascii="Arial" w:hAnsi="Arial"/>
          <w:sz w:val="20"/>
        </w:rPr>
      </w:pPr>
      <w:r>
        <w:rPr>
          <w:rFonts w:ascii="Arial" w:hAnsi="Arial"/>
          <w:b/>
          <w:sz w:val="21"/>
        </w:rPr>
        <w:t>Loan</w:t>
      </w:r>
      <w:r>
        <w:rPr>
          <w:rFonts w:ascii="Arial" w:hAnsi="Arial"/>
          <w:sz w:val="20"/>
        </w:rPr>
        <w:t> </w:t>
      </w:r>
      <w:r>
        <w:rPr>
          <w:rFonts w:ascii="Arial" w:hAnsi="Arial"/>
          <w:b/>
          <w:sz w:val="21"/>
        </w:rPr>
        <w:t>to</w:t>
      </w:r>
      <w:r>
        <w:rPr>
          <w:rFonts w:ascii="Arial" w:hAnsi="Arial"/>
          <w:sz w:val="20"/>
        </w:rPr>
        <w:t> </w:t>
      </w:r>
      <w:r>
        <w:rPr>
          <w:rFonts w:ascii="Arial" w:hAnsi="Arial"/>
          <w:b/>
          <w:sz w:val="21"/>
        </w:rPr>
        <w:t>Value</w:t>
      </w:r>
      <w:r>
        <w:rPr>
          <w:rFonts w:ascii="Arial" w:hAnsi="Arial"/>
          <w:sz w:val="20"/>
        </w:rPr>
        <w:t> </w:t>
      </w:r>
      <w:r>
        <w:rPr>
          <w:rFonts w:ascii="Arial" w:hAnsi="Arial"/>
          <w:b/>
          <w:sz w:val="21"/>
        </w:rPr>
        <w:t>Ratio</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ratio</w:t>
      </w:r>
      <w:r>
        <w:rPr>
          <w:rFonts w:ascii="Arial" w:hAnsi="Arial"/>
          <w:sz w:val="20"/>
        </w:rPr>
        <w:t> </w:t>
      </w:r>
      <w:r>
        <w:rPr>
          <w:rFonts w:ascii="Arial" w:hAnsi="Arial"/>
          <w:sz w:val="21"/>
        </w:rPr>
        <w:t>(expressed</w:t>
      </w:r>
      <w:r>
        <w:rPr>
          <w:rFonts w:ascii="Arial" w:hAnsi="Arial"/>
          <w:sz w:val="20"/>
        </w:rPr>
        <w:t> </w:t>
      </w:r>
      <w:r>
        <w:rPr>
          <w:rFonts w:ascii="Arial" w:hAnsi="Arial"/>
          <w:sz w:val="21"/>
        </w:rPr>
        <w:t>as</w:t>
      </w:r>
      <w:r>
        <w:rPr>
          <w:rFonts w:ascii="Arial" w:hAnsi="Arial"/>
          <w:sz w:val="20"/>
        </w:rPr>
        <w:t> </w:t>
      </w:r>
      <w:r>
        <w:rPr>
          <w:rFonts w:ascii="Arial" w:hAnsi="Arial"/>
          <w:sz w:val="21"/>
        </w:rPr>
        <w:t>a</w:t>
      </w:r>
      <w:r>
        <w:rPr>
          <w:rFonts w:ascii="Arial" w:hAnsi="Arial"/>
          <w:sz w:val="20"/>
        </w:rPr>
        <w:t> </w:t>
      </w:r>
      <w:r>
        <w:rPr>
          <w:rFonts w:ascii="Arial" w:hAnsi="Arial"/>
          <w:sz w:val="21"/>
        </w:rPr>
        <w:t>percentage) of:</w:t>
      </w:r>
      <w:r>
        <w:rPr>
          <w:rFonts w:ascii="Arial" w:hAnsi="Arial"/>
          <w:sz w:val="20"/>
        </w:rPr>
        <w:t xml:space="preserve"> </w:t>
      </w:r>
    </w:p>
    <w:p>
      <w:pPr>
        <w:pStyle w:val="TextBody"/>
        <w:bidi w:val="0"/>
        <w:spacing w:lineRule="auto" w:line="266" w:before="120" w:after="0"/>
        <w:ind w:left="3686" w:right="1504" w:hanging="0"/>
        <w:jc w:val="both"/>
        <w:rPr>
          <w:rFonts w:ascii="Arial" w:hAnsi="Arial"/>
          <w:sz w:val="20"/>
        </w:rPr>
      </w:pPr>
      <w:r>
        <w:rPr>
          <w:rFonts w:ascii="Arial" w:hAnsi="Arial"/>
          <w:sz w:val="21"/>
        </w:rPr>
        <w:t>(a)the aggregate of the Total Gross Debt outstanding on that date and any Outstanding</w:t>
      </w:r>
      <w:r>
        <w:rPr>
          <w:rFonts w:ascii="Arial" w:hAnsi="Arial"/>
          <w:sz w:val="20"/>
        </w:rPr>
        <w:t> </w:t>
      </w:r>
      <w:r>
        <w:rPr>
          <w:rFonts w:ascii="Arial" w:hAnsi="Arial"/>
          <w:sz w:val="21"/>
        </w:rPr>
        <w:t>Accommodation</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a</w:t>
      </w:r>
      <w:r>
        <w:rPr>
          <w:rFonts w:ascii="Arial" w:hAnsi="Arial"/>
          <w:sz w:val="20"/>
        </w:rPr>
        <w:t> </w:t>
      </w:r>
      <w:r>
        <w:rPr>
          <w:rFonts w:ascii="Arial" w:hAnsi="Arial"/>
          <w:sz w:val="21"/>
        </w:rPr>
        <w:t>Current</w:t>
      </w:r>
      <w:r>
        <w:rPr>
          <w:rFonts w:ascii="Arial" w:hAnsi="Arial"/>
          <w:sz w:val="20"/>
        </w:rPr>
        <w:t> </w:t>
      </w:r>
      <w:r>
        <w:rPr>
          <w:rFonts w:ascii="Arial" w:hAnsi="Arial"/>
          <w:sz w:val="21"/>
        </w:rPr>
        <w:t>Bank</w:t>
      </w:r>
      <w:r>
        <w:rPr>
          <w:rFonts w:ascii="Arial" w:hAnsi="Arial"/>
          <w:sz w:val="20"/>
        </w:rPr>
        <w:t> </w:t>
      </w:r>
      <w:r>
        <w:rPr>
          <w:rFonts w:ascii="Arial" w:hAnsi="Arial"/>
          <w:sz w:val="21"/>
        </w:rPr>
        <w:t>Guarantee</w:t>
      </w:r>
      <w:r>
        <w:rPr>
          <w:rFonts w:ascii="Arial" w:hAnsi="Arial"/>
          <w:sz w:val="20"/>
        </w:rPr>
        <w:t> </w:t>
      </w:r>
      <w:r>
        <w:rPr>
          <w:rFonts w:ascii="Arial" w:hAnsi="Arial"/>
          <w:sz w:val="21"/>
        </w:rPr>
        <w:t>as</w:t>
      </w:r>
      <w:r>
        <w:rPr>
          <w:rFonts w:ascii="Arial" w:hAnsi="Arial"/>
          <w:sz w:val="20"/>
        </w:rPr>
        <w:t> </w:t>
      </w:r>
      <w:r>
        <w:rPr>
          <w:rFonts w:ascii="Arial" w:hAnsi="Arial"/>
          <w:sz w:val="21"/>
        </w:rPr>
        <w:t>at that date; to</w:t>
      </w:r>
      <w:r>
        <w:rPr>
          <w:rFonts w:ascii="Arial" w:hAnsi="Arial"/>
          <w:sz w:val="20"/>
        </w:rPr>
        <w:t xml:space="preserve"> </w:t>
      </w:r>
    </w:p>
    <w:p>
      <w:pPr>
        <w:pStyle w:val="TextBody"/>
        <w:bidi w:val="0"/>
        <w:spacing w:lineRule="auto" w:line="266" w:before="118" w:after="0"/>
        <w:ind w:left="3686" w:right="1632" w:hanging="0"/>
        <w:jc w:val="left"/>
        <w:rPr>
          <w:rFonts w:ascii="Arial" w:hAnsi="Arial"/>
          <w:sz w:val="20"/>
        </w:rPr>
      </w:pPr>
      <w:r>
        <w:rPr>
          <w:rFonts w:ascii="Arial" w:hAnsi="Arial"/>
          <w:sz w:val="21"/>
        </w:rPr>
        <w:t>(b)the market value of the Freehold Properties and Leasehold Properties included</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Secured</w:t>
      </w:r>
      <w:r>
        <w:rPr>
          <w:rFonts w:ascii="Arial" w:hAnsi="Arial"/>
          <w:sz w:val="20"/>
        </w:rPr>
        <w:t> </w:t>
      </w:r>
      <w:r>
        <w:rPr>
          <w:rFonts w:ascii="Arial" w:hAnsi="Arial"/>
          <w:sz w:val="21"/>
        </w:rPr>
        <w:t>Property</w:t>
      </w:r>
      <w:r>
        <w:rPr>
          <w:rFonts w:ascii="Arial" w:hAnsi="Arial"/>
          <w:sz w:val="20"/>
        </w:rPr>
        <w:t> </w:t>
      </w:r>
      <w:r>
        <w:rPr>
          <w:rFonts w:ascii="Arial" w:hAnsi="Arial"/>
          <w:sz w:val="21"/>
        </w:rPr>
        <w:t>as</w:t>
      </w:r>
      <w:r>
        <w:rPr>
          <w:rFonts w:ascii="Arial" w:hAnsi="Arial"/>
          <w:sz w:val="20"/>
        </w:rPr>
        <w:t> </w:t>
      </w:r>
      <w:r>
        <w:rPr>
          <w:rFonts w:ascii="Arial" w:hAnsi="Arial"/>
          <w:sz w:val="21"/>
        </w:rPr>
        <w:t>noted</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most</w:t>
      </w:r>
      <w:r>
        <w:rPr>
          <w:rFonts w:ascii="Arial" w:hAnsi="Arial"/>
          <w:sz w:val="20"/>
        </w:rPr>
        <w:t> </w:t>
      </w:r>
      <w:r>
        <w:rPr>
          <w:rFonts w:ascii="Arial" w:hAnsi="Arial"/>
          <w:sz w:val="21"/>
        </w:rPr>
        <w:t>recent</w:t>
      </w:r>
      <w:r>
        <w:rPr>
          <w:rFonts w:ascii="Arial" w:hAnsi="Arial"/>
          <w:sz w:val="20"/>
        </w:rPr>
        <w:t> </w:t>
      </w:r>
      <w:r>
        <w:rPr>
          <w:rFonts w:ascii="Arial" w:hAnsi="Arial"/>
          <w:sz w:val="21"/>
        </w:rPr>
        <w:t>Valuation provided to the Bank pursuant to this document and accepted by the Bank.</w:t>
      </w:r>
      <w:r>
        <w:rPr>
          <w:rFonts w:ascii="Arial" w:hAnsi="Arial"/>
          <w:sz w:val="20"/>
        </w:rPr>
        <w:t xml:space="preserve"> </w:t>
      </w:r>
    </w:p>
    <w:p>
      <w:pPr>
        <w:pStyle w:val="TextBody"/>
        <w:pBdr/>
        <w:bidi w:val="0"/>
        <w:spacing w:lineRule="auto" w:line="266" w:before="118" w:after="0"/>
        <w:ind w:left="3120" w:right="1366" w:hanging="0"/>
        <w:jc w:val="left"/>
        <w:rPr>
          <w:rFonts w:ascii="Arial" w:hAnsi="Arial"/>
          <w:sz w:val="22"/>
        </w:rPr>
      </w:pPr>
      <w:r>
        <w:rPr>
          <w:rFonts w:ascii="Arial" w:hAnsi="Arial"/>
          <w:b/>
          <w:sz w:val="22"/>
        </w:rPr>
        <w:t xml:space="preserve">Management Fees </w:t>
      </w:r>
      <w:r>
        <w:rPr>
          <w:rFonts w:ascii="Arial" w:hAnsi="Arial"/>
          <w:sz w:val="22"/>
        </w:rPr>
        <w:t xml:space="preserve">means management and consulting fees payable to Reading International Inc or any of its affiliates (other than any affiliate who is a Reading Entertainment Australia Group Member) each Financial Year. </w:t>
      </w:r>
    </w:p>
    <w:p>
      <w:pPr>
        <w:pStyle w:val="TextBody"/>
        <w:pBdr/>
        <w:bidi w:val="0"/>
        <w:spacing w:lineRule="auto" w:line="266" w:before="120" w:after="0"/>
        <w:ind w:left="3120" w:right="1500" w:hanging="0"/>
        <w:jc w:val="left"/>
        <w:rPr>
          <w:rFonts w:ascii="Arial" w:hAnsi="Arial"/>
          <w:sz w:val="22"/>
        </w:rPr>
      </w:pPr>
      <w:r>
        <w:rPr>
          <w:rFonts w:ascii="Arial" w:hAnsi="Arial"/>
          <w:b/>
          <w:sz w:val="22"/>
        </w:rPr>
        <w:t>Margin</w:t>
      </w:r>
      <w:r>
        <w:rPr>
          <w:rFonts w:ascii="Arial" w:hAnsi="Arial"/>
          <w:sz w:val="22"/>
        </w:rPr>
        <w:t xml:space="preserve"> means in relation to a Pricing Period for an Advance, 1.75% per annum. </w:t>
      </w:r>
    </w:p>
    <w:p>
      <w:pPr>
        <w:pStyle w:val="TextBody"/>
        <w:bidi w:val="0"/>
        <w:spacing w:before="119" w:after="0"/>
        <w:ind w:left="3120" w:right="700" w:hanging="0"/>
        <w:jc w:val="left"/>
        <w:rPr>
          <w:rFonts w:ascii="Arial" w:hAnsi="Arial"/>
          <w:sz w:val="20"/>
        </w:rPr>
      </w:pPr>
      <w:r>
        <w:rPr>
          <w:rFonts w:ascii="Arial" w:hAnsi="Arial"/>
          <w:b/>
          <w:sz w:val="21"/>
        </w:rPr>
        <w:t>Material</w:t>
      </w:r>
      <w:r>
        <w:rPr>
          <w:rFonts w:ascii="Arial" w:hAnsi="Arial"/>
          <w:sz w:val="20"/>
        </w:rPr>
        <w:t> </w:t>
      </w:r>
      <w:r>
        <w:rPr>
          <w:rFonts w:ascii="Arial" w:hAnsi="Arial"/>
          <w:b/>
          <w:sz w:val="21"/>
        </w:rPr>
        <w:t>Adverse</w:t>
      </w:r>
      <w:r>
        <w:rPr>
          <w:rFonts w:ascii="Arial" w:hAnsi="Arial"/>
          <w:sz w:val="20"/>
        </w:rPr>
        <w:t> </w:t>
      </w:r>
      <w:r>
        <w:rPr>
          <w:rFonts w:ascii="Arial" w:hAnsi="Arial"/>
          <w:b/>
          <w:sz w:val="21"/>
        </w:rPr>
        <w:t>Effec</w:t>
      </w:r>
      <w:r>
        <w:rPr>
          <w:rFonts w:ascii="Arial" w:hAnsi="Arial"/>
          <w:sz w:val="21"/>
        </w:rPr>
        <w:t>t</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material</w:t>
      </w:r>
      <w:r>
        <w:rPr>
          <w:rFonts w:ascii="Arial" w:hAnsi="Arial"/>
          <w:sz w:val="20"/>
        </w:rPr>
        <w:t> </w:t>
      </w:r>
      <w:r>
        <w:rPr>
          <w:rFonts w:ascii="Arial" w:hAnsi="Arial"/>
          <w:sz w:val="21"/>
        </w:rPr>
        <w:t>adverse</w:t>
      </w:r>
      <w:r>
        <w:rPr>
          <w:rFonts w:ascii="Arial" w:hAnsi="Arial"/>
          <w:sz w:val="20"/>
        </w:rPr>
        <w:t> </w:t>
      </w:r>
      <w:r>
        <w:rPr>
          <w:rFonts w:ascii="Arial" w:hAnsi="Arial"/>
          <w:sz w:val="21"/>
        </w:rPr>
        <w:t>effect</w:t>
      </w:r>
      <w:r>
        <w:rPr>
          <w:rFonts w:ascii="Arial" w:hAnsi="Arial"/>
          <w:sz w:val="20"/>
        </w:rPr>
        <w:t> </w:t>
      </w:r>
      <w:r>
        <w:rPr>
          <w:rFonts w:ascii="Arial" w:hAnsi="Arial"/>
          <w:sz w:val="21"/>
        </w:rPr>
        <w:t>on:</w:t>
      </w:r>
      <w:r>
        <w:rPr>
          <w:rFonts w:ascii="Arial" w:hAnsi="Arial"/>
          <w:sz w:val="20"/>
        </w:rPr>
        <w:t xml:space="preserve"> </w:t>
      </w:r>
    </w:p>
    <w:p>
      <w:pPr>
        <w:pStyle w:val="TextBody"/>
        <w:bidi w:val="0"/>
        <w:spacing w:lineRule="auto" w:line="266" w:before="147" w:after="0"/>
        <w:ind w:left="3686" w:right="1612" w:hanging="0"/>
        <w:jc w:val="both"/>
        <w:rPr>
          <w:rFonts w:ascii="Arial" w:hAnsi="Arial"/>
          <w:sz w:val="20"/>
        </w:rPr>
      </w:pPr>
      <w:r>
        <w:rPr>
          <w:rFonts w:ascii="Arial" w:hAnsi="Arial"/>
          <w:sz w:val="21"/>
        </w:rPr>
        <w:t>(a)the</w:t>
      </w:r>
      <w:r>
        <w:rPr>
          <w:rFonts w:ascii="Arial" w:hAnsi="Arial"/>
          <w:sz w:val="20"/>
        </w:rPr>
        <w:t> </w:t>
      </w:r>
      <w:r>
        <w:rPr>
          <w:rFonts w:ascii="Arial" w:hAnsi="Arial"/>
          <w:sz w:val="21"/>
        </w:rPr>
        <w:t>business,</w:t>
      </w:r>
      <w:r>
        <w:rPr>
          <w:rFonts w:ascii="Arial" w:hAnsi="Arial"/>
          <w:sz w:val="20"/>
        </w:rPr>
        <w:t> </w:t>
      </w:r>
      <w:r>
        <w:rPr>
          <w:rFonts w:ascii="Arial" w:hAnsi="Arial"/>
          <w:sz w:val="21"/>
        </w:rPr>
        <w:t>operation,</w:t>
      </w:r>
      <w:r>
        <w:rPr>
          <w:rFonts w:ascii="Arial" w:hAnsi="Arial"/>
          <w:sz w:val="20"/>
        </w:rPr>
        <w:t> </w:t>
      </w:r>
      <w:r>
        <w:rPr>
          <w:rFonts w:ascii="Arial" w:hAnsi="Arial"/>
          <w:sz w:val="21"/>
        </w:rPr>
        <w:t>property,</w:t>
      </w:r>
      <w:r>
        <w:rPr>
          <w:rFonts w:ascii="Arial" w:hAnsi="Arial"/>
          <w:sz w:val="20"/>
        </w:rPr>
        <w:t> </w:t>
      </w:r>
      <w:r>
        <w:rPr>
          <w:rFonts w:ascii="Arial" w:hAnsi="Arial"/>
          <w:sz w:val="21"/>
        </w:rPr>
        <w:t>condition</w:t>
      </w:r>
      <w:r>
        <w:rPr>
          <w:rFonts w:ascii="Arial" w:hAnsi="Arial"/>
          <w:sz w:val="20"/>
        </w:rPr>
        <w:t> </w:t>
      </w:r>
      <w:r>
        <w:rPr>
          <w:rFonts w:ascii="Arial" w:hAnsi="Arial"/>
          <w:sz w:val="21"/>
        </w:rPr>
        <w:t>(financial</w:t>
      </w:r>
      <w:r>
        <w:rPr>
          <w:rFonts w:ascii="Arial" w:hAnsi="Arial"/>
          <w:sz w:val="20"/>
        </w:rPr>
        <w:t> </w:t>
      </w:r>
      <w:r>
        <w:rPr>
          <w:rFonts w:ascii="Arial" w:hAnsi="Arial"/>
          <w:sz w:val="21"/>
        </w:rPr>
        <w:t>or</w:t>
      </w:r>
      <w:r>
        <w:rPr>
          <w:rFonts w:ascii="Arial" w:hAnsi="Arial"/>
          <w:sz w:val="20"/>
        </w:rPr>
        <w:t> </w:t>
      </w:r>
      <w:r>
        <w:rPr>
          <w:rFonts w:ascii="Arial" w:hAnsi="Arial"/>
          <w:sz w:val="21"/>
        </w:rPr>
        <w:t>otherwise)</w:t>
      </w:r>
      <w:r>
        <w:rPr>
          <w:rFonts w:ascii="Arial" w:hAnsi="Arial"/>
          <w:sz w:val="20"/>
        </w:rPr>
        <w:t> </w:t>
      </w:r>
      <w:r>
        <w:rPr>
          <w:rFonts w:ascii="Arial" w:hAnsi="Arial"/>
          <w:sz w:val="21"/>
        </w:rPr>
        <w:t>of</w:t>
      </w:r>
      <w:r>
        <w:rPr>
          <w:rFonts w:ascii="Arial" w:hAnsi="Arial"/>
          <w:sz w:val="20"/>
        </w:rPr>
        <w:t> </w:t>
      </w:r>
      <w:r>
        <w:rPr>
          <w:rFonts w:ascii="Arial" w:hAnsi="Arial"/>
          <w:sz w:val="21"/>
        </w:rPr>
        <w:t>a Transaction Party or the Reading Entertainment Australia Group taken as a whole;</w:t>
      </w:r>
      <w:r>
        <w:rPr>
          <w:rFonts w:ascii="Arial" w:hAnsi="Arial"/>
          <w:sz w:val="20"/>
        </w:rPr>
        <w:t xml:space="preserve"> </w:t>
      </w:r>
    </w:p>
    <w:p>
      <w:pPr>
        <w:pStyle w:val="TextBody"/>
        <w:bidi w:val="0"/>
        <w:spacing w:lineRule="auto" w:line="266" w:before="120" w:after="0"/>
        <w:ind w:left="3686" w:right="1916" w:hanging="0"/>
        <w:jc w:val="left"/>
        <w:rPr>
          <w:rFonts w:ascii="Arial" w:hAnsi="Arial"/>
          <w:sz w:val="20"/>
        </w:rPr>
      </w:pPr>
      <w:r>
        <w:rPr>
          <w:rFonts w:ascii="Arial" w:hAnsi="Arial"/>
          <w:sz w:val="21"/>
        </w:rPr>
        <w:t>(b)the</w:t>
      </w:r>
      <w:r>
        <w:rPr>
          <w:rFonts w:ascii="Arial" w:hAnsi="Arial"/>
          <w:sz w:val="20"/>
        </w:rPr>
        <w:t> </w:t>
      </w:r>
      <w:r>
        <w:rPr>
          <w:rFonts w:ascii="Arial" w:hAnsi="Arial"/>
          <w:sz w:val="21"/>
        </w:rPr>
        <w:t>ability</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to</w:t>
      </w:r>
      <w:r>
        <w:rPr>
          <w:rFonts w:ascii="Arial" w:hAnsi="Arial"/>
          <w:sz w:val="20"/>
        </w:rPr>
        <w:t> </w:t>
      </w:r>
      <w:r>
        <w:rPr>
          <w:rFonts w:ascii="Arial" w:hAnsi="Arial"/>
          <w:sz w:val="21"/>
        </w:rPr>
        <w:t>perform</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under</w:t>
      </w:r>
      <w:r>
        <w:rPr>
          <w:rFonts w:ascii="Arial" w:hAnsi="Arial"/>
          <w:sz w:val="20"/>
        </w:rPr>
        <w:t> </w:t>
      </w:r>
      <w:r>
        <w:rPr>
          <w:rFonts w:ascii="Arial" w:hAnsi="Arial"/>
          <w:sz w:val="21"/>
        </w:rPr>
        <w:t>the Transaction Documents; or</w:t>
      </w:r>
      <w:r>
        <w:rPr>
          <w:rFonts w:ascii="Arial" w:hAnsi="Arial"/>
          <w:sz w:val="20"/>
        </w:rPr>
        <w:t xml:space="preserve"> </w:t>
      </w:r>
    </w:p>
    <w:p>
      <w:pPr>
        <w:pStyle w:val="TextBody"/>
        <w:bidi w:val="0"/>
        <w:spacing w:lineRule="auto" w:line="266" w:before="0" w:after="0"/>
        <w:ind w:left="3686" w:right="1645" w:hanging="0"/>
        <w:jc w:val="left"/>
        <w:rPr>
          <w:rFonts w:ascii="Arial" w:hAnsi="Arial"/>
          <w:sz w:val="20"/>
        </w:rPr>
      </w:pPr>
      <w:r>
        <w:rPr>
          <w:rFonts w:ascii="Arial" w:hAnsi="Arial"/>
          <w:sz w:val="21"/>
        </w:rPr>
        <w:t>(c)the validity or enforceability of the whole or any material part of any Transaction</w:t>
      </w:r>
      <w:r>
        <w:rPr>
          <w:rFonts w:ascii="Arial" w:hAnsi="Arial"/>
          <w:sz w:val="20"/>
        </w:rPr>
        <w:t> </w:t>
      </w:r>
      <w:r>
        <w:rPr>
          <w:rFonts w:ascii="Arial" w:hAnsi="Arial"/>
          <w:sz w:val="21"/>
        </w:rPr>
        <w:t>Document</w:t>
      </w:r>
      <w:r>
        <w:rPr>
          <w:rFonts w:ascii="Arial" w:hAnsi="Arial"/>
          <w:sz w:val="20"/>
        </w:rPr>
        <w:t> </w:t>
      </w:r>
      <w:r>
        <w:rPr>
          <w:rFonts w:ascii="Arial" w:hAnsi="Arial"/>
          <w:sz w:val="21"/>
        </w:rPr>
        <w:t>or</w:t>
      </w:r>
      <w:r>
        <w:rPr>
          <w:rFonts w:ascii="Arial" w:hAnsi="Arial"/>
          <w:sz w:val="20"/>
        </w:rPr>
        <w:t> </w:t>
      </w:r>
      <w:r>
        <w:rPr>
          <w:rFonts w:ascii="Arial" w:hAnsi="Arial"/>
          <w:sz w:val="21"/>
        </w:rPr>
        <w:t>any</w:t>
      </w:r>
      <w:r>
        <w:rPr>
          <w:rFonts w:ascii="Arial" w:hAnsi="Arial"/>
          <w:sz w:val="20"/>
        </w:rPr>
        <w:t> </w:t>
      </w:r>
      <w:r>
        <w:rPr>
          <w:rFonts w:ascii="Arial" w:hAnsi="Arial"/>
          <w:sz w:val="21"/>
        </w:rPr>
        <w:t>rights</w:t>
      </w:r>
      <w:r>
        <w:rPr>
          <w:rFonts w:ascii="Arial" w:hAnsi="Arial"/>
          <w:sz w:val="20"/>
        </w:rPr>
        <w:t> </w:t>
      </w:r>
      <w:r>
        <w:rPr>
          <w:rFonts w:ascii="Arial" w:hAnsi="Arial"/>
          <w:sz w:val="21"/>
        </w:rPr>
        <w:t>or</w:t>
      </w:r>
      <w:r>
        <w:rPr>
          <w:rFonts w:ascii="Arial" w:hAnsi="Arial"/>
          <w:sz w:val="20"/>
        </w:rPr>
        <w:t> </w:t>
      </w:r>
      <w:r>
        <w:rPr>
          <w:rFonts w:ascii="Arial" w:hAnsi="Arial"/>
          <w:sz w:val="21"/>
        </w:rPr>
        <w:t>remedies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under</w:t>
      </w:r>
      <w:r>
        <w:rPr>
          <w:rFonts w:ascii="Arial" w:hAnsi="Arial"/>
          <w:sz w:val="20"/>
        </w:rPr>
        <w:t> </w:t>
      </w:r>
      <w:r>
        <w:rPr>
          <w:rFonts w:ascii="Arial" w:hAnsi="Arial"/>
          <w:sz w:val="21"/>
        </w:rPr>
        <w:t>the Transaction Documents.</w:t>
      </w:r>
      <w:r>
        <w:rPr>
          <w:rFonts w:ascii="Arial" w:hAnsi="Arial"/>
          <w:sz w:val="20"/>
        </w:rPr>
        <w:t xml:space="preserve"> </w:t>
      </w:r>
    </w:p>
    <w:p>
      <w:pPr>
        <w:pStyle w:val="TextBody"/>
        <w:bidi w:val="0"/>
        <w:spacing w:lineRule="auto" w:line="266" w:before="118" w:after="0"/>
        <w:ind w:left="3120" w:right="1471" w:hanging="0"/>
        <w:jc w:val="left"/>
        <w:rPr>
          <w:rFonts w:ascii="Arial" w:hAnsi="Arial"/>
          <w:sz w:val="22"/>
        </w:rPr>
      </w:pPr>
      <w:r>
        <w:rPr>
          <w:rFonts w:ascii="Arial" w:hAnsi="Arial"/>
          <w:b/>
          <w:sz w:val="22"/>
        </w:rPr>
        <w:t xml:space="preserve">Matured </w:t>
      </w:r>
      <w:r>
        <w:rPr>
          <w:rFonts w:ascii="Arial" w:hAnsi="Arial"/>
          <w:sz w:val="22"/>
        </w:rPr>
        <w:t xml:space="preserve">means, in relation to a Bank Guarantee, that the Beneficiary has made a claim and is not entitled to claim any more under the relevant Bank Guarantee. </w:t>
      </w:r>
    </w:p>
    <w:p>
      <w:pPr>
        <w:pStyle w:val="TextBody"/>
        <w:bidi w:val="0"/>
        <w:spacing w:lineRule="auto" w:line="266" w:before="120" w:after="0"/>
        <w:ind w:left="3120" w:right="1471" w:hanging="0"/>
        <w:jc w:val="left"/>
        <w:rPr>
          <w:rFonts w:ascii="Arial" w:hAnsi="Arial"/>
          <w:sz w:val="20"/>
        </w:rPr>
      </w:pPr>
      <w:r>
        <w:rPr>
          <w:rFonts w:ascii="Arial" w:hAnsi="Arial"/>
          <w:b/>
          <w:sz w:val="21"/>
        </w:rPr>
        <w:t>Merchant</w:t>
      </w:r>
      <w:r>
        <w:rPr>
          <w:rFonts w:ascii="Arial" w:hAnsi="Arial"/>
          <w:sz w:val="20"/>
        </w:rPr>
        <w:t> </w:t>
      </w:r>
      <w:r>
        <w:rPr>
          <w:rFonts w:ascii="Arial" w:hAnsi="Arial"/>
          <w:b/>
          <w:sz w:val="21"/>
        </w:rPr>
        <w:t>Services</w:t>
      </w:r>
      <w:r>
        <w:rPr>
          <w:rFonts w:ascii="Arial" w:hAnsi="Arial"/>
          <w:sz w:val="20"/>
        </w:rPr>
        <w:t> </w:t>
      </w:r>
      <w:r>
        <w:rPr>
          <w:rFonts w:ascii="Arial" w:hAnsi="Arial"/>
          <w:b/>
          <w:sz w:val="21"/>
        </w:rPr>
        <w:t>Agreement</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agreement</w:t>
      </w:r>
      <w:r>
        <w:rPr>
          <w:rFonts w:ascii="Arial" w:hAnsi="Arial"/>
          <w:sz w:val="20"/>
        </w:rPr>
        <w:t> </w:t>
      </w:r>
      <w:r>
        <w:rPr>
          <w:rFonts w:ascii="Arial" w:hAnsi="Arial"/>
          <w:sz w:val="21"/>
        </w:rPr>
        <w:t>for</w:t>
      </w:r>
      <w:r>
        <w:rPr>
          <w:rFonts w:ascii="Arial" w:hAnsi="Arial"/>
          <w:sz w:val="20"/>
        </w:rPr>
        <w:t> </w:t>
      </w:r>
      <w:r>
        <w:rPr>
          <w:rFonts w:ascii="Arial" w:hAnsi="Arial"/>
          <w:sz w:val="21"/>
        </w:rPr>
        <w:t>merchant</w:t>
      </w:r>
      <w:r>
        <w:rPr>
          <w:rFonts w:ascii="Arial" w:hAnsi="Arial"/>
          <w:sz w:val="20"/>
        </w:rPr>
        <w:t> </w:t>
      </w:r>
      <w:r>
        <w:rPr>
          <w:rFonts w:ascii="Arial" w:hAnsi="Arial"/>
          <w:sz w:val="21"/>
        </w:rPr>
        <w:t>services between the Bank and Reading Entertainment Australia Group.</w:t>
      </w:r>
      <w:r>
        <w:rPr>
          <w:rFonts w:ascii="Arial" w:hAnsi="Arial"/>
          <w:sz w:val="20"/>
        </w:rPr>
        <w:t xml:space="preserve"> </w:t>
      </w:r>
    </w:p>
    <w:p>
      <w:pPr>
        <w:pStyle w:val="TextBody"/>
        <w:bidi w:val="0"/>
        <w:spacing w:lineRule="auto" w:line="266" w:before="119" w:after="0"/>
        <w:ind w:left="3120" w:right="1471" w:hanging="0"/>
        <w:jc w:val="left"/>
        <w:rPr>
          <w:rFonts w:ascii="Arial" w:hAnsi="Arial"/>
          <w:sz w:val="22"/>
        </w:rPr>
      </w:pPr>
      <w:r>
        <w:rPr>
          <w:rFonts w:ascii="Arial" w:hAnsi="Arial"/>
          <w:b/>
          <w:sz w:val="22"/>
        </w:rPr>
        <w:t>Minimum</w:t>
      </w:r>
      <w:r>
        <w:rPr>
          <w:rFonts w:ascii="Arial" w:hAnsi="Arial"/>
          <w:sz w:val="22"/>
        </w:rPr>
        <w:t> </w:t>
      </w:r>
      <w:r>
        <w:rPr>
          <w:rFonts w:ascii="Arial" w:hAnsi="Arial"/>
          <w:b/>
          <w:sz w:val="22"/>
        </w:rPr>
        <w:t>Liquidity</w:t>
      </w:r>
      <w:r>
        <w:rPr>
          <w:rFonts w:ascii="Arial" w:hAnsi="Arial"/>
          <w:sz w:val="22"/>
        </w:rPr>
        <w:t xml:space="preserve"> means all unrestricted Cash of the Borrower, determined on a consolidated basis, as detailed in the Borrower’s management accounts. </w:t>
      </w:r>
    </w:p>
    <w:p>
      <w:pPr>
        <w:pStyle w:val="TextBody"/>
        <w:bidi w:val="0"/>
        <w:spacing w:before="119" w:after="0"/>
        <w:ind w:left="3120" w:right="700" w:hanging="0"/>
        <w:jc w:val="left"/>
        <w:rPr>
          <w:rFonts w:ascii="Arial" w:hAnsi="Arial"/>
          <w:sz w:val="20"/>
        </w:rPr>
      </w:pPr>
      <w:r>
        <w:rPr>
          <w:rFonts w:ascii="Arial" w:hAnsi="Arial"/>
          <w:b/>
          <w:sz w:val="21"/>
        </w:rPr>
        <w:t>Month</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calendar</w:t>
      </w:r>
      <w:r>
        <w:rPr>
          <w:rFonts w:ascii="Arial" w:hAnsi="Arial"/>
          <w:sz w:val="20"/>
        </w:rPr>
        <w:t> </w:t>
      </w:r>
      <w:r>
        <w:rPr>
          <w:rFonts w:ascii="Arial" w:hAnsi="Arial"/>
          <w:sz w:val="21"/>
        </w:rPr>
        <w:t>month.</w:t>
      </w:r>
      <w:r>
        <w:rPr>
          <w:rFonts w:ascii="Arial" w:hAnsi="Arial"/>
          <w:sz w:val="20"/>
        </w:rPr>
        <w:t xml:space="preserve"> </w:t>
      </w:r>
    </w:p>
    <w:p>
      <w:pPr>
        <w:pStyle w:val="TextBody"/>
        <w:bidi w:val="0"/>
        <w:spacing w:lineRule="auto" w:line="266" w:before="148" w:after="0"/>
        <w:ind w:left="3120" w:right="1441" w:hanging="0"/>
        <w:jc w:val="left"/>
        <w:rPr>
          <w:rFonts w:ascii="Arial" w:hAnsi="Arial"/>
          <w:sz w:val="22"/>
        </w:rPr>
      </w:pPr>
      <w:r>
        <w:rPr>
          <w:rFonts w:ascii="Arial" w:hAnsi="Arial"/>
          <w:b/>
          <w:sz w:val="22"/>
        </w:rPr>
        <w:t xml:space="preserve">Net Sale Proceeds </w:t>
      </w:r>
      <w:r>
        <w:rPr>
          <w:rFonts w:ascii="Arial" w:hAnsi="Arial"/>
          <w:sz w:val="22"/>
        </w:rPr>
        <w:t xml:space="preserve">means in relation to the sale of the Cannon Park Property or the Waurn Ponds Property, the gross sale or disposal price set out in the relevant sale contract less the aggregate of estate agent commissions, conveyancing fees, adjustments (for both water and council rates), land tax owners corporation fees and fees associated with the discharge or release of an Encumbrance over the Cannon Park Property or the Waurn Ponds Property (as applicable) and any GST payable in relation to the sale contract. </w:t>
      </w:r>
    </w:p>
    <w:p>
      <w:pPr>
        <w:pStyle w:val="TextBody"/>
        <w:bidi w:val="0"/>
        <w:spacing w:before="118" w:after="0"/>
        <w:ind w:left="3120" w:right="700" w:hanging="0"/>
        <w:jc w:val="left"/>
        <w:rPr>
          <w:rFonts w:ascii="Arial" w:hAnsi="Arial"/>
          <w:sz w:val="20"/>
        </w:rPr>
      </w:pPr>
      <w:r>
        <w:rPr>
          <w:rFonts w:ascii="Arial" w:hAnsi="Arial"/>
          <w:b/>
          <w:sz w:val="21"/>
        </w:rPr>
        <w:t>Outstanding</w:t>
      </w:r>
      <w:r>
        <w:rPr>
          <w:rFonts w:ascii="Arial" w:hAnsi="Arial"/>
          <w:sz w:val="20"/>
        </w:rPr>
        <w:t> </w:t>
      </w:r>
      <w:r>
        <w:rPr>
          <w:rFonts w:ascii="Arial" w:hAnsi="Arial"/>
          <w:b/>
          <w:sz w:val="21"/>
        </w:rPr>
        <w:t>Accommodation</w:t>
      </w:r>
      <w:r>
        <w:rPr>
          <w:rFonts w:ascii="Arial" w:hAnsi="Arial"/>
          <w:sz w:val="20"/>
        </w:rPr>
        <w:t> </w:t>
      </w:r>
      <w:r>
        <w:rPr>
          <w:rFonts w:ascii="Arial" w:hAnsi="Arial"/>
          <w:sz w:val="21"/>
        </w:rPr>
        <w:t>means</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time,</w:t>
      </w:r>
      <w:r>
        <w:rPr>
          <w:rFonts w:ascii="Arial" w:hAnsi="Arial"/>
          <w:sz w:val="20"/>
        </w:rPr>
        <w:t> </w:t>
      </w:r>
      <w:r>
        <w:rPr>
          <w:rFonts w:ascii="Arial" w:hAnsi="Arial"/>
          <w:sz w:val="21"/>
        </w:rPr>
        <w:t>the</w:t>
      </w:r>
      <w:r>
        <w:rPr>
          <w:rFonts w:ascii="Arial" w:hAnsi="Arial"/>
          <w:sz w:val="20"/>
        </w:rPr>
        <w:t> </w:t>
      </w:r>
      <w:r>
        <w:rPr>
          <w:rFonts w:ascii="Arial" w:hAnsi="Arial"/>
          <w:sz w:val="21"/>
        </w:rPr>
        <w:t>aggregate</w:t>
      </w:r>
      <w:r>
        <w:rPr>
          <w:rFonts w:ascii="Arial" w:hAnsi="Arial"/>
          <w:sz w:val="20"/>
        </w:rPr>
        <w:t> </w:t>
      </w:r>
      <w:r>
        <w:rPr>
          <w:rFonts w:ascii="Arial" w:hAnsi="Arial"/>
          <w:sz w:val="21"/>
        </w:rPr>
        <w:t>of:</w:t>
      </w:r>
      <w:r>
        <w:rPr>
          <w:rFonts w:ascii="Arial" w:hAnsi="Arial"/>
          <w:sz w:val="20"/>
        </w:rPr>
        <w:t xml:space="preserve"> </w:t>
      </w:r>
    </w:p>
    <w:p>
      <w:pPr>
        <w:pStyle w:val="TextBody"/>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1571" w:hanging="0"/>
        <w:jc w:val="left"/>
        <w:rPr>
          <w:rFonts w:ascii="Arial" w:hAnsi="Arial"/>
          <w:sz w:val="20"/>
        </w:rPr>
      </w:pPr>
      <w:r>
        <w:rPr>
          <w:rFonts w:ascii="Arial" w:hAnsi="Arial"/>
          <w:sz w:val="21"/>
        </w:rPr>
        <w:t>(a)the</w:t>
      </w:r>
      <w:r>
        <w:rPr>
          <w:rFonts w:ascii="Arial" w:hAnsi="Arial"/>
          <w:sz w:val="20"/>
        </w:rPr>
        <w:t> </w:t>
      </w:r>
      <w:r>
        <w:rPr>
          <w:rFonts w:ascii="Arial" w:hAnsi="Arial"/>
          <w:sz w:val="21"/>
        </w:rPr>
        <w:t>aggregate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unpaid</w:t>
      </w:r>
      <w:r>
        <w:rPr>
          <w:rFonts w:ascii="Arial" w:hAnsi="Arial"/>
          <w:sz w:val="20"/>
        </w:rPr>
        <w:t> </w:t>
      </w:r>
      <w:r>
        <w:rPr>
          <w:rFonts w:ascii="Arial" w:hAnsi="Arial"/>
          <w:sz w:val="21"/>
        </w:rPr>
        <w:t>Advances</w:t>
      </w:r>
      <w:r>
        <w:rPr>
          <w:rFonts w:ascii="Arial" w:hAnsi="Arial"/>
          <w:sz w:val="20"/>
        </w:rPr>
        <w:t> </w:t>
      </w:r>
      <w:r>
        <w:rPr>
          <w:rFonts w:ascii="Arial" w:hAnsi="Arial"/>
          <w:sz w:val="21"/>
        </w:rPr>
        <w:t>outstanding</w:t>
      </w:r>
      <w:r>
        <w:rPr>
          <w:rFonts w:ascii="Arial" w:hAnsi="Arial"/>
          <w:sz w:val="20"/>
        </w:rPr>
        <w:t> </w:t>
      </w:r>
      <w:r>
        <w:rPr>
          <w:rFonts w:ascii="Arial" w:hAnsi="Arial"/>
          <w:sz w:val="21"/>
        </w:rPr>
        <w:t>under</w:t>
      </w:r>
      <w:r>
        <w:rPr>
          <w:rFonts w:ascii="Arial" w:hAnsi="Arial"/>
          <w:sz w:val="20"/>
        </w:rPr>
        <w:t> </w:t>
      </w:r>
      <w:r>
        <w:rPr>
          <w:rFonts w:ascii="Arial" w:hAnsi="Arial"/>
          <w:sz w:val="21"/>
        </w:rPr>
        <w:t>the</w:t>
      </w:r>
      <w:r>
        <w:rPr>
          <w:rFonts w:ascii="Arial" w:hAnsi="Arial"/>
          <w:sz w:val="20"/>
        </w:rPr>
        <w:t> </w:t>
      </w:r>
      <w:r>
        <w:rPr>
          <w:rFonts w:ascii="Arial" w:hAnsi="Arial"/>
          <w:sz w:val="21"/>
        </w:rPr>
        <w:t>Corporate Markets Loan Facility or the Bridge Facility (as applicable);</w:t>
      </w:r>
      <w:r>
        <w:rPr>
          <w:rFonts w:ascii="Arial" w:hAnsi="Arial"/>
          <w:sz w:val="20"/>
        </w:rPr>
        <w:t xml:space="preserve"> </w:t>
      </w:r>
    </w:p>
    <w:p>
      <w:pPr>
        <w:pStyle w:val="TextBody"/>
        <w:bidi w:val="0"/>
        <w:spacing w:lineRule="auto" w:line="266" w:before="0" w:after="0"/>
        <w:ind w:left="3686" w:right="1443" w:hanging="0"/>
        <w:jc w:val="left"/>
        <w:rPr>
          <w:rFonts w:ascii="Arial" w:hAnsi="Arial"/>
          <w:sz w:val="20"/>
        </w:rPr>
      </w:pPr>
      <w:r>
        <w:rPr>
          <w:rFonts w:ascii="Arial" w:hAnsi="Arial"/>
          <w:sz w:val="21"/>
        </w:rPr>
        <w:t>(b)the Face Values of all Current Bank Guarantees and all Indemnity Amounts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each</w:t>
      </w:r>
      <w:r>
        <w:rPr>
          <w:rFonts w:ascii="Arial" w:hAnsi="Arial"/>
          <w:sz w:val="20"/>
        </w:rPr>
        <w:t> </w:t>
      </w:r>
      <w:r>
        <w:rPr>
          <w:rFonts w:ascii="Arial" w:hAnsi="Arial"/>
          <w:sz w:val="21"/>
        </w:rPr>
        <w:t>Bank</w:t>
      </w:r>
      <w:r>
        <w:rPr>
          <w:rFonts w:ascii="Arial" w:hAnsi="Arial"/>
          <w:sz w:val="20"/>
        </w:rPr>
        <w:t> </w:t>
      </w:r>
      <w:r>
        <w:rPr>
          <w:rFonts w:ascii="Arial" w:hAnsi="Arial"/>
          <w:sz w:val="21"/>
        </w:rPr>
        <w:t>Guarantee</w:t>
      </w:r>
      <w:r>
        <w:rPr>
          <w:rFonts w:ascii="Arial" w:hAnsi="Arial"/>
          <w:sz w:val="20"/>
        </w:rPr>
        <w:t> </w:t>
      </w:r>
      <w:r>
        <w:rPr>
          <w:rFonts w:ascii="Arial" w:hAnsi="Arial"/>
          <w:sz w:val="21"/>
        </w:rPr>
        <w:t>which</w:t>
      </w:r>
      <w:r>
        <w:rPr>
          <w:rFonts w:ascii="Arial" w:hAnsi="Arial"/>
          <w:sz w:val="20"/>
        </w:rPr>
        <w:t> </w:t>
      </w:r>
      <w:r>
        <w:rPr>
          <w:rFonts w:ascii="Arial" w:hAnsi="Arial"/>
          <w:sz w:val="21"/>
        </w:rPr>
        <w:t>are</w:t>
      </w:r>
      <w:r>
        <w:rPr>
          <w:rFonts w:ascii="Arial" w:hAnsi="Arial"/>
          <w:sz w:val="20"/>
        </w:rPr>
        <w:t> </w:t>
      </w:r>
      <w:r>
        <w:rPr>
          <w:rFonts w:ascii="Arial" w:hAnsi="Arial"/>
          <w:sz w:val="21"/>
        </w:rPr>
        <w:t>due</w:t>
      </w:r>
      <w:r>
        <w:rPr>
          <w:rFonts w:ascii="Arial" w:hAnsi="Arial"/>
          <w:sz w:val="20"/>
        </w:rPr>
        <w:t> </w:t>
      </w:r>
      <w:r>
        <w:rPr>
          <w:rFonts w:ascii="Arial" w:hAnsi="Arial"/>
          <w:sz w:val="21"/>
        </w:rPr>
        <w:t>and</w:t>
      </w:r>
      <w:r>
        <w:rPr>
          <w:rFonts w:ascii="Arial" w:hAnsi="Arial"/>
          <w:sz w:val="20"/>
        </w:rPr>
        <w:t> </w:t>
      </w:r>
      <w:r>
        <w:rPr>
          <w:rFonts w:ascii="Arial" w:hAnsi="Arial"/>
          <w:sz w:val="21"/>
        </w:rPr>
        <w:t>payable; and</w:t>
      </w:r>
      <w:r>
        <w:rPr>
          <w:rFonts w:ascii="Arial" w:hAnsi="Arial"/>
          <w:sz w:val="20"/>
        </w:rPr>
        <w:t xml:space="preserve"> </w:t>
      </w:r>
    </w:p>
    <w:p>
      <w:pPr>
        <w:pStyle w:val="TextBody"/>
        <w:bidi w:val="0"/>
        <w:spacing w:lineRule="auto" w:line="266" w:before="118" w:after="0"/>
        <w:ind w:left="3686" w:right="1470" w:hanging="0"/>
        <w:jc w:val="left"/>
        <w:rPr/>
      </w:pPr>
      <w:r>
        <w:rPr>
          <w:rFonts w:ascii="Arial" w:hAnsi="Arial"/>
          <w:sz w:val="21"/>
        </w:rPr>
        <w:t xml:space="preserve">(c)for the purposes of </w:t>
      </w:r>
      <w:r>
        <w:rPr>
          <w:rFonts w:ascii="Arial" w:hAnsi="Arial"/>
          <w:b/>
          <w:sz w:val="21"/>
        </w:rPr>
        <w:t xml:space="preserve">clauses </w:t>
      </w:r>
      <w:hyperlink w:anchor="_bookmark66">
        <w:r>
          <w:rPr>
            <w:rStyle w:val="InternetLink"/>
            <w:rFonts w:ascii="Arial" w:hAnsi="Arial"/>
            <w:b/>
            <w:sz w:val="21"/>
          </w:rPr>
          <w:t>5.5</w:t>
        </w:r>
      </w:hyperlink>
      <w:r>
        <w:rPr>
          <w:rFonts w:ascii="Arial" w:hAnsi="Arial"/>
          <w:sz w:val="21"/>
        </w:rPr>
        <w:t>,  </w:t>
      </w:r>
      <w:hyperlink w:anchor="_bookmark103">
        <w:r>
          <w:rPr>
            <w:rStyle w:val="InternetLink"/>
            <w:rFonts w:ascii="Arial" w:hAnsi="Arial"/>
            <w:b/>
            <w:sz w:val="21"/>
          </w:rPr>
          <w:t>10</w:t>
        </w:r>
      </w:hyperlink>
      <w:r>
        <w:rPr>
          <w:rFonts w:ascii="Arial" w:hAnsi="Arial"/>
          <w:sz w:val="20"/>
        </w:rPr>
        <w:t> </w:t>
      </w:r>
      <w:r>
        <w:rPr>
          <w:rFonts w:ascii="Arial" w:hAnsi="Arial"/>
          <w:sz w:val="21"/>
        </w:rPr>
        <w:t xml:space="preserve">and </w:t>
      </w:r>
      <w:hyperlink w:anchor="_bookmark180">
        <w:r>
          <w:rPr>
            <w:rStyle w:val="InternetLink"/>
            <w:rFonts w:ascii="Arial" w:hAnsi="Arial"/>
            <w:b/>
            <w:sz w:val="21"/>
          </w:rPr>
          <w:t>18.14</w:t>
        </w:r>
      </w:hyperlink>
      <w:r>
        <w:rPr>
          <w:rFonts w:ascii="Arial" w:hAnsi="Arial"/>
          <w:sz w:val="20"/>
        </w:rPr>
        <w:t> </w:t>
      </w:r>
      <w:r>
        <w:rPr>
          <w:rFonts w:ascii="Arial" w:hAnsi="Arial"/>
          <w:sz w:val="21"/>
        </w:rPr>
        <w:t>only and for no other purposes, any other amounts which the Borrower owes to the Bank or which</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may</w:t>
      </w:r>
      <w:r>
        <w:rPr>
          <w:rFonts w:ascii="Arial" w:hAnsi="Arial"/>
          <w:sz w:val="20"/>
        </w:rPr>
        <w:t> </w:t>
      </w:r>
      <w:r>
        <w:rPr>
          <w:rFonts w:ascii="Arial" w:hAnsi="Arial"/>
          <w:sz w:val="21"/>
        </w:rPr>
        <w:t>owe</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under or</w:t>
      </w:r>
      <w:r>
        <w:rPr>
          <w:rFonts w:ascii="Arial" w:hAnsi="Arial"/>
          <w:sz w:val="20"/>
        </w:rPr>
        <w:t> </w:t>
      </w:r>
      <w:r>
        <w:rPr>
          <w:rFonts w:ascii="Arial" w:hAnsi="Arial"/>
          <w:sz w:val="21"/>
        </w:rPr>
        <w:t>in</w:t>
      </w:r>
      <w:r>
        <w:rPr>
          <w:rFonts w:ascii="Arial" w:hAnsi="Arial"/>
          <w:sz w:val="20"/>
        </w:rPr>
        <w:t> </w:t>
      </w:r>
      <w:r>
        <w:rPr>
          <w:rFonts w:ascii="Arial" w:hAnsi="Arial"/>
          <w:sz w:val="21"/>
        </w:rPr>
        <w:t>connection</w:t>
      </w:r>
      <w:r>
        <w:rPr>
          <w:rFonts w:ascii="Arial" w:hAnsi="Arial"/>
          <w:sz w:val="20"/>
        </w:rPr>
        <w:t> </w:t>
      </w:r>
      <w:r>
        <w:rPr>
          <w:rFonts w:ascii="Arial" w:hAnsi="Arial"/>
          <w:sz w:val="21"/>
        </w:rPr>
        <w:t>with</w:t>
      </w:r>
      <w:r>
        <w:rPr>
          <w:rFonts w:ascii="Arial" w:hAnsi="Arial"/>
          <w:sz w:val="20"/>
        </w:rPr>
        <w:t> </w:t>
      </w:r>
      <w:r>
        <w:rPr>
          <w:rFonts w:ascii="Arial" w:hAnsi="Arial"/>
          <w:sz w:val="21"/>
        </w:rPr>
        <w:t>the Facilities and includes:</w:t>
      </w:r>
      <w:r>
        <w:rPr>
          <w:rFonts w:ascii="Arial" w:hAnsi="Arial"/>
          <w:sz w:val="20"/>
        </w:rPr>
        <w:t xml:space="preserve"> </w:t>
      </w:r>
    </w:p>
    <w:p>
      <w:pPr>
        <w:pStyle w:val="TextBody"/>
        <w:bidi w:val="0"/>
        <w:spacing w:lineRule="auto" w:line="266" w:before="121" w:after="0"/>
        <w:ind w:left="4253" w:right="1451" w:hanging="0"/>
        <w:jc w:val="left"/>
        <w:rPr>
          <w:rFonts w:ascii="Arial" w:hAnsi="Arial"/>
          <w:sz w:val="20"/>
        </w:rPr>
      </w:pPr>
      <w:r>
        <w:rPr>
          <w:rFonts w:ascii="Arial" w:hAnsi="Arial"/>
          <w:sz w:val="21"/>
        </w:rPr>
        <w:t>(i)any other amounts which the Borrower owes to the Bank or which the</w:t>
      </w:r>
      <w:r>
        <w:rPr>
          <w:rFonts w:ascii="Arial" w:hAnsi="Arial"/>
          <w:sz w:val="20"/>
        </w:rPr>
        <w:t> </w:t>
      </w:r>
      <w:r>
        <w:rPr>
          <w:rFonts w:ascii="Arial" w:hAnsi="Arial"/>
          <w:sz w:val="21"/>
        </w:rPr>
        <w:t>Borrower</w:t>
      </w:r>
      <w:r>
        <w:rPr>
          <w:rFonts w:ascii="Arial" w:hAnsi="Arial"/>
          <w:sz w:val="20"/>
        </w:rPr>
        <w:t> </w:t>
      </w:r>
      <w:r>
        <w:rPr>
          <w:rFonts w:ascii="Arial" w:hAnsi="Arial"/>
          <w:sz w:val="21"/>
        </w:rPr>
        <w:t>may</w:t>
      </w:r>
      <w:r>
        <w:rPr>
          <w:rFonts w:ascii="Arial" w:hAnsi="Arial"/>
          <w:sz w:val="20"/>
        </w:rPr>
        <w:t> </w:t>
      </w:r>
      <w:r>
        <w:rPr>
          <w:rFonts w:ascii="Arial" w:hAnsi="Arial"/>
          <w:sz w:val="21"/>
        </w:rPr>
        <w:t>owe</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under</w:t>
      </w:r>
      <w:r>
        <w:rPr>
          <w:rFonts w:ascii="Arial" w:hAnsi="Arial"/>
          <w:sz w:val="20"/>
        </w:rPr>
        <w:t> </w:t>
      </w:r>
      <w:r>
        <w:rPr>
          <w:rFonts w:ascii="Arial" w:hAnsi="Arial"/>
          <w:sz w:val="21"/>
        </w:rPr>
        <w:t>or</w:t>
      </w:r>
      <w:r>
        <w:rPr>
          <w:rFonts w:ascii="Arial" w:hAnsi="Arial"/>
          <w:sz w:val="20"/>
        </w:rPr>
        <w:t> </w:t>
      </w:r>
      <w:r>
        <w:rPr>
          <w:rFonts w:ascii="Arial" w:hAnsi="Arial"/>
          <w:sz w:val="21"/>
        </w:rPr>
        <w:t>in</w:t>
      </w:r>
      <w:r>
        <w:rPr>
          <w:rFonts w:ascii="Arial" w:hAnsi="Arial"/>
          <w:sz w:val="20"/>
        </w:rPr>
        <w:t> </w:t>
      </w:r>
      <w:r>
        <w:rPr>
          <w:rFonts w:ascii="Arial" w:hAnsi="Arial"/>
          <w:sz w:val="21"/>
        </w:rPr>
        <w:t>connection</w:t>
      </w:r>
      <w:r>
        <w:rPr>
          <w:rFonts w:ascii="Arial" w:hAnsi="Arial"/>
          <w:sz w:val="20"/>
        </w:rPr>
        <w:t> </w:t>
      </w:r>
      <w:r>
        <w:rPr>
          <w:rFonts w:ascii="Arial" w:hAnsi="Arial"/>
          <w:sz w:val="21"/>
        </w:rPr>
        <w:t>with</w:t>
      </w:r>
      <w:r>
        <w:rPr>
          <w:rFonts w:ascii="Arial" w:hAnsi="Arial"/>
          <w:sz w:val="20"/>
        </w:rPr>
        <w:t> </w:t>
      </w:r>
      <w:r>
        <w:rPr>
          <w:rFonts w:ascii="Arial" w:hAnsi="Arial"/>
          <w:sz w:val="21"/>
        </w:rPr>
        <w:t>any Hedging Transaction; and</w:t>
      </w:r>
      <w:r>
        <w:rPr>
          <w:rFonts w:ascii="Arial" w:hAnsi="Arial"/>
          <w:sz w:val="20"/>
        </w:rPr>
        <w:t xml:space="preserve"> </w:t>
      </w:r>
    </w:p>
    <w:p>
      <w:pPr>
        <w:pStyle w:val="TextBody"/>
        <w:bidi w:val="0"/>
        <w:spacing w:lineRule="auto" w:line="266" w:before="117" w:after="0"/>
        <w:ind w:left="4253" w:right="2314" w:hanging="0"/>
        <w:jc w:val="left"/>
        <w:rPr>
          <w:rFonts w:ascii="Arial" w:hAnsi="Arial"/>
          <w:sz w:val="20"/>
        </w:rPr>
      </w:pPr>
      <w:r>
        <w:rPr>
          <w:rFonts w:ascii="Arial" w:hAnsi="Arial"/>
          <w:sz w:val="21"/>
        </w:rPr>
        <w:t>(ii)all</w:t>
      </w:r>
      <w:r>
        <w:rPr>
          <w:rFonts w:ascii="Arial" w:hAnsi="Arial"/>
          <w:sz w:val="20"/>
        </w:rPr>
        <w:t> </w:t>
      </w:r>
      <w:r>
        <w:rPr>
          <w:rFonts w:ascii="Arial" w:hAnsi="Arial"/>
          <w:sz w:val="21"/>
        </w:rPr>
        <w:t>interest,</w:t>
      </w:r>
      <w:r>
        <w:rPr>
          <w:rFonts w:ascii="Arial" w:hAnsi="Arial"/>
          <w:sz w:val="20"/>
        </w:rPr>
        <w:t> </w:t>
      </w:r>
      <w:r>
        <w:rPr>
          <w:rFonts w:ascii="Arial" w:hAnsi="Arial"/>
          <w:sz w:val="21"/>
        </w:rPr>
        <w:t>costs</w:t>
      </w:r>
      <w:r>
        <w:rPr>
          <w:rFonts w:ascii="Arial" w:hAnsi="Arial"/>
          <w:sz w:val="20"/>
        </w:rPr>
        <w:t> </w:t>
      </w:r>
      <w:r>
        <w:rPr>
          <w:rFonts w:ascii="Arial" w:hAnsi="Arial"/>
          <w:sz w:val="21"/>
        </w:rPr>
        <w:t>and</w:t>
      </w:r>
      <w:r>
        <w:rPr>
          <w:rFonts w:ascii="Arial" w:hAnsi="Arial"/>
          <w:sz w:val="20"/>
        </w:rPr>
        <w:t> </w:t>
      </w:r>
      <w:r>
        <w:rPr>
          <w:rFonts w:ascii="Arial" w:hAnsi="Arial"/>
          <w:sz w:val="21"/>
        </w:rPr>
        <w:t>fees</w:t>
      </w:r>
      <w:r>
        <w:rPr>
          <w:rFonts w:ascii="Arial" w:hAnsi="Arial"/>
          <w:sz w:val="20"/>
        </w:rPr>
        <w:t> </w:t>
      </w:r>
      <w:r>
        <w:rPr>
          <w:rFonts w:ascii="Arial" w:hAnsi="Arial"/>
          <w:sz w:val="21"/>
        </w:rPr>
        <w:t>payable</w:t>
      </w:r>
      <w:r>
        <w:rPr>
          <w:rFonts w:ascii="Arial" w:hAnsi="Arial"/>
          <w:sz w:val="20"/>
        </w:rPr>
        <w:t> </w:t>
      </w:r>
      <w:r>
        <w:rPr>
          <w:rFonts w:ascii="Arial" w:hAnsi="Arial"/>
          <w:sz w:val="21"/>
        </w:rPr>
        <w:t>under</w:t>
      </w:r>
      <w:r>
        <w:rPr>
          <w:rFonts w:ascii="Arial" w:hAnsi="Arial"/>
          <w:sz w:val="20"/>
        </w:rPr>
        <w:t> </w:t>
      </w:r>
      <w:r>
        <w:rPr>
          <w:rFonts w:ascii="Arial" w:hAnsi="Arial"/>
          <w:sz w:val="21"/>
        </w:rPr>
        <w:t>the</w:t>
      </w:r>
      <w:r>
        <w:rPr>
          <w:rFonts w:ascii="Arial" w:hAnsi="Arial"/>
          <w:sz w:val="20"/>
        </w:rPr>
        <w:t> </w:t>
      </w:r>
      <w:r>
        <w:rPr>
          <w:rFonts w:ascii="Arial" w:hAnsi="Arial"/>
          <w:sz w:val="21"/>
        </w:rPr>
        <w:t>Transaction Documents,</w:t>
      </w:r>
      <w:r>
        <w:rPr>
          <w:rFonts w:ascii="Arial" w:hAnsi="Arial"/>
          <w:sz w:val="20"/>
        </w:rPr>
        <w:t xml:space="preserve"> </w:t>
      </w:r>
    </w:p>
    <w:p>
      <w:pPr>
        <w:pStyle w:val="TextBody"/>
        <w:pBdr/>
        <w:bidi w:val="0"/>
        <w:spacing w:lineRule="auto" w:line="266" w:before="119" w:after="0"/>
        <w:ind w:left="3686" w:right="1471" w:hanging="0"/>
        <w:jc w:val="left"/>
        <w:rPr>
          <w:rFonts w:ascii="Arial" w:hAnsi="Arial"/>
          <w:sz w:val="22"/>
        </w:rPr>
      </w:pPr>
      <w:r>
        <w:rPr>
          <w:rFonts w:ascii="Arial" w:hAnsi="Arial"/>
          <w:sz w:val="22"/>
        </w:rPr>
        <w:t xml:space="preserve">whether such amounts are owing actually or contingently and whether such amounts are then due for payment or will or may become due for payment and includes all interest, costs and fees payable under the Transaction Documents. </w:t>
      </w:r>
    </w:p>
    <w:p>
      <w:pPr>
        <w:pStyle w:val="TextBody"/>
        <w:pBdr/>
        <w:bidi w:val="0"/>
        <w:spacing w:lineRule="auto" w:line="266" w:before="119" w:after="0"/>
        <w:ind w:left="3120" w:right="1471" w:hanging="0"/>
        <w:jc w:val="left"/>
        <w:rPr>
          <w:rFonts w:ascii="Arial" w:hAnsi="Arial"/>
          <w:sz w:val="22"/>
        </w:rPr>
      </w:pPr>
      <w:r>
        <w:rPr>
          <w:rFonts w:ascii="Arial" w:hAnsi="Arial"/>
          <w:sz w:val="22"/>
        </w:rPr>
        <w:t xml:space="preserve">When used in relation to any Facility, it means the Outstanding Accommodation in relation to Advances or Drawings under that Facility (as applicable). </w:t>
      </w:r>
    </w:p>
    <w:p>
      <w:pPr>
        <w:pStyle w:val="TextBody"/>
        <w:pBdr/>
        <w:bidi w:val="0"/>
        <w:spacing w:lineRule="auto" w:line="266" w:before="120" w:after="0"/>
        <w:ind w:left="3120" w:right="700" w:hanging="0"/>
        <w:jc w:val="left"/>
        <w:rPr>
          <w:rFonts w:ascii="Arial" w:hAnsi="Arial"/>
          <w:sz w:val="22"/>
        </w:rPr>
      </w:pPr>
      <w:r>
        <w:rPr>
          <w:rFonts w:ascii="Arial" w:hAnsi="Arial"/>
          <w:b/>
          <w:sz w:val="22"/>
        </w:rPr>
        <w:t>Overdue</w:t>
      </w:r>
      <w:r>
        <w:rPr>
          <w:rFonts w:ascii="Arial" w:hAnsi="Arial"/>
          <w:sz w:val="22"/>
        </w:rPr>
        <w:t> </w:t>
      </w:r>
      <w:r>
        <w:rPr>
          <w:rFonts w:ascii="Arial" w:hAnsi="Arial"/>
          <w:b/>
          <w:sz w:val="22"/>
        </w:rPr>
        <w:t>Money</w:t>
      </w:r>
      <w:r>
        <w:rPr>
          <w:rFonts w:ascii="Arial" w:hAnsi="Arial"/>
          <w:sz w:val="22"/>
        </w:rPr>
        <w:t xml:space="preserve"> means money due and payable from time to time under each Transaction Document. </w:t>
      </w:r>
    </w:p>
    <w:p>
      <w:pPr>
        <w:pStyle w:val="TextBody"/>
        <w:pBdr/>
        <w:bidi w:val="0"/>
        <w:spacing w:lineRule="auto" w:line="266" w:before="119" w:after="0"/>
        <w:ind w:left="3120" w:right="1471" w:hanging="0"/>
        <w:jc w:val="left"/>
        <w:rPr>
          <w:rFonts w:ascii="Arial" w:hAnsi="Arial"/>
          <w:sz w:val="22"/>
        </w:rPr>
      </w:pPr>
      <w:r>
        <w:rPr>
          <w:rFonts w:ascii="Arial" w:hAnsi="Arial"/>
          <w:b/>
          <w:sz w:val="22"/>
        </w:rPr>
        <w:t>Overdue</w:t>
      </w:r>
      <w:r>
        <w:rPr>
          <w:rFonts w:ascii="Arial" w:hAnsi="Arial"/>
          <w:sz w:val="22"/>
        </w:rPr>
        <w:t> </w:t>
      </w:r>
      <w:r>
        <w:rPr>
          <w:rFonts w:ascii="Arial" w:hAnsi="Arial"/>
          <w:b/>
          <w:sz w:val="22"/>
        </w:rPr>
        <w:t>Rate</w:t>
      </w:r>
      <w:r>
        <w:rPr>
          <w:rFonts w:ascii="Arial" w:hAnsi="Arial"/>
          <w:sz w:val="22"/>
        </w:rPr>
        <w:t xml:space="preserve"> means at any time, the aggregate of the Interest Rate and a default margin of 1.00% per annum. </w:t>
      </w:r>
    </w:p>
    <w:p>
      <w:pPr>
        <w:pStyle w:val="TextBody"/>
        <w:pBdr/>
        <w:bidi w:val="0"/>
        <w:spacing w:before="119" w:after="0"/>
        <w:ind w:left="3120" w:right="700" w:hanging="0"/>
        <w:jc w:val="left"/>
        <w:rPr>
          <w:rFonts w:ascii="Arial" w:hAnsi="Arial"/>
          <w:sz w:val="22"/>
        </w:rPr>
      </w:pPr>
      <w:r>
        <w:rPr>
          <w:rFonts w:ascii="Arial" w:hAnsi="Arial"/>
          <w:b/>
          <w:sz w:val="22"/>
        </w:rPr>
        <w:t>Parent</w:t>
      </w:r>
      <w:r>
        <w:rPr>
          <w:rFonts w:ascii="Arial" w:hAnsi="Arial"/>
          <w:sz w:val="22"/>
        </w:rPr>
        <w:t xml:space="preserve"> means Reading International Cinemas LLC. </w:t>
      </w:r>
    </w:p>
    <w:p>
      <w:pPr>
        <w:pStyle w:val="TextBody"/>
        <w:bidi w:val="0"/>
        <w:spacing w:lineRule="auto" w:line="266" w:before="148" w:after="0"/>
        <w:ind w:left="3120" w:right="700" w:hanging="0"/>
        <w:jc w:val="left"/>
        <w:rPr>
          <w:rFonts w:ascii="Arial" w:hAnsi="Arial"/>
          <w:sz w:val="20"/>
        </w:rPr>
      </w:pPr>
      <w:r>
        <w:rPr>
          <w:rFonts w:ascii="Arial" w:hAnsi="Arial"/>
          <w:b/>
          <w:sz w:val="21"/>
        </w:rPr>
        <w:t xml:space="preserve">Parent Subordination Agreement </w:t>
      </w:r>
      <w:r>
        <w:rPr>
          <w:rFonts w:ascii="Arial" w:hAnsi="Arial"/>
          <w:sz w:val="21"/>
        </w:rPr>
        <w:t>means the document entitled ‘deed of subordination’</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entered</w:t>
      </w:r>
      <w:r>
        <w:rPr>
          <w:rFonts w:ascii="Arial" w:hAnsi="Arial"/>
          <w:sz w:val="20"/>
        </w:rPr>
        <w:t> </w:t>
      </w:r>
      <w:r>
        <w:rPr>
          <w:rFonts w:ascii="Arial" w:hAnsi="Arial"/>
          <w:sz w:val="21"/>
        </w:rPr>
        <w:t>into</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the</w:t>
      </w:r>
      <w:r>
        <w:rPr>
          <w:rFonts w:ascii="Arial" w:hAnsi="Arial"/>
          <w:sz w:val="20"/>
        </w:rPr>
        <w:t> </w:t>
      </w:r>
      <w:r>
        <w:rPr>
          <w:rFonts w:ascii="Arial" w:hAnsi="Arial"/>
          <w:sz w:val="21"/>
        </w:rPr>
        <w:t>Parent</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xml:space="preserve"> </w:t>
      </w:r>
    </w:p>
    <w:p>
      <w:pPr>
        <w:pStyle w:val="TextBody"/>
        <w:bidi w:val="0"/>
        <w:spacing w:before="121" w:after="0"/>
        <w:ind w:left="3120" w:right="700" w:hanging="0"/>
        <w:jc w:val="left"/>
        <w:rPr>
          <w:rFonts w:ascii="Arial" w:hAnsi="Arial"/>
          <w:sz w:val="20"/>
        </w:rPr>
      </w:pPr>
      <w:r>
        <w:rPr>
          <w:rFonts w:ascii="Arial" w:hAnsi="Arial"/>
          <w:b/>
          <w:sz w:val="21"/>
        </w:rPr>
        <w:t>Permitted</w:t>
      </w:r>
      <w:r>
        <w:rPr>
          <w:rFonts w:ascii="Arial" w:hAnsi="Arial"/>
          <w:sz w:val="20"/>
        </w:rPr>
        <w:t> </w:t>
      </w:r>
      <w:r>
        <w:rPr>
          <w:rFonts w:ascii="Arial" w:hAnsi="Arial"/>
          <w:b/>
          <w:sz w:val="21"/>
        </w:rPr>
        <w:t>Disposal</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disposal:</w:t>
      </w:r>
      <w:r>
        <w:rPr>
          <w:rFonts w:ascii="Arial" w:hAnsi="Arial"/>
          <w:sz w:val="20"/>
        </w:rPr>
        <w:t xml:space="preserve"> </w:t>
      </w:r>
    </w:p>
    <w:p>
      <w:pPr>
        <w:pStyle w:val="TextBody"/>
        <w:bidi w:val="0"/>
        <w:spacing w:before="148" w:after="0"/>
        <w:ind w:left="3686" w:right="700" w:hanging="0"/>
        <w:jc w:val="left"/>
        <w:rPr>
          <w:rFonts w:ascii="Arial" w:hAnsi="Arial"/>
          <w:sz w:val="20"/>
        </w:rPr>
      </w:pPr>
      <w:r>
        <w:rPr>
          <w:rFonts w:ascii="Arial" w:hAnsi="Arial"/>
          <w:sz w:val="21"/>
        </w:rPr>
        <w:t>(a)of</w:t>
      </w:r>
      <w:r>
        <w:rPr>
          <w:rFonts w:ascii="Arial" w:hAnsi="Arial"/>
          <w:sz w:val="20"/>
        </w:rPr>
        <w:t> </w:t>
      </w:r>
      <w:r>
        <w:rPr>
          <w:rFonts w:ascii="Arial" w:hAnsi="Arial"/>
          <w:sz w:val="21"/>
        </w:rPr>
        <w:t>assets</w:t>
      </w:r>
      <w:r>
        <w:rPr>
          <w:rFonts w:ascii="Arial" w:hAnsi="Arial"/>
          <w:sz w:val="20"/>
        </w:rPr>
        <w:t> </w:t>
      </w:r>
      <w:r>
        <w:rPr>
          <w:rFonts w:ascii="Arial" w:hAnsi="Arial"/>
          <w:sz w:val="21"/>
        </w:rPr>
        <w:t>between</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Parties;</w:t>
      </w:r>
      <w:r>
        <w:rPr>
          <w:rFonts w:ascii="Arial" w:hAnsi="Arial"/>
          <w:sz w:val="20"/>
        </w:rPr>
        <w:t xml:space="preserve"> </w:t>
      </w:r>
    </w:p>
    <w:p>
      <w:pPr>
        <w:pStyle w:val="TextBody"/>
        <w:bidi w:val="0"/>
        <w:spacing w:lineRule="auto" w:line="266" w:before="147" w:after="0"/>
        <w:ind w:left="3686" w:right="1939" w:hanging="0"/>
        <w:jc w:val="left"/>
        <w:rPr>
          <w:rFonts w:ascii="Arial" w:hAnsi="Arial"/>
          <w:sz w:val="20"/>
        </w:rPr>
      </w:pPr>
      <w:r>
        <w:rPr>
          <w:rFonts w:ascii="Arial" w:hAnsi="Arial"/>
          <w:sz w:val="21"/>
        </w:rPr>
        <w:t>(b)represented by a lease or licence of real property granted by a Transaction</w:t>
      </w:r>
      <w:r>
        <w:rPr>
          <w:rFonts w:ascii="Arial" w:hAnsi="Arial"/>
          <w:sz w:val="20"/>
        </w:rPr>
        <w:t> </w:t>
      </w:r>
      <w:r>
        <w:rPr>
          <w:rFonts w:ascii="Arial" w:hAnsi="Arial"/>
          <w:sz w:val="21"/>
        </w:rPr>
        <w:t>Party</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ordinary</w:t>
      </w:r>
      <w:r>
        <w:rPr>
          <w:rFonts w:ascii="Arial" w:hAnsi="Arial"/>
          <w:sz w:val="20"/>
        </w:rPr>
        <w:t> </w:t>
      </w:r>
      <w:r>
        <w:rPr>
          <w:rFonts w:ascii="Arial" w:hAnsi="Arial"/>
          <w:sz w:val="21"/>
        </w:rPr>
        <w:t>course</w:t>
      </w:r>
      <w:r>
        <w:rPr>
          <w:rFonts w:ascii="Arial" w:hAnsi="Arial"/>
          <w:sz w:val="20"/>
        </w:rPr>
        <w:t> </w:t>
      </w:r>
      <w:r>
        <w:rPr>
          <w:rFonts w:ascii="Arial" w:hAnsi="Arial"/>
          <w:sz w:val="21"/>
        </w:rPr>
        <w:t>of</w:t>
      </w:r>
      <w:r>
        <w:rPr>
          <w:rFonts w:ascii="Arial" w:hAnsi="Arial"/>
          <w:sz w:val="20"/>
        </w:rPr>
        <w:t> </w:t>
      </w:r>
      <w:r>
        <w:rPr>
          <w:rFonts w:ascii="Arial" w:hAnsi="Arial"/>
          <w:sz w:val="21"/>
        </w:rPr>
        <w:t>business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Reading Entertainment Australia Group;</w:t>
      </w:r>
      <w:r>
        <w:rPr>
          <w:rFonts w:ascii="Arial" w:hAnsi="Arial"/>
          <w:sz w:val="20"/>
        </w:rPr>
        <w:t xml:space="preserve"> </w:t>
      </w:r>
    </w:p>
    <w:p>
      <w:pPr>
        <w:pStyle w:val="TextBody"/>
        <w:bidi w:val="0"/>
        <w:spacing w:before="120" w:after="0"/>
        <w:ind w:left="3686" w:right="700" w:hanging="0"/>
        <w:jc w:val="left"/>
        <w:rPr>
          <w:rFonts w:ascii="Arial" w:hAnsi="Arial"/>
          <w:sz w:val="20"/>
        </w:rPr>
      </w:pPr>
      <w:r>
        <w:rPr>
          <w:rFonts w:ascii="Arial" w:hAnsi="Arial"/>
          <w:sz w:val="21"/>
        </w:rPr>
        <w:t>(c)of</w:t>
      </w:r>
      <w:r>
        <w:rPr>
          <w:rFonts w:ascii="Arial" w:hAnsi="Arial"/>
          <w:sz w:val="20"/>
        </w:rPr>
        <w:t> </w:t>
      </w:r>
      <w:r>
        <w:rPr>
          <w:rFonts w:ascii="Arial" w:hAnsi="Arial"/>
          <w:sz w:val="21"/>
        </w:rPr>
        <w:t>trading</w:t>
      </w:r>
      <w:r>
        <w:rPr>
          <w:rFonts w:ascii="Arial" w:hAnsi="Arial"/>
          <w:sz w:val="20"/>
        </w:rPr>
        <w:t> </w:t>
      </w:r>
      <w:r>
        <w:rPr>
          <w:rFonts w:ascii="Arial" w:hAnsi="Arial"/>
          <w:sz w:val="21"/>
        </w:rPr>
        <w:t>stock</w:t>
      </w:r>
      <w:r>
        <w:rPr>
          <w:rFonts w:ascii="Arial" w:hAnsi="Arial"/>
          <w:sz w:val="20"/>
        </w:rPr>
        <w:t> </w:t>
      </w:r>
      <w:r>
        <w:rPr>
          <w:rFonts w:ascii="Arial" w:hAnsi="Arial"/>
          <w:sz w:val="21"/>
        </w:rPr>
        <w:t>or</w:t>
      </w:r>
      <w:r>
        <w:rPr>
          <w:rFonts w:ascii="Arial" w:hAnsi="Arial"/>
          <w:sz w:val="20"/>
        </w:rPr>
        <w:t> </w:t>
      </w:r>
      <w:r>
        <w:rPr>
          <w:rFonts w:ascii="Arial" w:hAnsi="Arial"/>
          <w:sz w:val="21"/>
        </w:rPr>
        <w:t>cash</w:t>
      </w:r>
      <w:r>
        <w:rPr>
          <w:rFonts w:ascii="Arial" w:hAnsi="Arial"/>
          <w:sz w:val="20"/>
        </w:rPr>
        <w:t> </w:t>
      </w:r>
      <w:r>
        <w:rPr>
          <w:rFonts w:ascii="Arial" w:hAnsi="Arial"/>
          <w:sz w:val="21"/>
        </w:rPr>
        <w:t>made</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ordinary</w:t>
      </w:r>
      <w:r>
        <w:rPr>
          <w:rFonts w:ascii="Arial" w:hAnsi="Arial"/>
          <w:sz w:val="20"/>
        </w:rPr>
        <w:t> </w:t>
      </w:r>
      <w:r>
        <w:rPr>
          <w:rFonts w:ascii="Arial" w:hAnsi="Arial"/>
          <w:sz w:val="21"/>
        </w:rPr>
        <w:t>course</w:t>
      </w:r>
      <w:r>
        <w:rPr>
          <w:rFonts w:ascii="Arial" w:hAnsi="Arial"/>
          <w:sz w:val="20"/>
        </w:rPr>
        <w:t> </w:t>
      </w:r>
      <w:r>
        <w:rPr>
          <w:rFonts w:ascii="Arial" w:hAnsi="Arial"/>
          <w:sz w:val="21"/>
        </w:rPr>
        <w:t>of</w:t>
      </w:r>
      <w:r>
        <w:rPr>
          <w:rFonts w:ascii="Arial" w:hAnsi="Arial"/>
          <w:sz w:val="20"/>
        </w:rPr>
        <w:t> </w:t>
      </w:r>
      <w:r>
        <w:rPr>
          <w:rFonts w:ascii="Arial" w:hAnsi="Arial"/>
          <w:sz w:val="21"/>
        </w:rPr>
        <w:t>business;</w:t>
      </w:r>
      <w:r>
        <w:rPr>
          <w:rFonts w:ascii="Arial" w:hAnsi="Arial"/>
          <w:sz w:val="20"/>
        </w:rPr>
        <w:t xml:space="preserve"> </w:t>
      </w:r>
    </w:p>
    <w:p>
      <w:pPr>
        <w:pStyle w:val="TextBody"/>
        <w:bidi w:val="0"/>
        <w:spacing w:lineRule="auto" w:line="266" w:before="147" w:after="0"/>
        <w:ind w:left="3686" w:right="1971" w:hanging="0"/>
        <w:jc w:val="left"/>
        <w:rPr>
          <w:rFonts w:ascii="Arial" w:hAnsi="Arial"/>
          <w:sz w:val="20"/>
        </w:rPr>
      </w:pPr>
      <w:r>
        <w:rPr>
          <w:rFonts w:ascii="Arial" w:hAnsi="Arial"/>
          <w:sz w:val="21"/>
        </w:rPr>
        <w:t>(d)of</w:t>
      </w:r>
      <w:r>
        <w:rPr>
          <w:rFonts w:ascii="Arial" w:hAnsi="Arial"/>
          <w:sz w:val="20"/>
        </w:rPr>
        <w:t> </w:t>
      </w:r>
      <w:r>
        <w:rPr>
          <w:rFonts w:ascii="Arial" w:hAnsi="Arial"/>
          <w:sz w:val="21"/>
        </w:rPr>
        <w:t>plant</w:t>
      </w:r>
      <w:r>
        <w:rPr>
          <w:rFonts w:ascii="Arial" w:hAnsi="Arial"/>
          <w:sz w:val="20"/>
        </w:rPr>
        <w:t> </w:t>
      </w:r>
      <w:r>
        <w:rPr>
          <w:rFonts w:ascii="Arial" w:hAnsi="Arial"/>
          <w:sz w:val="21"/>
        </w:rPr>
        <w:t>and</w:t>
      </w:r>
      <w:r>
        <w:rPr>
          <w:rFonts w:ascii="Arial" w:hAnsi="Arial"/>
          <w:sz w:val="20"/>
        </w:rPr>
        <w:t> </w:t>
      </w:r>
      <w:r>
        <w:rPr>
          <w:rFonts w:ascii="Arial" w:hAnsi="Arial"/>
          <w:sz w:val="21"/>
        </w:rPr>
        <w:t>equipment</w:t>
      </w:r>
      <w:r>
        <w:rPr>
          <w:rFonts w:ascii="Arial" w:hAnsi="Arial"/>
          <w:sz w:val="20"/>
        </w:rPr>
        <w:t> </w:t>
      </w:r>
      <w:r>
        <w:rPr>
          <w:rFonts w:ascii="Arial" w:hAnsi="Arial"/>
          <w:sz w:val="21"/>
        </w:rPr>
        <w:t>in</w:t>
      </w:r>
      <w:r>
        <w:rPr>
          <w:rFonts w:ascii="Arial" w:hAnsi="Arial"/>
          <w:sz w:val="20"/>
        </w:rPr>
        <w:t> </w:t>
      </w:r>
      <w:r>
        <w:rPr>
          <w:rFonts w:ascii="Arial" w:hAnsi="Arial"/>
          <w:sz w:val="21"/>
        </w:rPr>
        <w:t>exchange</w:t>
      </w:r>
      <w:r>
        <w:rPr>
          <w:rFonts w:ascii="Arial" w:hAnsi="Arial"/>
          <w:sz w:val="20"/>
        </w:rPr>
        <w:t> </w:t>
      </w:r>
      <w:r>
        <w:rPr>
          <w:rFonts w:ascii="Arial" w:hAnsi="Arial"/>
          <w:sz w:val="21"/>
        </w:rPr>
        <w:t>for</w:t>
      </w:r>
      <w:r>
        <w:rPr>
          <w:rFonts w:ascii="Arial" w:hAnsi="Arial"/>
          <w:sz w:val="20"/>
        </w:rPr>
        <w:t> </w:t>
      </w:r>
      <w:r>
        <w:rPr>
          <w:rFonts w:ascii="Arial" w:hAnsi="Arial"/>
          <w:sz w:val="21"/>
        </w:rPr>
        <w:t>other</w:t>
      </w:r>
      <w:r>
        <w:rPr>
          <w:rFonts w:ascii="Arial" w:hAnsi="Arial"/>
          <w:sz w:val="20"/>
        </w:rPr>
        <w:t> </w:t>
      </w:r>
      <w:r>
        <w:rPr>
          <w:rFonts w:ascii="Arial" w:hAnsi="Arial"/>
          <w:sz w:val="21"/>
        </w:rPr>
        <w:t>assets</w:t>
      </w:r>
      <w:r>
        <w:rPr>
          <w:rFonts w:ascii="Arial" w:hAnsi="Arial"/>
          <w:sz w:val="20"/>
        </w:rPr>
        <w:t> </w:t>
      </w:r>
      <w:r>
        <w:rPr>
          <w:rFonts w:ascii="Arial" w:hAnsi="Arial"/>
          <w:sz w:val="21"/>
        </w:rPr>
        <w:t>comparable</w:t>
      </w:r>
      <w:r>
        <w:rPr>
          <w:rFonts w:ascii="Arial" w:hAnsi="Arial"/>
          <w:sz w:val="20"/>
        </w:rPr>
        <w:t> </w:t>
      </w:r>
      <w:r>
        <w:rPr>
          <w:rFonts w:ascii="Arial" w:hAnsi="Arial"/>
          <w:sz w:val="21"/>
        </w:rPr>
        <w:t>or superior as to type, value and quality;</w:t>
      </w:r>
      <w:r>
        <w:rPr>
          <w:rFonts w:ascii="Arial" w:hAnsi="Arial"/>
          <w:sz w:val="20"/>
        </w:rPr>
        <w:t xml:space="preserve"> </w:t>
      </w:r>
    </w:p>
    <w:p>
      <w:pPr>
        <w:pStyle w:val="TextBody"/>
        <w:bidi w:val="0"/>
        <w:spacing w:before="122" w:after="0"/>
        <w:ind w:left="3686" w:right="700" w:hanging="0"/>
        <w:jc w:val="left"/>
        <w:rPr>
          <w:rFonts w:ascii="Arial" w:hAnsi="Arial"/>
          <w:sz w:val="20"/>
        </w:rPr>
      </w:pPr>
      <w:r>
        <w:rPr>
          <w:rFonts w:ascii="Arial" w:hAnsi="Arial"/>
          <w:sz w:val="21"/>
        </w:rPr>
        <w:t>(e)of</w:t>
      </w:r>
      <w:r>
        <w:rPr>
          <w:rFonts w:ascii="Arial" w:hAnsi="Arial"/>
          <w:sz w:val="20"/>
        </w:rPr>
        <w:t> </w:t>
      </w:r>
      <w:r>
        <w:rPr>
          <w:rFonts w:ascii="Arial" w:hAnsi="Arial"/>
          <w:sz w:val="21"/>
        </w:rPr>
        <w:t>obsolete</w:t>
      </w:r>
      <w:r>
        <w:rPr>
          <w:rFonts w:ascii="Arial" w:hAnsi="Arial"/>
          <w:sz w:val="20"/>
        </w:rPr>
        <w:t> </w:t>
      </w:r>
      <w:r>
        <w:rPr>
          <w:rFonts w:ascii="Arial" w:hAnsi="Arial"/>
          <w:sz w:val="21"/>
        </w:rPr>
        <w:t>or</w:t>
      </w:r>
      <w:r>
        <w:rPr>
          <w:rFonts w:ascii="Arial" w:hAnsi="Arial"/>
          <w:sz w:val="20"/>
        </w:rPr>
        <w:t> </w:t>
      </w:r>
      <w:r>
        <w:rPr>
          <w:rFonts w:ascii="Arial" w:hAnsi="Arial"/>
          <w:sz w:val="21"/>
        </w:rPr>
        <w:t>redundant</w:t>
      </w:r>
      <w:r>
        <w:rPr>
          <w:rFonts w:ascii="Arial" w:hAnsi="Arial"/>
          <w:sz w:val="20"/>
        </w:rPr>
        <w:t> </w:t>
      </w:r>
      <w:r>
        <w:rPr>
          <w:rFonts w:ascii="Arial" w:hAnsi="Arial"/>
          <w:sz w:val="21"/>
        </w:rPr>
        <w:t>assets;</w:t>
      </w:r>
      <w:r>
        <w:rPr>
          <w:rFonts w:ascii="Arial" w:hAnsi="Arial"/>
          <w:sz w:val="20"/>
        </w:rPr>
        <w:t xml:space="preserve"> </w:t>
      </w:r>
    </w:p>
    <w:p>
      <w:pPr>
        <w:pStyle w:val="TextBody"/>
        <w:bidi w:val="0"/>
        <w:spacing w:lineRule="auto" w:line="266" w:before="147" w:after="0"/>
        <w:ind w:left="3686" w:right="2066" w:hanging="0"/>
        <w:jc w:val="left"/>
        <w:rPr>
          <w:rFonts w:ascii="Arial" w:hAnsi="Arial"/>
          <w:sz w:val="20"/>
        </w:rPr>
      </w:pPr>
      <w:r>
        <w:rPr>
          <w:rFonts w:ascii="Arial" w:hAnsi="Arial"/>
          <w:sz w:val="21"/>
        </w:rPr>
        <w:t>(f)arising</w:t>
      </w:r>
      <w:r>
        <w:rPr>
          <w:rFonts w:ascii="Arial" w:hAnsi="Arial"/>
          <w:sz w:val="20"/>
        </w:rPr>
        <w:t> </w:t>
      </w:r>
      <w:r>
        <w:rPr>
          <w:rFonts w:ascii="Arial" w:hAnsi="Arial"/>
          <w:sz w:val="21"/>
        </w:rPr>
        <w:t>as</w:t>
      </w:r>
      <w:r>
        <w:rPr>
          <w:rFonts w:ascii="Arial" w:hAnsi="Arial"/>
          <w:sz w:val="20"/>
        </w:rPr>
        <w:t> </w:t>
      </w:r>
      <w:r>
        <w:rPr>
          <w:rFonts w:ascii="Arial" w:hAnsi="Arial"/>
          <w:sz w:val="21"/>
        </w:rPr>
        <w:t>a</w:t>
      </w:r>
      <w:r>
        <w:rPr>
          <w:rFonts w:ascii="Arial" w:hAnsi="Arial"/>
          <w:sz w:val="20"/>
        </w:rPr>
        <w:t> </w:t>
      </w:r>
      <w:r>
        <w:rPr>
          <w:rFonts w:ascii="Arial" w:hAnsi="Arial"/>
          <w:sz w:val="21"/>
        </w:rPr>
        <w:t>result</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Permitted</w:t>
      </w:r>
      <w:r>
        <w:rPr>
          <w:rFonts w:ascii="Arial" w:hAnsi="Arial"/>
          <w:sz w:val="20"/>
        </w:rPr>
        <w:t> </w:t>
      </w:r>
      <w:r>
        <w:rPr>
          <w:rFonts w:ascii="Arial" w:hAnsi="Arial"/>
          <w:sz w:val="21"/>
        </w:rPr>
        <w:t>Encumbrance</w:t>
      </w:r>
      <w:r>
        <w:rPr>
          <w:rFonts w:ascii="Arial" w:hAnsi="Arial"/>
          <w:sz w:val="20"/>
        </w:rPr>
        <w:t> </w:t>
      </w:r>
      <w:r>
        <w:rPr>
          <w:rFonts w:ascii="Arial" w:hAnsi="Arial"/>
          <w:sz w:val="21"/>
        </w:rPr>
        <w:t>or</w:t>
      </w:r>
      <w:r>
        <w:rPr>
          <w:rFonts w:ascii="Arial" w:hAnsi="Arial"/>
          <w:sz w:val="20"/>
        </w:rPr>
        <w:t> </w:t>
      </w:r>
      <w:r>
        <w:rPr>
          <w:rFonts w:ascii="Arial" w:hAnsi="Arial"/>
          <w:sz w:val="21"/>
        </w:rPr>
        <w:t>a</w:t>
      </w:r>
      <w:r>
        <w:rPr>
          <w:rFonts w:ascii="Arial" w:hAnsi="Arial"/>
          <w:sz w:val="20"/>
        </w:rPr>
        <w:t> </w:t>
      </w:r>
      <w:r>
        <w:rPr>
          <w:rFonts w:ascii="Arial" w:hAnsi="Arial"/>
          <w:sz w:val="21"/>
        </w:rPr>
        <w:t>Distribution</w:t>
      </w:r>
      <w:r>
        <w:rPr>
          <w:rFonts w:ascii="Arial" w:hAnsi="Arial"/>
          <w:sz w:val="20"/>
        </w:rPr>
        <w:t> </w:t>
      </w:r>
      <w:r>
        <w:rPr>
          <w:rFonts w:ascii="Arial" w:hAnsi="Arial"/>
          <w:sz w:val="21"/>
        </w:rPr>
        <w:t xml:space="preserve">or payment permitted by </w:t>
      </w:r>
      <w:r>
        <w:rPr>
          <w:rFonts w:ascii="Arial" w:hAnsi="Arial"/>
          <w:b/>
          <w:sz w:val="21"/>
        </w:rPr>
        <w:t xml:space="preserve">clause 9.6(f) </w:t>
      </w:r>
      <w:r>
        <w:rPr>
          <w:rFonts w:ascii="Arial" w:hAnsi="Arial"/>
          <w:sz w:val="21"/>
        </w:rPr>
        <w:t xml:space="preserve">or </w:t>
      </w:r>
      <w:r>
        <w:rPr>
          <w:rFonts w:ascii="Arial" w:hAnsi="Arial"/>
          <w:b/>
          <w:sz w:val="21"/>
        </w:rPr>
        <w:t>clause 9.6(k)</w:t>
      </w:r>
      <w:r>
        <w:rPr>
          <w:rFonts w:ascii="Arial" w:hAnsi="Arial"/>
          <w:sz w:val="21"/>
        </w:rPr>
        <w:t>;</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1411" w:hanging="0"/>
        <w:jc w:val="left"/>
        <w:rPr>
          <w:rFonts w:ascii="Arial" w:hAnsi="Arial"/>
          <w:sz w:val="20"/>
        </w:rPr>
      </w:pPr>
      <w:r>
        <w:rPr>
          <w:rFonts w:ascii="Arial" w:hAnsi="Arial"/>
          <w:sz w:val="21"/>
        </w:rPr>
        <w:t>(g)of</w:t>
      </w:r>
      <w:r>
        <w:rPr>
          <w:rFonts w:ascii="Arial" w:hAnsi="Arial"/>
          <w:sz w:val="20"/>
        </w:rPr>
        <w:t> </w:t>
      </w:r>
      <w:r>
        <w:rPr>
          <w:rFonts w:ascii="Arial" w:hAnsi="Arial"/>
          <w:sz w:val="21"/>
        </w:rPr>
        <w:t>assets</w:t>
      </w:r>
      <w:r>
        <w:rPr>
          <w:rFonts w:ascii="Arial" w:hAnsi="Arial"/>
          <w:sz w:val="20"/>
        </w:rPr>
        <w:t> </w:t>
      </w:r>
      <w:r>
        <w:rPr>
          <w:rFonts w:ascii="Arial" w:hAnsi="Arial"/>
          <w:sz w:val="21"/>
        </w:rPr>
        <w:t>that</w:t>
      </w:r>
      <w:r>
        <w:rPr>
          <w:rFonts w:ascii="Arial" w:hAnsi="Arial"/>
          <w:sz w:val="20"/>
        </w:rPr>
        <w:t> </w:t>
      </w:r>
      <w:r>
        <w:rPr>
          <w:rFonts w:ascii="Arial" w:hAnsi="Arial"/>
          <w:sz w:val="21"/>
        </w:rPr>
        <w:t>are</w:t>
      </w:r>
      <w:r>
        <w:rPr>
          <w:rFonts w:ascii="Arial" w:hAnsi="Arial"/>
          <w:sz w:val="20"/>
        </w:rPr>
        <w:t> </w:t>
      </w:r>
      <w:r>
        <w:rPr>
          <w:rFonts w:ascii="Arial" w:hAnsi="Arial"/>
          <w:sz w:val="21"/>
        </w:rPr>
        <w:t>the</w:t>
      </w:r>
      <w:r>
        <w:rPr>
          <w:rFonts w:ascii="Arial" w:hAnsi="Arial"/>
          <w:sz w:val="20"/>
        </w:rPr>
        <w:t> </w:t>
      </w:r>
      <w:r>
        <w:rPr>
          <w:rFonts w:ascii="Arial" w:hAnsi="Arial"/>
          <w:sz w:val="21"/>
        </w:rPr>
        <w:t>subject</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floating</w:t>
      </w:r>
      <w:r>
        <w:rPr>
          <w:rFonts w:ascii="Arial" w:hAnsi="Arial"/>
          <w:sz w:val="20"/>
        </w:rPr>
        <w:t> </w:t>
      </w:r>
      <w:r>
        <w:rPr>
          <w:rFonts w:ascii="Arial" w:hAnsi="Arial"/>
          <w:sz w:val="21"/>
        </w:rPr>
        <w:t>charge</w:t>
      </w:r>
      <w:r>
        <w:rPr>
          <w:rFonts w:ascii="Arial" w:hAnsi="Arial"/>
          <w:sz w:val="20"/>
        </w:rPr>
        <w:t> </w:t>
      </w:r>
      <w:r>
        <w:rPr>
          <w:rFonts w:ascii="Arial" w:hAnsi="Arial"/>
          <w:sz w:val="21"/>
        </w:rPr>
        <w:t>(or</w:t>
      </w:r>
      <w:r>
        <w:rPr>
          <w:rFonts w:ascii="Arial" w:hAnsi="Arial"/>
          <w:sz w:val="20"/>
        </w:rPr>
        <w:t> </w:t>
      </w:r>
      <w:r>
        <w:rPr>
          <w:rFonts w:ascii="Arial" w:hAnsi="Arial"/>
          <w:sz w:val="21"/>
        </w:rPr>
        <w:t>its</w:t>
      </w:r>
      <w:r>
        <w:rPr>
          <w:rFonts w:ascii="Arial" w:hAnsi="Arial"/>
          <w:sz w:val="20"/>
        </w:rPr>
        <w:t> </w:t>
      </w:r>
      <w:r>
        <w:rPr>
          <w:rFonts w:ascii="Arial" w:hAnsi="Arial"/>
          <w:sz w:val="21"/>
        </w:rPr>
        <w:t>equivalent)</w:t>
      </w:r>
      <w:r>
        <w:rPr>
          <w:rFonts w:ascii="Arial" w:hAnsi="Arial"/>
          <w:sz w:val="20"/>
        </w:rPr>
        <w:t> </w:t>
      </w:r>
      <w:r>
        <w:rPr>
          <w:rFonts w:ascii="Arial" w:hAnsi="Arial"/>
          <w:sz w:val="21"/>
        </w:rPr>
        <w:t>under a Collateral Security, provided the disposal is made in the ordinary course of business;</w:t>
      </w:r>
      <w:r>
        <w:rPr>
          <w:rFonts w:ascii="Arial" w:hAnsi="Arial"/>
          <w:sz w:val="20"/>
        </w:rPr>
        <w:t xml:space="preserve"> </w:t>
      </w:r>
    </w:p>
    <w:p>
      <w:pPr>
        <w:pStyle w:val="TextBody"/>
        <w:bidi w:val="0"/>
        <w:spacing w:lineRule="auto" w:line="266" w:before="120" w:after="0"/>
        <w:ind w:left="3686" w:right="1830" w:hanging="0"/>
        <w:jc w:val="left"/>
        <w:rPr>
          <w:rFonts w:ascii="Arial" w:hAnsi="Arial"/>
          <w:sz w:val="20"/>
        </w:rPr>
      </w:pPr>
      <w:r>
        <w:rPr>
          <w:rFonts w:ascii="Arial" w:hAnsi="Arial"/>
          <w:sz w:val="21"/>
        </w:rPr>
        <w:t>(h)where</w:t>
      </w:r>
      <w:r>
        <w:rPr>
          <w:rFonts w:ascii="Arial" w:hAnsi="Arial"/>
          <w:sz w:val="20"/>
        </w:rPr>
        <w:t> </w:t>
      </w:r>
      <w:r>
        <w:rPr>
          <w:rFonts w:ascii="Arial" w:hAnsi="Arial"/>
          <w:sz w:val="21"/>
        </w:rPr>
        <w:t>the</w:t>
      </w:r>
      <w:r>
        <w:rPr>
          <w:rFonts w:ascii="Arial" w:hAnsi="Arial"/>
          <w:sz w:val="20"/>
        </w:rPr>
        <w:t> </w:t>
      </w:r>
      <w:r>
        <w:rPr>
          <w:rFonts w:ascii="Arial" w:hAnsi="Arial"/>
          <w:sz w:val="21"/>
        </w:rPr>
        <w:t>aggregate</w:t>
      </w:r>
      <w:r>
        <w:rPr>
          <w:rFonts w:ascii="Arial" w:hAnsi="Arial"/>
          <w:sz w:val="20"/>
        </w:rPr>
        <w:t> </w:t>
      </w:r>
      <w:r>
        <w:rPr>
          <w:rFonts w:ascii="Arial" w:hAnsi="Arial"/>
          <w:sz w:val="21"/>
        </w:rPr>
        <w:t>value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assets</w:t>
      </w:r>
      <w:r>
        <w:rPr>
          <w:rFonts w:ascii="Arial" w:hAnsi="Arial"/>
          <w:sz w:val="20"/>
        </w:rPr>
        <w:t> </w:t>
      </w:r>
      <w:r>
        <w:rPr>
          <w:rFonts w:ascii="Arial" w:hAnsi="Arial"/>
          <w:sz w:val="21"/>
        </w:rPr>
        <w:t>disposed</w:t>
      </w:r>
      <w:r>
        <w:rPr>
          <w:rFonts w:ascii="Arial" w:hAnsi="Arial"/>
          <w:sz w:val="20"/>
        </w:rPr>
        <w:t> </w:t>
      </w:r>
      <w:r>
        <w:rPr>
          <w:rFonts w:ascii="Arial" w:hAnsi="Arial"/>
          <w:sz w:val="21"/>
        </w:rPr>
        <w:t>of</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12</w:t>
      </w:r>
      <w:r>
        <w:rPr>
          <w:rFonts w:ascii="Arial" w:hAnsi="Arial"/>
          <w:sz w:val="20"/>
        </w:rPr>
        <w:t> </w:t>
      </w:r>
      <w:r>
        <w:rPr>
          <w:rFonts w:ascii="Arial" w:hAnsi="Arial"/>
          <w:sz w:val="21"/>
        </w:rPr>
        <w:t>month period ending on the date</w:t>
      </w:r>
      <w:r>
        <w:rPr>
          <w:rFonts w:ascii="Arial" w:hAnsi="Arial"/>
          <w:sz w:val="20"/>
        </w:rPr>
        <w:t> </w:t>
      </w:r>
      <w:r>
        <w:rPr>
          <w:rFonts w:ascii="Arial" w:hAnsi="Arial"/>
          <w:sz w:val="21"/>
        </w:rPr>
        <w:t>of the relevant disposal (and including the value of the relevant disposal) does not exceed $2,000,000;</w:t>
      </w:r>
      <w:r>
        <w:rPr>
          <w:rFonts w:ascii="Arial" w:hAnsi="Arial"/>
          <w:sz w:val="20"/>
        </w:rPr>
        <w:t xml:space="preserve"> </w:t>
      </w:r>
    </w:p>
    <w:p>
      <w:pPr>
        <w:pStyle w:val="TextBody"/>
        <w:bidi w:val="0"/>
        <w:spacing w:before="120" w:after="0"/>
        <w:ind w:left="3686" w:right="700" w:hanging="0"/>
        <w:jc w:val="left"/>
        <w:rPr>
          <w:rFonts w:ascii="Arial" w:hAnsi="Arial"/>
          <w:sz w:val="20"/>
        </w:rPr>
      </w:pPr>
      <w:r>
        <w:rPr>
          <w:rFonts w:ascii="Arial" w:hAnsi="Arial"/>
          <w:sz w:val="21"/>
        </w:rPr>
        <w:t>(i)of</w:t>
      </w:r>
      <w:r>
        <w:rPr>
          <w:rFonts w:ascii="Arial" w:hAnsi="Arial"/>
          <w:sz w:val="20"/>
        </w:rPr>
        <w:t> </w:t>
      </w:r>
      <w:r>
        <w:rPr>
          <w:rFonts w:ascii="Arial" w:hAnsi="Arial"/>
          <w:sz w:val="21"/>
        </w:rPr>
        <w:t>the</w:t>
      </w:r>
      <w:r>
        <w:rPr>
          <w:rFonts w:ascii="Arial" w:hAnsi="Arial"/>
          <w:sz w:val="20"/>
        </w:rPr>
        <w:t> </w:t>
      </w:r>
      <w:r>
        <w:rPr>
          <w:rFonts w:ascii="Arial" w:hAnsi="Arial"/>
          <w:sz w:val="21"/>
        </w:rPr>
        <w:t>Cannon</w:t>
      </w:r>
      <w:r>
        <w:rPr>
          <w:rFonts w:ascii="Arial" w:hAnsi="Arial"/>
          <w:sz w:val="20"/>
        </w:rPr>
        <w:t> </w:t>
      </w:r>
      <w:r>
        <w:rPr>
          <w:rFonts w:ascii="Arial" w:hAnsi="Arial"/>
          <w:sz w:val="21"/>
        </w:rPr>
        <w:t>Park</w:t>
      </w:r>
      <w:r>
        <w:rPr>
          <w:rFonts w:ascii="Arial" w:hAnsi="Arial"/>
          <w:sz w:val="20"/>
        </w:rPr>
        <w:t> </w:t>
      </w:r>
      <w:r>
        <w:rPr>
          <w:rFonts w:ascii="Arial" w:hAnsi="Arial"/>
          <w:sz w:val="21"/>
        </w:rPr>
        <w:t>Property</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Waurn</w:t>
      </w:r>
      <w:r>
        <w:rPr>
          <w:rFonts w:ascii="Arial" w:hAnsi="Arial"/>
          <w:sz w:val="20"/>
        </w:rPr>
        <w:t> </w:t>
      </w:r>
      <w:r>
        <w:rPr>
          <w:rFonts w:ascii="Arial" w:hAnsi="Arial"/>
          <w:sz w:val="21"/>
        </w:rPr>
        <w:t>Ponds</w:t>
      </w:r>
      <w:r>
        <w:rPr>
          <w:rFonts w:ascii="Arial" w:hAnsi="Arial"/>
          <w:sz w:val="20"/>
        </w:rPr>
        <w:t> </w:t>
      </w:r>
      <w:r>
        <w:rPr>
          <w:rFonts w:ascii="Arial" w:hAnsi="Arial"/>
          <w:sz w:val="21"/>
        </w:rPr>
        <w:t>Property;</w:t>
      </w:r>
      <w:r>
        <w:rPr>
          <w:rFonts w:ascii="Arial" w:hAnsi="Arial"/>
          <w:sz w:val="20"/>
        </w:rPr>
        <w:t xml:space="preserve"> </w:t>
      </w:r>
    </w:p>
    <w:p>
      <w:pPr>
        <w:pStyle w:val="TextBody"/>
        <w:bidi w:val="0"/>
        <w:spacing w:before="148" w:after="0"/>
        <w:ind w:left="3686" w:right="700" w:hanging="0"/>
        <w:jc w:val="left"/>
        <w:rPr>
          <w:rFonts w:ascii="Arial" w:hAnsi="Arial"/>
          <w:sz w:val="20"/>
        </w:rPr>
      </w:pPr>
      <w:r>
        <w:rPr>
          <w:rFonts w:ascii="Arial" w:hAnsi="Arial"/>
          <w:sz w:val="21"/>
        </w:rPr>
        <w:t>(j)of</w:t>
      </w:r>
      <w:r>
        <w:rPr>
          <w:rFonts w:ascii="Arial" w:hAnsi="Arial"/>
          <w:sz w:val="20"/>
        </w:rPr>
        <w:t> </w:t>
      </w:r>
      <w:r>
        <w:rPr>
          <w:rFonts w:ascii="Arial" w:hAnsi="Arial"/>
          <w:sz w:val="21"/>
        </w:rPr>
        <w:t>cash</w:t>
      </w:r>
      <w:r>
        <w:rPr>
          <w:rFonts w:ascii="Arial" w:hAnsi="Arial"/>
          <w:sz w:val="20"/>
        </w:rPr>
        <w:t> </w:t>
      </w:r>
      <w:r>
        <w:rPr>
          <w:rFonts w:ascii="Arial" w:hAnsi="Arial"/>
          <w:sz w:val="21"/>
        </w:rPr>
        <w:t>under</w:t>
      </w:r>
      <w:r>
        <w:rPr>
          <w:rFonts w:ascii="Arial" w:hAnsi="Arial"/>
          <w:sz w:val="20"/>
        </w:rPr>
        <w:t> </w:t>
      </w:r>
      <w:r>
        <w:rPr>
          <w:rFonts w:ascii="Arial" w:hAnsi="Arial"/>
          <w:sz w:val="21"/>
        </w:rPr>
        <w:t>any</w:t>
      </w:r>
      <w:r>
        <w:rPr>
          <w:rFonts w:ascii="Arial" w:hAnsi="Arial"/>
          <w:sz w:val="20"/>
        </w:rPr>
        <w:t> </w:t>
      </w:r>
      <w:r>
        <w:rPr>
          <w:rFonts w:ascii="Arial" w:hAnsi="Arial"/>
          <w:sz w:val="21"/>
        </w:rPr>
        <w:t>Permitted</w:t>
      </w:r>
      <w:r>
        <w:rPr>
          <w:rFonts w:ascii="Arial" w:hAnsi="Arial"/>
          <w:sz w:val="20"/>
        </w:rPr>
        <w:t> </w:t>
      </w:r>
      <w:r>
        <w:rPr>
          <w:rFonts w:ascii="Arial" w:hAnsi="Arial"/>
          <w:sz w:val="21"/>
        </w:rPr>
        <w:t>Distribution;</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384" w:before="149" w:after="0"/>
        <w:ind w:left="3120" w:right="1782" w:hanging="0"/>
        <w:jc w:val="left"/>
        <w:rPr>
          <w:rFonts w:ascii="Arial" w:hAnsi="Arial"/>
          <w:sz w:val="20"/>
        </w:rPr>
      </w:pPr>
      <w:r>
        <w:rPr>
          <w:rFonts w:ascii="Arial" w:hAnsi="Arial"/>
          <w:sz w:val="21"/>
        </w:rPr>
        <w:t>(k)of</w:t>
      </w:r>
      <w:r>
        <w:rPr>
          <w:rFonts w:ascii="Arial" w:hAnsi="Arial"/>
          <w:sz w:val="20"/>
        </w:rPr>
        <w:t> </w:t>
      </w:r>
      <w:r>
        <w:rPr>
          <w:rFonts w:ascii="Arial" w:hAnsi="Arial"/>
          <w:sz w:val="21"/>
        </w:rPr>
        <w:t>cash</w:t>
      </w:r>
      <w:r>
        <w:rPr>
          <w:rFonts w:ascii="Arial" w:hAnsi="Arial"/>
          <w:sz w:val="20"/>
        </w:rPr>
        <w:t> </w:t>
      </w:r>
      <w:r>
        <w:rPr>
          <w:rFonts w:ascii="Arial" w:hAnsi="Arial"/>
          <w:sz w:val="21"/>
        </w:rPr>
        <w:t>being</w:t>
      </w:r>
      <w:r>
        <w:rPr>
          <w:rFonts w:ascii="Arial" w:hAnsi="Arial"/>
          <w:sz w:val="20"/>
        </w:rPr>
        <w:t> </w:t>
      </w:r>
      <w:r>
        <w:rPr>
          <w:rFonts w:ascii="Arial" w:hAnsi="Arial"/>
          <w:sz w:val="21"/>
        </w:rPr>
        <w:t>payments</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expenses</w:t>
      </w:r>
      <w:r>
        <w:rPr>
          <w:rFonts w:ascii="Arial" w:hAnsi="Arial"/>
          <w:sz w:val="20"/>
        </w:rPr>
        <w:t> </w:t>
      </w:r>
      <w:r>
        <w:rPr>
          <w:rFonts w:ascii="Arial" w:hAnsi="Arial"/>
          <w:sz w:val="21"/>
        </w:rPr>
        <w:t>pursuant</w:t>
      </w:r>
      <w:r>
        <w:rPr>
          <w:rFonts w:ascii="Arial" w:hAnsi="Arial"/>
          <w:sz w:val="20"/>
        </w:rPr>
        <w:t> </w:t>
      </w:r>
      <w:r>
        <w:rPr>
          <w:rFonts w:ascii="Arial" w:hAnsi="Arial"/>
          <w:sz w:val="21"/>
        </w:rPr>
        <w:t>to</w:t>
      </w:r>
      <w:r>
        <w:rPr>
          <w:rFonts w:ascii="Arial" w:hAnsi="Arial"/>
          <w:sz w:val="20"/>
        </w:rPr>
        <w:t> </w:t>
      </w:r>
      <w:r>
        <w:rPr>
          <w:rFonts w:ascii="Arial" w:hAnsi="Arial"/>
          <w:b/>
          <w:sz w:val="21"/>
        </w:rPr>
        <w:t>clause</w:t>
      </w:r>
      <w:r>
        <w:rPr>
          <w:rFonts w:ascii="Arial" w:hAnsi="Arial"/>
          <w:sz w:val="20"/>
        </w:rPr>
        <w:t> </w:t>
      </w:r>
      <w:r>
        <w:rPr>
          <w:rFonts w:ascii="Arial" w:hAnsi="Arial"/>
          <w:b/>
          <w:sz w:val="21"/>
        </w:rPr>
        <w:t>9.13(b)</w:t>
      </w:r>
      <w:r>
        <w:rPr>
          <w:rFonts w:ascii="Arial" w:hAnsi="Arial"/>
          <w:sz w:val="21"/>
        </w:rPr>
        <w:t>.  </w:t>
      </w:r>
      <w:r>
        <w:rPr>
          <w:rFonts w:ascii="Arial" w:hAnsi="Arial"/>
          <w:b/>
          <w:sz w:val="21"/>
        </w:rPr>
        <w:t xml:space="preserve">Permitted Distribution </w:t>
      </w:r>
      <w:r>
        <w:rPr>
          <w:rFonts w:ascii="Arial" w:hAnsi="Arial"/>
          <w:sz w:val="21"/>
        </w:rPr>
        <w:t>means a Distribution:</w:t>
      </w:r>
      <w:r>
        <w:rPr>
          <w:rFonts w:ascii="Arial" w:hAnsi="Arial"/>
          <w:sz w:val="20"/>
        </w:rPr>
        <w:t xml:space="preserve"> </w:t>
      </w:r>
    </w:p>
    <w:p>
      <w:pPr>
        <w:pStyle w:val="TextBody"/>
        <w:bidi w:val="0"/>
        <w:spacing w:lineRule="auto" w:line="266" w:before="1" w:after="0"/>
        <w:ind w:left="3686" w:right="1575" w:hanging="0"/>
        <w:jc w:val="left"/>
        <w:rPr>
          <w:rFonts w:ascii="Arial" w:hAnsi="Arial"/>
          <w:sz w:val="20"/>
        </w:rPr>
      </w:pPr>
      <w:r>
        <w:rPr>
          <w:rFonts w:ascii="Arial" w:hAnsi="Arial"/>
          <w:sz w:val="21"/>
        </w:rPr>
        <w:t>(a)made by a Transaction Party only in form of dividend provided that no Event</w:t>
      </w:r>
      <w:r>
        <w:rPr>
          <w:rFonts w:ascii="Arial" w:hAnsi="Arial"/>
          <w:sz w:val="20"/>
        </w:rPr>
        <w:t> </w:t>
      </w:r>
      <w:r>
        <w:rPr>
          <w:rFonts w:ascii="Arial" w:hAnsi="Arial"/>
          <w:sz w:val="21"/>
        </w:rPr>
        <w:t>of</w:t>
      </w:r>
      <w:r>
        <w:rPr>
          <w:rFonts w:ascii="Arial" w:hAnsi="Arial"/>
          <w:sz w:val="20"/>
        </w:rPr>
        <w:t> </w:t>
      </w:r>
      <w:r>
        <w:rPr>
          <w:rFonts w:ascii="Arial" w:hAnsi="Arial"/>
          <w:sz w:val="21"/>
        </w:rPr>
        <w:t>Default,</w:t>
      </w:r>
      <w:r>
        <w:rPr>
          <w:rFonts w:ascii="Arial" w:hAnsi="Arial"/>
          <w:sz w:val="20"/>
        </w:rPr>
        <w:t> </w:t>
      </w:r>
      <w:r>
        <w:rPr>
          <w:rFonts w:ascii="Arial" w:hAnsi="Arial"/>
          <w:sz w:val="21"/>
        </w:rPr>
        <w:t>Potential</w:t>
      </w:r>
      <w:r>
        <w:rPr>
          <w:rFonts w:ascii="Arial" w:hAnsi="Arial"/>
          <w:sz w:val="20"/>
        </w:rPr>
        <w:t> </w:t>
      </w:r>
      <w:r>
        <w:rPr>
          <w:rFonts w:ascii="Arial" w:hAnsi="Arial"/>
          <w:sz w:val="21"/>
        </w:rPr>
        <w:t>Event</w:t>
      </w:r>
      <w:r>
        <w:rPr>
          <w:rFonts w:ascii="Arial" w:hAnsi="Arial"/>
          <w:sz w:val="20"/>
        </w:rPr>
        <w:t> </w:t>
      </w:r>
      <w:r>
        <w:rPr>
          <w:rFonts w:ascii="Arial" w:hAnsi="Arial"/>
          <w:sz w:val="21"/>
        </w:rPr>
        <w:t>of</w:t>
      </w:r>
      <w:r>
        <w:rPr>
          <w:rFonts w:ascii="Arial" w:hAnsi="Arial"/>
          <w:sz w:val="20"/>
        </w:rPr>
        <w:t> </w:t>
      </w:r>
      <w:r>
        <w:rPr>
          <w:rFonts w:ascii="Arial" w:hAnsi="Arial"/>
          <w:sz w:val="21"/>
        </w:rPr>
        <w:t>Default</w:t>
      </w:r>
      <w:r>
        <w:rPr>
          <w:rFonts w:ascii="Arial" w:hAnsi="Arial"/>
          <w:sz w:val="20"/>
        </w:rPr>
        <w:t> </w:t>
      </w:r>
      <w:r>
        <w:rPr>
          <w:rFonts w:ascii="Arial" w:hAnsi="Arial"/>
          <w:sz w:val="21"/>
        </w:rPr>
        <w:t>or</w:t>
      </w:r>
      <w:r>
        <w:rPr>
          <w:rFonts w:ascii="Arial" w:hAnsi="Arial"/>
          <w:sz w:val="20"/>
        </w:rPr>
        <w:t> </w:t>
      </w:r>
      <w:r>
        <w:rPr>
          <w:rFonts w:ascii="Arial" w:hAnsi="Arial"/>
          <w:sz w:val="21"/>
        </w:rPr>
        <w:t>Review</w:t>
      </w:r>
      <w:r>
        <w:rPr>
          <w:rFonts w:ascii="Arial" w:hAnsi="Arial"/>
          <w:sz w:val="20"/>
        </w:rPr>
        <w:t> </w:t>
      </w:r>
      <w:r>
        <w:rPr>
          <w:rFonts w:ascii="Arial" w:hAnsi="Arial"/>
          <w:sz w:val="21"/>
        </w:rPr>
        <w:t>Event</w:t>
      </w:r>
      <w:r>
        <w:rPr>
          <w:rFonts w:ascii="Arial" w:hAnsi="Arial"/>
          <w:sz w:val="20"/>
        </w:rPr>
        <w:t> </w:t>
      </w:r>
      <w:r>
        <w:rPr>
          <w:rFonts w:ascii="Arial" w:hAnsi="Arial"/>
          <w:sz w:val="21"/>
        </w:rPr>
        <w:t>subsists</w:t>
      </w:r>
      <w:r>
        <w:rPr>
          <w:rFonts w:ascii="Arial" w:hAnsi="Arial"/>
          <w:sz w:val="20"/>
        </w:rPr>
        <w:t> </w:t>
      </w:r>
      <w:r>
        <w:rPr>
          <w:rFonts w:ascii="Arial" w:hAnsi="Arial"/>
          <w:sz w:val="21"/>
        </w:rPr>
        <w:t>or will occur from making such Distribution; or</w:t>
      </w:r>
      <w:r>
        <w:rPr>
          <w:rFonts w:ascii="Arial" w:hAnsi="Arial"/>
          <w:sz w:val="20"/>
        </w:rPr>
        <w:t xml:space="preserve"> </w:t>
      </w:r>
    </w:p>
    <w:p>
      <w:pPr>
        <w:pStyle w:val="TextBody"/>
        <w:bidi w:val="0"/>
        <w:spacing w:before="0" w:after="0"/>
        <w:ind w:left="3686" w:right="700" w:hanging="0"/>
        <w:jc w:val="left"/>
        <w:rPr>
          <w:rFonts w:ascii="Arial" w:hAnsi="Arial"/>
          <w:sz w:val="20"/>
        </w:rPr>
      </w:pPr>
      <w:r>
        <w:rPr>
          <w:rFonts w:ascii="Arial" w:hAnsi="Arial"/>
          <w:sz w:val="21"/>
        </w:rPr>
        <w:t>(b)in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Canon</w:t>
      </w:r>
      <w:r>
        <w:rPr>
          <w:rFonts w:ascii="Arial" w:hAnsi="Arial"/>
          <w:sz w:val="20"/>
        </w:rPr>
        <w:t> </w:t>
      </w:r>
      <w:r>
        <w:rPr>
          <w:rFonts w:ascii="Arial" w:hAnsi="Arial"/>
          <w:sz w:val="21"/>
        </w:rPr>
        <w:t>Park</w:t>
      </w:r>
      <w:r>
        <w:rPr>
          <w:rFonts w:ascii="Arial" w:hAnsi="Arial"/>
          <w:sz w:val="20"/>
        </w:rPr>
        <w:t> </w:t>
      </w:r>
      <w:r>
        <w:rPr>
          <w:rFonts w:ascii="Arial" w:hAnsi="Arial"/>
          <w:sz w:val="21"/>
        </w:rPr>
        <w:t>Property,</w:t>
      </w:r>
      <w:r>
        <w:rPr>
          <w:rFonts w:ascii="Arial" w:hAnsi="Arial"/>
          <w:sz w:val="20"/>
        </w:rPr>
        <w:t> </w:t>
      </w:r>
      <w:r>
        <w:rPr>
          <w:rFonts w:ascii="Arial" w:hAnsi="Arial"/>
          <w:sz w:val="21"/>
        </w:rPr>
        <w:t>following:</w:t>
      </w:r>
      <w:r>
        <w:rPr>
          <w:rFonts w:ascii="Arial" w:hAnsi="Arial"/>
          <w:sz w:val="20"/>
        </w:rPr>
        <w:t xml:space="preserve"> </w:t>
      </w:r>
    </w:p>
    <w:p>
      <w:pPr>
        <w:pStyle w:val="TextBody"/>
        <w:bidi w:val="0"/>
        <w:spacing w:lineRule="auto" w:line="266" w:before="148" w:after="0"/>
        <w:ind w:left="4253" w:right="1406" w:hanging="0"/>
        <w:jc w:val="both"/>
        <w:rPr>
          <w:rFonts w:ascii="Arial" w:hAnsi="Arial"/>
          <w:sz w:val="20"/>
        </w:rPr>
      </w:pPr>
      <w:r>
        <w:rPr>
          <w:rFonts w:ascii="Arial" w:hAnsi="Arial"/>
          <w:sz w:val="21"/>
        </w:rPr>
        <w:t>(i)the repayment from the</w:t>
      </w:r>
      <w:r>
        <w:rPr>
          <w:rFonts w:ascii="Arial" w:hAnsi="Arial"/>
          <w:sz w:val="20"/>
        </w:rPr>
        <w:t> </w:t>
      </w:r>
      <w:r>
        <w:rPr>
          <w:rFonts w:ascii="Arial" w:hAnsi="Arial"/>
          <w:sz w:val="21"/>
        </w:rPr>
        <w:t>Net Sale Proceeds in permanent reduction of</w:t>
      </w:r>
      <w:r>
        <w:rPr>
          <w:rFonts w:ascii="Arial" w:hAnsi="Arial"/>
          <w:sz w:val="20"/>
        </w:rPr>
        <w:t> </w:t>
      </w:r>
      <w:r>
        <w:rPr>
          <w:rFonts w:ascii="Arial" w:hAnsi="Arial"/>
          <w:sz w:val="21"/>
        </w:rPr>
        <w:t>the</w:t>
      </w:r>
      <w:r>
        <w:rPr>
          <w:rFonts w:ascii="Arial" w:hAnsi="Arial"/>
          <w:sz w:val="20"/>
        </w:rPr>
        <w:t> </w:t>
      </w:r>
      <w:r>
        <w:rPr>
          <w:rFonts w:ascii="Arial" w:hAnsi="Arial"/>
          <w:sz w:val="21"/>
        </w:rPr>
        <w:t>Outstanding</w:t>
      </w:r>
      <w:r>
        <w:rPr>
          <w:rFonts w:ascii="Arial" w:hAnsi="Arial"/>
          <w:sz w:val="20"/>
        </w:rPr>
        <w:t> </w:t>
      </w:r>
      <w:r>
        <w:rPr>
          <w:rFonts w:ascii="Arial" w:hAnsi="Arial"/>
          <w:sz w:val="21"/>
        </w:rPr>
        <w:t>Accommodation</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Bridge</w:t>
      </w:r>
      <w:r>
        <w:rPr>
          <w:rFonts w:ascii="Arial" w:hAnsi="Arial"/>
          <w:sz w:val="20"/>
        </w:rPr>
        <w:t> </w:t>
      </w:r>
      <w:r>
        <w:rPr>
          <w:rFonts w:ascii="Arial" w:hAnsi="Arial"/>
          <w:sz w:val="21"/>
        </w:rPr>
        <w:t>Facility</w:t>
      </w:r>
      <w:r>
        <w:rPr>
          <w:rFonts w:ascii="Arial" w:hAnsi="Arial"/>
          <w:sz w:val="20"/>
        </w:rPr>
        <w:t> </w:t>
      </w:r>
      <w:r>
        <w:rPr>
          <w:rFonts w:ascii="Arial" w:hAnsi="Arial"/>
          <w:sz w:val="21"/>
        </w:rPr>
        <w:t>to</w:t>
      </w:r>
      <w:r>
        <w:rPr>
          <w:rFonts w:ascii="Arial" w:hAnsi="Arial"/>
          <w:sz w:val="20"/>
        </w:rPr>
        <w:t> </w:t>
      </w:r>
      <w:r>
        <w:rPr>
          <w:rFonts w:ascii="Arial" w:hAnsi="Arial"/>
          <w:sz w:val="21"/>
        </w:rPr>
        <w:t>nil</w:t>
      </w:r>
      <w:r>
        <w:rPr>
          <w:rFonts w:ascii="Arial" w:hAnsi="Arial"/>
          <w:sz w:val="20"/>
        </w:rPr>
        <w:t> </w:t>
      </w:r>
      <w:r>
        <w:rPr>
          <w:rFonts w:ascii="Arial" w:hAnsi="Arial"/>
          <w:sz w:val="21"/>
        </w:rPr>
        <w:t>and cancellation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Facility</w:t>
      </w:r>
      <w:r>
        <w:rPr>
          <w:rFonts w:ascii="Arial" w:hAnsi="Arial"/>
          <w:sz w:val="20"/>
        </w:rPr>
        <w:t> </w:t>
      </w:r>
      <w:r>
        <w:rPr>
          <w:rFonts w:ascii="Arial" w:hAnsi="Arial"/>
          <w:sz w:val="21"/>
        </w:rPr>
        <w:t>Limit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Bridge</w:t>
      </w:r>
      <w:r>
        <w:rPr>
          <w:rFonts w:ascii="Arial" w:hAnsi="Arial"/>
          <w:sz w:val="20"/>
        </w:rPr>
        <w:t> </w:t>
      </w:r>
      <w:r>
        <w:rPr>
          <w:rFonts w:ascii="Arial" w:hAnsi="Arial"/>
          <w:sz w:val="21"/>
        </w:rPr>
        <w:t>Facility</w:t>
      </w:r>
      <w:r>
        <w:rPr>
          <w:rFonts w:ascii="Arial" w:hAnsi="Arial"/>
          <w:sz w:val="20"/>
        </w:rPr>
        <w:t> </w:t>
      </w:r>
      <w:r>
        <w:rPr>
          <w:rFonts w:ascii="Arial" w:hAnsi="Arial"/>
          <w:sz w:val="21"/>
        </w:rPr>
        <w:t xml:space="preserve">in accordance with </w:t>
      </w:r>
      <w:r>
        <w:rPr>
          <w:rFonts w:ascii="Arial" w:hAnsi="Arial"/>
          <w:b/>
          <w:sz w:val="21"/>
        </w:rPr>
        <w:t>clause 5.4(b)(i)(A)</w:t>
      </w:r>
      <w:r>
        <w:rPr>
          <w:rFonts w:ascii="Arial" w:hAnsi="Arial"/>
          <w:sz w:val="21"/>
        </w:rPr>
        <w:t>; and</w:t>
      </w:r>
      <w:r>
        <w:rPr>
          <w:rFonts w:ascii="Arial" w:hAnsi="Arial"/>
          <w:sz w:val="20"/>
        </w:rPr>
        <w:t xml:space="preserve"> </w:t>
      </w:r>
    </w:p>
    <w:p>
      <w:pPr>
        <w:pStyle w:val="TextBody"/>
        <w:bidi w:val="0"/>
        <w:spacing w:lineRule="auto" w:line="266" w:before="118" w:after="0"/>
        <w:ind w:left="4253" w:right="1430" w:hanging="0"/>
        <w:jc w:val="left"/>
        <w:rPr>
          <w:rFonts w:ascii="Arial" w:hAnsi="Arial"/>
          <w:sz w:val="20"/>
        </w:rPr>
      </w:pPr>
      <w:r>
        <w:rPr>
          <w:rFonts w:ascii="Arial" w:hAnsi="Arial"/>
          <w:sz w:val="21"/>
        </w:rPr>
        <w:t>(ii)the repayment of $1,500,000 from the Net Sale Proceeds in permanent reduction of the Outstanding Accommodation and the Facility</w:t>
      </w:r>
      <w:r>
        <w:rPr>
          <w:rFonts w:ascii="Arial" w:hAnsi="Arial"/>
          <w:sz w:val="20"/>
        </w:rPr>
        <w:t> </w:t>
      </w:r>
      <w:r>
        <w:rPr>
          <w:rFonts w:ascii="Arial" w:hAnsi="Arial"/>
          <w:sz w:val="21"/>
        </w:rPr>
        <w:t>Limit</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Corporate</w:t>
      </w:r>
      <w:r>
        <w:rPr>
          <w:rFonts w:ascii="Arial" w:hAnsi="Arial"/>
          <w:sz w:val="20"/>
        </w:rPr>
        <w:t> </w:t>
      </w:r>
      <w:r>
        <w:rPr>
          <w:rFonts w:ascii="Arial" w:hAnsi="Arial"/>
          <w:sz w:val="21"/>
        </w:rPr>
        <w:t>Markets</w:t>
      </w:r>
      <w:r>
        <w:rPr>
          <w:rFonts w:ascii="Arial" w:hAnsi="Arial"/>
          <w:sz w:val="20"/>
        </w:rPr>
        <w:t> </w:t>
      </w:r>
      <w:r>
        <w:rPr>
          <w:rFonts w:ascii="Arial" w:hAnsi="Arial"/>
          <w:sz w:val="21"/>
        </w:rPr>
        <w:t>Loan</w:t>
      </w:r>
      <w:r>
        <w:rPr>
          <w:rFonts w:ascii="Arial" w:hAnsi="Arial"/>
          <w:sz w:val="20"/>
        </w:rPr>
        <w:t> </w:t>
      </w:r>
      <w:r>
        <w:rPr>
          <w:rFonts w:ascii="Arial" w:hAnsi="Arial"/>
          <w:sz w:val="21"/>
        </w:rPr>
        <w:t>Facility</w:t>
      </w:r>
      <w:r>
        <w:rPr>
          <w:rFonts w:ascii="Arial" w:hAnsi="Arial"/>
          <w:sz w:val="20"/>
        </w:rPr>
        <w:t> </w:t>
      </w:r>
      <w:r>
        <w:rPr>
          <w:rFonts w:ascii="Arial" w:hAnsi="Arial"/>
          <w:sz w:val="21"/>
        </w:rPr>
        <w:t>in</w:t>
      </w:r>
      <w:r>
        <w:rPr>
          <w:rFonts w:ascii="Arial" w:hAnsi="Arial"/>
          <w:sz w:val="20"/>
        </w:rPr>
        <w:t> </w:t>
      </w:r>
      <w:r>
        <w:rPr>
          <w:rFonts w:ascii="Arial" w:hAnsi="Arial"/>
          <w:sz w:val="21"/>
        </w:rPr>
        <w:t xml:space="preserve">accordance with </w:t>
      </w:r>
      <w:r>
        <w:rPr>
          <w:rFonts w:ascii="Arial" w:hAnsi="Arial"/>
          <w:b/>
          <w:sz w:val="21"/>
        </w:rPr>
        <w:t>clause 5.4(b)(i)(B)</w:t>
      </w:r>
      <w:r>
        <w:rPr>
          <w:rFonts w:ascii="Arial" w:hAnsi="Arial"/>
          <w:sz w:val="21"/>
        </w:rPr>
        <w:t>,</w:t>
      </w:r>
      <w:r>
        <w:rPr>
          <w:rFonts w:ascii="Arial" w:hAnsi="Arial"/>
          <w:sz w:val="20"/>
        </w:rPr>
        <w:t xml:space="preserve"> </w:t>
      </w:r>
    </w:p>
    <w:p>
      <w:pPr>
        <w:pStyle w:val="TextBody"/>
        <w:bidi w:val="0"/>
        <w:spacing w:before="121" w:after="0"/>
        <w:ind w:left="3686" w:right="700" w:hanging="0"/>
        <w:jc w:val="left"/>
        <w:rPr>
          <w:rFonts w:ascii="Arial" w:hAnsi="Arial"/>
          <w:sz w:val="22"/>
        </w:rPr>
      </w:pPr>
      <w:r>
        <w:rPr>
          <w:rFonts w:ascii="Arial" w:hAnsi="Arial"/>
          <w:sz w:val="22"/>
        </w:rPr>
        <w:t xml:space="preserve">any remaining Net Sale Proceeds; </w:t>
      </w:r>
    </w:p>
    <w:p>
      <w:pPr>
        <w:pStyle w:val="TextBody"/>
        <w:bidi w:val="0"/>
        <w:spacing w:lineRule="auto" w:line="266" w:before="147" w:after="0"/>
        <w:ind w:left="3686" w:right="1555" w:hanging="0"/>
        <w:jc w:val="both"/>
        <w:rPr>
          <w:rFonts w:ascii="Arial" w:hAnsi="Arial"/>
          <w:sz w:val="20"/>
        </w:rPr>
      </w:pPr>
      <w:r>
        <w:rPr>
          <w:rFonts w:ascii="Arial" w:hAnsi="Arial"/>
          <w:sz w:val="21"/>
        </w:rPr>
        <w:t>(c)following</w:t>
      </w:r>
      <w:r>
        <w:rPr>
          <w:rFonts w:ascii="Arial" w:hAnsi="Arial"/>
          <w:sz w:val="20"/>
        </w:rPr>
        <w:t> </w:t>
      </w:r>
      <w:r>
        <w:rPr>
          <w:rFonts w:ascii="Arial" w:hAnsi="Arial"/>
          <w:sz w:val="21"/>
        </w:rPr>
        <w:t>repayment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Bridge</w:t>
      </w:r>
      <w:r>
        <w:rPr>
          <w:rFonts w:ascii="Arial" w:hAnsi="Arial"/>
          <w:sz w:val="20"/>
        </w:rPr>
        <w:t> </w:t>
      </w:r>
      <w:r>
        <w:rPr>
          <w:rFonts w:ascii="Arial" w:hAnsi="Arial"/>
          <w:sz w:val="21"/>
        </w:rPr>
        <w:t>Facility</w:t>
      </w:r>
      <w:r>
        <w:rPr>
          <w:rFonts w:ascii="Arial" w:hAnsi="Arial"/>
          <w:sz w:val="20"/>
        </w:rPr>
        <w:t> </w:t>
      </w:r>
      <w:r>
        <w:rPr>
          <w:rFonts w:ascii="Arial" w:hAnsi="Arial"/>
          <w:sz w:val="21"/>
        </w:rPr>
        <w:t>and</w:t>
      </w:r>
      <w:r>
        <w:rPr>
          <w:rFonts w:ascii="Arial" w:hAnsi="Arial"/>
          <w:sz w:val="20"/>
        </w:rPr>
        <w:t> </w:t>
      </w:r>
      <w:r>
        <w:rPr>
          <w:rFonts w:ascii="Arial" w:hAnsi="Arial"/>
          <w:sz w:val="21"/>
        </w:rPr>
        <w:t>cancellation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Bridge Facility</w:t>
      </w:r>
      <w:r>
        <w:rPr>
          <w:rFonts w:ascii="Arial" w:hAnsi="Arial"/>
          <w:sz w:val="20"/>
        </w:rPr>
        <w:t> </w:t>
      </w:r>
      <w:r>
        <w:rPr>
          <w:rFonts w:ascii="Arial" w:hAnsi="Arial"/>
          <w:sz w:val="21"/>
        </w:rPr>
        <w:t>Limit,</w:t>
      </w:r>
      <w:r>
        <w:rPr>
          <w:rFonts w:ascii="Arial" w:hAnsi="Arial"/>
          <w:sz w:val="20"/>
        </w:rPr>
        <w:t> </w:t>
      </w:r>
      <w:r>
        <w:rPr>
          <w:rFonts w:ascii="Arial" w:hAnsi="Arial"/>
          <w:sz w:val="21"/>
        </w:rPr>
        <w:t>any</w:t>
      </w:r>
      <w:r>
        <w:rPr>
          <w:rFonts w:ascii="Arial" w:hAnsi="Arial"/>
          <w:sz w:val="20"/>
        </w:rPr>
        <w:t> </w:t>
      </w:r>
      <w:r>
        <w:rPr>
          <w:rFonts w:ascii="Arial" w:hAnsi="Arial"/>
          <w:sz w:val="21"/>
        </w:rPr>
        <w:t>remaining</w:t>
      </w:r>
      <w:r>
        <w:rPr>
          <w:rFonts w:ascii="Arial" w:hAnsi="Arial"/>
          <w:sz w:val="20"/>
        </w:rPr>
        <w:t> </w:t>
      </w:r>
      <w:r>
        <w:rPr>
          <w:rFonts w:ascii="Arial" w:hAnsi="Arial"/>
          <w:sz w:val="21"/>
        </w:rPr>
        <w:t>Net</w:t>
      </w:r>
      <w:r>
        <w:rPr>
          <w:rFonts w:ascii="Arial" w:hAnsi="Arial"/>
          <w:sz w:val="20"/>
        </w:rPr>
        <w:t> </w:t>
      </w:r>
      <w:r>
        <w:rPr>
          <w:rFonts w:ascii="Arial" w:hAnsi="Arial"/>
          <w:sz w:val="21"/>
        </w:rPr>
        <w:t>Sale</w:t>
      </w:r>
      <w:r>
        <w:rPr>
          <w:rFonts w:ascii="Arial" w:hAnsi="Arial"/>
          <w:sz w:val="20"/>
        </w:rPr>
        <w:t> </w:t>
      </w:r>
      <w:r>
        <w:rPr>
          <w:rFonts w:ascii="Arial" w:hAnsi="Arial"/>
          <w:sz w:val="21"/>
        </w:rPr>
        <w:t>Proceeds</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 Waurn Ponds Property; or</w:t>
      </w:r>
      <w:r>
        <w:rPr>
          <w:rFonts w:ascii="Arial" w:hAnsi="Arial"/>
          <w:sz w:val="20"/>
        </w:rPr>
        <w:t xml:space="preserve"> </w:t>
      </w:r>
    </w:p>
    <w:p>
      <w:pPr>
        <w:pStyle w:val="TextBody"/>
        <w:bidi w:val="0"/>
        <w:spacing w:before="121" w:after="0"/>
        <w:ind w:left="3685" w:right="700" w:hanging="0"/>
        <w:jc w:val="both"/>
        <w:rPr>
          <w:rFonts w:ascii="Arial" w:hAnsi="Arial"/>
          <w:sz w:val="20"/>
        </w:rPr>
      </w:pPr>
      <w:r>
        <w:rPr>
          <w:rFonts w:ascii="Arial" w:hAnsi="Arial"/>
          <w:sz w:val="21"/>
        </w:rPr>
        <w:t>(d)made</w:t>
      </w:r>
      <w:r>
        <w:rPr>
          <w:rFonts w:ascii="Arial" w:hAnsi="Arial"/>
          <w:sz w:val="20"/>
        </w:rPr>
        <w:t> </w:t>
      </w:r>
      <w:r>
        <w:rPr>
          <w:rFonts w:ascii="Arial" w:hAnsi="Arial"/>
          <w:sz w:val="21"/>
        </w:rPr>
        <w:t>with</w:t>
      </w:r>
      <w:r>
        <w:rPr>
          <w:rFonts w:ascii="Arial" w:hAnsi="Arial"/>
          <w:sz w:val="20"/>
        </w:rPr>
        <w:t> </w:t>
      </w:r>
      <w:r>
        <w:rPr>
          <w:rFonts w:ascii="Arial" w:hAnsi="Arial"/>
          <w:sz w:val="21"/>
        </w:rPr>
        <w:t>the</w:t>
      </w:r>
      <w:r>
        <w:rPr>
          <w:rFonts w:ascii="Arial" w:hAnsi="Arial"/>
          <w:sz w:val="20"/>
        </w:rPr>
        <w:t> </w:t>
      </w:r>
      <w:r>
        <w:rPr>
          <w:rFonts w:ascii="Arial" w:hAnsi="Arial"/>
          <w:sz w:val="21"/>
        </w:rPr>
        <w:t>Bank’s</w:t>
      </w:r>
      <w:r>
        <w:rPr>
          <w:rFonts w:ascii="Arial" w:hAnsi="Arial"/>
          <w:sz w:val="20"/>
        </w:rPr>
        <w:t> </w:t>
      </w:r>
      <w:r>
        <w:rPr>
          <w:rFonts w:ascii="Arial" w:hAnsi="Arial"/>
          <w:sz w:val="21"/>
        </w:rPr>
        <w:t>prior</w:t>
      </w:r>
      <w:r>
        <w:rPr>
          <w:rFonts w:ascii="Arial" w:hAnsi="Arial"/>
          <w:sz w:val="20"/>
        </w:rPr>
        <w:t> </w:t>
      </w:r>
      <w:r>
        <w:rPr>
          <w:rFonts w:ascii="Arial" w:hAnsi="Arial"/>
          <w:sz w:val="21"/>
        </w:rPr>
        <w:t>written</w:t>
      </w:r>
      <w:r>
        <w:rPr>
          <w:rFonts w:ascii="Arial" w:hAnsi="Arial"/>
          <w:sz w:val="20"/>
        </w:rPr>
        <w:t> </w:t>
      </w:r>
      <w:r>
        <w:rPr>
          <w:rFonts w:ascii="Arial" w:hAnsi="Arial"/>
          <w:sz w:val="21"/>
        </w:rPr>
        <w:t>consent.</w:t>
      </w:r>
      <w:r>
        <w:rPr>
          <w:rFonts w:ascii="Arial" w:hAnsi="Arial"/>
          <w:sz w:val="20"/>
        </w:rPr>
        <w:t xml:space="preserve"> </w:t>
      </w:r>
    </w:p>
    <w:p>
      <w:pPr>
        <w:pStyle w:val="TextBody"/>
        <w:bidi w:val="0"/>
        <w:spacing w:before="147" w:after="0"/>
        <w:ind w:left="3120" w:right="700" w:hanging="0"/>
        <w:jc w:val="left"/>
        <w:rPr>
          <w:rFonts w:ascii="Arial" w:hAnsi="Arial"/>
          <w:sz w:val="20"/>
        </w:rPr>
      </w:pPr>
      <w:r>
        <w:rPr>
          <w:rFonts w:ascii="Arial" w:hAnsi="Arial"/>
          <w:b/>
          <w:sz w:val="21"/>
        </w:rPr>
        <w:t>Permitted</w:t>
      </w:r>
      <w:r>
        <w:rPr>
          <w:rFonts w:ascii="Arial" w:hAnsi="Arial"/>
          <w:sz w:val="20"/>
        </w:rPr>
        <w:t> </w:t>
      </w:r>
      <w:r>
        <w:rPr>
          <w:rFonts w:ascii="Arial" w:hAnsi="Arial"/>
          <w:b/>
          <w:sz w:val="21"/>
        </w:rPr>
        <w:t>Encumbrance</w:t>
      </w:r>
      <w:r>
        <w:rPr>
          <w:rFonts w:ascii="Arial" w:hAnsi="Arial"/>
          <w:sz w:val="20"/>
        </w:rPr>
        <w:t> </w:t>
      </w:r>
      <w:r>
        <w:rPr>
          <w:rFonts w:ascii="Arial" w:hAnsi="Arial"/>
          <w:sz w:val="21"/>
        </w:rPr>
        <w:t>means:</w:t>
      </w:r>
      <w:r>
        <w:rPr>
          <w:rFonts w:ascii="Arial" w:hAnsi="Arial"/>
          <w:sz w:val="20"/>
        </w:rPr>
        <w:t xml:space="preserve"> </w:t>
      </w:r>
    </w:p>
    <w:p>
      <w:pPr>
        <w:pStyle w:val="TextBody"/>
        <w:bidi w:val="0"/>
        <w:spacing w:lineRule="auto" w:line="266" w:before="147" w:after="0"/>
        <w:ind w:left="3686" w:right="1694" w:hanging="0"/>
        <w:jc w:val="both"/>
        <w:rPr>
          <w:rFonts w:ascii="Arial" w:hAnsi="Arial"/>
          <w:sz w:val="20"/>
        </w:rPr>
      </w:pPr>
      <w:r>
        <w:rPr>
          <w:rFonts w:ascii="Arial" w:hAnsi="Arial"/>
          <w:sz w:val="21"/>
        </w:rPr>
        <w:t>(a)an</w:t>
      </w:r>
      <w:r>
        <w:rPr>
          <w:rFonts w:ascii="Arial" w:hAnsi="Arial"/>
          <w:sz w:val="20"/>
        </w:rPr>
        <w:t> </w:t>
      </w:r>
      <w:r>
        <w:rPr>
          <w:rFonts w:ascii="Arial" w:hAnsi="Arial"/>
          <w:sz w:val="21"/>
        </w:rPr>
        <w:t>Encumbrance</w:t>
      </w:r>
      <w:r>
        <w:rPr>
          <w:rFonts w:ascii="Arial" w:hAnsi="Arial"/>
          <w:sz w:val="20"/>
        </w:rPr>
        <w:t> </w:t>
      </w:r>
      <w:r>
        <w:rPr>
          <w:rFonts w:ascii="Arial" w:hAnsi="Arial"/>
          <w:sz w:val="21"/>
        </w:rPr>
        <w:t>which</w:t>
      </w:r>
      <w:r>
        <w:rPr>
          <w:rFonts w:ascii="Arial" w:hAnsi="Arial"/>
          <w:sz w:val="20"/>
        </w:rPr>
        <w:t> </w:t>
      </w:r>
      <w:r>
        <w:rPr>
          <w:rFonts w:ascii="Arial" w:hAnsi="Arial"/>
          <w:sz w:val="21"/>
        </w:rPr>
        <w:t>has</w:t>
      </w:r>
      <w:r>
        <w:rPr>
          <w:rFonts w:ascii="Arial" w:hAnsi="Arial"/>
          <w:sz w:val="20"/>
        </w:rPr>
        <w:t> </w:t>
      </w:r>
      <w:r>
        <w:rPr>
          <w:rFonts w:ascii="Arial" w:hAnsi="Arial"/>
          <w:sz w:val="21"/>
        </w:rPr>
        <w:t>been</w:t>
      </w:r>
      <w:r>
        <w:rPr>
          <w:rFonts w:ascii="Arial" w:hAnsi="Arial"/>
          <w:sz w:val="20"/>
        </w:rPr>
        <w:t> </w:t>
      </w:r>
      <w:r>
        <w:rPr>
          <w:rFonts w:ascii="Arial" w:hAnsi="Arial"/>
          <w:sz w:val="21"/>
        </w:rPr>
        <w:t>approved</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(including</w:t>
      </w:r>
      <w:r>
        <w:rPr>
          <w:rFonts w:ascii="Arial" w:hAnsi="Arial"/>
          <w:sz w:val="20"/>
        </w:rPr>
        <w:t> </w:t>
      </w:r>
      <w:r>
        <w:rPr>
          <w:rFonts w:ascii="Arial" w:hAnsi="Arial"/>
          <w:sz w:val="21"/>
        </w:rPr>
        <w:t>the Security Interests created by any Transaction Document);</w:t>
      </w:r>
      <w:r>
        <w:rPr>
          <w:rFonts w:ascii="Arial" w:hAnsi="Arial"/>
          <w:sz w:val="20"/>
        </w:rPr>
        <w:t xml:space="preserve"> </w:t>
      </w:r>
    </w:p>
    <w:p>
      <w:pPr>
        <w:pStyle w:val="TextBody"/>
        <w:bidi w:val="0"/>
        <w:spacing w:lineRule="auto" w:line="266" w:before="0" w:after="0"/>
        <w:ind w:left="3686" w:right="1566" w:hanging="0"/>
        <w:jc w:val="both"/>
        <w:rPr>
          <w:rFonts w:ascii="Arial" w:hAnsi="Arial"/>
          <w:sz w:val="20"/>
        </w:rPr>
      </w:pPr>
      <w:r>
        <w:rPr>
          <w:rFonts w:ascii="Arial" w:hAnsi="Arial"/>
          <w:sz w:val="21"/>
        </w:rPr>
        <w:t>(b)any</w:t>
      </w:r>
      <w:r>
        <w:rPr>
          <w:rFonts w:ascii="Arial" w:hAnsi="Arial"/>
          <w:sz w:val="20"/>
        </w:rPr>
        <w:t> </w:t>
      </w:r>
      <w:r>
        <w:rPr>
          <w:rFonts w:ascii="Arial" w:hAnsi="Arial"/>
          <w:sz w:val="21"/>
        </w:rPr>
        <w:t>right</w:t>
      </w:r>
      <w:r>
        <w:rPr>
          <w:rFonts w:ascii="Arial" w:hAnsi="Arial"/>
          <w:sz w:val="20"/>
        </w:rPr>
        <w:t> </w:t>
      </w:r>
      <w:r>
        <w:rPr>
          <w:rFonts w:ascii="Arial" w:hAnsi="Arial"/>
          <w:sz w:val="21"/>
        </w:rPr>
        <w:t>of</w:t>
      </w:r>
      <w:r>
        <w:rPr>
          <w:rFonts w:ascii="Arial" w:hAnsi="Arial"/>
          <w:sz w:val="20"/>
        </w:rPr>
        <w:t> </w:t>
      </w:r>
      <w:r>
        <w:rPr>
          <w:rFonts w:ascii="Arial" w:hAnsi="Arial"/>
          <w:sz w:val="21"/>
        </w:rPr>
        <w:t>set</w:t>
      </w:r>
      <w:r>
        <w:rPr>
          <w:rFonts w:ascii="Arial" w:hAnsi="Arial"/>
          <w:sz w:val="20"/>
        </w:rPr>
        <w:t> </w:t>
      </w:r>
      <w:r>
        <w:rPr>
          <w:rFonts w:ascii="Arial" w:hAnsi="Arial"/>
          <w:sz w:val="21"/>
        </w:rPr>
        <w:t>off</w:t>
      </w:r>
      <w:r>
        <w:rPr>
          <w:rFonts w:ascii="Arial" w:hAnsi="Arial"/>
          <w:sz w:val="20"/>
        </w:rPr>
        <w:t> </w:t>
      </w:r>
      <w:r>
        <w:rPr>
          <w:rFonts w:ascii="Arial" w:hAnsi="Arial"/>
          <w:sz w:val="21"/>
        </w:rPr>
        <w:t>or</w:t>
      </w:r>
      <w:r>
        <w:rPr>
          <w:rFonts w:ascii="Arial" w:hAnsi="Arial"/>
          <w:sz w:val="20"/>
        </w:rPr>
        <w:t> </w:t>
      </w:r>
      <w:r>
        <w:rPr>
          <w:rFonts w:ascii="Arial" w:hAnsi="Arial"/>
          <w:sz w:val="21"/>
        </w:rPr>
        <w:t>combination</w:t>
      </w:r>
      <w:r>
        <w:rPr>
          <w:rFonts w:ascii="Arial" w:hAnsi="Arial"/>
          <w:sz w:val="20"/>
        </w:rPr>
        <w:t> </w:t>
      </w:r>
      <w:r>
        <w:rPr>
          <w:rFonts w:ascii="Arial" w:hAnsi="Arial"/>
          <w:sz w:val="21"/>
        </w:rPr>
        <w:t>arising</w:t>
      </w:r>
      <w:r>
        <w:rPr>
          <w:rFonts w:ascii="Arial" w:hAnsi="Arial"/>
          <w:sz w:val="20"/>
        </w:rPr>
        <w:t> </w:t>
      </w:r>
      <w:r>
        <w:rPr>
          <w:rFonts w:ascii="Arial" w:hAnsi="Arial"/>
          <w:sz w:val="21"/>
        </w:rPr>
        <w:t>by</w:t>
      </w:r>
      <w:r>
        <w:rPr>
          <w:rFonts w:ascii="Arial" w:hAnsi="Arial"/>
          <w:sz w:val="20"/>
        </w:rPr>
        <w:t> </w:t>
      </w:r>
      <w:r>
        <w:rPr>
          <w:rFonts w:ascii="Arial" w:hAnsi="Arial"/>
          <w:sz w:val="21"/>
        </w:rPr>
        <w:t>operation</w:t>
      </w:r>
      <w:r>
        <w:rPr>
          <w:rFonts w:ascii="Arial" w:hAnsi="Arial"/>
          <w:sz w:val="20"/>
        </w:rPr>
        <w:t> </w:t>
      </w:r>
      <w:r>
        <w:rPr>
          <w:rFonts w:ascii="Arial" w:hAnsi="Arial"/>
          <w:sz w:val="21"/>
        </w:rPr>
        <w:t>of</w:t>
      </w:r>
      <w:r>
        <w:rPr>
          <w:rFonts w:ascii="Arial" w:hAnsi="Arial"/>
          <w:sz w:val="20"/>
        </w:rPr>
        <w:t> </w:t>
      </w:r>
      <w:r>
        <w:rPr>
          <w:rFonts w:ascii="Arial" w:hAnsi="Arial"/>
          <w:sz w:val="21"/>
        </w:rPr>
        <w:t>law</w:t>
      </w:r>
      <w:r>
        <w:rPr>
          <w:rFonts w:ascii="Arial" w:hAnsi="Arial"/>
          <w:sz w:val="20"/>
        </w:rPr>
        <w:t> </w:t>
      </w:r>
      <w:r>
        <w:rPr>
          <w:rFonts w:ascii="Arial" w:hAnsi="Arial"/>
          <w:sz w:val="21"/>
        </w:rPr>
        <w:t>or</w:t>
      </w:r>
      <w:r>
        <w:rPr>
          <w:rFonts w:ascii="Arial" w:hAnsi="Arial"/>
          <w:sz w:val="20"/>
        </w:rPr>
        <w:t> </w:t>
      </w:r>
      <w:r>
        <w:rPr>
          <w:rFonts w:ascii="Arial" w:hAnsi="Arial"/>
          <w:sz w:val="21"/>
        </w:rPr>
        <w:t>practice over</w:t>
      </w:r>
      <w:r>
        <w:rPr>
          <w:rFonts w:ascii="Arial" w:hAnsi="Arial"/>
          <w:sz w:val="20"/>
        </w:rPr>
        <w:t> </w:t>
      </w:r>
      <w:r>
        <w:rPr>
          <w:rFonts w:ascii="Arial" w:hAnsi="Arial"/>
          <w:sz w:val="21"/>
        </w:rPr>
        <w:t>money deposited with a bank or financial institution in the ordinary course of the business of a Transaction Party;</w:t>
      </w:r>
      <w:r>
        <w:rPr>
          <w:rFonts w:ascii="Arial" w:hAnsi="Arial"/>
          <w:sz w:val="20"/>
        </w:rPr>
        <w:t xml:space="preserve"> </w:t>
      </w:r>
    </w:p>
    <w:p>
      <w:pPr>
        <w:pStyle w:val="TextBody"/>
        <w:bidi w:val="0"/>
        <w:spacing w:lineRule="auto" w:line="266" w:before="120" w:after="0"/>
        <w:ind w:left="3686" w:right="1457" w:hanging="0"/>
        <w:jc w:val="both"/>
        <w:rPr>
          <w:rFonts w:ascii="Arial" w:hAnsi="Arial"/>
          <w:sz w:val="20"/>
        </w:rPr>
      </w:pPr>
      <w:r>
        <w:rPr>
          <w:rFonts w:ascii="Arial" w:hAnsi="Arial"/>
          <w:sz w:val="21"/>
        </w:rPr>
        <w:t>(c)an Encumbrance which arises by operation of law in</w:t>
      </w:r>
      <w:r>
        <w:rPr>
          <w:rFonts w:ascii="Arial" w:hAnsi="Arial"/>
          <w:sz w:val="20"/>
        </w:rPr>
        <w:t> </w:t>
      </w:r>
      <w:r>
        <w:rPr>
          <w:rFonts w:ascii="Arial" w:hAnsi="Arial"/>
          <w:sz w:val="21"/>
        </w:rPr>
        <w:t>the ordinary course of the business of a Transaction</w:t>
      </w:r>
      <w:r>
        <w:rPr>
          <w:rFonts w:ascii="Arial" w:hAnsi="Arial"/>
          <w:sz w:val="20"/>
        </w:rPr>
        <w:t> </w:t>
      </w:r>
      <w:r>
        <w:rPr>
          <w:rFonts w:ascii="Arial" w:hAnsi="Arial"/>
          <w:sz w:val="21"/>
        </w:rPr>
        <w:t>Party provided the</w:t>
      </w:r>
      <w:r>
        <w:rPr>
          <w:rFonts w:ascii="Arial" w:hAnsi="Arial"/>
          <w:sz w:val="20"/>
        </w:rPr>
        <w:t> </w:t>
      </w:r>
      <w:r>
        <w:rPr>
          <w:rFonts w:ascii="Arial" w:hAnsi="Arial"/>
          <w:sz w:val="21"/>
        </w:rPr>
        <w:t>debt secured by that Encumbrance</w:t>
      </w:r>
      <w:r>
        <w:rPr>
          <w:rFonts w:ascii="Arial" w:hAnsi="Arial"/>
          <w:sz w:val="20"/>
        </w:rPr>
        <w:t> </w:t>
      </w:r>
      <w:r>
        <w:rPr>
          <w:rFonts w:ascii="Arial" w:hAnsi="Arial"/>
          <w:sz w:val="21"/>
        </w:rPr>
        <w:t>is</w:t>
      </w:r>
      <w:r>
        <w:rPr>
          <w:rFonts w:ascii="Arial" w:hAnsi="Arial"/>
          <w:sz w:val="20"/>
        </w:rPr>
        <w:t> </w:t>
      </w:r>
      <w:r>
        <w:rPr>
          <w:rFonts w:ascii="Arial" w:hAnsi="Arial"/>
          <w:sz w:val="21"/>
        </w:rPr>
        <w:t>paid</w:t>
      </w:r>
      <w:r>
        <w:rPr>
          <w:rFonts w:ascii="Arial" w:hAnsi="Arial"/>
          <w:sz w:val="20"/>
        </w:rPr>
        <w:t> </w:t>
      </w:r>
      <w:r>
        <w:rPr>
          <w:rFonts w:ascii="Arial" w:hAnsi="Arial"/>
          <w:sz w:val="21"/>
        </w:rPr>
        <w:t>when</w:t>
      </w:r>
      <w:r>
        <w:rPr>
          <w:rFonts w:ascii="Arial" w:hAnsi="Arial"/>
          <w:sz w:val="20"/>
        </w:rPr>
        <w:t> </w:t>
      </w:r>
      <w:r>
        <w:rPr>
          <w:rFonts w:ascii="Arial" w:hAnsi="Arial"/>
          <w:sz w:val="21"/>
        </w:rPr>
        <w:t>due</w:t>
      </w:r>
      <w:r>
        <w:rPr>
          <w:rFonts w:ascii="Arial" w:hAnsi="Arial"/>
          <w:sz w:val="20"/>
        </w:rPr>
        <w:t> </w:t>
      </w:r>
      <w:r>
        <w:rPr>
          <w:rFonts w:ascii="Arial" w:hAnsi="Arial"/>
          <w:sz w:val="21"/>
        </w:rPr>
        <w:t>or</w:t>
      </w:r>
      <w:r>
        <w:rPr>
          <w:rFonts w:ascii="Arial" w:hAnsi="Arial"/>
          <w:sz w:val="20"/>
        </w:rPr>
        <w:t> </w:t>
      </w:r>
      <w:r>
        <w:rPr>
          <w:rFonts w:ascii="Arial" w:hAnsi="Arial"/>
          <w:sz w:val="21"/>
        </w:rPr>
        <w:t>contested</w:t>
      </w:r>
      <w:r>
        <w:rPr>
          <w:rFonts w:ascii="Arial" w:hAnsi="Arial"/>
          <w:sz w:val="20"/>
        </w:rPr>
        <w:t> </w:t>
      </w:r>
      <w:r>
        <w:rPr>
          <w:rFonts w:ascii="Arial" w:hAnsi="Arial"/>
          <w:sz w:val="21"/>
        </w:rPr>
        <w:t>in</w:t>
      </w:r>
      <w:r>
        <w:rPr>
          <w:rFonts w:ascii="Arial" w:hAnsi="Arial"/>
          <w:sz w:val="20"/>
        </w:rPr>
        <w:t> </w:t>
      </w:r>
      <w:r>
        <w:rPr>
          <w:rFonts w:ascii="Arial" w:hAnsi="Arial"/>
          <w:sz w:val="21"/>
        </w:rPr>
        <w:t>good</w:t>
      </w:r>
      <w:r>
        <w:rPr>
          <w:rFonts w:ascii="Arial" w:hAnsi="Arial"/>
          <w:sz w:val="20"/>
        </w:rPr>
        <w:t> </w:t>
      </w:r>
      <w:r>
        <w:rPr>
          <w:rFonts w:ascii="Arial" w:hAnsi="Arial"/>
          <w:sz w:val="21"/>
        </w:rPr>
        <w:t>faith</w:t>
      </w:r>
      <w:r>
        <w:rPr>
          <w:rFonts w:ascii="Arial" w:hAnsi="Arial"/>
          <w:sz w:val="20"/>
        </w:rPr>
        <w:t> </w:t>
      </w:r>
      <w:r>
        <w:rPr>
          <w:rFonts w:ascii="Arial" w:hAnsi="Arial"/>
          <w:sz w:val="21"/>
        </w:rPr>
        <w:t>by</w:t>
      </w:r>
      <w:r>
        <w:rPr>
          <w:rFonts w:ascii="Arial" w:hAnsi="Arial"/>
          <w:sz w:val="20"/>
        </w:rPr>
        <w:t> </w:t>
      </w:r>
      <w:r>
        <w:rPr>
          <w:rFonts w:ascii="Arial" w:hAnsi="Arial"/>
          <w:sz w:val="21"/>
        </w:rPr>
        <w:t>appropriate proceedings;</w:t>
      </w:r>
      <w:r>
        <w:rPr>
          <w:rFonts w:ascii="Arial" w:hAnsi="Arial"/>
          <w:sz w:val="20"/>
        </w:rPr>
        <w:t xml:space="preserve"> </w:t>
      </w:r>
    </w:p>
    <w:p>
      <w:pPr>
        <w:pStyle w:val="TextBody"/>
        <w:bidi w:val="0"/>
        <w:spacing w:lineRule="auto" w:line="266" w:before="0" w:after="0"/>
        <w:ind w:left="3686" w:right="1412" w:hanging="0"/>
        <w:jc w:val="left"/>
        <w:rPr>
          <w:rFonts w:ascii="Arial" w:hAnsi="Arial"/>
          <w:sz w:val="20"/>
        </w:rPr>
      </w:pPr>
      <w:r>
        <w:rPr>
          <w:rFonts w:ascii="Arial" w:hAnsi="Arial"/>
          <w:sz w:val="21"/>
        </w:rPr>
        <w:t>(d)every easement, restrictive covenant, caveat or similar restriction over property, right of way, exception, encroachment, reservation, restriction, condition or limitation which arises in the ordinary course of the ordinary business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relevant</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and</w:t>
      </w:r>
      <w:r>
        <w:rPr>
          <w:rFonts w:ascii="Arial" w:hAnsi="Arial"/>
          <w:sz w:val="20"/>
        </w:rPr>
        <w:t> </w:t>
      </w:r>
      <w:r>
        <w:rPr>
          <w:rFonts w:ascii="Arial" w:hAnsi="Arial"/>
          <w:sz w:val="21"/>
        </w:rPr>
        <w:t>does</w:t>
      </w:r>
      <w:r>
        <w:rPr>
          <w:rFonts w:ascii="Arial" w:hAnsi="Arial"/>
          <w:sz w:val="20"/>
        </w:rPr>
        <w:t> </w:t>
      </w:r>
      <w:r>
        <w:rPr>
          <w:rFonts w:ascii="Arial" w:hAnsi="Arial"/>
          <w:sz w:val="21"/>
        </w:rPr>
        <w:t>not</w:t>
      </w:r>
      <w:r>
        <w:rPr>
          <w:rFonts w:ascii="Arial" w:hAnsi="Arial"/>
          <w:sz w:val="20"/>
        </w:rPr>
        <w:t> </w:t>
      </w:r>
      <w:r>
        <w:rPr>
          <w:rFonts w:ascii="Arial" w:hAnsi="Arial"/>
          <w:sz w:val="21"/>
        </w:rPr>
        <w:t>either</w:t>
      </w:r>
      <w:r>
        <w:rPr>
          <w:rFonts w:ascii="Arial" w:hAnsi="Arial"/>
          <w:sz w:val="20"/>
        </w:rPr>
        <w:t> </w:t>
      </w:r>
      <w:r>
        <w:rPr>
          <w:rFonts w:ascii="Arial" w:hAnsi="Arial"/>
          <w:sz w:val="21"/>
        </w:rPr>
        <w:t>by</w:t>
      </w:r>
      <w:r>
        <w:rPr>
          <w:rFonts w:ascii="Arial" w:hAnsi="Arial"/>
          <w:sz w:val="20"/>
        </w:rPr>
        <w:t> </w:t>
      </w:r>
      <w:r>
        <w:rPr>
          <w:rFonts w:ascii="Arial" w:hAnsi="Arial"/>
          <w:sz w:val="21"/>
        </w:rPr>
        <w:t>itself</w:t>
      </w:r>
      <w:r>
        <w:rPr>
          <w:rFonts w:ascii="Arial" w:hAnsi="Arial"/>
          <w:sz w:val="20"/>
        </w:rPr>
        <w:t> </w:t>
      </w:r>
      <w:r>
        <w:rPr>
          <w:rFonts w:ascii="Arial" w:hAnsi="Arial"/>
          <w:sz w:val="21"/>
        </w:rPr>
        <w:t>or</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86" w:right="1424" w:hanging="0"/>
        <w:jc w:val="left"/>
        <w:rPr>
          <w:rFonts w:ascii="Arial" w:hAnsi="Arial"/>
          <w:sz w:val="22"/>
        </w:rPr>
      </w:pPr>
      <w:r>
        <w:rPr>
          <w:rFonts w:ascii="Arial" w:hAnsi="Arial"/>
          <w:sz w:val="22"/>
        </w:rPr>
        <w:t xml:space="preserve">in the aggregate materially interfere with or impair the operation or use of a property affected thereby, have a Material Adverse Effect or otherwise restrict or prevent the Bank exercising its rights against any Secured Property under the relevant Collateral Security; </w:t>
      </w:r>
    </w:p>
    <w:p>
      <w:pPr>
        <w:pStyle w:val="TextBody"/>
        <w:bidi w:val="0"/>
        <w:spacing w:lineRule="auto" w:line="266" w:before="118" w:after="0"/>
        <w:ind w:left="3686" w:right="1445" w:hanging="0"/>
        <w:jc w:val="left"/>
        <w:rPr>
          <w:rFonts w:ascii="Arial" w:hAnsi="Arial"/>
          <w:sz w:val="20"/>
        </w:rPr>
      </w:pPr>
      <w:r>
        <w:rPr>
          <w:rFonts w:ascii="Arial" w:hAnsi="Arial"/>
          <w:sz w:val="21"/>
        </w:rPr>
        <w:t>(e)every right reserved to, or vested in, any</w:t>
      </w:r>
      <w:r>
        <w:rPr>
          <w:rFonts w:ascii="Arial" w:hAnsi="Arial"/>
          <w:sz w:val="20"/>
        </w:rPr>
        <w:t> </w:t>
      </w:r>
      <w:r>
        <w:rPr>
          <w:rFonts w:ascii="Arial" w:hAnsi="Arial"/>
          <w:sz w:val="21"/>
        </w:rPr>
        <w:t>municipality</w:t>
      </w:r>
      <w:r>
        <w:rPr>
          <w:rFonts w:ascii="Arial" w:hAnsi="Arial"/>
          <w:sz w:val="20"/>
        </w:rPr>
        <w:t> </w:t>
      </w:r>
      <w:r>
        <w:rPr>
          <w:rFonts w:ascii="Arial" w:hAnsi="Arial"/>
          <w:sz w:val="21"/>
        </w:rPr>
        <w:t>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use</w:t>
      </w:r>
      <w:r>
        <w:rPr>
          <w:rFonts w:ascii="Arial" w:hAnsi="Arial"/>
          <w:sz w:val="20"/>
        </w:rPr>
        <w:t> </w:t>
      </w:r>
      <w:r>
        <w:rPr>
          <w:rFonts w:ascii="Arial" w:hAnsi="Arial"/>
          <w:sz w:val="21"/>
        </w:rPr>
        <w:t>thereof,</w:t>
      </w:r>
      <w:r>
        <w:rPr>
          <w:rFonts w:ascii="Arial" w:hAnsi="Arial"/>
          <w:sz w:val="20"/>
        </w:rPr>
        <w:t> </w:t>
      </w:r>
      <w:r>
        <w:rPr>
          <w:rFonts w:ascii="Arial" w:hAnsi="Arial"/>
          <w:sz w:val="21"/>
        </w:rPr>
        <w:t>have</w:t>
      </w:r>
      <w:r>
        <w:rPr>
          <w:rFonts w:ascii="Arial" w:hAnsi="Arial"/>
          <w:sz w:val="20"/>
        </w:rPr>
        <w:t> </w:t>
      </w:r>
      <w:r>
        <w:rPr>
          <w:rFonts w:ascii="Arial" w:hAnsi="Arial"/>
          <w:sz w:val="21"/>
        </w:rPr>
        <w:t>a</w:t>
      </w:r>
      <w:r>
        <w:rPr>
          <w:rFonts w:ascii="Arial" w:hAnsi="Arial"/>
          <w:sz w:val="20"/>
        </w:rPr>
        <w:t> </w:t>
      </w:r>
      <w:r>
        <w:rPr>
          <w:rFonts w:ascii="Arial" w:hAnsi="Arial"/>
          <w:sz w:val="21"/>
        </w:rPr>
        <w:t>Material</w:t>
      </w:r>
      <w:r>
        <w:rPr>
          <w:rFonts w:ascii="Arial" w:hAnsi="Arial"/>
          <w:sz w:val="20"/>
        </w:rPr>
        <w:t> </w:t>
      </w:r>
      <w:r>
        <w:rPr>
          <w:rFonts w:ascii="Arial" w:hAnsi="Arial"/>
          <w:sz w:val="21"/>
        </w:rPr>
        <w:t>Adverse</w:t>
      </w:r>
      <w:r>
        <w:rPr>
          <w:rFonts w:ascii="Arial" w:hAnsi="Arial"/>
          <w:sz w:val="20"/>
        </w:rPr>
        <w:t> </w:t>
      </w:r>
      <w:r>
        <w:rPr>
          <w:rFonts w:ascii="Arial" w:hAnsi="Arial"/>
          <w:sz w:val="21"/>
        </w:rPr>
        <w:t>Effect</w:t>
      </w:r>
      <w:r>
        <w:rPr>
          <w:rFonts w:ascii="Arial" w:hAnsi="Arial"/>
          <w:sz w:val="20"/>
        </w:rPr>
        <w:t> </w:t>
      </w:r>
      <w:r>
        <w:rPr>
          <w:rFonts w:ascii="Arial" w:hAnsi="Arial"/>
          <w:sz w:val="21"/>
        </w:rPr>
        <w:t>or</w:t>
      </w:r>
      <w:r>
        <w:rPr>
          <w:rFonts w:ascii="Arial" w:hAnsi="Arial"/>
          <w:sz w:val="20"/>
        </w:rPr>
        <w:t> </w:t>
      </w:r>
      <w:r>
        <w:rPr>
          <w:rFonts w:ascii="Arial" w:hAnsi="Arial"/>
          <w:sz w:val="21"/>
        </w:rPr>
        <w:t>otherwise restrict or prevent the Bank exercising its rights against any Secured Property under the relevant Collateral Security;</w:t>
      </w:r>
      <w:r>
        <w:rPr>
          <w:rFonts w:ascii="Arial" w:hAnsi="Arial"/>
          <w:sz w:val="20"/>
        </w:rPr>
        <w:t xml:space="preserve"> </w:t>
      </w:r>
    </w:p>
    <w:p>
      <w:pPr>
        <w:pStyle w:val="TextBody"/>
        <w:bidi w:val="0"/>
        <w:spacing w:lineRule="auto" w:line="266" w:before="117" w:after="0"/>
        <w:ind w:left="3686" w:right="1463" w:hanging="0"/>
        <w:jc w:val="left"/>
        <w:rPr>
          <w:rFonts w:ascii="Arial" w:hAnsi="Arial"/>
          <w:sz w:val="20"/>
        </w:rPr>
      </w:pPr>
      <w:r>
        <w:rPr>
          <w:rFonts w:ascii="Arial" w:hAnsi="Arial"/>
          <w:sz w:val="21"/>
        </w:rPr>
        <w:t>(f)every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w:t>
      </w:r>
      <w:r>
        <w:rPr>
          <w:rFonts w:ascii="Arial" w:hAnsi="Arial"/>
          <w:sz w:val="20"/>
        </w:rPr>
        <w:t> </w:t>
      </w:r>
      <w:r>
        <w:rPr>
          <w:rFonts w:ascii="Arial" w:hAnsi="Arial"/>
          <w:sz w:val="21"/>
        </w:rPr>
        <w:t>connection</w:t>
      </w:r>
      <w:r>
        <w:rPr>
          <w:rFonts w:ascii="Arial" w:hAnsi="Arial"/>
          <w:sz w:val="20"/>
        </w:rPr>
        <w:t> </w:t>
      </w:r>
      <w:r>
        <w:rPr>
          <w:rFonts w:ascii="Arial" w:hAnsi="Arial"/>
          <w:sz w:val="21"/>
        </w:rPr>
        <w:t>with</w:t>
      </w:r>
      <w:r>
        <w:rPr>
          <w:rFonts w:ascii="Arial" w:hAnsi="Arial"/>
          <w:sz w:val="20"/>
        </w:rPr>
        <w:t> </w:t>
      </w:r>
      <w:r>
        <w:rPr>
          <w:rFonts w:ascii="Arial" w:hAnsi="Arial"/>
          <w:sz w:val="21"/>
        </w:rPr>
        <w:t>workers’</w:t>
      </w:r>
      <w:r>
        <w:rPr>
          <w:rFonts w:ascii="Arial" w:hAnsi="Arial"/>
          <w:sz w:val="20"/>
        </w:rPr>
        <w:t> </w:t>
      </w:r>
      <w:r>
        <w:rPr>
          <w:rFonts w:ascii="Arial" w:hAnsi="Arial"/>
          <w:sz w:val="21"/>
        </w:rPr>
        <w:t>compensation,</w:t>
      </w:r>
      <w:r>
        <w:rPr>
          <w:rFonts w:ascii="Arial" w:hAnsi="Arial"/>
          <w:sz w:val="20"/>
        </w:rPr>
        <w:t> </w:t>
      </w:r>
      <w:r>
        <w:rPr>
          <w:rFonts w:ascii="Arial" w:hAnsi="Arial"/>
          <w:sz w:val="21"/>
        </w:rPr>
        <w:t>unemployment</w:t>
      </w:r>
      <w:r>
        <w:rPr>
          <w:rFonts w:ascii="Arial" w:hAnsi="Arial"/>
          <w:sz w:val="20"/>
        </w:rPr>
        <w:t> </w:t>
      </w:r>
      <w:r>
        <w:rPr>
          <w:rFonts w:ascii="Arial" w:hAnsi="Arial"/>
          <w:sz w:val="21"/>
        </w:rPr>
        <w:t>insurance</w:t>
      </w:r>
      <w:r>
        <w:rPr>
          <w:rFonts w:ascii="Arial" w:hAnsi="Arial"/>
          <w:sz w:val="20"/>
        </w:rPr>
        <w:t> </w:t>
      </w:r>
      <w:r>
        <w:rPr>
          <w:rFonts w:ascii="Arial" w:hAnsi="Arial"/>
          <w:sz w:val="21"/>
        </w:rPr>
        <w:t>and other types of social security;</w:t>
      </w:r>
      <w:r>
        <w:rPr>
          <w:rFonts w:ascii="Arial" w:hAnsi="Arial"/>
          <w:sz w:val="20"/>
        </w:rPr>
        <w:t xml:space="preserve"> </w:t>
      </w:r>
    </w:p>
    <w:p>
      <w:pPr>
        <w:pStyle w:val="TextBody"/>
        <w:bidi w:val="0"/>
        <w:spacing w:lineRule="auto" w:line="266" w:before="117" w:after="0"/>
        <w:ind w:left="3686" w:right="1648" w:hanging="0"/>
        <w:jc w:val="both"/>
        <w:rPr>
          <w:rFonts w:ascii="Arial" w:hAnsi="Arial"/>
          <w:sz w:val="20"/>
        </w:rPr>
      </w:pPr>
      <w:r>
        <w:rPr>
          <w:rFonts w:ascii="Arial" w:hAnsi="Arial"/>
          <w:sz w:val="21"/>
        </w:rPr>
        <w:t>(g)every</w:t>
      </w:r>
      <w:r>
        <w:rPr>
          <w:rFonts w:ascii="Arial" w:hAnsi="Arial"/>
          <w:sz w:val="20"/>
        </w:rPr>
        <w:t> </w:t>
      </w:r>
      <w:r>
        <w:rPr>
          <w:rFonts w:ascii="Arial" w:hAnsi="Arial"/>
          <w:sz w:val="21"/>
        </w:rPr>
        <w:t>Encumbrance</w:t>
      </w:r>
      <w:r>
        <w:rPr>
          <w:rFonts w:ascii="Arial" w:hAnsi="Arial"/>
          <w:sz w:val="20"/>
        </w:rPr>
        <w:t> </w:t>
      </w:r>
      <w:r>
        <w:rPr>
          <w:rFonts w:ascii="Arial" w:hAnsi="Arial"/>
          <w:sz w:val="21"/>
        </w:rPr>
        <w:t>incurred</w:t>
      </w:r>
      <w:r>
        <w:rPr>
          <w:rFonts w:ascii="Arial" w:hAnsi="Arial"/>
          <w:sz w:val="20"/>
        </w:rPr>
        <w:t> </w:t>
      </w:r>
      <w:r>
        <w:rPr>
          <w:rFonts w:ascii="Arial" w:hAnsi="Arial"/>
          <w:sz w:val="21"/>
        </w:rPr>
        <w:t>or</w:t>
      </w:r>
      <w:r>
        <w:rPr>
          <w:rFonts w:ascii="Arial" w:hAnsi="Arial"/>
          <w:sz w:val="20"/>
        </w:rPr>
        <w:t> </w:t>
      </w:r>
      <w:r>
        <w:rPr>
          <w:rFonts w:ascii="Arial" w:hAnsi="Arial"/>
          <w:sz w:val="21"/>
        </w:rPr>
        <w:t>deposit</w:t>
      </w:r>
      <w:r>
        <w:rPr>
          <w:rFonts w:ascii="Arial" w:hAnsi="Arial"/>
          <w:sz w:val="20"/>
        </w:rPr>
        <w:t> </w:t>
      </w:r>
      <w:r>
        <w:rPr>
          <w:rFonts w:ascii="Arial" w:hAnsi="Arial"/>
          <w:sz w:val="21"/>
        </w:rPr>
        <w:t>made</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ordinary</w:t>
      </w:r>
      <w:r>
        <w:rPr>
          <w:rFonts w:ascii="Arial" w:hAnsi="Arial"/>
          <w:sz w:val="20"/>
        </w:rPr>
        <w:t> </w:t>
      </w:r>
      <w:r>
        <w:rPr>
          <w:rFonts w:ascii="Arial" w:hAnsi="Arial"/>
          <w:sz w:val="21"/>
        </w:rPr>
        <w:t>course</w:t>
      </w:r>
      <w:r>
        <w:rPr>
          <w:rFonts w:ascii="Arial" w:hAnsi="Arial"/>
          <w:sz w:val="20"/>
        </w:rPr>
        <w:t> </w:t>
      </w:r>
      <w:r>
        <w:rPr>
          <w:rFonts w:ascii="Arial" w:hAnsi="Arial"/>
          <w:sz w:val="21"/>
        </w:rPr>
        <w:t>of the business of a Transaction Party in respect of a leasehold property, the purchase of assets or the use of utilities, provided that:</w:t>
      </w:r>
      <w:r>
        <w:rPr>
          <w:rFonts w:ascii="Arial" w:hAnsi="Arial"/>
          <w:sz w:val="20"/>
        </w:rPr>
        <w:t xml:space="preserve"> </w:t>
      </w:r>
    </w:p>
    <w:p>
      <w:pPr>
        <w:pStyle w:val="TextBody"/>
        <w:bidi w:val="0"/>
        <w:spacing w:lineRule="auto" w:line="266" w:before="120" w:after="0"/>
        <w:ind w:left="4275" w:right="1482" w:hanging="0"/>
        <w:jc w:val="left"/>
        <w:rPr>
          <w:rFonts w:ascii="Arial" w:hAnsi="Arial"/>
          <w:sz w:val="20"/>
        </w:rPr>
      </w:pPr>
      <w:r>
        <w:rPr>
          <w:rFonts w:ascii="Arial" w:hAnsi="Arial"/>
          <w:sz w:val="21"/>
        </w:rPr>
        <w:t>(i)in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an</w:t>
      </w:r>
      <w:r>
        <w:rPr>
          <w:rFonts w:ascii="Arial" w:hAnsi="Arial"/>
          <w:sz w:val="20"/>
        </w:rPr>
        <w:t> </w:t>
      </w:r>
      <w:r>
        <w:rPr>
          <w:rFonts w:ascii="Arial" w:hAnsi="Arial"/>
          <w:sz w:val="21"/>
        </w:rPr>
        <w:t>Encumbrance</w:t>
      </w:r>
      <w:r>
        <w:rPr>
          <w:rFonts w:ascii="Arial" w:hAnsi="Arial"/>
          <w:sz w:val="20"/>
        </w:rPr>
        <w:t> </w:t>
      </w:r>
      <w:r>
        <w:rPr>
          <w:rFonts w:ascii="Arial" w:hAnsi="Arial"/>
          <w:sz w:val="21"/>
        </w:rPr>
        <w:t>incurred</w:t>
      </w:r>
      <w:r>
        <w:rPr>
          <w:rFonts w:ascii="Arial" w:hAnsi="Arial"/>
          <w:sz w:val="20"/>
        </w:rPr>
        <w:t> </w:t>
      </w:r>
      <w:r>
        <w:rPr>
          <w:rFonts w:ascii="Arial" w:hAnsi="Arial"/>
          <w:sz w:val="21"/>
        </w:rPr>
        <w:t>or</w:t>
      </w:r>
      <w:r>
        <w:rPr>
          <w:rFonts w:ascii="Arial" w:hAnsi="Arial"/>
          <w:sz w:val="20"/>
        </w:rPr>
        <w:t> </w:t>
      </w:r>
      <w:r>
        <w:rPr>
          <w:rFonts w:ascii="Arial" w:hAnsi="Arial"/>
          <w:sz w:val="21"/>
        </w:rPr>
        <w:t>deposit</w:t>
      </w:r>
      <w:r>
        <w:rPr>
          <w:rFonts w:ascii="Arial" w:hAnsi="Arial"/>
          <w:sz w:val="20"/>
        </w:rPr>
        <w:t> </w:t>
      </w:r>
      <w:r>
        <w:rPr>
          <w:rFonts w:ascii="Arial" w:hAnsi="Arial"/>
          <w:sz w:val="21"/>
        </w:rPr>
        <w:t>made</w:t>
      </w:r>
      <w:r>
        <w:rPr>
          <w:rFonts w:ascii="Arial" w:hAnsi="Arial"/>
          <w:sz w:val="20"/>
        </w:rPr>
        <w:t> </w:t>
      </w:r>
      <w:r>
        <w:rPr>
          <w:rFonts w:ascii="Arial" w:hAnsi="Arial"/>
          <w:sz w:val="21"/>
        </w:rPr>
        <w:t>in</w:t>
      </w:r>
      <w:r>
        <w:rPr>
          <w:rFonts w:ascii="Arial" w:hAnsi="Arial"/>
          <w:sz w:val="20"/>
        </w:rPr>
        <w:t> </w:t>
      </w:r>
      <w:r>
        <w:rPr>
          <w:rFonts w:ascii="Arial" w:hAnsi="Arial"/>
          <w:sz w:val="21"/>
        </w:rPr>
        <w:t>respect of the purchase of assets which secures an aggregate amount greater than $250,000 the</w:t>
      </w:r>
      <w:r>
        <w:rPr>
          <w:rFonts w:ascii="Arial" w:hAnsi="Arial"/>
          <w:sz w:val="20"/>
        </w:rPr>
        <w:t> </w:t>
      </w:r>
      <w:r>
        <w:rPr>
          <w:rFonts w:ascii="Arial" w:hAnsi="Arial"/>
          <w:sz w:val="21"/>
        </w:rPr>
        <w:t>Bank has given prior written consent to the Borrower; and</w:t>
      </w:r>
      <w:r>
        <w:rPr>
          <w:rFonts w:ascii="Arial" w:hAnsi="Arial"/>
          <w:sz w:val="20"/>
        </w:rPr>
        <w:t xml:space="preserve"> </w:t>
      </w:r>
    </w:p>
    <w:p>
      <w:pPr>
        <w:pStyle w:val="TextBody"/>
        <w:bidi w:val="0"/>
        <w:spacing w:lineRule="auto" w:line="266" w:before="118" w:after="0"/>
        <w:ind w:left="4275" w:right="1521" w:hanging="0"/>
        <w:jc w:val="left"/>
        <w:rPr>
          <w:rFonts w:ascii="Arial" w:hAnsi="Arial"/>
          <w:sz w:val="20"/>
        </w:rPr>
      </w:pPr>
      <w:r>
        <w:rPr>
          <w:rFonts w:ascii="Arial" w:hAnsi="Arial"/>
          <w:sz w:val="21"/>
        </w:rPr>
        <w:t>(ii)the recourse of the holder of that Encumbrance is limited to the leasehold</w:t>
      </w:r>
      <w:r>
        <w:rPr>
          <w:rFonts w:ascii="Arial" w:hAnsi="Arial"/>
          <w:sz w:val="20"/>
        </w:rPr>
        <w:t> </w:t>
      </w:r>
      <w:r>
        <w:rPr>
          <w:rFonts w:ascii="Arial" w:hAnsi="Arial"/>
          <w:sz w:val="21"/>
        </w:rPr>
        <w:t>interest,</w:t>
      </w:r>
      <w:r>
        <w:rPr>
          <w:rFonts w:ascii="Arial" w:hAnsi="Arial"/>
          <w:sz w:val="20"/>
        </w:rPr>
        <w:t> </w:t>
      </w:r>
      <w:r>
        <w:rPr>
          <w:rFonts w:ascii="Arial" w:hAnsi="Arial"/>
          <w:sz w:val="21"/>
        </w:rPr>
        <w:t>the</w:t>
      </w:r>
      <w:r>
        <w:rPr>
          <w:rFonts w:ascii="Arial" w:hAnsi="Arial"/>
          <w:sz w:val="20"/>
        </w:rPr>
        <w:t> </w:t>
      </w:r>
      <w:r>
        <w:rPr>
          <w:rFonts w:ascii="Arial" w:hAnsi="Arial"/>
          <w:sz w:val="21"/>
        </w:rPr>
        <w:t>assets</w:t>
      </w:r>
      <w:r>
        <w:rPr>
          <w:rFonts w:ascii="Arial" w:hAnsi="Arial"/>
          <w:sz w:val="20"/>
        </w:rPr>
        <w:t> </w:t>
      </w:r>
      <w:r>
        <w:rPr>
          <w:rFonts w:ascii="Arial" w:hAnsi="Arial"/>
          <w:sz w:val="21"/>
        </w:rPr>
        <w:t>purchased</w:t>
      </w:r>
      <w:r>
        <w:rPr>
          <w:rFonts w:ascii="Arial" w:hAnsi="Arial"/>
          <w:sz w:val="20"/>
        </w:rPr>
        <w:t> </w:t>
      </w:r>
      <w:r>
        <w:rPr>
          <w:rFonts w:ascii="Arial" w:hAnsi="Arial"/>
          <w:sz w:val="21"/>
        </w:rPr>
        <w:t>or</w:t>
      </w:r>
      <w:r>
        <w:rPr>
          <w:rFonts w:ascii="Arial" w:hAnsi="Arial"/>
          <w:sz w:val="20"/>
        </w:rPr>
        <w:t> </w:t>
      </w:r>
      <w:r>
        <w:rPr>
          <w:rFonts w:ascii="Arial" w:hAnsi="Arial"/>
          <w:sz w:val="21"/>
        </w:rPr>
        <w:t>use</w:t>
      </w:r>
      <w:r>
        <w:rPr>
          <w:rFonts w:ascii="Arial" w:hAnsi="Arial"/>
          <w:sz w:val="20"/>
        </w:rPr>
        <w:t> </w:t>
      </w:r>
      <w:r>
        <w:rPr>
          <w:rFonts w:ascii="Arial" w:hAnsi="Arial"/>
          <w:sz w:val="21"/>
        </w:rPr>
        <w:t>of</w:t>
      </w:r>
      <w:r>
        <w:rPr>
          <w:rFonts w:ascii="Arial" w:hAnsi="Arial"/>
          <w:sz w:val="20"/>
        </w:rPr>
        <w:t> </w:t>
      </w:r>
      <w:r>
        <w:rPr>
          <w:rFonts w:ascii="Arial" w:hAnsi="Arial"/>
          <w:sz w:val="21"/>
        </w:rPr>
        <w:t>utilities</w:t>
      </w:r>
      <w:r>
        <w:rPr>
          <w:rFonts w:ascii="Arial" w:hAnsi="Arial"/>
          <w:sz w:val="20"/>
        </w:rPr>
        <w:t> </w:t>
      </w:r>
      <w:r>
        <w:rPr>
          <w:rFonts w:ascii="Arial" w:hAnsi="Arial"/>
          <w:sz w:val="21"/>
        </w:rPr>
        <w:t>and</w:t>
      </w:r>
      <w:r>
        <w:rPr>
          <w:rFonts w:ascii="Arial" w:hAnsi="Arial"/>
          <w:sz w:val="20"/>
        </w:rPr>
        <w:t> </w:t>
      </w:r>
      <w:r>
        <w:rPr>
          <w:rFonts w:ascii="Arial" w:hAnsi="Arial"/>
          <w:sz w:val="21"/>
        </w:rPr>
        <w:t>the proceeds of enforcement of the Encumbrance.</w:t>
      </w:r>
      <w:r>
        <w:rPr>
          <w:rFonts w:ascii="Arial" w:hAnsi="Arial"/>
          <w:sz w:val="20"/>
        </w:rPr>
        <w:t xml:space="preserve"> </w:t>
      </w:r>
    </w:p>
    <w:p>
      <w:pPr>
        <w:pStyle w:val="TextBody"/>
        <w:bidi w:val="0"/>
        <w:spacing w:lineRule="auto" w:line="266" w:before="118" w:after="0"/>
        <w:ind w:left="3686" w:right="1633" w:hanging="0"/>
        <w:jc w:val="left"/>
        <w:rPr>
          <w:rFonts w:ascii="Arial" w:hAnsi="Arial"/>
          <w:sz w:val="20"/>
        </w:rPr>
      </w:pPr>
      <w:r>
        <w:rPr>
          <w:rFonts w:ascii="Arial" w:hAnsi="Arial"/>
          <w:sz w:val="21"/>
        </w:rPr>
        <w:t>(h)every</w:t>
      </w:r>
      <w:r>
        <w:rPr>
          <w:rFonts w:ascii="Arial" w:hAnsi="Arial"/>
          <w:sz w:val="20"/>
        </w:rPr>
        <w:t> </w:t>
      </w:r>
      <w:r>
        <w:rPr>
          <w:rFonts w:ascii="Arial" w:hAnsi="Arial"/>
          <w:sz w:val="21"/>
        </w:rPr>
        <w:t>retention</w:t>
      </w:r>
      <w:r>
        <w:rPr>
          <w:rFonts w:ascii="Arial" w:hAnsi="Arial"/>
          <w:sz w:val="20"/>
        </w:rPr>
        <w:t> </w:t>
      </w:r>
      <w:r>
        <w:rPr>
          <w:rFonts w:ascii="Arial" w:hAnsi="Arial"/>
          <w:sz w:val="21"/>
        </w:rPr>
        <w:t>of</w:t>
      </w:r>
      <w:r>
        <w:rPr>
          <w:rFonts w:ascii="Arial" w:hAnsi="Arial"/>
          <w:sz w:val="20"/>
        </w:rPr>
        <w:t> </w:t>
      </w:r>
      <w:r>
        <w:rPr>
          <w:rFonts w:ascii="Arial" w:hAnsi="Arial"/>
          <w:sz w:val="21"/>
        </w:rPr>
        <w:t>title</w:t>
      </w:r>
      <w:r>
        <w:rPr>
          <w:rFonts w:ascii="Arial" w:hAnsi="Arial"/>
          <w:sz w:val="20"/>
        </w:rPr>
        <w:t> </w:t>
      </w:r>
      <w:r>
        <w:rPr>
          <w:rFonts w:ascii="Arial" w:hAnsi="Arial"/>
          <w:sz w:val="21"/>
        </w:rPr>
        <w:t>arrangement</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trading</w:t>
      </w:r>
      <w:r>
        <w:rPr>
          <w:rFonts w:ascii="Arial" w:hAnsi="Arial"/>
          <w:sz w:val="20"/>
        </w:rPr>
        <w:t> </w:t>
      </w:r>
      <w:r>
        <w:rPr>
          <w:rFonts w:ascii="Arial" w:hAnsi="Arial"/>
          <w:sz w:val="21"/>
        </w:rPr>
        <w:t>stock</w:t>
      </w:r>
      <w:r>
        <w:rPr>
          <w:rFonts w:ascii="Arial" w:hAnsi="Arial"/>
          <w:sz w:val="20"/>
        </w:rPr>
        <w:t> </w:t>
      </w:r>
      <w:r>
        <w:rPr>
          <w:rFonts w:ascii="Arial" w:hAnsi="Arial"/>
          <w:sz w:val="21"/>
        </w:rPr>
        <w:t>acquired or to be acquired by a Transaction Party in the ordinary course of business;</w:t>
      </w:r>
      <w:r>
        <w:rPr>
          <w:rFonts w:ascii="Arial" w:hAnsi="Arial"/>
          <w:sz w:val="20"/>
        </w:rPr>
        <w:t xml:space="preserve"> </w:t>
      </w:r>
    </w:p>
    <w:p>
      <w:pPr>
        <w:pStyle w:val="TextBody"/>
        <w:bidi w:val="0"/>
        <w:spacing w:lineRule="auto" w:line="266" w:before="120" w:after="0"/>
        <w:ind w:left="3686" w:right="1461" w:hanging="0"/>
        <w:jc w:val="left"/>
        <w:rPr>
          <w:rFonts w:ascii="Arial" w:hAnsi="Arial"/>
          <w:sz w:val="20"/>
        </w:rPr>
      </w:pPr>
      <w:r>
        <w:rPr>
          <w:rFonts w:ascii="Arial" w:hAnsi="Arial"/>
          <w:sz w:val="21"/>
        </w:rPr>
        <w:t>(i)any easement, caveat or other restriction in relation to a Freehold Property</w:t>
      </w:r>
      <w:r>
        <w:rPr>
          <w:rFonts w:ascii="Arial" w:hAnsi="Arial"/>
          <w:sz w:val="20"/>
        </w:rPr>
        <w:t> </w:t>
      </w:r>
      <w:r>
        <w:rPr>
          <w:rFonts w:ascii="Arial" w:hAnsi="Arial"/>
          <w:sz w:val="21"/>
        </w:rPr>
        <w:t>that</w:t>
      </w:r>
      <w:r>
        <w:rPr>
          <w:rFonts w:ascii="Arial" w:hAnsi="Arial"/>
          <w:sz w:val="20"/>
        </w:rPr>
        <w:t> </w:t>
      </w:r>
      <w:r>
        <w:rPr>
          <w:rFonts w:ascii="Arial" w:hAnsi="Arial"/>
          <w:sz w:val="21"/>
        </w:rPr>
        <w:t>would</w:t>
      </w:r>
      <w:r>
        <w:rPr>
          <w:rFonts w:ascii="Arial" w:hAnsi="Arial"/>
          <w:sz w:val="20"/>
        </w:rPr>
        <w:t> </w:t>
      </w:r>
      <w:r>
        <w:rPr>
          <w:rFonts w:ascii="Arial" w:hAnsi="Arial"/>
          <w:sz w:val="21"/>
        </w:rPr>
        <w:t>be</w:t>
      </w:r>
      <w:r>
        <w:rPr>
          <w:rFonts w:ascii="Arial" w:hAnsi="Arial"/>
          <w:sz w:val="20"/>
        </w:rPr>
        <w:t> </w:t>
      </w:r>
      <w:r>
        <w:rPr>
          <w:rFonts w:ascii="Arial" w:hAnsi="Arial"/>
          <w:sz w:val="21"/>
        </w:rPr>
        <w:t>apparent</w:t>
      </w:r>
      <w:r>
        <w:rPr>
          <w:rFonts w:ascii="Arial" w:hAnsi="Arial"/>
          <w:sz w:val="20"/>
        </w:rPr>
        <w:t> </w:t>
      </w:r>
      <w:r>
        <w:rPr>
          <w:rFonts w:ascii="Arial" w:hAnsi="Arial"/>
          <w:sz w:val="21"/>
        </w:rPr>
        <w:t>from</w:t>
      </w:r>
      <w:r>
        <w:rPr>
          <w:rFonts w:ascii="Arial" w:hAnsi="Arial"/>
          <w:sz w:val="20"/>
        </w:rPr>
        <w:t> </w:t>
      </w:r>
      <w:r>
        <w:rPr>
          <w:rFonts w:ascii="Arial" w:hAnsi="Arial"/>
          <w:sz w:val="21"/>
        </w:rPr>
        <w:t>a</w:t>
      </w:r>
      <w:r>
        <w:rPr>
          <w:rFonts w:ascii="Arial" w:hAnsi="Arial"/>
          <w:sz w:val="20"/>
        </w:rPr>
        <w:t> </w:t>
      </w:r>
      <w:r>
        <w:rPr>
          <w:rFonts w:ascii="Arial" w:hAnsi="Arial"/>
          <w:sz w:val="21"/>
        </w:rPr>
        <w:t>title</w:t>
      </w:r>
      <w:r>
        <w:rPr>
          <w:rFonts w:ascii="Arial" w:hAnsi="Arial"/>
          <w:sz w:val="20"/>
        </w:rPr>
        <w:t> </w:t>
      </w:r>
      <w:r>
        <w:rPr>
          <w:rFonts w:ascii="Arial" w:hAnsi="Arial"/>
          <w:sz w:val="21"/>
        </w:rPr>
        <w:t>search</w:t>
      </w:r>
      <w:r>
        <w:rPr>
          <w:rFonts w:ascii="Arial" w:hAnsi="Arial"/>
          <w:sz w:val="20"/>
        </w:rPr>
        <w:t> </w:t>
      </w:r>
      <w:r>
        <w:rPr>
          <w:rFonts w:ascii="Arial" w:hAnsi="Arial"/>
          <w:sz w:val="21"/>
        </w:rPr>
        <w:t>conducted</w:t>
      </w:r>
      <w:r>
        <w:rPr>
          <w:rFonts w:ascii="Arial" w:hAnsi="Arial"/>
          <w:sz w:val="20"/>
        </w:rPr>
        <w:t> </w:t>
      </w:r>
      <w:r>
        <w:rPr>
          <w:rFonts w:ascii="Arial" w:hAnsi="Arial"/>
          <w:sz w:val="21"/>
        </w:rPr>
        <w:t>before</w:t>
      </w:r>
      <w:r>
        <w:rPr>
          <w:rFonts w:ascii="Arial" w:hAnsi="Arial"/>
          <w:sz w:val="20"/>
        </w:rPr>
        <w:t> </w:t>
      </w:r>
      <w:r>
        <w:rPr>
          <w:rFonts w:ascii="Arial" w:hAnsi="Arial"/>
          <w:sz w:val="21"/>
        </w:rPr>
        <w:t>the date of this document.</w:t>
      </w:r>
      <w:r>
        <w:rPr>
          <w:rFonts w:ascii="Arial" w:hAnsi="Arial"/>
          <w:sz w:val="20"/>
        </w:rPr>
        <w:t xml:space="preserve"> </w:t>
      </w:r>
    </w:p>
    <w:p>
      <w:pPr>
        <w:pStyle w:val="TextBody"/>
        <w:bidi w:val="0"/>
        <w:spacing w:before="120" w:after="0"/>
        <w:ind w:left="3120" w:right="700" w:hanging="0"/>
        <w:jc w:val="left"/>
        <w:rPr>
          <w:rFonts w:ascii="Arial" w:hAnsi="Arial"/>
          <w:b/>
          <w:sz w:val="22"/>
        </w:rPr>
      </w:pPr>
      <w:r>
        <w:rPr>
          <w:rFonts w:ascii="Arial" w:hAnsi="Arial"/>
          <w:b/>
          <w:sz w:val="22"/>
        </w:rPr>
        <w:t>Permitted Financial Accommodation </w:t>
      </w:r>
      <w:r>
        <w:rPr>
          <w:rFonts w:ascii="Arial" w:hAnsi="Arial"/>
          <w:b w:val="false"/>
          <w:sz w:val="22"/>
        </w:rPr>
        <w:t>means:</w:t>
      </w:r>
      <w:r>
        <w:rPr>
          <w:rFonts w:ascii="Arial" w:hAnsi="Arial"/>
          <w:b/>
          <w:sz w:val="22"/>
        </w:rPr>
        <w:t xml:space="preserve"> </w:t>
      </w:r>
    </w:p>
    <w:p>
      <w:pPr>
        <w:pStyle w:val="TextBody"/>
        <w:bidi w:val="0"/>
        <w:spacing w:lineRule="auto" w:line="266" w:before="147" w:after="0"/>
        <w:ind w:left="3686" w:right="1964" w:hanging="0"/>
        <w:jc w:val="left"/>
        <w:rPr>
          <w:rFonts w:ascii="Arial" w:hAnsi="Arial"/>
          <w:sz w:val="20"/>
        </w:rPr>
      </w:pPr>
      <w:r>
        <w:rPr>
          <w:rFonts w:ascii="Arial" w:hAnsi="Arial"/>
          <w:sz w:val="21"/>
        </w:rPr>
        <w:t>(a)financial</w:t>
      </w:r>
      <w:r>
        <w:rPr>
          <w:rFonts w:ascii="Arial" w:hAnsi="Arial"/>
          <w:sz w:val="20"/>
        </w:rPr>
        <w:t> </w:t>
      </w:r>
      <w:r>
        <w:rPr>
          <w:rFonts w:ascii="Arial" w:hAnsi="Arial"/>
          <w:sz w:val="21"/>
        </w:rPr>
        <w:t>accommodation</w:t>
      </w:r>
      <w:r>
        <w:rPr>
          <w:rFonts w:ascii="Arial" w:hAnsi="Arial"/>
          <w:sz w:val="20"/>
        </w:rPr>
        <w:t> </w:t>
      </w:r>
      <w:r>
        <w:rPr>
          <w:rFonts w:ascii="Arial" w:hAnsi="Arial"/>
          <w:sz w:val="21"/>
        </w:rPr>
        <w:t>granted</w:t>
      </w:r>
      <w:r>
        <w:rPr>
          <w:rFonts w:ascii="Arial" w:hAnsi="Arial"/>
          <w:sz w:val="20"/>
        </w:rPr>
        <w:t> </w:t>
      </w:r>
      <w:r>
        <w:rPr>
          <w:rFonts w:ascii="Arial" w:hAnsi="Arial"/>
          <w:sz w:val="21"/>
        </w:rPr>
        <w:t>by</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to</w:t>
      </w:r>
      <w:r>
        <w:rPr>
          <w:rFonts w:ascii="Arial" w:hAnsi="Arial"/>
          <w:sz w:val="20"/>
        </w:rPr>
        <w:t> </w:t>
      </w:r>
      <w:r>
        <w:rPr>
          <w:rFonts w:ascii="Arial" w:hAnsi="Arial"/>
          <w:sz w:val="21"/>
        </w:rPr>
        <w:t>another Transaction Party;</w:t>
      </w:r>
      <w:r>
        <w:rPr>
          <w:rFonts w:ascii="Arial" w:hAnsi="Arial"/>
          <w:sz w:val="20"/>
        </w:rPr>
        <w:t xml:space="preserve"> </w:t>
      </w:r>
    </w:p>
    <w:p>
      <w:pPr>
        <w:pStyle w:val="TextBody"/>
        <w:bidi w:val="0"/>
        <w:spacing w:lineRule="auto" w:line="266" w:before="120" w:after="0"/>
        <w:ind w:left="3686" w:right="1773" w:hanging="0"/>
        <w:jc w:val="left"/>
        <w:rPr>
          <w:rFonts w:ascii="Arial" w:hAnsi="Arial"/>
          <w:sz w:val="20"/>
        </w:rPr>
      </w:pPr>
      <w:r>
        <w:rPr>
          <w:rFonts w:ascii="Arial" w:hAnsi="Arial"/>
          <w:sz w:val="21"/>
        </w:rPr>
        <w:t>(b)loan</w:t>
      </w:r>
      <w:r>
        <w:rPr>
          <w:rFonts w:ascii="Arial" w:hAnsi="Arial"/>
          <w:sz w:val="20"/>
        </w:rPr>
        <w:t> </w:t>
      </w:r>
      <w:r>
        <w:rPr>
          <w:rFonts w:ascii="Arial" w:hAnsi="Arial"/>
          <w:sz w:val="21"/>
        </w:rPr>
        <w:t>granted</w:t>
      </w:r>
      <w:r>
        <w:rPr>
          <w:rFonts w:ascii="Arial" w:hAnsi="Arial"/>
          <w:sz w:val="20"/>
        </w:rPr>
        <w:t> </w:t>
      </w:r>
      <w:r>
        <w:rPr>
          <w:rFonts w:ascii="Arial" w:hAnsi="Arial"/>
          <w:sz w:val="21"/>
        </w:rPr>
        <w:t>by</w:t>
      </w:r>
      <w:r>
        <w:rPr>
          <w:rFonts w:ascii="Arial" w:hAnsi="Arial"/>
          <w:sz w:val="20"/>
        </w:rPr>
        <w:t> </w:t>
      </w:r>
      <w:r>
        <w:rPr>
          <w:rFonts w:ascii="Arial" w:hAnsi="Arial"/>
          <w:sz w:val="21"/>
        </w:rPr>
        <w:t>Reading</w:t>
      </w:r>
      <w:r>
        <w:rPr>
          <w:rFonts w:ascii="Arial" w:hAnsi="Arial"/>
          <w:sz w:val="20"/>
        </w:rPr>
        <w:t> </w:t>
      </w:r>
      <w:r>
        <w:rPr>
          <w:rFonts w:ascii="Arial" w:hAnsi="Arial"/>
          <w:sz w:val="21"/>
        </w:rPr>
        <w:t>Entertainment</w:t>
      </w:r>
      <w:r>
        <w:rPr>
          <w:rFonts w:ascii="Arial" w:hAnsi="Arial"/>
          <w:sz w:val="20"/>
        </w:rPr>
        <w:t> </w:t>
      </w:r>
      <w:r>
        <w:rPr>
          <w:rFonts w:ascii="Arial" w:hAnsi="Arial"/>
          <w:sz w:val="21"/>
        </w:rPr>
        <w:t>Australia</w:t>
      </w:r>
      <w:r>
        <w:rPr>
          <w:rFonts w:ascii="Arial" w:hAnsi="Arial"/>
          <w:sz w:val="20"/>
        </w:rPr>
        <w:t> </w:t>
      </w:r>
      <w:r>
        <w:rPr>
          <w:rFonts w:ascii="Arial" w:hAnsi="Arial"/>
          <w:sz w:val="21"/>
        </w:rPr>
        <w:t>Group</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Parent and/or Reading New Zealand Ltd, up to $15,100,000;</w:t>
      </w:r>
      <w:r>
        <w:rPr>
          <w:rFonts w:ascii="Arial" w:hAnsi="Arial"/>
          <w:sz w:val="20"/>
        </w:rPr>
        <w:t xml:space="preserve"> </w:t>
      </w:r>
    </w:p>
    <w:p>
      <w:pPr>
        <w:pStyle w:val="TextBody"/>
        <w:bidi w:val="0"/>
        <w:spacing w:lineRule="auto" w:line="266" w:before="0" w:after="0"/>
        <w:ind w:left="3686" w:right="1856" w:hanging="0"/>
        <w:jc w:val="left"/>
        <w:rPr>
          <w:rFonts w:ascii="Arial" w:hAnsi="Arial"/>
          <w:sz w:val="20"/>
        </w:rPr>
      </w:pPr>
      <w:r>
        <w:rPr>
          <w:rFonts w:ascii="Arial" w:hAnsi="Arial"/>
          <w:sz w:val="21"/>
        </w:rPr>
        <w:t>(c)any</w:t>
      </w:r>
      <w:r>
        <w:rPr>
          <w:rFonts w:ascii="Arial" w:hAnsi="Arial"/>
          <w:sz w:val="20"/>
        </w:rPr>
        <w:t> </w:t>
      </w:r>
      <w:r>
        <w:rPr>
          <w:rFonts w:ascii="Arial" w:hAnsi="Arial"/>
          <w:sz w:val="21"/>
        </w:rPr>
        <w:t>trade</w:t>
      </w:r>
      <w:r>
        <w:rPr>
          <w:rFonts w:ascii="Arial" w:hAnsi="Arial"/>
          <w:sz w:val="20"/>
        </w:rPr>
        <w:t> </w:t>
      </w:r>
      <w:r>
        <w:rPr>
          <w:rFonts w:ascii="Arial" w:hAnsi="Arial"/>
          <w:sz w:val="21"/>
        </w:rPr>
        <w:t>credit</w:t>
      </w:r>
      <w:r>
        <w:rPr>
          <w:rFonts w:ascii="Arial" w:hAnsi="Arial"/>
          <w:sz w:val="20"/>
        </w:rPr>
        <w:t> </w:t>
      </w:r>
      <w:r>
        <w:rPr>
          <w:rFonts w:ascii="Arial" w:hAnsi="Arial"/>
          <w:sz w:val="21"/>
        </w:rPr>
        <w:t>extended</w:t>
      </w:r>
      <w:r>
        <w:rPr>
          <w:rFonts w:ascii="Arial" w:hAnsi="Arial"/>
          <w:sz w:val="20"/>
        </w:rPr>
        <w:t> </w:t>
      </w:r>
      <w:r>
        <w:rPr>
          <w:rFonts w:ascii="Arial" w:hAnsi="Arial"/>
          <w:sz w:val="21"/>
        </w:rPr>
        <w:t>by</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to</w:t>
      </w:r>
      <w:r>
        <w:rPr>
          <w:rFonts w:ascii="Arial" w:hAnsi="Arial"/>
          <w:sz w:val="20"/>
        </w:rPr>
        <w:t> </w:t>
      </w:r>
      <w:r>
        <w:rPr>
          <w:rFonts w:ascii="Arial" w:hAnsi="Arial"/>
          <w:sz w:val="21"/>
        </w:rPr>
        <w:t>its</w:t>
      </w:r>
      <w:r>
        <w:rPr>
          <w:rFonts w:ascii="Arial" w:hAnsi="Arial"/>
          <w:sz w:val="20"/>
        </w:rPr>
        <w:t> </w:t>
      </w:r>
      <w:r>
        <w:rPr>
          <w:rFonts w:ascii="Arial" w:hAnsi="Arial"/>
          <w:sz w:val="21"/>
        </w:rPr>
        <w:t>customers</w:t>
      </w:r>
      <w:r>
        <w:rPr>
          <w:rFonts w:ascii="Arial" w:hAnsi="Arial"/>
          <w:sz w:val="20"/>
        </w:rPr>
        <w:t> </w:t>
      </w:r>
      <w:r>
        <w:rPr>
          <w:rFonts w:ascii="Arial" w:hAnsi="Arial"/>
          <w:sz w:val="21"/>
        </w:rPr>
        <w:t>on normal commercial terms and in the ordinary course of business;</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1505" w:hanging="0"/>
        <w:jc w:val="left"/>
        <w:rPr>
          <w:rFonts w:ascii="Arial" w:hAnsi="Arial"/>
          <w:sz w:val="20"/>
        </w:rPr>
      </w:pPr>
      <w:r>
        <w:rPr>
          <w:rFonts w:ascii="Arial" w:hAnsi="Arial"/>
          <w:sz w:val="21"/>
        </w:rPr>
        <w:t>(d)additional</w:t>
      </w:r>
      <w:r>
        <w:rPr>
          <w:rFonts w:ascii="Arial" w:hAnsi="Arial"/>
          <w:sz w:val="20"/>
        </w:rPr>
        <w:t> </w:t>
      </w:r>
      <w:r>
        <w:rPr>
          <w:rFonts w:ascii="Arial" w:hAnsi="Arial"/>
          <w:sz w:val="21"/>
        </w:rPr>
        <w:t>financial</w:t>
      </w:r>
      <w:r>
        <w:rPr>
          <w:rFonts w:ascii="Arial" w:hAnsi="Arial"/>
          <w:sz w:val="20"/>
        </w:rPr>
        <w:t> </w:t>
      </w:r>
      <w:r>
        <w:rPr>
          <w:rFonts w:ascii="Arial" w:hAnsi="Arial"/>
          <w:sz w:val="21"/>
        </w:rPr>
        <w:t>accommodation</w:t>
      </w:r>
      <w:r>
        <w:rPr>
          <w:rFonts w:ascii="Arial" w:hAnsi="Arial"/>
          <w:sz w:val="20"/>
        </w:rPr>
        <w:t> </w:t>
      </w:r>
      <w:r>
        <w:rPr>
          <w:rFonts w:ascii="Arial" w:hAnsi="Arial"/>
          <w:sz w:val="21"/>
        </w:rPr>
        <w:t>up</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maximum</w:t>
      </w:r>
      <w:r>
        <w:rPr>
          <w:rFonts w:ascii="Arial" w:hAnsi="Arial"/>
          <w:sz w:val="20"/>
        </w:rPr>
        <w:t> </w:t>
      </w:r>
      <w:r>
        <w:rPr>
          <w:rFonts w:ascii="Arial" w:hAnsi="Arial"/>
          <w:sz w:val="21"/>
        </w:rPr>
        <w:t>aggregate</w:t>
      </w:r>
      <w:r>
        <w:rPr>
          <w:rFonts w:ascii="Arial" w:hAnsi="Arial"/>
          <w:sz w:val="20"/>
        </w:rPr>
        <w:t> </w:t>
      </w:r>
      <w:r>
        <w:rPr>
          <w:rFonts w:ascii="Arial" w:hAnsi="Arial"/>
          <w:sz w:val="21"/>
        </w:rPr>
        <w:t>amount not exceeding $15,900,000; or</w:t>
      </w:r>
      <w:r>
        <w:rPr>
          <w:rFonts w:ascii="Arial" w:hAnsi="Arial"/>
          <w:sz w:val="20"/>
        </w:rPr>
        <w:t xml:space="preserve"> </w:t>
      </w:r>
    </w:p>
    <w:p>
      <w:pPr>
        <w:pStyle w:val="TextBody"/>
        <w:bidi w:val="0"/>
        <w:spacing w:lineRule="auto" w:line="266" w:before="0" w:after="0"/>
        <w:ind w:left="3686" w:right="1553" w:hanging="0"/>
        <w:jc w:val="left"/>
        <w:rPr>
          <w:rFonts w:ascii="Arial" w:hAnsi="Arial"/>
          <w:sz w:val="20"/>
        </w:rPr>
      </w:pPr>
      <w:r>
        <w:rPr>
          <w:rFonts w:ascii="Arial" w:hAnsi="Arial"/>
          <w:sz w:val="21"/>
        </w:rPr>
        <w:t>(e)any</w:t>
      </w:r>
      <w:r>
        <w:rPr>
          <w:rFonts w:ascii="Arial" w:hAnsi="Arial"/>
          <w:sz w:val="20"/>
        </w:rPr>
        <w:t> </w:t>
      </w:r>
      <w:r>
        <w:rPr>
          <w:rFonts w:ascii="Arial" w:hAnsi="Arial"/>
          <w:sz w:val="21"/>
        </w:rPr>
        <w:t>other</w:t>
      </w:r>
      <w:r>
        <w:rPr>
          <w:rFonts w:ascii="Arial" w:hAnsi="Arial"/>
          <w:sz w:val="20"/>
        </w:rPr>
        <w:t> </w:t>
      </w:r>
      <w:r>
        <w:rPr>
          <w:rFonts w:ascii="Arial" w:hAnsi="Arial"/>
          <w:sz w:val="21"/>
        </w:rPr>
        <w:t>financial</w:t>
      </w:r>
      <w:r>
        <w:rPr>
          <w:rFonts w:ascii="Arial" w:hAnsi="Arial"/>
          <w:sz w:val="20"/>
        </w:rPr>
        <w:t> </w:t>
      </w:r>
      <w:r>
        <w:rPr>
          <w:rFonts w:ascii="Arial" w:hAnsi="Arial"/>
          <w:sz w:val="21"/>
        </w:rPr>
        <w:t>accommodation</w:t>
      </w:r>
      <w:r>
        <w:rPr>
          <w:rFonts w:ascii="Arial" w:hAnsi="Arial"/>
          <w:sz w:val="20"/>
        </w:rPr>
        <w:t> </w:t>
      </w:r>
      <w:r>
        <w:rPr>
          <w:rFonts w:ascii="Arial" w:hAnsi="Arial"/>
          <w:sz w:val="21"/>
        </w:rPr>
        <w:t>granted</w:t>
      </w:r>
      <w:r>
        <w:rPr>
          <w:rFonts w:ascii="Arial" w:hAnsi="Arial"/>
          <w:sz w:val="20"/>
        </w:rPr>
        <w:t> </w:t>
      </w:r>
      <w:r>
        <w:rPr>
          <w:rFonts w:ascii="Arial" w:hAnsi="Arial"/>
          <w:sz w:val="21"/>
        </w:rPr>
        <w:t>with</w:t>
      </w:r>
      <w:r>
        <w:rPr>
          <w:rFonts w:ascii="Arial" w:hAnsi="Arial"/>
          <w:sz w:val="20"/>
        </w:rPr>
        <w:t> </w:t>
      </w:r>
      <w:r>
        <w:rPr>
          <w:rFonts w:ascii="Arial" w:hAnsi="Arial"/>
          <w:sz w:val="21"/>
        </w:rPr>
        <w:t>the</w:t>
      </w:r>
      <w:r>
        <w:rPr>
          <w:rFonts w:ascii="Arial" w:hAnsi="Arial"/>
          <w:sz w:val="20"/>
        </w:rPr>
        <w:t> </w:t>
      </w:r>
      <w:r>
        <w:rPr>
          <w:rFonts w:ascii="Arial" w:hAnsi="Arial"/>
          <w:sz w:val="21"/>
        </w:rPr>
        <w:t>prior</w:t>
      </w:r>
      <w:r>
        <w:rPr>
          <w:rFonts w:ascii="Arial" w:hAnsi="Arial"/>
          <w:sz w:val="20"/>
        </w:rPr>
        <w:t> </w:t>
      </w:r>
      <w:r>
        <w:rPr>
          <w:rFonts w:ascii="Arial" w:hAnsi="Arial"/>
          <w:sz w:val="21"/>
        </w:rPr>
        <w:t>consent</w:t>
      </w:r>
      <w:r>
        <w:rPr>
          <w:rFonts w:ascii="Arial" w:hAnsi="Arial"/>
          <w:sz w:val="20"/>
        </w:rPr>
        <w:t> </w:t>
      </w:r>
      <w:r>
        <w:rPr>
          <w:rFonts w:ascii="Arial" w:hAnsi="Arial"/>
          <w:sz w:val="21"/>
        </w:rPr>
        <w:t>of</w:t>
      </w:r>
      <w:r>
        <w:rPr>
          <w:rFonts w:ascii="Arial" w:hAnsi="Arial"/>
          <w:sz w:val="20"/>
        </w:rPr>
        <w:t> </w:t>
      </w:r>
      <w:r>
        <w:rPr>
          <w:rFonts w:ascii="Arial" w:hAnsi="Arial"/>
          <w:sz w:val="21"/>
        </w:rPr>
        <w:t>the Bank.</w:t>
      </w:r>
      <w:r>
        <w:rPr>
          <w:rFonts w:ascii="Arial" w:hAnsi="Arial"/>
          <w:sz w:val="20"/>
        </w:rPr>
        <w:t xml:space="preserve"> </w:t>
      </w:r>
    </w:p>
    <w:p>
      <w:pPr>
        <w:pStyle w:val="TextBody"/>
        <w:bidi w:val="0"/>
        <w:spacing w:before="122" w:after="0"/>
        <w:ind w:left="3120" w:right="700" w:hanging="0"/>
        <w:jc w:val="left"/>
        <w:rPr>
          <w:rFonts w:ascii="Arial" w:hAnsi="Arial"/>
          <w:b/>
          <w:sz w:val="22"/>
        </w:rPr>
      </w:pPr>
      <w:r>
        <w:rPr>
          <w:rFonts w:ascii="Arial" w:hAnsi="Arial"/>
          <w:b/>
          <w:sz w:val="22"/>
        </w:rPr>
        <w:t>Permitted Financial Indebtedness </w:t>
      </w:r>
      <w:r>
        <w:rPr>
          <w:rFonts w:ascii="Arial" w:hAnsi="Arial"/>
          <w:b w:val="false"/>
          <w:sz w:val="22"/>
        </w:rPr>
        <w:t>means:</w:t>
      </w:r>
      <w:r>
        <w:rPr>
          <w:rFonts w:ascii="Arial" w:hAnsi="Arial"/>
          <w:b/>
          <w:sz w:val="22"/>
        </w:rPr>
        <w:t xml:space="preserve"> </w:t>
      </w:r>
    </w:p>
    <w:p>
      <w:pPr>
        <w:pStyle w:val="TextBody"/>
        <w:bidi w:val="0"/>
        <w:spacing w:lineRule="auto" w:line="268" w:before="147" w:after="0"/>
        <w:ind w:left="3686" w:right="1505" w:hanging="0"/>
        <w:jc w:val="left"/>
        <w:rPr>
          <w:rFonts w:ascii="Arial" w:hAnsi="Arial"/>
          <w:sz w:val="20"/>
        </w:rPr>
      </w:pPr>
      <w:r>
        <w:rPr>
          <w:rFonts w:ascii="Arial" w:hAnsi="Arial"/>
          <w:sz w:val="21"/>
        </w:rPr>
        <w:t>(a)trade</w:t>
      </w:r>
      <w:r>
        <w:rPr>
          <w:rFonts w:ascii="Arial" w:hAnsi="Arial"/>
          <w:sz w:val="20"/>
        </w:rPr>
        <w:t> </w:t>
      </w:r>
      <w:r>
        <w:rPr>
          <w:rFonts w:ascii="Arial" w:hAnsi="Arial"/>
          <w:sz w:val="21"/>
        </w:rPr>
        <w:t>debt</w:t>
      </w:r>
      <w:r>
        <w:rPr>
          <w:rFonts w:ascii="Arial" w:hAnsi="Arial"/>
          <w:sz w:val="20"/>
        </w:rPr>
        <w:t> </w:t>
      </w:r>
      <w:r>
        <w:rPr>
          <w:rFonts w:ascii="Arial" w:hAnsi="Arial"/>
          <w:sz w:val="21"/>
        </w:rPr>
        <w:t>incurred</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ordinary</w:t>
      </w:r>
      <w:r>
        <w:rPr>
          <w:rFonts w:ascii="Arial" w:hAnsi="Arial"/>
          <w:sz w:val="20"/>
        </w:rPr>
        <w:t> </w:t>
      </w:r>
      <w:r>
        <w:rPr>
          <w:rFonts w:ascii="Arial" w:hAnsi="Arial"/>
          <w:sz w:val="21"/>
        </w:rPr>
        <w:t>course</w:t>
      </w:r>
      <w:r>
        <w:rPr>
          <w:rFonts w:ascii="Arial" w:hAnsi="Arial"/>
          <w:sz w:val="20"/>
        </w:rPr>
        <w:t> </w:t>
      </w:r>
      <w:r>
        <w:rPr>
          <w:rFonts w:ascii="Arial" w:hAnsi="Arial"/>
          <w:sz w:val="21"/>
        </w:rPr>
        <w:t>of</w:t>
      </w:r>
      <w:r>
        <w:rPr>
          <w:rFonts w:ascii="Arial" w:hAnsi="Arial"/>
          <w:sz w:val="20"/>
        </w:rPr>
        <w:t> </w:t>
      </w:r>
      <w:r>
        <w:rPr>
          <w:rFonts w:ascii="Arial" w:hAnsi="Arial"/>
          <w:sz w:val="21"/>
        </w:rPr>
        <w:t>business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Transaction Parties;</w:t>
      </w:r>
      <w:r>
        <w:rPr>
          <w:rFonts w:ascii="Arial" w:hAnsi="Arial"/>
          <w:sz w:val="20"/>
        </w:rPr>
        <w:t xml:space="preserve"> </w:t>
      </w:r>
    </w:p>
    <w:p>
      <w:pPr>
        <w:pStyle w:val="TextBody"/>
        <w:bidi w:val="0"/>
        <w:spacing w:before="115" w:after="0"/>
        <w:ind w:left="3686" w:right="700" w:hanging="0"/>
        <w:jc w:val="left"/>
        <w:rPr>
          <w:rFonts w:ascii="Arial" w:hAnsi="Arial"/>
          <w:sz w:val="20"/>
        </w:rPr>
      </w:pPr>
      <w:r>
        <w:rPr>
          <w:rFonts w:ascii="Arial" w:hAnsi="Arial"/>
          <w:sz w:val="21"/>
        </w:rPr>
        <w:t>(b)Financial</w:t>
      </w:r>
      <w:r>
        <w:rPr>
          <w:rFonts w:ascii="Arial" w:hAnsi="Arial"/>
          <w:sz w:val="20"/>
        </w:rPr>
        <w:t> </w:t>
      </w:r>
      <w:r>
        <w:rPr>
          <w:rFonts w:ascii="Arial" w:hAnsi="Arial"/>
          <w:sz w:val="21"/>
        </w:rPr>
        <w:t>Indebtedness</w:t>
      </w:r>
      <w:r>
        <w:rPr>
          <w:rFonts w:ascii="Arial" w:hAnsi="Arial"/>
          <w:sz w:val="20"/>
        </w:rPr>
        <w:t> </w:t>
      </w:r>
      <w:r>
        <w:rPr>
          <w:rFonts w:ascii="Arial" w:hAnsi="Arial"/>
          <w:sz w:val="21"/>
        </w:rPr>
        <w:t>incurred</w:t>
      </w:r>
      <w:r>
        <w:rPr>
          <w:rFonts w:ascii="Arial" w:hAnsi="Arial"/>
          <w:sz w:val="20"/>
        </w:rPr>
        <w:t> </w:t>
      </w:r>
      <w:r>
        <w:rPr>
          <w:rFonts w:ascii="Arial" w:hAnsi="Arial"/>
          <w:sz w:val="21"/>
        </w:rPr>
        <w:t>under</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Documents;</w:t>
      </w:r>
      <w:r>
        <w:rPr>
          <w:rFonts w:ascii="Arial" w:hAnsi="Arial"/>
          <w:sz w:val="20"/>
        </w:rPr>
        <w:t xml:space="preserve"> </w:t>
      </w:r>
    </w:p>
    <w:p>
      <w:pPr>
        <w:pStyle w:val="TextBody"/>
        <w:bidi w:val="0"/>
        <w:spacing w:lineRule="auto" w:line="266" w:before="147" w:after="0"/>
        <w:ind w:left="3686" w:right="1846" w:hanging="0"/>
        <w:jc w:val="left"/>
        <w:rPr>
          <w:rFonts w:ascii="Arial" w:hAnsi="Arial"/>
          <w:sz w:val="20"/>
        </w:rPr>
      </w:pPr>
      <w:r>
        <w:rPr>
          <w:rFonts w:ascii="Arial" w:hAnsi="Arial"/>
          <w:sz w:val="21"/>
        </w:rPr>
        <w:t>(c)Financial</w:t>
      </w:r>
      <w:r>
        <w:rPr>
          <w:rFonts w:ascii="Arial" w:hAnsi="Arial"/>
          <w:sz w:val="20"/>
        </w:rPr>
        <w:t> </w:t>
      </w:r>
      <w:r>
        <w:rPr>
          <w:rFonts w:ascii="Arial" w:hAnsi="Arial"/>
          <w:sz w:val="21"/>
        </w:rPr>
        <w:t>Indebtedness</w:t>
      </w:r>
      <w:r>
        <w:rPr>
          <w:rFonts w:ascii="Arial" w:hAnsi="Arial"/>
          <w:sz w:val="20"/>
        </w:rPr>
        <w:t> </w:t>
      </w:r>
      <w:r>
        <w:rPr>
          <w:rFonts w:ascii="Arial" w:hAnsi="Arial"/>
          <w:sz w:val="21"/>
        </w:rPr>
        <w:t>owing</w:t>
      </w:r>
      <w:r>
        <w:rPr>
          <w:rFonts w:ascii="Arial" w:hAnsi="Arial"/>
          <w:sz w:val="20"/>
        </w:rPr>
        <w:t> </w:t>
      </w:r>
      <w:r>
        <w:rPr>
          <w:rFonts w:ascii="Arial" w:hAnsi="Arial"/>
          <w:sz w:val="21"/>
        </w:rPr>
        <w:t>from</w:t>
      </w:r>
      <w:r>
        <w:rPr>
          <w:rFonts w:ascii="Arial" w:hAnsi="Arial"/>
          <w:sz w:val="20"/>
        </w:rPr>
        <w:t> </w:t>
      </w:r>
      <w:r>
        <w:rPr>
          <w:rFonts w:ascii="Arial" w:hAnsi="Arial"/>
          <w:sz w:val="21"/>
        </w:rPr>
        <w:t>one</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to</w:t>
      </w:r>
      <w:r>
        <w:rPr>
          <w:rFonts w:ascii="Arial" w:hAnsi="Arial"/>
          <w:sz w:val="20"/>
        </w:rPr>
        <w:t> </w:t>
      </w:r>
      <w:r>
        <w:rPr>
          <w:rFonts w:ascii="Arial" w:hAnsi="Arial"/>
          <w:sz w:val="21"/>
        </w:rPr>
        <w:t>another Transaction Party;</w:t>
      </w:r>
      <w:r>
        <w:rPr>
          <w:rFonts w:ascii="Arial" w:hAnsi="Arial"/>
          <w:sz w:val="20"/>
        </w:rPr>
        <w:t xml:space="preserve"> </w:t>
      </w:r>
    </w:p>
    <w:p>
      <w:pPr>
        <w:pStyle w:val="TextBody"/>
        <w:bidi w:val="0"/>
        <w:spacing w:before="122" w:after="0"/>
        <w:ind w:left="3686" w:right="700" w:hanging="0"/>
        <w:jc w:val="left"/>
        <w:rPr>
          <w:rFonts w:ascii="Arial" w:hAnsi="Arial"/>
          <w:sz w:val="20"/>
        </w:rPr>
      </w:pPr>
      <w:r>
        <w:rPr>
          <w:rFonts w:ascii="Arial" w:hAnsi="Arial"/>
          <w:sz w:val="21"/>
        </w:rPr>
        <w:t>(d)any</w:t>
      </w:r>
      <w:r>
        <w:rPr>
          <w:rFonts w:ascii="Arial" w:hAnsi="Arial"/>
          <w:sz w:val="20"/>
        </w:rPr>
        <w:t> </w:t>
      </w:r>
      <w:r>
        <w:rPr>
          <w:rFonts w:ascii="Arial" w:hAnsi="Arial"/>
          <w:sz w:val="21"/>
        </w:rPr>
        <w:t>Subordinated</w:t>
      </w:r>
      <w:r>
        <w:rPr>
          <w:rFonts w:ascii="Arial" w:hAnsi="Arial"/>
          <w:sz w:val="20"/>
        </w:rPr>
        <w:t> </w:t>
      </w:r>
      <w:r>
        <w:rPr>
          <w:rFonts w:ascii="Arial" w:hAnsi="Arial"/>
          <w:sz w:val="21"/>
        </w:rPr>
        <w:t>Debt;</w:t>
      </w:r>
      <w:r>
        <w:rPr>
          <w:rFonts w:ascii="Arial" w:hAnsi="Arial"/>
          <w:sz w:val="20"/>
        </w:rPr>
        <w:t xml:space="preserve"> </w:t>
      </w:r>
    </w:p>
    <w:p>
      <w:pPr>
        <w:pStyle w:val="TextBody"/>
        <w:bidi w:val="0"/>
        <w:spacing w:before="147" w:after="0"/>
        <w:ind w:left="3686" w:right="700" w:hanging="0"/>
        <w:jc w:val="left"/>
        <w:rPr>
          <w:rFonts w:ascii="Arial" w:hAnsi="Arial"/>
          <w:sz w:val="20"/>
        </w:rPr>
      </w:pPr>
      <w:r>
        <w:rPr>
          <w:rFonts w:ascii="Arial" w:hAnsi="Arial"/>
          <w:sz w:val="21"/>
        </w:rPr>
        <w:t>(e)a</w:t>
      </w:r>
      <w:r>
        <w:rPr>
          <w:rFonts w:ascii="Arial" w:hAnsi="Arial"/>
          <w:sz w:val="20"/>
        </w:rPr>
        <w:t> </w:t>
      </w:r>
      <w:r>
        <w:rPr>
          <w:rFonts w:ascii="Arial" w:hAnsi="Arial"/>
          <w:sz w:val="21"/>
        </w:rPr>
        <w:t>$225,000</w:t>
      </w:r>
      <w:r>
        <w:rPr>
          <w:rFonts w:ascii="Arial" w:hAnsi="Arial"/>
          <w:sz w:val="20"/>
        </w:rPr>
        <w:t> </w:t>
      </w:r>
      <w:r>
        <w:rPr>
          <w:rFonts w:ascii="Arial" w:hAnsi="Arial"/>
          <w:sz w:val="21"/>
        </w:rPr>
        <w:t>loan</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landlord</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Westlakes</w:t>
      </w:r>
      <w:r>
        <w:rPr>
          <w:rFonts w:ascii="Arial" w:hAnsi="Arial"/>
          <w:sz w:val="20"/>
        </w:rPr>
        <w:t> </w:t>
      </w:r>
      <w:r>
        <w:rPr>
          <w:rFonts w:ascii="Arial" w:hAnsi="Arial"/>
          <w:sz w:val="21"/>
        </w:rPr>
        <w:t>Cinema</w:t>
      </w:r>
      <w:r>
        <w:rPr>
          <w:rFonts w:ascii="Arial" w:hAnsi="Arial"/>
          <w:sz w:val="20"/>
        </w:rPr>
        <w:t> </w:t>
      </w:r>
      <w:r>
        <w:rPr>
          <w:rFonts w:ascii="Arial" w:hAnsi="Arial"/>
          <w:sz w:val="21"/>
        </w:rPr>
        <w:t>property;</w:t>
      </w:r>
      <w:r>
        <w:rPr>
          <w:rFonts w:ascii="Arial" w:hAnsi="Arial"/>
          <w:sz w:val="20"/>
        </w:rPr>
        <w:t xml:space="preserve"> </w:t>
      </w:r>
    </w:p>
    <w:p>
      <w:pPr>
        <w:pStyle w:val="TextBody"/>
        <w:bidi w:val="0"/>
        <w:spacing w:before="150" w:after="0"/>
        <w:ind w:left="3686" w:right="700" w:hanging="0"/>
        <w:jc w:val="left"/>
        <w:rPr>
          <w:rFonts w:ascii="Arial" w:hAnsi="Arial"/>
          <w:sz w:val="20"/>
        </w:rPr>
      </w:pPr>
      <w:r>
        <w:rPr>
          <w:rFonts w:ascii="Arial" w:hAnsi="Arial"/>
          <w:sz w:val="21"/>
        </w:rPr>
        <w:t>(f)a</w:t>
      </w:r>
      <w:r>
        <w:rPr>
          <w:rFonts w:ascii="Arial" w:hAnsi="Arial"/>
          <w:sz w:val="20"/>
        </w:rPr>
        <w:t> </w:t>
      </w:r>
      <w:r>
        <w:rPr>
          <w:rFonts w:ascii="Arial" w:hAnsi="Arial"/>
          <w:sz w:val="21"/>
        </w:rPr>
        <w:t>$400,000</w:t>
      </w:r>
      <w:r>
        <w:rPr>
          <w:rFonts w:ascii="Arial" w:hAnsi="Arial"/>
          <w:sz w:val="20"/>
        </w:rPr>
        <w:t> </w:t>
      </w:r>
      <w:r>
        <w:rPr>
          <w:rFonts w:ascii="Arial" w:hAnsi="Arial"/>
          <w:sz w:val="21"/>
        </w:rPr>
        <w:t>loan</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landlord</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Rhodes</w:t>
      </w:r>
      <w:r>
        <w:rPr>
          <w:rFonts w:ascii="Arial" w:hAnsi="Arial"/>
          <w:sz w:val="20"/>
        </w:rPr>
        <w:t> </w:t>
      </w:r>
      <w:r>
        <w:rPr>
          <w:rFonts w:ascii="Arial" w:hAnsi="Arial"/>
          <w:sz w:val="21"/>
        </w:rPr>
        <w:t>Cinema</w:t>
      </w:r>
      <w:r>
        <w:rPr>
          <w:rFonts w:ascii="Arial" w:hAnsi="Arial"/>
          <w:sz w:val="20"/>
        </w:rPr>
        <w:t> </w:t>
      </w:r>
      <w:r>
        <w:rPr>
          <w:rFonts w:ascii="Arial" w:hAnsi="Arial"/>
          <w:sz w:val="21"/>
        </w:rPr>
        <w:t>property;</w:t>
      </w:r>
      <w:r>
        <w:rPr>
          <w:rFonts w:ascii="Arial" w:hAnsi="Arial"/>
          <w:sz w:val="20"/>
        </w:rPr>
        <w:t xml:space="preserve"> </w:t>
      </w:r>
    </w:p>
    <w:p>
      <w:pPr>
        <w:pStyle w:val="TextBody"/>
        <w:bidi w:val="0"/>
        <w:spacing w:lineRule="auto" w:line="266" w:before="147" w:after="0"/>
        <w:ind w:left="3686" w:right="1705" w:hanging="0"/>
        <w:jc w:val="left"/>
        <w:rPr>
          <w:rFonts w:ascii="Arial" w:hAnsi="Arial"/>
          <w:sz w:val="20"/>
        </w:rPr>
      </w:pPr>
      <w:r>
        <w:rPr>
          <w:rFonts w:ascii="Arial" w:hAnsi="Arial"/>
          <w:sz w:val="21"/>
        </w:rPr>
        <w:t>(g)Financial</w:t>
      </w:r>
      <w:r>
        <w:rPr>
          <w:rFonts w:ascii="Arial" w:hAnsi="Arial"/>
          <w:sz w:val="20"/>
        </w:rPr>
        <w:t> </w:t>
      </w:r>
      <w:r>
        <w:rPr>
          <w:rFonts w:ascii="Arial" w:hAnsi="Arial"/>
          <w:sz w:val="21"/>
        </w:rPr>
        <w:t>Indebtedness</w:t>
      </w:r>
      <w:r>
        <w:rPr>
          <w:rFonts w:ascii="Arial" w:hAnsi="Arial"/>
          <w:sz w:val="20"/>
        </w:rPr>
        <w:t> </w:t>
      </w:r>
      <w:r>
        <w:rPr>
          <w:rFonts w:ascii="Arial" w:hAnsi="Arial"/>
          <w:sz w:val="21"/>
        </w:rPr>
        <w:t>arising</w:t>
      </w:r>
      <w:r>
        <w:rPr>
          <w:rFonts w:ascii="Arial" w:hAnsi="Arial"/>
          <w:sz w:val="20"/>
        </w:rPr>
        <w:t> </w:t>
      </w:r>
      <w:r>
        <w:rPr>
          <w:rFonts w:ascii="Arial" w:hAnsi="Arial"/>
          <w:sz w:val="21"/>
        </w:rPr>
        <w:t>under</w:t>
      </w:r>
      <w:r>
        <w:rPr>
          <w:rFonts w:ascii="Arial" w:hAnsi="Arial"/>
          <w:sz w:val="20"/>
        </w:rPr>
        <w:t> </w:t>
      </w:r>
      <w:r>
        <w:rPr>
          <w:rFonts w:ascii="Arial" w:hAnsi="Arial"/>
          <w:sz w:val="21"/>
        </w:rPr>
        <w:t>any</w:t>
      </w:r>
      <w:r>
        <w:rPr>
          <w:rFonts w:ascii="Arial" w:hAnsi="Arial"/>
          <w:sz w:val="20"/>
        </w:rPr>
        <w:t> </w:t>
      </w:r>
      <w:r>
        <w:rPr>
          <w:rFonts w:ascii="Arial" w:hAnsi="Arial"/>
          <w:sz w:val="21"/>
        </w:rPr>
        <w:t>performance</w:t>
      </w:r>
      <w:r>
        <w:rPr>
          <w:rFonts w:ascii="Arial" w:hAnsi="Arial"/>
          <w:sz w:val="20"/>
        </w:rPr>
        <w:t> </w:t>
      </w:r>
      <w:r>
        <w:rPr>
          <w:rFonts w:ascii="Arial" w:hAnsi="Arial"/>
          <w:sz w:val="21"/>
        </w:rPr>
        <w:t>or</w:t>
      </w:r>
      <w:r>
        <w:rPr>
          <w:rFonts w:ascii="Arial" w:hAnsi="Arial"/>
          <w:sz w:val="20"/>
        </w:rPr>
        <w:t> </w:t>
      </w:r>
      <w:r>
        <w:rPr>
          <w:rFonts w:ascii="Arial" w:hAnsi="Arial"/>
          <w:sz w:val="21"/>
        </w:rPr>
        <w:t>similar</w:t>
      </w:r>
      <w:r>
        <w:rPr>
          <w:rFonts w:ascii="Arial" w:hAnsi="Arial"/>
          <w:sz w:val="20"/>
        </w:rPr>
        <w:t> </w:t>
      </w:r>
      <w:r>
        <w:rPr>
          <w:rFonts w:ascii="Arial" w:hAnsi="Arial"/>
          <w:sz w:val="21"/>
        </w:rPr>
        <w:t>bond guaranteeing performance by a Transaction Party under any contract entered into in the ordinary course of business;</w:t>
      </w:r>
      <w:r>
        <w:rPr>
          <w:rFonts w:ascii="Arial" w:hAnsi="Arial"/>
          <w:sz w:val="20"/>
        </w:rPr>
        <w:t xml:space="preserve"> </w:t>
      </w:r>
    </w:p>
    <w:p>
      <w:pPr>
        <w:pStyle w:val="TextBody"/>
        <w:bidi w:val="0"/>
        <w:spacing w:lineRule="auto" w:line="266" w:before="118" w:after="0"/>
        <w:ind w:left="3686" w:right="1601" w:hanging="0"/>
        <w:jc w:val="left"/>
        <w:rPr>
          <w:rFonts w:ascii="Arial" w:hAnsi="Arial"/>
          <w:sz w:val="20"/>
        </w:rPr>
      </w:pPr>
      <w:r>
        <w:rPr>
          <w:rFonts w:ascii="Arial" w:hAnsi="Arial"/>
          <w:sz w:val="21"/>
        </w:rPr>
        <w:t>(h)Financial</w:t>
      </w:r>
      <w:r>
        <w:rPr>
          <w:rFonts w:ascii="Arial" w:hAnsi="Arial"/>
          <w:sz w:val="20"/>
        </w:rPr>
        <w:t> </w:t>
      </w:r>
      <w:r>
        <w:rPr>
          <w:rFonts w:ascii="Arial" w:hAnsi="Arial"/>
          <w:sz w:val="21"/>
        </w:rPr>
        <w:t>Indebtedness</w:t>
      </w:r>
      <w:r>
        <w:rPr>
          <w:rFonts w:ascii="Arial" w:hAnsi="Arial"/>
          <w:sz w:val="20"/>
        </w:rPr>
        <w:t> </w:t>
      </w:r>
      <w:r>
        <w:rPr>
          <w:rFonts w:ascii="Arial" w:hAnsi="Arial"/>
          <w:sz w:val="21"/>
        </w:rPr>
        <w:t>arising</w:t>
      </w:r>
      <w:r>
        <w:rPr>
          <w:rFonts w:ascii="Arial" w:hAnsi="Arial"/>
          <w:sz w:val="20"/>
        </w:rPr>
        <w:t> </w:t>
      </w:r>
      <w:r>
        <w:rPr>
          <w:rFonts w:ascii="Arial" w:hAnsi="Arial"/>
          <w:sz w:val="21"/>
        </w:rPr>
        <w:t>under</w:t>
      </w:r>
      <w:r>
        <w:rPr>
          <w:rFonts w:ascii="Arial" w:hAnsi="Arial"/>
          <w:sz w:val="20"/>
        </w:rPr>
        <w:t> </w:t>
      </w:r>
      <w:r>
        <w:rPr>
          <w:rFonts w:ascii="Arial" w:hAnsi="Arial"/>
          <w:sz w:val="21"/>
        </w:rPr>
        <w:t>a</w:t>
      </w:r>
      <w:r>
        <w:rPr>
          <w:rFonts w:ascii="Arial" w:hAnsi="Arial"/>
          <w:sz w:val="20"/>
        </w:rPr>
        <w:t> </w:t>
      </w:r>
      <w:r>
        <w:rPr>
          <w:rFonts w:ascii="Arial" w:hAnsi="Arial"/>
          <w:sz w:val="21"/>
        </w:rPr>
        <w:t>guarantee</w:t>
      </w:r>
      <w:r>
        <w:rPr>
          <w:rFonts w:ascii="Arial" w:hAnsi="Arial"/>
          <w:sz w:val="20"/>
        </w:rPr>
        <w:t> </w:t>
      </w:r>
      <w:r>
        <w:rPr>
          <w:rFonts w:ascii="Arial" w:hAnsi="Arial"/>
          <w:sz w:val="21"/>
        </w:rPr>
        <w:t>given</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landlord</w:t>
      </w:r>
      <w:r>
        <w:rPr>
          <w:rFonts w:ascii="Arial" w:hAnsi="Arial"/>
          <w:sz w:val="20"/>
        </w:rPr>
        <w:t> </w:t>
      </w:r>
      <w:r>
        <w:rPr>
          <w:rFonts w:ascii="Arial" w:hAnsi="Arial"/>
          <w:sz w:val="21"/>
        </w:rPr>
        <w:t>in respect of a lease entered into by a Transaction Party;</w:t>
      </w:r>
      <w:r>
        <w:rPr>
          <w:rFonts w:ascii="Arial" w:hAnsi="Arial"/>
          <w:sz w:val="20"/>
        </w:rPr>
        <w:t xml:space="preserve"> </w:t>
      </w:r>
    </w:p>
    <w:p>
      <w:pPr>
        <w:pStyle w:val="TextBody"/>
        <w:bidi w:val="0"/>
        <w:spacing w:lineRule="auto" w:line="266" w:before="0" w:after="0"/>
        <w:ind w:left="3686" w:right="1458" w:hanging="0"/>
        <w:jc w:val="left"/>
        <w:rPr>
          <w:rFonts w:ascii="Arial" w:hAnsi="Arial"/>
          <w:sz w:val="20"/>
        </w:rPr>
      </w:pPr>
      <w:r>
        <w:rPr>
          <w:rFonts w:ascii="Arial" w:hAnsi="Arial"/>
          <w:sz w:val="21"/>
        </w:rPr>
        <w:t>(i)Financial</w:t>
      </w:r>
      <w:r>
        <w:rPr>
          <w:rFonts w:ascii="Arial" w:hAnsi="Arial"/>
          <w:sz w:val="20"/>
        </w:rPr>
        <w:t> </w:t>
      </w:r>
      <w:r>
        <w:rPr>
          <w:rFonts w:ascii="Arial" w:hAnsi="Arial"/>
          <w:sz w:val="21"/>
        </w:rPr>
        <w:t>Indebtedness</w:t>
      </w:r>
      <w:r>
        <w:rPr>
          <w:rFonts w:ascii="Arial" w:hAnsi="Arial"/>
          <w:sz w:val="20"/>
        </w:rPr>
        <w:t> </w:t>
      </w:r>
      <w:r>
        <w:rPr>
          <w:rFonts w:ascii="Arial" w:hAnsi="Arial"/>
          <w:sz w:val="21"/>
        </w:rPr>
        <w:t>under</w:t>
      </w:r>
      <w:r>
        <w:rPr>
          <w:rFonts w:ascii="Arial" w:hAnsi="Arial"/>
          <w:sz w:val="20"/>
        </w:rPr>
        <w:t> </w:t>
      </w:r>
      <w:r>
        <w:rPr>
          <w:rFonts w:ascii="Arial" w:hAnsi="Arial"/>
          <w:sz w:val="21"/>
        </w:rPr>
        <w:t>finance</w:t>
      </w:r>
      <w:r>
        <w:rPr>
          <w:rFonts w:ascii="Arial" w:hAnsi="Arial"/>
          <w:sz w:val="20"/>
        </w:rPr>
        <w:t> </w:t>
      </w:r>
      <w:r>
        <w:rPr>
          <w:rFonts w:ascii="Arial" w:hAnsi="Arial"/>
          <w:sz w:val="21"/>
        </w:rPr>
        <w:t>or</w:t>
      </w:r>
      <w:r>
        <w:rPr>
          <w:rFonts w:ascii="Arial" w:hAnsi="Arial"/>
          <w:sz w:val="20"/>
        </w:rPr>
        <w:t> </w:t>
      </w:r>
      <w:r>
        <w:rPr>
          <w:rFonts w:ascii="Arial" w:hAnsi="Arial"/>
          <w:sz w:val="21"/>
        </w:rPr>
        <w:t>capital</w:t>
      </w:r>
      <w:r>
        <w:rPr>
          <w:rFonts w:ascii="Arial" w:hAnsi="Arial"/>
          <w:sz w:val="20"/>
        </w:rPr>
        <w:t> </w:t>
      </w:r>
      <w:r>
        <w:rPr>
          <w:rFonts w:ascii="Arial" w:hAnsi="Arial"/>
          <w:sz w:val="21"/>
        </w:rPr>
        <w:t>leases</w:t>
      </w:r>
      <w:r>
        <w:rPr>
          <w:rFonts w:ascii="Arial" w:hAnsi="Arial"/>
          <w:sz w:val="20"/>
        </w:rPr>
        <w:t> </w:t>
      </w:r>
      <w:r>
        <w:rPr>
          <w:rFonts w:ascii="Arial" w:hAnsi="Arial"/>
          <w:sz w:val="21"/>
        </w:rPr>
        <w:t>of</w:t>
      </w:r>
      <w:r>
        <w:rPr>
          <w:rFonts w:ascii="Arial" w:hAnsi="Arial"/>
          <w:sz w:val="20"/>
        </w:rPr>
        <w:t> </w:t>
      </w:r>
      <w:r>
        <w:rPr>
          <w:rFonts w:ascii="Arial" w:hAnsi="Arial"/>
          <w:sz w:val="21"/>
        </w:rPr>
        <w:t>vehicles,</w:t>
      </w:r>
      <w:r>
        <w:rPr>
          <w:rFonts w:ascii="Arial" w:hAnsi="Arial"/>
          <w:sz w:val="20"/>
        </w:rPr>
        <w:t> </w:t>
      </w:r>
      <w:r>
        <w:rPr>
          <w:rFonts w:ascii="Arial" w:hAnsi="Arial"/>
          <w:sz w:val="21"/>
        </w:rPr>
        <w:t>plant, equipment or computers; and</w:t>
      </w:r>
      <w:r>
        <w:rPr>
          <w:rFonts w:ascii="Arial" w:hAnsi="Arial"/>
          <w:sz w:val="20"/>
        </w:rPr>
        <w:t xml:space="preserve"> </w:t>
      </w:r>
    </w:p>
    <w:p>
      <w:pPr>
        <w:pStyle w:val="TextBody"/>
        <w:bidi w:val="0"/>
        <w:spacing w:lineRule="auto" w:line="266" w:before="0" w:after="0"/>
        <w:ind w:left="3686" w:right="1408" w:hanging="0"/>
        <w:jc w:val="left"/>
        <w:rPr>
          <w:rFonts w:ascii="Arial" w:hAnsi="Arial"/>
          <w:sz w:val="20"/>
        </w:rPr>
      </w:pPr>
      <w:r>
        <w:rPr>
          <w:rFonts w:ascii="Arial" w:hAnsi="Arial"/>
          <w:sz w:val="21"/>
        </w:rPr>
        <w:t>(j)Financial Indebtedness not permitted by the preceding paragraphs and the</w:t>
      </w:r>
      <w:r>
        <w:rPr>
          <w:rFonts w:ascii="Arial" w:hAnsi="Arial"/>
          <w:sz w:val="20"/>
        </w:rPr>
        <w:t> </w:t>
      </w:r>
      <w:r>
        <w:rPr>
          <w:rFonts w:ascii="Arial" w:hAnsi="Arial"/>
          <w:sz w:val="21"/>
        </w:rPr>
        <w:t>outstanding</w:t>
      </w:r>
      <w:r>
        <w:rPr>
          <w:rFonts w:ascii="Arial" w:hAnsi="Arial"/>
          <w:sz w:val="20"/>
        </w:rPr>
        <w:t> </w:t>
      </w:r>
      <w:r>
        <w:rPr>
          <w:rFonts w:ascii="Arial" w:hAnsi="Arial"/>
          <w:sz w:val="21"/>
        </w:rPr>
        <w:t>principal</w:t>
      </w:r>
      <w:r>
        <w:rPr>
          <w:rFonts w:ascii="Arial" w:hAnsi="Arial"/>
          <w:sz w:val="20"/>
        </w:rPr>
        <w:t> </w:t>
      </w:r>
      <w:r>
        <w:rPr>
          <w:rFonts w:ascii="Arial" w:hAnsi="Arial"/>
          <w:sz w:val="21"/>
        </w:rPr>
        <w:t>amount</w:t>
      </w:r>
      <w:r>
        <w:rPr>
          <w:rFonts w:ascii="Arial" w:hAnsi="Arial"/>
          <w:sz w:val="20"/>
        </w:rPr>
        <w:t> </w:t>
      </w:r>
      <w:r>
        <w:rPr>
          <w:rFonts w:ascii="Arial" w:hAnsi="Arial"/>
          <w:sz w:val="21"/>
        </w:rPr>
        <w:t>of</w:t>
      </w:r>
      <w:r>
        <w:rPr>
          <w:rFonts w:ascii="Arial" w:hAnsi="Arial"/>
          <w:sz w:val="20"/>
        </w:rPr>
        <w:t> </w:t>
      </w:r>
      <w:r>
        <w:rPr>
          <w:rFonts w:ascii="Arial" w:hAnsi="Arial"/>
          <w:sz w:val="21"/>
        </w:rPr>
        <w:t>which</w:t>
      </w:r>
      <w:r>
        <w:rPr>
          <w:rFonts w:ascii="Arial" w:hAnsi="Arial"/>
          <w:sz w:val="20"/>
        </w:rPr>
        <w:t> </w:t>
      </w:r>
      <w:r>
        <w:rPr>
          <w:rFonts w:ascii="Arial" w:hAnsi="Arial"/>
          <w:sz w:val="21"/>
        </w:rPr>
        <w:t>does</w:t>
      </w:r>
      <w:r>
        <w:rPr>
          <w:rFonts w:ascii="Arial" w:hAnsi="Arial"/>
          <w:sz w:val="20"/>
        </w:rPr>
        <w:t> </w:t>
      </w:r>
      <w:r>
        <w:rPr>
          <w:rFonts w:ascii="Arial" w:hAnsi="Arial"/>
          <w:sz w:val="21"/>
        </w:rPr>
        <w:t>not</w:t>
      </w:r>
      <w:r>
        <w:rPr>
          <w:rFonts w:ascii="Arial" w:hAnsi="Arial"/>
          <w:sz w:val="20"/>
        </w:rPr>
        <w:t> </w:t>
      </w:r>
      <w:r>
        <w:rPr>
          <w:rFonts w:ascii="Arial" w:hAnsi="Arial"/>
          <w:sz w:val="21"/>
        </w:rPr>
        <w:t>exceed</w:t>
      </w:r>
      <w:r>
        <w:rPr>
          <w:rFonts w:ascii="Arial" w:hAnsi="Arial"/>
          <w:sz w:val="20"/>
        </w:rPr>
        <w:t> </w:t>
      </w:r>
      <w:r>
        <w:rPr>
          <w:rFonts w:ascii="Arial" w:hAnsi="Arial"/>
          <w:sz w:val="21"/>
        </w:rPr>
        <w:t>$2,000,000</w:t>
      </w:r>
      <w:r>
        <w:rPr>
          <w:rFonts w:ascii="Arial" w:hAnsi="Arial"/>
          <w:sz w:val="20"/>
        </w:rPr>
        <w:t> </w:t>
      </w:r>
      <w:r>
        <w:rPr>
          <w:rFonts w:ascii="Arial" w:hAnsi="Arial"/>
          <w:sz w:val="21"/>
        </w:rPr>
        <w:t>in aggregate for the Transaction Parties at any time.</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p>
      <w:pPr>
        <w:pStyle w:val="TextBody"/>
        <w:bidi w:val="0"/>
        <w:spacing w:before="1" w:after="0"/>
        <w:ind w:left="3120" w:right="700" w:hanging="0"/>
        <w:jc w:val="left"/>
        <w:rPr>
          <w:rFonts w:ascii="Arial" w:hAnsi="Arial"/>
          <w:sz w:val="20"/>
        </w:rPr>
      </w:pPr>
      <w:r>
        <w:rPr>
          <w:rFonts w:ascii="Arial" w:hAnsi="Arial"/>
          <w:b/>
          <w:sz w:val="21"/>
        </w:rPr>
        <w:t>PPS</w:t>
      </w:r>
      <w:r>
        <w:rPr>
          <w:rFonts w:ascii="Arial" w:hAnsi="Arial"/>
          <w:sz w:val="20"/>
        </w:rPr>
        <w:t> </w:t>
      </w:r>
      <w:r>
        <w:rPr>
          <w:rFonts w:ascii="Arial" w:hAnsi="Arial"/>
          <w:b/>
          <w:sz w:val="21"/>
        </w:rPr>
        <w:t>Act</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i/>
          <w:sz w:val="21"/>
        </w:rPr>
        <w:t>Personal</w:t>
      </w:r>
      <w:r>
        <w:rPr>
          <w:rFonts w:ascii="Arial" w:hAnsi="Arial"/>
          <w:sz w:val="20"/>
        </w:rPr>
        <w:t> </w:t>
      </w:r>
      <w:r>
        <w:rPr>
          <w:rFonts w:ascii="Arial" w:hAnsi="Arial"/>
          <w:i/>
          <w:sz w:val="21"/>
        </w:rPr>
        <w:t>Property</w:t>
      </w:r>
      <w:r>
        <w:rPr>
          <w:rFonts w:ascii="Arial" w:hAnsi="Arial"/>
          <w:sz w:val="20"/>
        </w:rPr>
        <w:t> </w:t>
      </w:r>
      <w:r>
        <w:rPr>
          <w:rFonts w:ascii="Arial" w:hAnsi="Arial"/>
          <w:i/>
          <w:sz w:val="21"/>
        </w:rPr>
        <w:t>Securities</w:t>
      </w:r>
      <w:r>
        <w:rPr>
          <w:rFonts w:ascii="Arial" w:hAnsi="Arial"/>
          <w:sz w:val="20"/>
        </w:rPr>
        <w:t> </w:t>
      </w:r>
      <w:r>
        <w:rPr>
          <w:rFonts w:ascii="Arial" w:hAnsi="Arial"/>
          <w:i/>
          <w:sz w:val="21"/>
        </w:rPr>
        <w:t>Act</w:t>
      </w:r>
      <w:r>
        <w:rPr>
          <w:rFonts w:ascii="Arial" w:hAnsi="Arial"/>
          <w:sz w:val="20"/>
        </w:rPr>
        <w:t> </w:t>
      </w:r>
      <w:r>
        <w:rPr>
          <w:rFonts w:ascii="Arial" w:hAnsi="Arial"/>
          <w:i/>
          <w:sz w:val="21"/>
        </w:rPr>
        <w:t>2009</w:t>
      </w:r>
      <w:r>
        <w:rPr>
          <w:rFonts w:ascii="Arial" w:hAnsi="Arial"/>
          <w:sz w:val="20"/>
        </w:rPr>
        <w:t> </w:t>
      </w:r>
      <w:r>
        <w:rPr>
          <w:rFonts w:ascii="Arial" w:hAnsi="Arial"/>
          <w:sz w:val="21"/>
        </w:rPr>
        <w:t>(Cth).</w:t>
      </w:r>
      <w:r>
        <w:rPr>
          <w:rFonts w:ascii="Arial" w:hAnsi="Arial"/>
          <w:sz w:val="20"/>
        </w:rPr>
        <w:t xml:space="preserve"> </w:t>
      </w:r>
    </w:p>
    <w:p>
      <w:pPr>
        <w:pStyle w:val="TextBody"/>
        <w:pBdr/>
        <w:bidi w:val="0"/>
        <w:spacing w:lineRule="auto" w:line="266" w:before="147" w:after="0"/>
        <w:ind w:left="3120" w:right="1471" w:hanging="0"/>
        <w:jc w:val="left"/>
        <w:rPr>
          <w:rFonts w:ascii="Arial" w:hAnsi="Arial"/>
          <w:sz w:val="22"/>
        </w:rPr>
      </w:pPr>
      <w:r>
        <w:rPr>
          <w:rFonts w:ascii="Arial" w:hAnsi="Arial"/>
          <w:b/>
          <w:sz w:val="22"/>
        </w:rPr>
        <w:t>PPS</w:t>
      </w:r>
      <w:r>
        <w:rPr>
          <w:rFonts w:ascii="Arial" w:hAnsi="Arial"/>
          <w:sz w:val="22"/>
        </w:rPr>
        <w:t> </w:t>
      </w:r>
      <w:r>
        <w:rPr>
          <w:rFonts w:ascii="Arial" w:hAnsi="Arial"/>
          <w:b/>
          <w:sz w:val="22"/>
        </w:rPr>
        <w:t>property</w:t>
      </w:r>
      <w:r>
        <w:rPr>
          <w:rFonts w:ascii="Arial" w:hAnsi="Arial"/>
          <w:sz w:val="22"/>
        </w:rPr>
        <w:t xml:space="preserve"> means all property (other than Excluded Property) over which the Borrower or a Security Provider is legally capable under the PPS Act of granting a security interest. </w:t>
      </w:r>
    </w:p>
    <w:p>
      <w:pPr>
        <w:pStyle w:val="TextBody"/>
        <w:pBdr/>
        <w:bidi w:val="0"/>
        <w:spacing w:lineRule="auto" w:line="266" w:before="117" w:after="0"/>
        <w:ind w:left="3120" w:right="1471" w:hanging="0"/>
        <w:jc w:val="left"/>
        <w:rPr>
          <w:rFonts w:ascii="Arial" w:hAnsi="Arial"/>
          <w:sz w:val="22"/>
        </w:rPr>
      </w:pPr>
      <w:r>
        <w:rPr>
          <w:rFonts w:ascii="Arial" w:hAnsi="Arial"/>
          <w:b/>
          <w:sz w:val="22"/>
        </w:rPr>
        <w:t xml:space="preserve">Potential Event of Default </w:t>
      </w:r>
      <w:r>
        <w:rPr>
          <w:rFonts w:ascii="Arial" w:hAnsi="Arial"/>
          <w:sz w:val="22"/>
        </w:rPr>
        <w:t xml:space="preserve">means any thing which, with the giving of notice, lapse of time or determination of materiality, will constitute an Event of Default. </w:t>
      </w:r>
    </w:p>
    <w:p>
      <w:pPr>
        <w:pStyle w:val="TextBody"/>
        <w:pBdr/>
        <w:bidi w:val="0"/>
        <w:spacing w:lineRule="auto" w:line="266" w:before="120" w:after="0"/>
        <w:ind w:left="3120" w:right="1471" w:hanging="0"/>
        <w:jc w:val="left"/>
        <w:rPr/>
      </w:pPr>
      <w:r>
        <w:rPr>
          <w:rFonts w:ascii="Arial" w:hAnsi="Arial"/>
          <w:b/>
          <w:sz w:val="22"/>
        </w:rPr>
        <w:t>Pricing</w:t>
      </w:r>
      <w:r>
        <w:rPr>
          <w:rFonts w:ascii="Arial" w:hAnsi="Arial"/>
          <w:sz w:val="22"/>
        </w:rPr>
        <w:t> </w:t>
      </w:r>
      <w:r>
        <w:rPr>
          <w:rFonts w:ascii="Arial" w:hAnsi="Arial"/>
          <w:b/>
          <w:sz w:val="22"/>
        </w:rPr>
        <w:t>Period</w:t>
      </w:r>
      <w:r>
        <w:rPr>
          <w:rFonts w:ascii="Arial" w:hAnsi="Arial"/>
          <w:sz w:val="22"/>
        </w:rPr>
        <w:t> means, in relation to an Advance under the Corporate Markets Loan Facility or the Bridge Facility (as applicable), the period having the duration selected in accordance with </w:t>
      </w:r>
      <w:r>
        <w:rPr>
          <w:rFonts w:ascii="Arial" w:hAnsi="Arial"/>
          <w:b/>
          <w:sz w:val="22"/>
        </w:rPr>
        <w:t>clause</w:t>
      </w:r>
      <w:r>
        <w:rPr>
          <w:rFonts w:ascii="Arial" w:hAnsi="Arial"/>
          <w:sz w:val="22"/>
        </w:rPr>
        <w:t> </w:t>
      </w:r>
      <w:hyperlink w:anchor="_bookmark69">
        <w:r>
          <w:rPr>
            <w:rStyle w:val="InternetLink"/>
            <w:rFonts w:ascii="Arial" w:hAnsi="Arial"/>
            <w:b/>
            <w:sz w:val="22"/>
          </w:rPr>
          <w:t>6.1</w:t>
        </w:r>
      </w:hyperlink>
      <w:r>
        <w:rPr>
          <w:rFonts w:ascii="Arial" w:hAnsi="Arial"/>
          <w:sz w:val="22"/>
        </w:rPr>
        <w:t xml:space="preserve"> and beginning on the Funding Date in relation to the Advance. </w:t>
      </w:r>
    </w:p>
    <w:p>
      <w:pPr>
        <w:pStyle w:val="TextBody"/>
        <w:pBdr/>
        <w:bidi w:val="0"/>
        <w:spacing w:lineRule="auto" w:line="266" w:before="118" w:after="0"/>
        <w:ind w:left="3120" w:right="1985" w:hanging="0"/>
        <w:jc w:val="left"/>
        <w:rPr>
          <w:rFonts w:ascii="Arial" w:hAnsi="Arial"/>
          <w:sz w:val="22"/>
        </w:rPr>
      </w:pPr>
      <w:r>
        <w:rPr>
          <w:rFonts w:ascii="Arial" w:hAnsi="Arial"/>
          <w:b/>
          <w:sz w:val="22"/>
        </w:rPr>
        <w:t>Quarter</w:t>
      </w:r>
      <w:r>
        <w:rPr>
          <w:rFonts w:ascii="Arial" w:hAnsi="Arial"/>
          <w:sz w:val="22"/>
        </w:rPr>
        <w:t xml:space="preserve"> means each three month period ending on 31 March, 30 June, 30 September and 31 December in each year. </w:t>
      </w:r>
    </w:p>
    <w:p>
      <w:pPr>
        <w:pStyle w:val="TextBody"/>
        <w:bidi w:val="0"/>
        <w:spacing w:lineRule="auto" w:line="266" w:before="119" w:after="0"/>
        <w:ind w:left="3120" w:right="1471" w:hanging="0"/>
        <w:jc w:val="left"/>
        <w:rPr>
          <w:rFonts w:ascii="Arial" w:hAnsi="Arial"/>
          <w:sz w:val="20"/>
        </w:rPr>
      </w:pPr>
      <w:r>
        <w:rPr>
          <w:rFonts w:ascii="Arial" w:hAnsi="Arial"/>
          <w:b/>
          <w:sz w:val="21"/>
        </w:rPr>
        <w:t>Reading</w:t>
      </w:r>
      <w:r>
        <w:rPr>
          <w:rFonts w:ascii="Arial" w:hAnsi="Arial"/>
          <w:sz w:val="20"/>
        </w:rPr>
        <w:t> </w:t>
      </w:r>
      <w:r>
        <w:rPr>
          <w:rFonts w:ascii="Arial" w:hAnsi="Arial"/>
          <w:b/>
          <w:sz w:val="21"/>
        </w:rPr>
        <w:t>Entertainment</w:t>
      </w:r>
      <w:r>
        <w:rPr>
          <w:rFonts w:ascii="Arial" w:hAnsi="Arial"/>
          <w:sz w:val="20"/>
        </w:rPr>
        <w:t> </w:t>
      </w:r>
      <w:r>
        <w:rPr>
          <w:rFonts w:ascii="Arial" w:hAnsi="Arial"/>
          <w:b/>
          <w:sz w:val="21"/>
        </w:rPr>
        <w:t>Australia</w:t>
      </w:r>
      <w:r>
        <w:rPr>
          <w:rFonts w:ascii="Arial" w:hAnsi="Arial"/>
          <w:sz w:val="20"/>
        </w:rPr>
        <w:t> </w:t>
      </w:r>
      <w:r>
        <w:rPr>
          <w:rFonts w:ascii="Arial" w:hAnsi="Arial"/>
          <w:b/>
          <w:sz w:val="21"/>
        </w:rPr>
        <w:t>Group</w:t>
      </w:r>
      <w:r>
        <w:rPr>
          <w:rFonts w:ascii="Arial" w:hAnsi="Arial"/>
          <w:sz w:val="20"/>
        </w:rPr>
        <w:t> </w:t>
      </w:r>
      <w:r>
        <w:rPr>
          <w:rFonts w:ascii="Arial" w:hAnsi="Arial"/>
          <w:sz w:val="21"/>
        </w:rPr>
        <w:t>means,</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time,</w:t>
      </w:r>
      <w:r>
        <w:rPr>
          <w:rFonts w:ascii="Arial" w:hAnsi="Arial"/>
          <w:sz w:val="20"/>
        </w:rPr>
        <w:t> </w:t>
      </w:r>
      <w:r>
        <w:rPr>
          <w:rFonts w:ascii="Arial" w:hAnsi="Arial"/>
          <w:sz w:val="21"/>
        </w:rPr>
        <w:t>the</w:t>
      </w:r>
      <w:r>
        <w:rPr>
          <w:rFonts w:ascii="Arial" w:hAnsi="Arial"/>
          <w:sz w:val="20"/>
        </w:rPr>
        <w:t> </w:t>
      </w:r>
      <w:r>
        <w:rPr>
          <w:rFonts w:ascii="Arial" w:hAnsi="Arial"/>
          <w:sz w:val="21"/>
        </w:rPr>
        <w:t xml:space="preserve">Borrower and any subsidiary of the Borrower and </w:t>
      </w:r>
      <w:r>
        <w:rPr>
          <w:rFonts w:ascii="Arial" w:hAnsi="Arial"/>
          <w:b/>
          <w:sz w:val="21"/>
        </w:rPr>
        <w:t xml:space="preserve">Reading Entertainment Australia Group Member </w:t>
      </w:r>
      <w:r>
        <w:rPr>
          <w:rFonts w:ascii="Arial" w:hAnsi="Arial"/>
          <w:sz w:val="21"/>
        </w:rPr>
        <w:t>means any one of them.</w:t>
      </w:r>
      <w:r>
        <w:rPr>
          <w:rFonts w:ascii="Arial" w:hAnsi="Arial"/>
          <w:sz w:val="20"/>
        </w:rPr>
        <w:t xml:space="preserve"> </w:t>
      </w:r>
    </w:p>
    <w:p>
      <w:pPr>
        <w:pStyle w:val="TextBody"/>
        <w:bidi w:val="0"/>
        <w:spacing w:before="120" w:after="0"/>
        <w:ind w:left="3120" w:right="700" w:hanging="0"/>
        <w:jc w:val="left"/>
        <w:rPr>
          <w:rFonts w:ascii="Arial" w:hAnsi="Arial"/>
          <w:sz w:val="20"/>
        </w:rPr>
      </w:pPr>
      <w:r>
        <w:rPr>
          <w:rFonts w:ascii="Arial" w:hAnsi="Arial"/>
          <w:b/>
          <w:sz w:val="21"/>
        </w:rPr>
        <w:t>Release</w:t>
      </w:r>
      <w:r>
        <w:rPr>
          <w:rFonts w:ascii="Arial" w:hAnsi="Arial"/>
          <w:sz w:val="20"/>
        </w:rPr>
        <w:t> </w:t>
      </w:r>
      <w:r>
        <w:rPr>
          <w:rFonts w:ascii="Arial" w:hAnsi="Arial"/>
          <w:b/>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Business</w:t>
      </w:r>
      <w:r>
        <w:rPr>
          <w:rFonts w:ascii="Arial" w:hAnsi="Arial"/>
          <w:sz w:val="20"/>
        </w:rPr>
        <w:t> </w:t>
      </w:r>
      <w:r>
        <w:rPr>
          <w:rFonts w:ascii="Arial" w:hAnsi="Arial"/>
          <w:sz w:val="21"/>
        </w:rPr>
        <w:t>Day</w:t>
      </w:r>
      <w:r>
        <w:rPr>
          <w:rFonts w:ascii="Arial" w:hAnsi="Arial"/>
          <w:sz w:val="20"/>
        </w:rPr>
        <w:t> </w:t>
      </w:r>
      <w:r>
        <w:rPr>
          <w:rFonts w:ascii="Arial" w:hAnsi="Arial"/>
          <w:sz w:val="21"/>
        </w:rPr>
        <w:t>following</w:t>
      </w:r>
      <w:r>
        <w:rPr>
          <w:rFonts w:ascii="Arial" w:hAnsi="Arial"/>
          <w:sz w:val="20"/>
        </w:rPr>
        <w:t> </w:t>
      </w:r>
      <w:r>
        <w:rPr>
          <w:rFonts w:ascii="Arial" w:hAnsi="Arial"/>
          <w:sz w:val="21"/>
        </w:rPr>
        <w:t>the</w:t>
      </w:r>
      <w:r>
        <w:rPr>
          <w:rFonts w:ascii="Arial" w:hAnsi="Arial"/>
          <w:sz w:val="20"/>
        </w:rPr>
        <w:t> </w:t>
      </w:r>
      <w:r>
        <w:rPr>
          <w:rFonts w:ascii="Arial" w:hAnsi="Arial"/>
          <w:sz w:val="21"/>
        </w:rPr>
        <w:t>later</w:t>
      </w:r>
      <w:r>
        <w:rPr>
          <w:rFonts w:ascii="Arial" w:hAnsi="Arial"/>
          <w:sz w:val="20"/>
        </w:rPr>
        <w:t> </w:t>
      </w:r>
      <w:r>
        <w:rPr>
          <w:rFonts w:ascii="Arial" w:hAnsi="Arial"/>
          <w:sz w:val="21"/>
        </w:rPr>
        <w:t>of:</w:t>
      </w:r>
      <w:r>
        <w:rPr>
          <w:rFonts w:ascii="Arial" w:hAnsi="Arial"/>
          <w:sz w:val="20"/>
        </w:rPr>
        <w:t xml:space="preserve"> </w:t>
      </w:r>
    </w:p>
    <w:p>
      <w:pPr>
        <w:pStyle w:val="TextBody"/>
        <w:bidi w:val="0"/>
        <w:spacing w:before="150" w:after="0"/>
        <w:ind w:left="3686" w:right="700" w:hanging="0"/>
        <w:jc w:val="left"/>
        <w:rPr>
          <w:rFonts w:ascii="Arial" w:hAnsi="Arial"/>
          <w:sz w:val="20"/>
        </w:rPr>
      </w:pPr>
      <w:r>
        <w:rPr>
          <w:rFonts w:ascii="Arial" w:hAnsi="Arial"/>
          <w:sz w:val="21"/>
        </w:rPr>
        <w:t>(a)the</w:t>
      </w:r>
      <w:r>
        <w:rPr>
          <w:rFonts w:ascii="Arial" w:hAnsi="Arial"/>
          <w:sz w:val="20"/>
        </w:rPr>
        <w:t> </w:t>
      </w:r>
      <w:r>
        <w:rPr>
          <w:rFonts w:ascii="Arial" w:hAnsi="Arial"/>
          <w:sz w:val="21"/>
        </w:rPr>
        <w:t>latest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Expiry</w:t>
      </w:r>
      <w:r>
        <w:rPr>
          <w:rFonts w:ascii="Arial" w:hAnsi="Arial"/>
          <w:sz w:val="20"/>
        </w:rPr>
        <w:t> </w:t>
      </w:r>
      <w:r>
        <w:rPr>
          <w:rFonts w:ascii="Arial" w:hAnsi="Arial"/>
          <w:sz w:val="21"/>
        </w:rPr>
        <w:t>Dates</w:t>
      </w:r>
      <w:r>
        <w:rPr>
          <w:rFonts w:ascii="Arial" w:hAnsi="Arial"/>
          <w:sz w:val="20"/>
        </w:rPr>
        <w:t> </w:t>
      </w:r>
      <w:r>
        <w:rPr>
          <w:rFonts w:ascii="Arial" w:hAnsi="Arial"/>
          <w:sz w:val="21"/>
        </w:rPr>
        <w:t>of</w:t>
      </w:r>
      <w:r>
        <w:rPr>
          <w:rFonts w:ascii="Arial" w:hAnsi="Arial"/>
          <w:sz w:val="20"/>
        </w:rPr>
        <w:t> </w:t>
      </w:r>
      <w:r>
        <w:rPr>
          <w:rFonts w:ascii="Arial" w:hAnsi="Arial"/>
          <w:sz w:val="21"/>
        </w:rPr>
        <w:t>all</w:t>
      </w:r>
      <w:r>
        <w:rPr>
          <w:rFonts w:ascii="Arial" w:hAnsi="Arial"/>
          <w:sz w:val="20"/>
        </w:rPr>
        <w:t> </w:t>
      </w:r>
      <w:r>
        <w:rPr>
          <w:rFonts w:ascii="Arial" w:hAnsi="Arial"/>
          <w:sz w:val="21"/>
        </w:rPr>
        <w:t>Current</w:t>
      </w:r>
      <w:r>
        <w:rPr>
          <w:rFonts w:ascii="Arial" w:hAnsi="Arial"/>
          <w:sz w:val="20"/>
        </w:rPr>
        <w:t> </w:t>
      </w:r>
      <w:r>
        <w:rPr>
          <w:rFonts w:ascii="Arial" w:hAnsi="Arial"/>
          <w:sz w:val="21"/>
        </w:rPr>
        <w:t>Bank</w:t>
      </w:r>
      <w:r>
        <w:rPr>
          <w:rFonts w:ascii="Arial" w:hAnsi="Arial"/>
          <w:sz w:val="20"/>
        </w:rPr>
        <w:t> </w:t>
      </w:r>
      <w:r>
        <w:rPr>
          <w:rFonts w:ascii="Arial" w:hAnsi="Arial"/>
          <w:sz w:val="21"/>
        </w:rPr>
        <w:t>Guarantees;</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148" w:after="0"/>
        <w:ind w:left="3686" w:right="1658" w:hanging="0"/>
        <w:jc w:val="left"/>
        <w:rPr>
          <w:rFonts w:ascii="Arial" w:hAnsi="Arial"/>
          <w:sz w:val="20"/>
        </w:rPr>
      </w:pPr>
      <w:r>
        <w:rPr>
          <w:rFonts w:ascii="Arial" w:hAnsi="Arial"/>
          <w:sz w:val="21"/>
        </w:rPr>
        <w:t>(b)the date on which the Bank is satisfied in its reasonable opinion that it has</w:t>
      </w:r>
      <w:r>
        <w:rPr>
          <w:rFonts w:ascii="Arial" w:hAnsi="Arial"/>
          <w:sz w:val="20"/>
        </w:rPr>
        <w:t> </w:t>
      </w:r>
      <w:r>
        <w:rPr>
          <w:rFonts w:ascii="Arial" w:hAnsi="Arial"/>
          <w:sz w:val="21"/>
        </w:rPr>
        <w:t>been</w:t>
      </w:r>
      <w:r>
        <w:rPr>
          <w:rFonts w:ascii="Arial" w:hAnsi="Arial"/>
          <w:sz w:val="20"/>
        </w:rPr>
        <w:t> </w:t>
      </w:r>
      <w:r>
        <w:rPr>
          <w:rFonts w:ascii="Arial" w:hAnsi="Arial"/>
          <w:sz w:val="21"/>
        </w:rPr>
        <w:t>paid</w:t>
      </w:r>
      <w:r>
        <w:rPr>
          <w:rFonts w:ascii="Arial" w:hAnsi="Arial"/>
          <w:sz w:val="20"/>
        </w:rPr>
        <w:t> </w:t>
      </w:r>
      <w:r>
        <w:rPr>
          <w:rFonts w:ascii="Arial" w:hAnsi="Arial"/>
          <w:sz w:val="21"/>
        </w:rPr>
        <w:t>all</w:t>
      </w:r>
      <w:r>
        <w:rPr>
          <w:rFonts w:ascii="Arial" w:hAnsi="Arial"/>
          <w:sz w:val="20"/>
        </w:rPr>
        <w:t> </w:t>
      </w:r>
      <w:r>
        <w:rPr>
          <w:rFonts w:ascii="Arial" w:hAnsi="Arial"/>
          <w:sz w:val="21"/>
        </w:rPr>
        <w:t>amounts</w:t>
      </w:r>
      <w:r>
        <w:rPr>
          <w:rFonts w:ascii="Arial" w:hAnsi="Arial"/>
          <w:sz w:val="20"/>
        </w:rPr>
        <w:t> </w:t>
      </w:r>
      <w:r>
        <w:rPr>
          <w:rFonts w:ascii="Arial" w:hAnsi="Arial"/>
          <w:sz w:val="21"/>
        </w:rPr>
        <w:t>which</w:t>
      </w:r>
      <w:r>
        <w:rPr>
          <w:rFonts w:ascii="Arial" w:hAnsi="Arial"/>
          <w:sz w:val="20"/>
        </w:rPr>
        <w:t> </w:t>
      </w:r>
      <w:r>
        <w:rPr>
          <w:rFonts w:ascii="Arial" w:hAnsi="Arial"/>
          <w:sz w:val="21"/>
        </w:rPr>
        <w:t>are</w:t>
      </w:r>
      <w:r>
        <w:rPr>
          <w:rFonts w:ascii="Arial" w:hAnsi="Arial"/>
          <w:sz w:val="20"/>
        </w:rPr>
        <w:t> </w:t>
      </w:r>
      <w:r>
        <w:rPr>
          <w:rFonts w:ascii="Arial" w:hAnsi="Arial"/>
          <w:sz w:val="21"/>
        </w:rPr>
        <w:t>then</w:t>
      </w:r>
      <w:r>
        <w:rPr>
          <w:rFonts w:ascii="Arial" w:hAnsi="Arial"/>
          <w:sz w:val="20"/>
        </w:rPr>
        <w:t> </w:t>
      </w:r>
      <w:r>
        <w:rPr>
          <w:rFonts w:ascii="Arial" w:hAnsi="Arial"/>
          <w:sz w:val="21"/>
        </w:rPr>
        <w:t>or</w:t>
      </w:r>
      <w:r>
        <w:rPr>
          <w:rFonts w:ascii="Arial" w:hAnsi="Arial"/>
          <w:sz w:val="20"/>
        </w:rPr>
        <w:t> </w:t>
      </w:r>
      <w:r>
        <w:rPr>
          <w:rFonts w:ascii="Arial" w:hAnsi="Arial"/>
          <w:sz w:val="21"/>
        </w:rPr>
        <w:t>may</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future</w:t>
      </w:r>
      <w:r>
        <w:rPr>
          <w:rFonts w:ascii="Arial" w:hAnsi="Arial"/>
          <w:sz w:val="20"/>
        </w:rPr>
        <w:t> </w:t>
      </w:r>
      <w:r>
        <w:rPr>
          <w:rFonts w:ascii="Arial" w:hAnsi="Arial"/>
          <w:sz w:val="21"/>
        </w:rPr>
        <w:t>become due and</w:t>
      </w:r>
      <w:r>
        <w:rPr>
          <w:rFonts w:ascii="Arial" w:hAnsi="Arial"/>
          <w:sz w:val="20"/>
        </w:rPr>
        <w:t> </w:t>
      </w:r>
      <w:r>
        <w:rPr>
          <w:rFonts w:ascii="Arial" w:hAnsi="Arial"/>
          <w:sz w:val="21"/>
        </w:rPr>
        <w:t>payable</w:t>
      </w:r>
      <w:r>
        <w:rPr>
          <w:rFonts w:ascii="Arial" w:hAnsi="Arial"/>
          <w:sz w:val="20"/>
        </w:rPr>
        <w:t> </w:t>
      </w:r>
      <w:r>
        <w:rPr>
          <w:rFonts w:ascii="Arial" w:hAnsi="Arial"/>
          <w:sz w:val="21"/>
        </w:rPr>
        <w:t>to</w:t>
      </w:r>
      <w:r>
        <w:rPr>
          <w:rFonts w:ascii="Arial" w:hAnsi="Arial"/>
          <w:sz w:val="20"/>
        </w:rPr>
        <w:t> </w:t>
      </w:r>
      <w:r>
        <w:rPr>
          <w:rFonts w:ascii="Arial" w:hAnsi="Arial"/>
          <w:sz w:val="21"/>
        </w:rPr>
        <w:t>the Bank</w:t>
      </w:r>
      <w:r>
        <w:rPr>
          <w:rFonts w:ascii="Arial" w:hAnsi="Arial"/>
          <w:sz w:val="20"/>
        </w:rPr>
        <w:t> </w:t>
      </w:r>
      <w:r>
        <w:rPr>
          <w:rFonts w:ascii="Arial" w:hAnsi="Arial"/>
          <w:sz w:val="21"/>
        </w:rPr>
        <w:t>under</w:t>
      </w:r>
      <w:r>
        <w:rPr>
          <w:rFonts w:ascii="Arial" w:hAnsi="Arial"/>
          <w:sz w:val="20"/>
        </w:rPr>
        <w:t> </w:t>
      </w:r>
      <w:r>
        <w:rPr>
          <w:rFonts w:ascii="Arial" w:hAnsi="Arial"/>
          <w:sz w:val="21"/>
        </w:rPr>
        <w:t>any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Documents and that there is no prospect that any amounts which the Bank has received in relation to any of the Transaction Documents will subsequently be made void or be required to be repaid in whole or in part.</w:t>
      </w:r>
      <w:r>
        <w:rPr>
          <w:rFonts w:ascii="Arial" w:hAnsi="Arial"/>
          <w:sz w:val="20"/>
        </w:rPr>
        <w:t xml:space="preserve"> </w:t>
      </w:r>
    </w:p>
    <w:p>
      <w:pPr>
        <w:pStyle w:val="TextBody"/>
        <w:bidi w:val="0"/>
        <w:spacing w:lineRule="auto" w:line="266" w:before="115" w:after="0"/>
        <w:ind w:left="3120" w:right="1424" w:hanging="0"/>
        <w:jc w:val="left"/>
        <w:rPr>
          <w:rFonts w:ascii="Arial" w:hAnsi="Arial"/>
          <w:sz w:val="22"/>
        </w:rPr>
      </w:pPr>
      <w:r>
        <w:rPr>
          <w:rFonts w:ascii="Arial" w:hAnsi="Arial"/>
          <w:b/>
          <w:sz w:val="22"/>
        </w:rPr>
        <w:t xml:space="preserve">Relevant Date </w:t>
      </w:r>
      <w:r>
        <w:rPr>
          <w:rFonts w:ascii="Arial" w:hAnsi="Arial"/>
          <w:sz w:val="22"/>
        </w:rPr>
        <w:t>means the date on which the Bank receives the Annual Compliance Certificate in accordance with </w:t>
      </w:r>
      <w:r>
        <w:rPr>
          <w:rFonts w:ascii="Arial" w:hAnsi="Arial"/>
          <w:b/>
          <w:sz w:val="22"/>
        </w:rPr>
        <w:t>clause</w:t>
      </w:r>
      <w:r>
        <w:rPr>
          <w:rFonts w:ascii="Arial" w:hAnsi="Arial"/>
          <w:sz w:val="22"/>
        </w:rPr>
        <w:t> </w:t>
      </w:r>
      <w:r>
        <w:rPr>
          <w:rFonts w:ascii="Arial" w:hAnsi="Arial"/>
          <w:b/>
          <w:sz w:val="22"/>
        </w:rPr>
        <w:t>9.5(b)</w:t>
      </w:r>
      <w:r>
        <w:rPr>
          <w:rFonts w:ascii="Arial" w:hAnsi="Arial"/>
          <w:sz w:val="22"/>
        </w:rPr>
        <w:t xml:space="preserve"> for the Financial Year ending on 31 December 2023. </w:t>
      </w:r>
    </w:p>
    <w:p>
      <w:pPr>
        <w:pStyle w:val="TextBody"/>
        <w:bidi w:val="0"/>
        <w:spacing w:before="121" w:after="0"/>
        <w:ind w:left="3120" w:right="700" w:hanging="0"/>
        <w:jc w:val="left"/>
        <w:rPr>
          <w:rFonts w:ascii="Arial" w:hAnsi="Arial"/>
          <w:sz w:val="20"/>
        </w:rPr>
      </w:pPr>
      <w:r>
        <w:rPr>
          <w:rFonts w:ascii="Arial" w:hAnsi="Arial"/>
          <w:b/>
          <w:sz w:val="21"/>
        </w:rPr>
        <w:t>Relevant</w:t>
      </w:r>
      <w:r>
        <w:rPr>
          <w:rFonts w:ascii="Arial" w:hAnsi="Arial"/>
          <w:sz w:val="20"/>
        </w:rPr>
        <w:t> </w:t>
      </w:r>
      <w:r>
        <w:rPr>
          <w:rFonts w:ascii="Arial" w:hAnsi="Arial"/>
          <w:b/>
          <w:sz w:val="21"/>
        </w:rPr>
        <w:t>Jurisdiction</w:t>
      </w:r>
      <w:r>
        <w:rPr>
          <w:rFonts w:ascii="Arial" w:hAnsi="Arial"/>
          <w:sz w:val="20"/>
        </w:rPr>
        <w:t> </w:t>
      </w:r>
      <w:r>
        <w:rPr>
          <w:rFonts w:ascii="Arial" w:hAnsi="Arial"/>
          <w:sz w:val="21"/>
        </w:rPr>
        <w:t>means</w:t>
      </w:r>
      <w:r>
        <w:rPr>
          <w:rFonts w:ascii="Arial" w:hAnsi="Arial"/>
          <w:sz w:val="20"/>
        </w:rPr>
        <w:t> </w:t>
      </w:r>
      <w:r>
        <w:rPr>
          <w:rFonts w:ascii="Arial" w:hAnsi="Arial"/>
          <w:sz w:val="21"/>
        </w:rPr>
        <w:t>Victoria.</w:t>
      </w:r>
      <w:r>
        <w:rPr>
          <w:rFonts w:ascii="Arial" w:hAnsi="Arial"/>
          <w:sz w:val="20"/>
        </w:rPr>
        <w:t xml:space="preserve"> </w:t>
      </w:r>
    </w:p>
    <w:p>
      <w:pPr>
        <w:pStyle w:val="TextBody"/>
        <w:pBdr/>
        <w:bidi w:val="0"/>
        <w:spacing w:lineRule="auto" w:line="266" w:before="147" w:after="0"/>
        <w:ind w:left="3120" w:right="1500" w:hanging="0"/>
        <w:jc w:val="left"/>
        <w:rPr>
          <w:rFonts w:ascii="Arial" w:hAnsi="Arial"/>
          <w:sz w:val="22"/>
        </w:rPr>
      </w:pPr>
      <w:r>
        <w:rPr>
          <w:rFonts w:ascii="Arial" w:hAnsi="Arial"/>
          <w:b/>
          <w:sz w:val="22"/>
        </w:rPr>
        <w:t>Relevant</w:t>
      </w:r>
      <w:r>
        <w:rPr>
          <w:rFonts w:ascii="Arial" w:hAnsi="Arial"/>
          <w:sz w:val="22"/>
        </w:rPr>
        <w:t> </w:t>
      </w:r>
      <w:r>
        <w:rPr>
          <w:rFonts w:ascii="Arial" w:hAnsi="Arial"/>
          <w:b/>
          <w:sz w:val="22"/>
        </w:rPr>
        <w:t>Period</w:t>
      </w:r>
      <w:r>
        <w:rPr>
          <w:rFonts w:ascii="Arial" w:hAnsi="Arial"/>
          <w:sz w:val="22"/>
        </w:rPr>
        <w:t xml:space="preserve"> means the period from (and including) 31 August 2020 to (and including) the Relevant Date. </w:t>
      </w:r>
    </w:p>
    <w:p>
      <w:pPr>
        <w:pStyle w:val="TextBody"/>
        <w:pBdr/>
        <w:bidi w:val="0"/>
        <w:spacing w:lineRule="auto" w:line="266" w:before="119" w:after="0"/>
        <w:ind w:left="3120" w:right="1500" w:hanging="0"/>
        <w:jc w:val="left"/>
        <w:rPr>
          <w:rFonts w:ascii="Arial" w:hAnsi="Arial"/>
          <w:sz w:val="22"/>
        </w:rPr>
      </w:pPr>
      <w:r>
        <w:rPr>
          <w:rFonts w:ascii="Arial" w:hAnsi="Arial"/>
          <w:b/>
          <w:sz w:val="22"/>
        </w:rPr>
        <w:t xml:space="preserve">Receiver </w:t>
      </w:r>
      <w:r>
        <w:rPr>
          <w:rFonts w:ascii="Arial" w:hAnsi="Arial"/>
          <w:sz w:val="22"/>
        </w:rPr>
        <w:t xml:space="preserve">means a receiver or receiver and manager appointed by the Bank under any Transaction Document and any person who derives a right directly or indirectly from a Receiver. </w:t>
      </w:r>
    </w:p>
    <w:p>
      <w:pPr>
        <w:pStyle w:val="TextBody"/>
        <w:pBdr/>
        <w:bidi w:val="0"/>
        <w:spacing w:lineRule="auto" w:line="266" w:before="120" w:after="0"/>
        <w:ind w:left="3120" w:right="1424" w:hanging="0"/>
        <w:jc w:val="left"/>
        <w:rPr>
          <w:rFonts w:ascii="Arial" w:hAnsi="Arial"/>
          <w:sz w:val="22"/>
        </w:rPr>
      </w:pPr>
      <w:r>
        <w:rPr>
          <w:rFonts w:ascii="Arial" w:hAnsi="Arial"/>
          <w:b/>
          <w:sz w:val="22"/>
        </w:rPr>
        <w:t xml:space="preserve">Reference Banks </w:t>
      </w:r>
      <w:r>
        <w:rPr>
          <w:rFonts w:ascii="Arial" w:hAnsi="Arial"/>
          <w:sz w:val="22"/>
        </w:rPr>
        <w:t xml:space="preserve">means each of Australia and New Zealand Banking Group Limited, Commonwealth Bank of Australia and Westpac Banking Corporation, or any other banks or financial institutions determined by the Bank from time to time following consultation with the Borrower. </w:t>
      </w:r>
    </w:p>
    <w:p>
      <w:pPr>
        <w:pStyle w:val="TextBody"/>
        <w:bidi w:val="0"/>
        <w:spacing w:before="118" w:after="0"/>
        <w:ind w:left="3120" w:right="700" w:hanging="0"/>
        <w:jc w:val="left"/>
        <w:rPr>
          <w:rFonts w:ascii="Arial" w:hAnsi="Arial"/>
          <w:sz w:val="20"/>
        </w:rPr>
      </w:pPr>
      <w:r>
        <w:rPr>
          <w:rFonts w:ascii="Arial" w:hAnsi="Arial"/>
          <w:b/>
          <w:sz w:val="21"/>
        </w:rPr>
        <w:t>Regulatory</w:t>
      </w:r>
      <w:r>
        <w:rPr>
          <w:rFonts w:ascii="Arial" w:hAnsi="Arial"/>
          <w:sz w:val="20"/>
        </w:rPr>
        <w:t> </w:t>
      </w:r>
      <w:r>
        <w:rPr>
          <w:rFonts w:ascii="Arial" w:hAnsi="Arial"/>
          <w:b/>
          <w:sz w:val="21"/>
        </w:rPr>
        <w:t>Event</w:t>
      </w:r>
      <w:r>
        <w:rPr>
          <w:rFonts w:ascii="Arial" w:hAnsi="Arial"/>
          <w:sz w:val="20"/>
        </w:rPr>
        <w:t> </w:t>
      </w:r>
      <w:r>
        <w:rPr>
          <w:rFonts w:ascii="Arial" w:hAnsi="Arial"/>
          <w:sz w:val="21"/>
        </w:rPr>
        <w:t>means</w:t>
      </w:r>
      <w:r>
        <w:rPr>
          <w:rFonts w:ascii="Arial" w:hAnsi="Arial"/>
          <w:sz w:val="20"/>
        </w:rPr>
        <w:t> </w:t>
      </w:r>
      <w:r>
        <w:rPr>
          <w:rFonts w:ascii="Arial" w:hAnsi="Arial"/>
          <w:sz w:val="21"/>
        </w:rPr>
        <w:t>any:</w:t>
      </w:r>
      <w:r>
        <w:rPr>
          <w:rFonts w:ascii="Arial" w:hAnsi="Arial"/>
          <w:sz w:val="20"/>
        </w:rPr>
        <w:t xml:space="preserve"> </w:t>
      </w:r>
    </w:p>
    <w:p>
      <w:pPr>
        <w:pStyle w:val="TextBody"/>
        <w:bidi w:val="0"/>
        <w:spacing w:before="150" w:after="0"/>
        <w:ind w:left="3686" w:right="700" w:hanging="0"/>
        <w:jc w:val="left"/>
        <w:rPr>
          <w:rFonts w:ascii="Arial" w:hAnsi="Arial"/>
          <w:sz w:val="20"/>
        </w:rPr>
      </w:pPr>
      <w:r>
        <w:rPr>
          <w:rFonts w:ascii="Arial" w:hAnsi="Arial"/>
          <w:sz w:val="21"/>
        </w:rPr>
        <w:t>(a)change</w:t>
      </w:r>
      <w:r>
        <w:rPr>
          <w:rFonts w:ascii="Arial" w:hAnsi="Arial"/>
          <w:sz w:val="20"/>
        </w:rPr>
        <w:t> </w:t>
      </w:r>
      <w:r>
        <w:rPr>
          <w:rFonts w:ascii="Arial" w:hAnsi="Arial"/>
          <w:sz w:val="21"/>
        </w:rPr>
        <w:t>in,</w:t>
      </w:r>
      <w:r>
        <w:rPr>
          <w:rFonts w:ascii="Arial" w:hAnsi="Arial"/>
          <w:sz w:val="20"/>
        </w:rPr>
        <w:t> </w:t>
      </w:r>
      <w:r>
        <w:rPr>
          <w:rFonts w:ascii="Arial" w:hAnsi="Arial"/>
          <w:sz w:val="21"/>
        </w:rPr>
        <w:t>or</w:t>
      </w:r>
      <w:r>
        <w:rPr>
          <w:rFonts w:ascii="Arial" w:hAnsi="Arial"/>
          <w:sz w:val="20"/>
        </w:rPr>
        <w:t> </w:t>
      </w:r>
      <w:r>
        <w:rPr>
          <w:rFonts w:ascii="Arial" w:hAnsi="Arial"/>
          <w:sz w:val="21"/>
        </w:rPr>
        <w:t>introduction</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new,</w:t>
      </w:r>
      <w:r>
        <w:rPr>
          <w:rFonts w:ascii="Arial" w:hAnsi="Arial"/>
          <w:sz w:val="20"/>
        </w:rPr>
        <w:t> </w:t>
      </w:r>
      <w:r>
        <w:rPr>
          <w:rFonts w:ascii="Arial" w:hAnsi="Arial"/>
          <w:sz w:val="21"/>
        </w:rPr>
        <w:t>law</w:t>
      </w:r>
      <w:r>
        <w:rPr>
          <w:rFonts w:ascii="Arial" w:hAnsi="Arial"/>
          <w:sz w:val="20"/>
        </w:rPr>
        <w:t> </w:t>
      </w:r>
      <w:r>
        <w:rPr>
          <w:rFonts w:ascii="Arial" w:hAnsi="Arial"/>
          <w:sz w:val="21"/>
        </w:rPr>
        <w:t>or</w:t>
      </w:r>
      <w:r>
        <w:rPr>
          <w:rFonts w:ascii="Arial" w:hAnsi="Arial"/>
          <w:sz w:val="20"/>
        </w:rPr>
        <w:t> </w:t>
      </w:r>
      <w:r>
        <w:rPr>
          <w:rFonts w:ascii="Arial" w:hAnsi="Arial"/>
          <w:sz w:val="21"/>
        </w:rPr>
        <w:t>other</w:t>
      </w:r>
      <w:r>
        <w:rPr>
          <w:rFonts w:ascii="Arial" w:hAnsi="Arial"/>
          <w:sz w:val="20"/>
        </w:rPr>
        <w:t> </w:t>
      </w:r>
      <w:r>
        <w:rPr>
          <w:rFonts w:ascii="Arial" w:hAnsi="Arial"/>
          <w:sz w:val="21"/>
        </w:rPr>
        <w:t>form</w:t>
      </w:r>
      <w:r>
        <w:rPr>
          <w:rFonts w:ascii="Arial" w:hAnsi="Arial"/>
          <w:sz w:val="20"/>
        </w:rPr>
        <w:t> </w:t>
      </w:r>
      <w:r>
        <w:rPr>
          <w:rFonts w:ascii="Arial" w:hAnsi="Arial"/>
          <w:sz w:val="21"/>
        </w:rPr>
        <w:t>of</w:t>
      </w:r>
      <w:r>
        <w:rPr>
          <w:rFonts w:ascii="Arial" w:hAnsi="Arial"/>
          <w:sz w:val="20"/>
        </w:rPr>
        <w:t> </w:t>
      </w:r>
      <w:r>
        <w:rPr>
          <w:rFonts w:ascii="Arial" w:hAnsi="Arial"/>
          <w:sz w:val="21"/>
        </w:rPr>
        <w:t>regulation;</w:t>
      </w:r>
      <w:r>
        <w:rPr>
          <w:rFonts w:ascii="Arial" w:hAnsi="Arial"/>
          <w:sz w:val="20"/>
        </w:rPr>
        <w:t xml:space="preserve"> </w:t>
      </w:r>
    </w:p>
    <w:p>
      <w:pPr>
        <w:pStyle w:val="TextBody"/>
        <w:bidi w:val="0"/>
        <w:spacing w:lineRule="auto" w:line="266" w:before="147" w:after="0"/>
        <w:ind w:left="3686" w:right="1565" w:hanging="0"/>
        <w:jc w:val="left"/>
        <w:rPr>
          <w:rFonts w:ascii="Arial" w:hAnsi="Arial"/>
          <w:sz w:val="20"/>
        </w:rPr>
      </w:pPr>
      <w:r>
        <w:rPr>
          <w:rFonts w:ascii="Arial" w:hAnsi="Arial"/>
          <w:sz w:val="21"/>
        </w:rPr>
        <w:t>(b)change</w:t>
      </w:r>
      <w:r>
        <w:rPr>
          <w:rFonts w:ascii="Arial" w:hAnsi="Arial"/>
          <w:sz w:val="20"/>
        </w:rPr>
        <w:t> </w:t>
      </w:r>
      <w:r>
        <w:rPr>
          <w:rFonts w:ascii="Arial" w:hAnsi="Arial"/>
          <w:sz w:val="21"/>
        </w:rPr>
        <w:t>in,</w:t>
      </w:r>
      <w:r>
        <w:rPr>
          <w:rFonts w:ascii="Arial" w:hAnsi="Arial"/>
          <w:sz w:val="20"/>
        </w:rPr>
        <w:t> </w:t>
      </w:r>
      <w:r>
        <w:rPr>
          <w:rFonts w:ascii="Arial" w:hAnsi="Arial"/>
          <w:sz w:val="21"/>
        </w:rPr>
        <w:t>or</w:t>
      </w:r>
      <w:r>
        <w:rPr>
          <w:rFonts w:ascii="Arial" w:hAnsi="Arial"/>
          <w:sz w:val="20"/>
        </w:rPr>
        <w:t> </w:t>
      </w:r>
      <w:r>
        <w:rPr>
          <w:rFonts w:ascii="Arial" w:hAnsi="Arial"/>
          <w:sz w:val="21"/>
        </w:rPr>
        <w:t>introduction</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new,</w:t>
      </w:r>
      <w:r>
        <w:rPr>
          <w:rFonts w:ascii="Arial" w:hAnsi="Arial"/>
          <w:sz w:val="20"/>
        </w:rPr>
        <w:t> </w:t>
      </w:r>
      <w:r>
        <w:rPr>
          <w:rFonts w:ascii="Arial" w:hAnsi="Arial"/>
          <w:sz w:val="21"/>
        </w:rPr>
        <w:t>practice</w:t>
      </w:r>
      <w:r>
        <w:rPr>
          <w:rFonts w:ascii="Arial" w:hAnsi="Arial"/>
          <w:sz w:val="20"/>
        </w:rPr>
        <w:t> </w:t>
      </w:r>
      <w:r>
        <w:rPr>
          <w:rFonts w:ascii="Arial" w:hAnsi="Arial"/>
          <w:sz w:val="21"/>
        </w:rPr>
        <w:t>or</w:t>
      </w:r>
      <w:r>
        <w:rPr>
          <w:rFonts w:ascii="Arial" w:hAnsi="Arial"/>
          <w:sz w:val="20"/>
        </w:rPr>
        <w:t> </w:t>
      </w:r>
      <w:r>
        <w:rPr>
          <w:rFonts w:ascii="Arial" w:hAnsi="Arial"/>
          <w:sz w:val="21"/>
        </w:rPr>
        <w:t>policy</w:t>
      </w:r>
      <w:r>
        <w:rPr>
          <w:rFonts w:ascii="Arial" w:hAnsi="Arial"/>
          <w:sz w:val="20"/>
        </w:rPr>
        <w:t> </w:t>
      </w:r>
      <w:r>
        <w:rPr>
          <w:rFonts w:ascii="Arial" w:hAnsi="Arial"/>
          <w:sz w:val="21"/>
        </w:rPr>
        <w:t>of</w:t>
      </w:r>
      <w:r>
        <w:rPr>
          <w:rFonts w:ascii="Arial" w:hAnsi="Arial"/>
          <w:sz w:val="20"/>
        </w:rPr>
        <w:t> </w:t>
      </w:r>
      <w:r>
        <w:rPr>
          <w:rFonts w:ascii="Arial" w:hAnsi="Arial"/>
          <w:sz w:val="21"/>
        </w:rPr>
        <w:t>an</w:t>
      </w:r>
      <w:r>
        <w:rPr>
          <w:rFonts w:ascii="Arial" w:hAnsi="Arial"/>
          <w:sz w:val="20"/>
        </w:rPr>
        <w:t> </w:t>
      </w:r>
      <w:r>
        <w:rPr>
          <w:rFonts w:ascii="Arial" w:hAnsi="Arial"/>
          <w:sz w:val="21"/>
        </w:rPr>
        <w:t>Government Body;</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686" w:right="2455" w:hanging="0"/>
        <w:jc w:val="both"/>
        <w:rPr>
          <w:rFonts w:ascii="Arial" w:hAnsi="Arial"/>
          <w:sz w:val="20"/>
        </w:rPr>
      </w:pPr>
      <w:r>
        <w:rPr>
          <w:rFonts w:ascii="Arial" w:hAnsi="Arial"/>
          <w:sz w:val="21"/>
        </w:rPr>
        <w:t>(c)investigation</w:t>
      </w:r>
      <w:r>
        <w:rPr>
          <w:rFonts w:ascii="Arial" w:hAnsi="Arial"/>
          <w:sz w:val="20"/>
        </w:rPr>
        <w:t> </w:t>
      </w:r>
      <w:r>
        <w:rPr>
          <w:rFonts w:ascii="Arial" w:hAnsi="Arial"/>
          <w:sz w:val="21"/>
        </w:rPr>
        <w:t>into</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or</w:t>
      </w:r>
      <w:r>
        <w:rPr>
          <w:rFonts w:ascii="Arial" w:hAnsi="Arial"/>
          <w:sz w:val="20"/>
        </w:rPr>
        <w:t> </w:t>
      </w:r>
      <w:r>
        <w:rPr>
          <w:rFonts w:ascii="Arial" w:hAnsi="Arial"/>
          <w:sz w:val="21"/>
        </w:rPr>
        <w:t>any</w:t>
      </w:r>
      <w:r>
        <w:rPr>
          <w:rFonts w:ascii="Arial" w:hAnsi="Arial"/>
          <w:sz w:val="20"/>
        </w:rPr>
        <w:t> </w:t>
      </w:r>
      <w:r>
        <w:rPr>
          <w:rFonts w:ascii="Arial" w:hAnsi="Arial"/>
          <w:sz w:val="21"/>
        </w:rPr>
        <w:t>related</w:t>
      </w:r>
      <w:r>
        <w:rPr>
          <w:rFonts w:ascii="Arial" w:hAnsi="Arial"/>
          <w:sz w:val="20"/>
        </w:rPr>
        <w:t> </w:t>
      </w:r>
      <w:r>
        <w:rPr>
          <w:rFonts w:ascii="Arial" w:hAnsi="Arial"/>
          <w:sz w:val="21"/>
        </w:rPr>
        <w:t>entity</w:t>
      </w:r>
      <w:r>
        <w:rPr>
          <w:rFonts w:ascii="Arial" w:hAnsi="Arial"/>
          <w:sz w:val="20"/>
        </w:rPr>
        <w:t> </w:t>
      </w:r>
      <w:r>
        <w:rPr>
          <w:rFonts w:ascii="Arial" w:hAnsi="Arial"/>
          <w:sz w:val="21"/>
        </w:rPr>
        <w:t>of</w:t>
      </w:r>
      <w:r>
        <w:rPr>
          <w:rFonts w:ascii="Arial" w:hAnsi="Arial"/>
          <w:sz w:val="20"/>
        </w:rPr>
        <w:t> </w:t>
      </w:r>
      <w:r>
        <w:rPr>
          <w:rFonts w:ascii="Arial" w:hAnsi="Arial"/>
          <w:sz w:val="21"/>
        </w:rPr>
        <w:t>a Transaction Party by a Government Body;</w:t>
      </w:r>
      <w:r>
        <w:rPr>
          <w:rFonts w:ascii="Arial" w:hAnsi="Arial"/>
          <w:sz w:val="20"/>
        </w:rPr>
        <w:t xml:space="preserve"> </w:t>
      </w:r>
    </w:p>
    <w:p>
      <w:pPr>
        <w:pStyle w:val="TextBody"/>
        <w:bidi w:val="0"/>
        <w:spacing w:lineRule="auto" w:line="266" w:before="0" w:after="0"/>
        <w:ind w:left="3686" w:right="2253" w:hanging="0"/>
        <w:jc w:val="both"/>
        <w:rPr>
          <w:rFonts w:ascii="Arial" w:hAnsi="Arial"/>
          <w:sz w:val="20"/>
        </w:rPr>
      </w:pPr>
      <w:r>
        <w:rPr>
          <w:rFonts w:ascii="Arial" w:hAnsi="Arial"/>
          <w:sz w:val="21"/>
        </w:rPr>
        <w:t>(d)application</w:t>
      </w:r>
      <w:r>
        <w:rPr>
          <w:rFonts w:ascii="Arial" w:hAnsi="Arial"/>
          <w:sz w:val="20"/>
        </w:rPr>
        <w:t> </w:t>
      </w:r>
      <w:r>
        <w:rPr>
          <w:rFonts w:ascii="Arial" w:hAnsi="Arial"/>
          <w:sz w:val="21"/>
        </w:rPr>
        <w:t>for</w:t>
      </w:r>
      <w:r>
        <w:rPr>
          <w:rFonts w:ascii="Arial" w:hAnsi="Arial"/>
          <w:sz w:val="20"/>
        </w:rPr>
        <w:t> </w:t>
      </w:r>
      <w:r>
        <w:rPr>
          <w:rFonts w:ascii="Arial" w:hAnsi="Arial"/>
          <w:sz w:val="21"/>
        </w:rPr>
        <w:t>or</w:t>
      </w:r>
      <w:r>
        <w:rPr>
          <w:rFonts w:ascii="Arial" w:hAnsi="Arial"/>
          <w:sz w:val="20"/>
        </w:rPr>
        <w:t> </w:t>
      </w:r>
      <w:r>
        <w:rPr>
          <w:rFonts w:ascii="Arial" w:hAnsi="Arial"/>
          <w:sz w:val="21"/>
        </w:rPr>
        <w:t>grant</w:t>
      </w:r>
      <w:r>
        <w:rPr>
          <w:rFonts w:ascii="Arial" w:hAnsi="Arial"/>
          <w:sz w:val="20"/>
        </w:rPr>
        <w:t> </w:t>
      </w:r>
      <w:r>
        <w:rPr>
          <w:rFonts w:ascii="Arial" w:hAnsi="Arial"/>
          <w:sz w:val="21"/>
        </w:rPr>
        <w:t>of</w:t>
      </w:r>
      <w:r>
        <w:rPr>
          <w:rFonts w:ascii="Arial" w:hAnsi="Arial"/>
          <w:sz w:val="20"/>
        </w:rPr>
        <w:t> </w:t>
      </w:r>
      <w:r>
        <w:rPr>
          <w:rFonts w:ascii="Arial" w:hAnsi="Arial"/>
          <w:sz w:val="21"/>
        </w:rPr>
        <w:t>an</w:t>
      </w:r>
      <w:r>
        <w:rPr>
          <w:rFonts w:ascii="Arial" w:hAnsi="Arial"/>
          <w:sz w:val="20"/>
        </w:rPr>
        <w:t> </w:t>
      </w:r>
      <w:r>
        <w:rPr>
          <w:rFonts w:ascii="Arial" w:hAnsi="Arial"/>
          <w:sz w:val="21"/>
        </w:rPr>
        <w:t>injunction</w:t>
      </w:r>
      <w:r>
        <w:rPr>
          <w:rFonts w:ascii="Arial" w:hAnsi="Arial"/>
          <w:sz w:val="20"/>
        </w:rPr>
        <w:t> </w:t>
      </w:r>
      <w:r>
        <w:rPr>
          <w:rFonts w:ascii="Arial" w:hAnsi="Arial"/>
          <w:sz w:val="21"/>
        </w:rPr>
        <w:t>or</w:t>
      </w:r>
      <w:r>
        <w:rPr>
          <w:rFonts w:ascii="Arial" w:hAnsi="Arial"/>
          <w:sz w:val="20"/>
        </w:rPr>
        <w:t> </w:t>
      </w:r>
      <w:r>
        <w:rPr>
          <w:rFonts w:ascii="Arial" w:hAnsi="Arial"/>
          <w:sz w:val="21"/>
        </w:rPr>
        <w:t>order</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any Encumbrance,</w:t>
      </w:r>
      <w:r>
        <w:rPr>
          <w:rFonts w:ascii="Arial" w:hAnsi="Arial"/>
          <w:sz w:val="20"/>
        </w:rPr>
        <w:t> </w:t>
      </w:r>
      <w:r>
        <w:rPr>
          <w:rFonts w:ascii="Arial" w:hAnsi="Arial"/>
          <w:sz w:val="21"/>
        </w:rPr>
        <w:t>Facility or</w:t>
      </w:r>
      <w:r>
        <w:rPr>
          <w:rFonts w:ascii="Arial" w:hAnsi="Arial"/>
          <w:sz w:val="20"/>
        </w:rPr>
        <w:t> </w:t>
      </w:r>
      <w:r>
        <w:rPr>
          <w:rFonts w:ascii="Arial" w:hAnsi="Arial"/>
          <w:sz w:val="21"/>
        </w:rPr>
        <w:t>account</w:t>
      </w:r>
      <w:r>
        <w:rPr>
          <w:rFonts w:ascii="Arial" w:hAnsi="Arial"/>
          <w:sz w:val="20"/>
        </w:rPr>
        <w:t> </w:t>
      </w:r>
      <w:r>
        <w:rPr>
          <w:rFonts w:ascii="Arial" w:hAnsi="Arial"/>
          <w:sz w:val="21"/>
        </w:rPr>
        <w:t>held with the Bank made by a Government Body, or</w:t>
      </w:r>
      <w:r>
        <w:rPr>
          <w:rFonts w:ascii="Arial" w:hAnsi="Arial"/>
          <w:sz w:val="20"/>
        </w:rPr>
        <w:t xml:space="preserve"> </w:t>
      </w:r>
    </w:p>
    <w:p>
      <w:pPr>
        <w:pStyle w:val="TextBody"/>
        <w:bidi w:val="0"/>
        <w:spacing w:lineRule="auto" w:line="266" w:before="120" w:after="0"/>
        <w:ind w:left="3686" w:right="1438" w:hanging="0"/>
        <w:jc w:val="left"/>
        <w:rPr>
          <w:rFonts w:ascii="Arial" w:hAnsi="Arial"/>
          <w:sz w:val="20"/>
        </w:rPr>
      </w:pPr>
      <w:r>
        <w:rPr>
          <w:rFonts w:ascii="Arial" w:hAnsi="Arial"/>
          <w:sz w:val="21"/>
        </w:rPr>
        <w:t>(e)change</w:t>
      </w:r>
      <w:r>
        <w:rPr>
          <w:rFonts w:ascii="Arial" w:hAnsi="Arial"/>
          <w:sz w:val="20"/>
        </w:rPr>
        <w:t> </w:t>
      </w:r>
      <w:r>
        <w:rPr>
          <w:rFonts w:ascii="Arial" w:hAnsi="Arial"/>
          <w:sz w:val="21"/>
        </w:rPr>
        <w:t>in,</w:t>
      </w:r>
      <w:r>
        <w:rPr>
          <w:rFonts w:ascii="Arial" w:hAnsi="Arial"/>
          <w:sz w:val="20"/>
        </w:rPr>
        <w:t> </w:t>
      </w:r>
      <w:r>
        <w:rPr>
          <w:rFonts w:ascii="Arial" w:hAnsi="Arial"/>
          <w:sz w:val="21"/>
        </w:rPr>
        <w:t>or</w:t>
      </w:r>
      <w:r>
        <w:rPr>
          <w:rFonts w:ascii="Arial" w:hAnsi="Arial"/>
          <w:sz w:val="20"/>
        </w:rPr>
        <w:t> </w:t>
      </w:r>
      <w:r>
        <w:rPr>
          <w:rFonts w:ascii="Arial" w:hAnsi="Arial"/>
          <w:sz w:val="21"/>
        </w:rPr>
        <w:t>introduction</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new,</w:t>
      </w:r>
      <w:r>
        <w:rPr>
          <w:rFonts w:ascii="Arial" w:hAnsi="Arial"/>
          <w:sz w:val="20"/>
        </w:rPr>
        <w:t> </w:t>
      </w:r>
      <w:r>
        <w:rPr>
          <w:rFonts w:ascii="Arial" w:hAnsi="Arial"/>
          <w:sz w:val="21"/>
        </w:rPr>
        <w:t>code</w:t>
      </w:r>
      <w:r>
        <w:rPr>
          <w:rFonts w:ascii="Arial" w:hAnsi="Arial"/>
          <w:sz w:val="20"/>
        </w:rPr>
        <w:t> </w:t>
      </w:r>
      <w:r>
        <w:rPr>
          <w:rFonts w:ascii="Arial" w:hAnsi="Arial"/>
          <w:sz w:val="21"/>
        </w:rPr>
        <w:t>of</w:t>
      </w:r>
      <w:r>
        <w:rPr>
          <w:rFonts w:ascii="Arial" w:hAnsi="Arial"/>
          <w:sz w:val="20"/>
        </w:rPr>
        <w:t> </w:t>
      </w:r>
      <w:r>
        <w:rPr>
          <w:rFonts w:ascii="Arial" w:hAnsi="Arial"/>
          <w:sz w:val="21"/>
        </w:rPr>
        <w:t>practice</w:t>
      </w:r>
      <w:r>
        <w:rPr>
          <w:rFonts w:ascii="Arial" w:hAnsi="Arial"/>
          <w:sz w:val="20"/>
        </w:rPr>
        <w:t> </w:t>
      </w:r>
      <w:r>
        <w:rPr>
          <w:rFonts w:ascii="Arial" w:hAnsi="Arial"/>
          <w:sz w:val="21"/>
        </w:rPr>
        <w:t>or</w:t>
      </w:r>
      <w:r>
        <w:rPr>
          <w:rFonts w:ascii="Arial" w:hAnsi="Arial"/>
          <w:sz w:val="20"/>
        </w:rPr>
        <w:t> </w:t>
      </w:r>
      <w:r>
        <w:rPr>
          <w:rFonts w:ascii="Arial" w:hAnsi="Arial"/>
          <w:sz w:val="21"/>
        </w:rPr>
        <w:t>custom</w:t>
      </w:r>
      <w:r>
        <w:rPr>
          <w:rFonts w:ascii="Arial" w:hAnsi="Arial"/>
          <w:sz w:val="20"/>
        </w:rPr>
        <w:t> </w:t>
      </w:r>
      <w:r>
        <w:rPr>
          <w:rFonts w:ascii="Arial" w:hAnsi="Arial"/>
          <w:sz w:val="21"/>
        </w:rPr>
        <w:t>relating</w:t>
      </w:r>
      <w:r>
        <w:rPr>
          <w:rFonts w:ascii="Arial" w:hAnsi="Arial"/>
          <w:sz w:val="20"/>
        </w:rPr>
        <w:t> </w:t>
      </w:r>
      <w:r>
        <w:rPr>
          <w:rFonts w:ascii="Arial" w:hAnsi="Arial"/>
          <w:sz w:val="21"/>
        </w:rPr>
        <w:t>to the provision of the Services which a reasonable and prudent banker would comply with,</w:t>
      </w:r>
      <w:r>
        <w:rPr>
          <w:rFonts w:ascii="Arial" w:hAnsi="Arial"/>
          <w:sz w:val="20"/>
        </w:rPr>
        <w:t xml:space="preserve"> </w:t>
      </w:r>
    </w:p>
    <w:p>
      <w:pPr>
        <w:pStyle w:val="TextBody"/>
        <w:pBdr/>
        <w:bidi w:val="0"/>
        <w:spacing w:lineRule="auto" w:line="266" w:before="118" w:after="0"/>
        <w:ind w:left="3120" w:right="1635" w:hanging="0"/>
        <w:jc w:val="left"/>
        <w:rPr>
          <w:rFonts w:ascii="Arial" w:hAnsi="Arial"/>
          <w:sz w:val="22"/>
        </w:rPr>
      </w:pPr>
      <w:r>
        <w:rPr>
          <w:rFonts w:ascii="Arial" w:hAnsi="Arial"/>
          <w:sz w:val="22"/>
        </w:rPr>
        <w:t xml:space="preserve">whether in Australia or elsewhere, that, in the Bank’s good faith opinion, applies in any way to a Transaction Party, or the Service. </w:t>
      </w:r>
    </w:p>
    <w:p>
      <w:pPr>
        <w:pStyle w:val="TextBody"/>
        <w:pBdr/>
        <w:bidi w:val="0"/>
        <w:spacing w:lineRule="auto" w:line="266" w:before="119" w:after="0"/>
        <w:ind w:left="3120" w:right="1366" w:hanging="0"/>
        <w:jc w:val="left"/>
        <w:rPr>
          <w:rFonts w:ascii="Arial" w:hAnsi="Arial"/>
          <w:sz w:val="22"/>
        </w:rPr>
      </w:pPr>
      <w:r>
        <w:rPr>
          <w:rFonts w:ascii="Arial" w:hAnsi="Arial"/>
          <w:b/>
          <w:sz w:val="22"/>
        </w:rPr>
        <w:t>Representative</w:t>
      </w:r>
      <w:r>
        <w:rPr>
          <w:rFonts w:ascii="Arial" w:hAnsi="Arial"/>
          <w:sz w:val="22"/>
        </w:rPr>
        <w:t xml:space="preserve"> of a person means an officer, employee, contractor or agent of that person. </w:t>
      </w:r>
    </w:p>
    <w:p>
      <w:pPr>
        <w:pStyle w:val="TextBody"/>
        <w:pBdr/>
        <w:bidi w:val="0"/>
        <w:spacing w:lineRule="auto" w:line="266" w:before="119" w:after="0"/>
        <w:ind w:left="3120" w:right="1486" w:hanging="0"/>
        <w:jc w:val="left"/>
        <w:rPr>
          <w:rFonts w:ascii="Arial" w:hAnsi="Arial"/>
          <w:sz w:val="22"/>
        </w:rPr>
      </w:pPr>
      <w:r>
        <w:rPr>
          <w:rFonts w:ascii="Arial" w:hAnsi="Arial"/>
          <w:b/>
          <w:sz w:val="22"/>
        </w:rPr>
        <w:t>Reset</w:t>
      </w:r>
      <w:r>
        <w:rPr>
          <w:rFonts w:ascii="Arial" w:hAnsi="Arial"/>
          <w:sz w:val="22"/>
        </w:rPr>
        <w:t> </w:t>
      </w:r>
      <w:r>
        <w:rPr>
          <w:rFonts w:ascii="Arial" w:hAnsi="Arial"/>
          <w:b/>
          <w:sz w:val="22"/>
        </w:rPr>
        <w:t>Margin</w:t>
      </w:r>
      <w:r>
        <w:rPr>
          <w:rFonts w:ascii="Arial" w:hAnsi="Arial"/>
          <w:sz w:val="22"/>
        </w:rPr>
        <w:t xml:space="preserve"> means the reset margin (if any) applicable if a Pricing Period is, or becomes, shorter than three months, as determined in accordance with </w:t>
      </w:r>
      <w:r>
        <w:rPr>
          <w:rFonts w:ascii="Arial" w:hAnsi="Arial"/>
          <w:b/>
          <w:sz w:val="22"/>
        </w:rPr>
        <w:t>clause 6.6</w:t>
      </w:r>
      <w:r>
        <w:rPr>
          <w:rFonts w:ascii="Arial" w:hAnsi="Arial"/>
          <w:sz w:val="22"/>
        </w:rPr>
        <w:t xml:space="preserve">. It is 0.02% per annum (indicatively). </w:t>
      </w:r>
    </w:p>
    <w:p>
      <w:pPr>
        <w:pStyle w:val="TextBody"/>
        <w:pBdr/>
        <w:bidi w:val="0"/>
        <w:spacing w:lineRule="auto" w:line="266" w:before="120" w:after="0"/>
        <w:ind w:left="3120" w:right="1471" w:hanging="0"/>
        <w:jc w:val="left"/>
        <w:rPr>
          <w:rFonts w:ascii="Arial" w:hAnsi="Arial"/>
          <w:sz w:val="22"/>
        </w:rPr>
      </w:pPr>
      <w:r>
        <w:rPr>
          <w:rFonts w:ascii="Arial" w:hAnsi="Arial"/>
          <w:b/>
          <w:sz w:val="22"/>
        </w:rPr>
        <w:t xml:space="preserve">Restatement Deed </w:t>
      </w:r>
      <w:r>
        <w:rPr>
          <w:rFonts w:ascii="Arial" w:hAnsi="Arial"/>
          <w:sz w:val="22"/>
        </w:rPr>
        <w:t xml:space="preserve">means the document entitled ‘Restatement Deed’ executed in December 2015 between the Bank and the Transaction Parties. </w:t>
      </w:r>
    </w:p>
    <w:p>
      <w:pPr>
        <w:pStyle w:val="TextBody"/>
        <w:bidi w:val="0"/>
        <w:spacing w:before="117" w:after="0"/>
        <w:ind w:left="3120" w:right="700" w:hanging="0"/>
        <w:jc w:val="left"/>
        <w:rPr/>
      </w:pPr>
      <w:r>
        <w:rPr>
          <w:rFonts w:ascii="Arial" w:hAnsi="Arial"/>
          <w:b/>
          <w:sz w:val="21"/>
        </w:rPr>
        <w:t>Review</w:t>
      </w:r>
      <w:r>
        <w:rPr>
          <w:rFonts w:ascii="Arial" w:hAnsi="Arial"/>
          <w:sz w:val="20"/>
        </w:rPr>
        <w:t> </w:t>
      </w:r>
      <w:r>
        <w:rPr>
          <w:rFonts w:ascii="Arial" w:hAnsi="Arial"/>
          <w:b/>
          <w:sz w:val="21"/>
        </w:rPr>
        <w:t>Event</w:t>
      </w:r>
      <w:r>
        <w:rPr>
          <w:rFonts w:ascii="Arial" w:hAnsi="Arial"/>
          <w:sz w:val="20"/>
        </w:rPr>
        <w:t> </w:t>
      </w:r>
      <w:r>
        <w:rPr>
          <w:rFonts w:ascii="Arial" w:hAnsi="Arial"/>
          <w:sz w:val="21"/>
        </w:rPr>
        <w:t>means</w:t>
      </w:r>
      <w:r>
        <w:rPr>
          <w:rFonts w:ascii="Arial" w:hAnsi="Arial"/>
          <w:sz w:val="20"/>
        </w:rPr>
        <w:t> </w:t>
      </w:r>
      <w:r>
        <w:rPr>
          <w:rFonts w:ascii="Arial" w:hAnsi="Arial"/>
          <w:sz w:val="21"/>
        </w:rPr>
        <w:t>any</w:t>
      </w:r>
      <w:r>
        <w:rPr>
          <w:rFonts w:ascii="Arial" w:hAnsi="Arial"/>
          <w:sz w:val="20"/>
        </w:rPr>
        <w:t> </w:t>
      </w:r>
      <w:r>
        <w:rPr>
          <w:rFonts w:ascii="Arial" w:hAnsi="Arial"/>
          <w:sz w:val="21"/>
        </w:rPr>
        <w:t>event</w:t>
      </w:r>
      <w:r>
        <w:rPr>
          <w:rFonts w:ascii="Arial" w:hAnsi="Arial"/>
          <w:sz w:val="20"/>
        </w:rPr>
        <w:t> </w:t>
      </w:r>
      <w:r>
        <w:rPr>
          <w:rFonts w:ascii="Arial" w:hAnsi="Arial"/>
          <w:sz w:val="21"/>
        </w:rPr>
        <w:t>or</w:t>
      </w:r>
      <w:r>
        <w:rPr>
          <w:rFonts w:ascii="Arial" w:hAnsi="Arial"/>
          <w:sz w:val="20"/>
        </w:rPr>
        <w:t> </w:t>
      </w:r>
      <w:r>
        <w:rPr>
          <w:rFonts w:ascii="Arial" w:hAnsi="Arial"/>
          <w:sz w:val="21"/>
        </w:rPr>
        <w:t>circumstance</w:t>
      </w:r>
      <w:r>
        <w:rPr>
          <w:rFonts w:ascii="Arial" w:hAnsi="Arial"/>
          <w:sz w:val="20"/>
        </w:rPr>
        <w:t> </w:t>
      </w:r>
      <w:r>
        <w:rPr>
          <w:rFonts w:ascii="Arial" w:hAnsi="Arial"/>
          <w:sz w:val="21"/>
        </w:rPr>
        <w:t>described</w:t>
      </w:r>
      <w:r>
        <w:rPr>
          <w:rFonts w:ascii="Arial" w:hAnsi="Arial"/>
          <w:sz w:val="20"/>
        </w:rPr>
        <w:t> </w:t>
      </w:r>
      <w:r>
        <w:rPr>
          <w:rFonts w:ascii="Arial" w:hAnsi="Arial"/>
          <w:sz w:val="21"/>
        </w:rPr>
        <w:t>in</w:t>
      </w:r>
      <w:r>
        <w:rPr>
          <w:rFonts w:ascii="Arial" w:hAnsi="Arial"/>
          <w:sz w:val="20"/>
        </w:rPr>
        <w:t> </w:t>
      </w:r>
      <w:r>
        <w:rPr>
          <w:rFonts w:ascii="Arial" w:hAnsi="Arial"/>
          <w:b/>
          <w:sz w:val="21"/>
        </w:rPr>
        <w:t>clause</w:t>
      </w:r>
      <w:r>
        <w:rPr>
          <w:rFonts w:ascii="Arial" w:hAnsi="Arial"/>
          <w:sz w:val="20"/>
        </w:rPr>
        <w:t> </w:t>
      </w:r>
      <w:hyperlink w:anchor="_bookmark115">
        <w:r>
          <w:rPr>
            <w:rStyle w:val="InternetLink"/>
            <w:rFonts w:ascii="Arial" w:hAnsi="Arial"/>
            <w:b/>
            <w:sz w:val="21"/>
          </w:rPr>
          <w:t>10.4</w:t>
        </w:r>
      </w:hyperlink>
      <w:r>
        <w:rPr>
          <w:rFonts w:ascii="Arial" w:hAnsi="Arial"/>
          <w:sz w:val="21"/>
        </w:rPr>
        <w:t>.</w:t>
      </w:r>
      <w:r>
        <w:rPr>
          <w:rFonts w:ascii="Arial" w:hAnsi="Arial"/>
          <w:sz w:val="20"/>
        </w:rPr>
        <w:t xml:space="preserve"> </w:t>
      </w:r>
    </w:p>
    <w:p>
      <w:pPr>
        <w:pStyle w:val="TextBody"/>
        <w:pBdr/>
        <w:bidi w:val="0"/>
        <w:spacing w:lineRule="auto" w:line="266" w:before="150" w:after="0"/>
        <w:ind w:left="3120" w:right="1366" w:hanging="0"/>
        <w:jc w:val="left"/>
        <w:rPr>
          <w:rFonts w:ascii="Arial" w:hAnsi="Arial"/>
          <w:sz w:val="22"/>
        </w:rPr>
      </w:pPr>
      <w:r>
        <w:rPr>
          <w:rFonts w:ascii="Arial" w:hAnsi="Arial"/>
          <w:b/>
          <w:sz w:val="22"/>
        </w:rPr>
        <w:t>Revolving</w:t>
      </w:r>
      <w:r>
        <w:rPr>
          <w:rFonts w:ascii="Arial" w:hAnsi="Arial"/>
          <w:sz w:val="22"/>
        </w:rPr>
        <w:t> </w:t>
      </w:r>
      <w:r>
        <w:rPr>
          <w:rFonts w:ascii="Arial" w:hAnsi="Arial"/>
          <w:b/>
          <w:sz w:val="22"/>
        </w:rPr>
        <w:t>Tranche</w:t>
      </w:r>
      <w:r>
        <w:rPr>
          <w:rFonts w:ascii="Arial" w:hAnsi="Arial"/>
          <w:sz w:val="22"/>
        </w:rPr>
        <w:t xml:space="preserve"> means at any time, the aggregate of the unpaid Advances outstanding under the Corporate Markets Loan Facility at that time less the Term Tranche at that time. </w:t>
      </w:r>
    </w:p>
    <w:p>
      <w:pPr>
        <w:pStyle w:val="TextBody"/>
        <w:pBdr/>
        <w:bidi w:val="0"/>
        <w:spacing w:lineRule="auto" w:line="266" w:before="120" w:after="0"/>
        <w:ind w:left="3120" w:right="1471" w:hanging="0"/>
        <w:jc w:val="left"/>
        <w:rPr>
          <w:rFonts w:ascii="Arial" w:hAnsi="Arial"/>
          <w:sz w:val="22"/>
        </w:rPr>
      </w:pPr>
      <w:r>
        <w:rPr>
          <w:rFonts w:ascii="Arial" w:hAnsi="Arial"/>
          <w:b/>
          <w:sz w:val="22"/>
        </w:rPr>
        <w:t>Secured</w:t>
      </w:r>
      <w:r>
        <w:rPr>
          <w:rFonts w:ascii="Arial" w:hAnsi="Arial"/>
          <w:sz w:val="22"/>
        </w:rPr>
        <w:t> </w:t>
      </w:r>
      <w:r>
        <w:rPr>
          <w:rFonts w:ascii="Arial" w:hAnsi="Arial"/>
          <w:b/>
          <w:sz w:val="22"/>
        </w:rPr>
        <w:t>Property</w:t>
      </w:r>
      <w:r>
        <w:rPr>
          <w:rFonts w:ascii="Arial" w:hAnsi="Arial"/>
          <w:sz w:val="22"/>
        </w:rPr>
        <w:t xml:space="preserve"> means all property which, from time to time, is subject to a Security which forms part of the Collateral Security. </w:t>
      </w:r>
    </w:p>
    <w:p>
      <w:pPr>
        <w:pStyle w:val="TextBody"/>
        <w:pBdr/>
        <w:bidi w:val="0"/>
        <w:spacing w:lineRule="auto" w:line="266" w:before="119" w:after="0"/>
        <w:ind w:left="3120" w:right="1471" w:hanging="0"/>
        <w:jc w:val="left"/>
        <w:rPr>
          <w:rFonts w:ascii="Arial" w:hAnsi="Arial"/>
          <w:sz w:val="22"/>
        </w:rPr>
      </w:pPr>
      <w:r>
        <w:rPr>
          <w:rFonts w:ascii="Arial" w:hAnsi="Arial"/>
          <w:b/>
          <w:sz w:val="22"/>
        </w:rPr>
        <w:t>Security</w:t>
      </w:r>
      <w:r>
        <w:rPr>
          <w:rFonts w:ascii="Arial" w:hAnsi="Arial"/>
          <w:sz w:val="22"/>
        </w:rPr>
        <w:t xml:space="preserve"> means any document or transaction which reserves or creates a Security Interest. </w:t>
      </w:r>
    </w:p>
    <w:p>
      <w:pPr>
        <w:pStyle w:val="TextBody"/>
        <w:pBdr/>
        <w:bidi w:val="0"/>
        <w:spacing w:lineRule="auto" w:line="266" w:before="120" w:after="0"/>
        <w:ind w:left="3120" w:right="1525" w:hanging="0"/>
        <w:jc w:val="left"/>
        <w:rPr>
          <w:rFonts w:ascii="Arial" w:hAnsi="Arial"/>
          <w:sz w:val="22"/>
        </w:rPr>
      </w:pPr>
      <w:r>
        <w:rPr>
          <w:rFonts w:ascii="Arial" w:hAnsi="Arial"/>
          <w:b/>
          <w:sz w:val="22"/>
        </w:rPr>
        <w:t>Security</w:t>
      </w:r>
      <w:r>
        <w:rPr>
          <w:rFonts w:ascii="Arial" w:hAnsi="Arial"/>
          <w:sz w:val="22"/>
        </w:rPr>
        <w:t> </w:t>
      </w:r>
      <w:r>
        <w:rPr>
          <w:rFonts w:ascii="Arial" w:hAnsi="Arial"/>
          <w:b/>
          <w:sz w:val="22"/>
        </w:rPr>
        <w:t>Interest</w:t>
      </w:r>
      <w:r>
        <w:rPr>
          <w:rFonts w:ascii="Arial" w:hAnsi="Arial"/>
          <w:sz w:val="22"/>
        </w:rPr>
        <w:t xml:space="preserve"> means any interest or right which secures the payment of a debt or other monetary obligation or the compliance with any other obligation. It includes any retention of title to any property and any right to set off or withhold payment of any deposit or other money. </w:t>
      </w:r>
    </w:p>
    <w:p>
      <w:pPr>
        <w:pStyle w:val="TextBody"/>
        <w:pBdr/>
        <w:bidi w:val="0"/>
        <w:spacing w:lineRule="auto" w:line="266" w:before="118" w:after="0"/>
        <w:ind w:left="3120" w:right="1471" w:hanging="0"/>
        <w:jc w:val="left"/>
        <w:rPr>
          <w:rFonts w:ascii="Arial" w:hAnsi="Arial"/>
          <w:sz w:val="22"/>
        </w:rPr>
      </w:pPr>
      <w:r>
        <w:rPr>
          <w:rFonts w:ascii="Arial" w:hAnsi="Arial"/>
          <w:b/>
          <w:sz w:val="22"/>
        </w:rPr>
        <w:t>Security</w:t>
      </w:r>
      <w:r>
        <w:rPr>
          <w:rFonts w:ascii="Arial" w:hAnsi="Arial"/>
          <w:sz w:val="22"/>
        </w:rPr>
        <w:t> </w:t>
      </w:r>
      <w:r>
        <w:rPr>
          <w:rFonts w:ascii="Arial" w:hAnsi="Arial"/>
          <w:b/>
          <w:sz w:val="22"/>
        </w:rPr>
        <w:t>Provider</w:t>
      </w:r>
      <w:r>
        <w:rPr>
          <w:rFonts w:ascii="Arial" w:hAnsi="Arial"/>
          <w:sz w:val="22"/>
        </w:rPr>
        <w:t xml:space="preserve"> means each person who gives a Collateral Security (other than a related body corporate of the Bank). </w:t>
      </w:r>
    </w:p>
    <w:p>
      <w:pPr>
        <w:pStyle w:val="TextBody"/>
        <w:pBdr/>
        <w:bidi w:val="0"/>
        <w:spacing w:lineRule="auto" w:line="266" w:before="119" w:after="0"/>
        <w:ind w:left="3120" w:right="1366" w:hanging="0"/>
        <w:jc w:val="left"/>
        <w:rPr>
          <w:rFonts w:ascii="Arial" w:hAnsi="Arial"/>
          <w:sz w:val="22"/>
        </w:rPr>
      </w:pPr>
      <w:r>
        <w:rPr>
          <w:rFonts w:ascii="Arial" w:hAnsi="Arial"/>
          <w:b/>
          <w:sz w:val="22"/>
        </w:rPr>
        <w:t xml:space="preserve">Service </w:t>
      </w:r>
      <w:r>
        <w:rPr>
          <w:rFonts w:ascii="Arial" w:hAnsi="Arial"/>
          <w:sz w:val="22"/>
        </w:rPr>
        <w:t xml:space="preserve">means any service the Bank provides to the Borrower under or in relation to a Facility including making or processing any payment or issuing any document. </w:t>
      </w:r>
    </w:p>
    <w:p>
      <w:pPr>
        <w:pStyle w:val="TextBody"/>
        <w:bidi w:val="0"/>
        <w:spacing w:before="120" w:after="0"/>
        <w:ind w:left="3120" w:right="700" w:hanging="0"/>
        <w:jc w:val="left"/>
        <w:rPr>
          <w:rFonts w:ascii="Arial" w:hAnsi="Arial"/>
          <w:sz w:val="20"/>
        </w:rPr>
      </w:pPr>
      <w:r>
        <w:rPr>
          <w:rFonts w:ascii="Arial" w:hAnsi="Arial"/>
          <w:b/>
          <w:sz w:val="21"/>
        </w:rPr>
        <w:t>Subordinated</w:t>
      </w:r>
      <w:r>
        <w:rPr>
          <w:rFonts w:ascii="Arial" w:hAnsi="Arial"/>
          <w:sz w:val="20"/>
        </w:rPr>
        <w:t> </w:t>
      </w:r>
      <w:r>
        <w:rPr>
          <w:rFonts w:ascii="Arial" w:hAnsi="Arial"/>
          <w:b/>
          <w:sz w:val="21"/>
        </w:rPr>
        <w:t>Debt</w:t>
      </w:r>
      <w:r>
        <w:rPr>
          <w:rFonts w:ascii="Arial" w:hAnsi="Arial"/>
          <w:sz w:val="20"/>
        </w:rPr>
        <w:t> </w:t>
      </w:r>
      <w:r>
        <w:rPr>
          <w:rFonts w:ascii="Arial" w:hAnsi="Arial"/>
          <w:sz w:val="21"/>
        </w:rPr>
        <w:t>means:</w:t>
      </w:r>
      <w:r>
        <w:rPr>
          <w:rFonts w:ascii="Arial" w:hAnsi="Arial"/>
          <w:sz w:val="20"/>
        </w:rPr>
        <w:t xml:space="preserve"> </w:t>
      </w:r>
    </w:p>
    <w:p>
      <w:pPr>
        <w:pStyle w:val="TextBody"/>
        <w:bidi w:val="0"/>
        <w:spacing w:lineRule="auto" w:line="266" w:before="147" w:after="0"/>
        <w:ind w:left="3686" w:right="1543" w:hanging="0"/>
        <w:jc w:val="left"/>
        <w:rPr>
          <w:rFonts w:ascii="Arial" w:hAnsi="Arial"/>
          <w:sz w:val="20"/>
        </w:rPr>
      </w:pPr>
      <w:r>
        <w:rPr>
          <w:rFonts w:ascii="Arial" w:hAnsi="Arial"/>
          <w:sz w:val="21"/>
        </w:rPr>
        <w:t>(a)Financial</w:t>
      </w:r>
      <w:r>
        <w:rPr>
          <w:rFonts w:ascii="Arial" w:hAnsi="Arial"/>
          <w:sz w:val="20"/>
        </w:rPr>
        <w:t> </w:t>
      </w:r>
      <w:r>
        <w:rPr>
          <w:rFonts w:ascii="Arial" w:hAnsi="Arial"/>
          <w:sz w:val="21"/>
        </w:rPr>
        <w:t>Indebtedness</w:t>
      </w:r>
      <w:r>
        <w:rPr>
          <w:rFonts w:ascii="Arial" w:hAnsi="Arial"/>
          <w:sz w:val="20"/>
        </w:rPr>
        <w:t> </w:t>
      </w:r>
      <w:r>
        <w:rPr>
          <w:rFonts w:ascii="Arial" w:hAnsi="Arial"/>
          <w:sz w:val="21"/>
        </w:rPr>
        <w:t>that</w:t>
      </w:r>
      <w:r>
        <w:rPr>
          <w:rFonts w:ascii="Arial" w:hAnsi="Arial"/>
          <w:sz w:val="20"/>
        </w:rPr>
        <w:t> </w:t>
      </w:r>
      <w:r>
        <w:rPr>
          <w:rFonts w:ascii="Arial" w:hAnsi="Arial"/>
          <w:sz w:val="21"/>
        </w:rPr>
        <w:t>is</w:t>
      </w:r>
      <w:r>
        <w:rPr>
          <w:rFonts w:ascii="Arial" w:hAnsi="Arial"/>
          <w:sz w:val="20"/>
        </w:rPr>
        <w:t> </w:t>
      </w:r>
      <w:r>
        <w:rPr>
          <w:rFonts w:ascii="Arial" w:hAnsi="Arial"/>
          <w:sz w:val="21"/>
        </w:rPr>
        <w:t>or</w:t>
      </w:r>
      <w:r>
        <w:rPr>
          <w:rFonts w:ascii="Arial" w:hAnsi="Arial"/>
          <w:sz w:val="20"/>
        </w:rPr>
        <w:t> </w:t>
      </w:r>
      <w:r>
        <w:rPr>
          <w:rFonts w:ascii="Arial" w:hAnsi="Arial"/>
          <w:sz w:val="21"/>
        </w:rPr>
        <w:t>may</w:t>
      </w:r>
      <w:r>
        <w:rPr>
          <w:rFonts w:ascii="Arial" w:hAnsi="Arial"/>
          <w:sz w:val="20"/>
        </w:rPr>
        <w:t> </w:t>
      </w:r>
      <w:r>
        <w:rPr>
          <w:rFonts w:ascii="Arial" w:hAnsi="Arial"/>
          <w:sz w:val="21"/>
        </w:rPr>
        <w:t>become</w:t>
      </w:r>
      <w:r>
        <w:rPr>
          <w:rFonts w:ascii="Arial" w:hAnsi="Arial"/>
          <w:sz w:val="20"/>
        </w:rPr>
        <w:t> </w:t>
      </w:r>
      <w:r>
        <w:rPr>
          <w:rFonts w:ascii="Arial" w:hAnsi="Arial"/>
          <w:sz w:val="21"/>
        </w:rPr>
        <w:t>owing</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to Reading International Cinemas, LLC, that is fully subordinated on the terms set out in the Parent Subordination Agreement; and</w:t>
      </w:r>
      <w:r>
        <w:rPr>
          <w:rFonts w:ascii="Arial" w:hAnsi="Arial"/>
          <w:sz w:val="20"/>
        </w:rPr>
        <w:t xml:space="preserve"> </w:t>
      </w:r>
    </w:p>
    <w:p>
      <w:pPr>
        <w:pStyle w:val="TextBody"/>
        <w:bidi w:val="0"/>
        <w:spacing w:lineRule="auto" w:line="266" w:before="118" w:after="0"/>
        <w:ind w:left="3686" w:right="1624" w:hanging="0"/>
        <w:jc w:val="left"/>
        <w:rPr>
          <w:rFonts w:ascii="Arial" w:hAnsi="Arial"/>
          <w:sz w:val="20"/>
        </w:rPr>
      </w:pPr>
      <w:r>
        <w:rPr>
          <w:rFonts w:ascii="Arial" w:hAnsi="Arial"/>
          <w:sz w:val="21"/>
        </w:rPr>
        <w:t>(b)Financial Indebtedness that is or may become owing by a Transaction Party to Reading International Inc (or any subsidiary or affiliate of Reading</w:t>
      </w:r>
      <w:r>
        <w:rPr>
          <w:rFonts w:ascii="Arial" w:hAnsi="Arial"/>
          <w:sz w:val="20"/>
        </w:rPr>
        <w:t> </w:t>
      </w:r>
      <w:r>
        <w:rPr>
          <w:rFonts w:ascii="Arial" w:hAnsi="Arial"/>
          <w:sz w:val="21"/>
        </w:rPr>
        <w:t>International</w:t>
      </w:r>
      <w:r>
        <w:rPr>
          <w:rFonts w:ascii="Arial" w:hAnsi="Arial"/>
          <w:sz w:val="20"/>
        </w:rPr>
        <w:t> </w:t>
      </w:r>
      <w:r>
        <w:rPr>
          <w:rFonts w:ascii="Arial" w:hAnsi="Arial"/>
          <w:sz w:val="21"/>
        </w:rPr>
        <w:t>Inc)</w:t>
      </w:r>
      <w:r>
        <w:rPr>
          <w:rFonts w:ascii="Arial" w:hAnsi="Arial"/>
          <w:sz w:val="20"/>
        </w:rPr>
        <w:t> </w:t>
      </w:r>
      <w:r>
        <w:rPr>
          <w:rFonts w:ascii="Arial" w:hAnsi="Arial"/>
          <w:sz w:val="21"/>
        </w:rPr>
        <w:t>that</w:t>
      </w:r>
      <w:r>
        <w:rPr>
          <w:rFonts w:ascii="Arial" w:hAnsi="Arial"/>
          <w:sz w:val="20"/>
        </w:rPr>
        <w:t> </w:t>
      </w:r>
      <w:r>
        <w:rPr>
          <w:rFonts w:ascii="Arial" w:hAnsi="Arial"/>
          <w:sz w:val="21"/>
        </w:rPr>
        <w:t>is</w:t>
      </w:r>
      <w:r>
        <w:rPr>
          <w:rFonts w:ascii="Arial" w:hAnsi="Arial"/>
          <w:sz w:val="20"/>
        </w:rPr>
        <w:t> </w:t>
      </w:r>
      <w:r>
        <w:rPr>
          <w:rFonts w:ascii="Arial" w:hAnsi="Arial"/>
          <w:sz w:val="21"/>
        </w:rPr>
        <w:t>fully</w:t>
      </w:r>
      <w:r>
        <w:rPr>
          <w:rFonts w:ascii="Arial" w:hAnsi="Arial"/>
          <w:sz w:val="20"/>
        </w:rPr>
        <w:t> </w:t>
      </w:r>
      <w:r>
        <w:rPr>
          <w:rFonts w:ascii="Arial" w:hAnsi="Arial"/>
          <w:sz w:val="21"/>
        </w:rPr>
        <w:t>subordinated</w:t>
      </w:r>
      <w:r>
        <w:rPr>
          <w:rFonts w:ascii="Arial" w:hAnsi="Arial"/>
          <w:sz w:val="20"/>
        </w:rPr>
        <w:t> </w:t>
      </w:r>
      <w:r>
        <w:rPr>
          <w:rFonts w:ascii="Arial" w:hAnsi="Arial"/>
          <w:sz w:val="21"/>
        </w:rPr>
        <w:t>on</w:t>
      </w:r>
      <w:r>
        <w:rPr>
          <w:rFonts w:ascii="Arial" w:hAnsi="Arial"/>
          <w:sz w:val="20"/>
        </w:rPr>
        <w:t> </w:t>
      </w:r>
      <w:r>
        <w:rPr>
          <w:rFonts w:ascii="Arial" w:hAnsi="Arial"/>
          <w:sz w:val="21"/>
        </w:rPr>
        <w:t>substantially</w:t>
      </w:r>
      <w:r>
        <w:rPr>
          <w:rFonts w:ascii="Arial" w:hAnsi="Arial"/>
          <w:sz w:val="20"/>
        </w:rPr>
        <w:t> </w:t>
      </w:r>
      <w:r>
        <w:rPr>
          <w:rFonts w:ascii="Arial" w:hAnsi="Arial"/>
          <w:sz w:val="21"/>
        </w:rPr>
        <w:t>the</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86" w:right="1471" w:hanging="0"/>
        <w:jc w:val="left"/>
        <w:rPr>
          <w:rFonts w:ascii="Arial" w:hAnsi="Arial"/>
          <w:sz w:val="22"/>
        </w:rPr>
      </w:pPr>
      <w:r>
        <w:rPr>
          <w:rFonts w:ascii="Arial" w:hAnsi="Arial"/>
          <w:sz w:val="22"/>
        </w:rPr>
        <w:t xml:space="preserve">same terms (except for the name and other details of the subordinated lender) as those set out in the Parent Subordination Agreement. </w:t>
      </w:r>
    </w:p>
    <w:p>
      <w:pPr>
        <w:pStyle w:val="TextBody"/>
        <w:pBdr/>
        <w:bidi w:val="0"/>
        <w:spacing w:lineRule="auto" w:line="266" w:before="119" w:after="0"/>
        <w:ind w:left="3120" w:right="1486" w:hanging="0"/>
        <w:jc w:val="left"/>
        <w:rPr>
          <w:rFonts w:ascii="Arial" w:hAnsi="Arial"/>
          <w:sz w:val="22"/>
        </w:rPr>
      </w:pPr>
      <w:r>
        <w:rPr>
          <w:rFonts w:ascii="Arial" w:hAnsi="Arial"/>
          <w:b/>
          <w:sz w:val="22"/>
        </w:rPr>
        <w:t>Tax</w:t>
      </w:r>
      <w:r>
        <w:rPr>
          <w:rFonts w:ascii="Arial" w:hAnsi="Arial"/>
          <w:sz w:val="22"/>
        </w:rPr>
        <w:t xml:space="preserve"> means a tax (including any tax in the nature of a goods and services tax), rate, levy, impost or duty (other than a tax on the net overall income of the Bank) and any interest, penalty, fine or expense relating to any of them. </w:t>
      </w:r>
    </w:p>
    <w:p>
      <w:pPr>
        <w:pStyle w:val="TextBody"/>
        <w:pBdr/>
        <w:bidi w:val="0"/>
        <w:spacing w:lineRule="auto" w:line="266" w:before="120" w:after="0"/>
        <w:ind w:left="3120" w:right="1500" w:hanging="0"/>
        <w:jc w:val="left"/>
        <w:rPr>
          <w:rFonts w:ascii="Arial" w:hAnsi="Arial"/>
          <w:sz w:val="22"/>
        </w:rPr>
      </w:pPr>
      <w:r>
        <w:rPr>
          <w:rFonts w:ascii="Arial" w:hAnsi="Arial"/>
          <w:b/>
          <w:sz w:val="22"/>
        </w:rPr>
        <w:t xml:space="preserve">Term Tranche </w:t>
      </w:r>
      <w:r>
        <w:rPr>
          <w:rFonts w:ascii="Arial" w:hAnsi="Arial"/>
          <w:sz w:val="22"/>
        </w:rPr>
        <w:t xml:space="preserve">means the first $43,000,000 of the unpaid Advances outstanding under the Corporate Markets Loan Facility on the ‘Amendment Date’ as defined in the Amendment Deed, as that amount may be reduced from time to time in accordance with </w:t>
      </w:r>
      <w:r>
        <w:rPr>
          <w:rFonts w:ascii="Arial" w:hAnsi="Arial"/>
          <w:b/>
          <w:sz w:val="22"/>
        </w:rPr>
        <w:t>clause 5.6</w:t>
      </w:r>
      <w:r>
        <w:rPr>
          <w:rFonts w:ascii="Arial" w:hAnsi="Arial"/>
          <w:sz w:val="22"/>
        </w:rPr>
        <w:t xml:space="preserve">. </w:t>
      </w:r>
    </w:p>
    <w:p>
      <w:pPr>
        <w:pStyle w:val="TextBody"/>
        <w:pBdr/>
        <w:bidi w:val="0"/>
        <w:spacing w:lineRule="auto" w:line="266" w:before="119" w:after="0"/>
        <w:ind w:left="3120" w:right="1471" w:hanging="0"/>
        <w:jc w:val="left"/>
        <w:rPr/>
      </w:pPr>
      <w:r>
        <w:rPr>
          <w:rFonts w:ascii="Arial" w:hAnsi="Arial"/>
          <w:b/>
          <w:sz w:val="22"/>
        </w:rPr>
        <w:t>Termination</w:t>
      </w:r>
      <w:r>
        <w:rPr>
          <w:rFonts w:ascii="Arial" w:hAnsi="Arial"/>
          <w:sz w:val="22"/>
        </w:rPr>
        <w:t> </w:t>
      </w:r>
      <w:r>
        <w:rPr>
          <w:rFonts w:ascii="Arial" w:hAnsi="Arial"/>
          <w:b/>
          <w:sz w:val="22"/>
        </w:rPr>
        <w:t>Date</w:t>
      </w:r>
      <w:r>
        <w:rPr>
          <w:rFonts w:ascii="Arial" w:hAnsi="Arial"/>
          <w:sz w:val="22"/>
        </w:rPr>
        <w:t xml:space="preserve"> means, in respect of each Facility, the Termination Date set out in </w:t>
      </w:r>
      <w:r>
        <w:rPr>
          <w:rFonts w:ascii="Arial" w:hAnsi="Arial"/>
          <w:b/>
          <w:sz w:val="22"/>
        </w:rPr>
        <w:t xml:space="preserve">schedule </w:t>
      </w:r>
      <w:hyperlink w:anchor="_bookmark201">
        <w:r>
          <w:rPr>
            <w:rStyle w:val="InternetLink"/>
            <w:rFonts w:ascii="Arial" w:hAnsi="Arial"/>
            <w:b/>
            <w:sz w:val="22"/>
          </w:rPr>
          <w:t>2</w:t>
        </w:r>
      </w:hyperlink>
      <w:r>
        <w:rPr>
          <w:rFonts w:ascii="Arial" w:hAnsi="Arial"/>
          <w:b/>
          <w:sz w:val="22"/>
        </w:rPr>
        <w:t>,  </w:t>
      </w:r>
      <w:r>
        <w:rPr>
          <w:rFonts w:ascii="Arial" w:hAnsi="Arial"/>
          <w:sz w:val="22"/>
        </w:rPr>
        <w:t xml:space="preserve">or such other date agreed in writing by the parties. </w:t>
      </w:r>
    </w:p>
    <w:p>
      <w:pPr>
        <w:pStyle w:val="TextBody"/>
        <w:pBdr/>
        <w:bidi w:val="0"/>
        <w:spacing w:lineRule="auto" w:line="266" w:before="119" w:after="0"/>
        <w:ind w:left="3120" w:right="1471" w:hanging="0"/>
        <w:jc w:val="left"/>
        <w:rPr>
          <w:rFonts w:ascii="Arial" w:hAnsi="Arial"/>
          <w:sz w:val="22"/>
        </w:rPr>
      </w:pPr>
      <w:r>
        <w:rPr>
          <w:rFonts w:ascii="Arial" w:hAnsi="Arial"/>
          <w:b/>
          <w:sz w:val="22"/>
        </w:rPr>
        <w:t xml:space="preserve">Total Gross Debt </w:t>
      </w:r>
      <w:r>
        <w:rPr>
          <w:rFonts w:ascii="Arial" w:hAnsi="Arial"/>
          <w:sz w:val="22"/>
        </w:rPr>
        <w:t xml:space="preserve">means, on any date, all Financial Indebtedness of the Reading Entertainment Australia Group, but excluding any Excluded Financial Indebtedness. </w:t>
      </w:r>
    </w:p>
    <w:p>
      <w:pPr>
        <w:pStyle w:val="TextBody"/>
        <w:pBdr/>
        <w:bidi w:val="0"/>
        <w:spacing w:lineRule="auto" w:line="266" w:before="117" w:after="0"/>
        <w:ind w:left="3120" w:right="1471" w:hanging="0"/>
        <w:jc w:val="left"/>
        <w:rPr>
          <w:rFonts w:ascii="Arial" w:hAnsi="Arial"/>
          <w:sz w:val="22"/>
        </w:rPr>
      </w:pPr>
      <w:r>
        <w:rPr>
          <w:rFonts w:ascii="Arial" w:hAnsi="Arial"/>
          <w:b/>
          <w:sz w:val="22"/>
        </w:rPr>
        <w:t>Total</w:t>
      </w:r>
      <w:r>
        <w:rPr>
          <w:rFonts w:ascii="Arial" w:hAnsi="Arial"/>
          <w:sz w:val="22"/>
        </w:rPr>
        <w:t> </w:t>
      </w:r>
      <w:r>
        <w:rPr>
          <w:rFonts w:ascii="Arial" w:hAnsi="Arial"/>
          <w:b/>
          <w:sz w:val="22"/>
        </w:rPr>
        <w:t>Lease</w:t>
      </w:r>
      <w:r>
        <w:rPr>
          <w:rFonts w:ascii="Arial" w:hAnsi="Arial"/>
          <w:sz w:val="22"/>
        </w:rPr>
        <w:t> </w:t>
      </w:r>
      <w:r>
        <w:rPr>
          <w:rFonts w:ascii="Arial" w:hAnsi="Arial"/>
          <w:b/>
          <w:sz w:val="22"/>
        </w:rPr>
        <w:t>Payments</w:t>
      </w:r>
      <w:r>
        <w:rPr>
          <w:rFonts w:ascii="Arial" w:hAnsi="Arial"/>
          <w:sz w:val="22"/>
        </w:rPr>
        <w:t xml:space="preserve"> means the aggregate amount of all rental expenditure of the Reading Entertainment Australia Group, other than rental expenditure payable to any Transaction Party, calculated in accordance with Accounting Standards, for that period. </w:t>
      </w:r>
    </w:p>
    <w:p>
      <w:pPr>
        <w:pStyle w:val="TextBody"/>
        <w:bidi w:val="0"/>
        <w:spacing w:before="121" w:after="0"/>
        <w:ind w:left="3120" w:right="700" w:hanging="0"/>
        <w:jc w:val="left"/>
        <w:rPr>
          <w:rFonts w:ascii="Arial" w:hAnsi="Arial"/>
          <w:sz w:val="20"/>
        </w:rPr>
      </w:pPr>
      <w:r>
        <w:rPr>
          <w:rFonts w:ascii="Arial" w:hAnsi="Arial"/>
          <w:b/>
          <w:sz w:val="21"/>
        </w:rPr>
        <w:t>Transaction</w:t>
      </w:r>
      <w:r>
        <w:rPr>
          <w:rFonts w:ascii="Arial" w:hAnsi="Arial"/>
          <w:sz w:val="20"/>
        </w:rPr>
        <w:t> </w:t>
      </w:r>
      <w:r>
        <w:rPr>
          <w:rFonts w:ascii="Arial" w:hAnsi="Arial"/>
          <w:b/>
          <w:sz w:val="21"/>
        </w:rPr>
        <w:t>Documents</w:t>
      </w:r>
      <w:r>
        <w:rPr>
          <w:rFonts w:ascii="Arial" w:hAnsi="Arial"/>
          <w:sz w:val="20"/>
        </w:rPr>
        <w:t> </w:t>
      </w:r>
      <w:r>
        <w:rPr>
          <w:rFonts w:ascii="Arial" w:hAnsi="Arial"/>
          <w:sz w:val="21"/>
        </w:rPr>
        <w:t>means:</w:t>
      </w:r>
      <w:r>
        <w:rPr>
          <w:rFonts w:ascii="Arial" w:hAnsi="Arial"/>
          <w:sz w:val="20"/>
        </w:rPr>
        <w:t xml:space="preserve"> </w:t>
      </w:r>
    </w:p>
    <w:p>
      <w:pPr>
        <w:pStyle w:val="TextBody"/>
        <w:bidi w:val="0"/>
        <w:spacing w:before="148" w:after="0"/>
        <w:ind w:left="3686" w:right="700" w:hanging="0"/>
        <w:jc w:val="left"/>
        <w:rPr>
          <w:rFonts w:ascii="Arial" w:hAnsi="Arial"/>
          <w:sz w:val="20"/>
        </w:rPr>
      </w:pPr>
      <w:r>
        <w:rPr>
          <w:rFonts w:ascii="Arial" w:hAnsi="Arial"/>
          <w:sz w:val="21"/>
        </w:rPr>
        <w:t>(a)this</w:t>
      </w:r>
      <w:r>
        <w:rPr>
          <w:rFonts w:ascii="Arial" w:hAnsi="Arial"/>
          <w:sz w:val="20"/>
        </w:rPr>
        <w:t> </w:t>
      </w:r>
      <w:r>
        <w:rPr>
          <w:rFonts w:ascii="Arial" w:hAnsi="Arial"/>
          <w:sz w:val="21"/>
        </w:rPr>
        <w:t>document;</w:t>
      </w:r>
      <w:r>
        <w:rPr>
          <w:rFonts w:ascii="Arial" w:hAnsi="Arial"/>
          <w:sz w:val="20"/>
        </w:rPr>
        <w:t xml:space="preserve"> </w:t>
      </w:r>
    </w:p>
    <w:p>
      <w:pPr>
        <w:pStyle w:val="TextBody"/>
        <w:bidi w:val="0"/>
        <w:spacing w:before="149" w:after="0"/>
        <w:ind w:left="3686" w:right="700" w:hanging="0"/>
        <w:jc w:val="left"/>
        <w:rPr>
          <w:rFonts w:ascii="Arial" w:hAnsi="Arial"/>
          <w:sz w:val="20"/>
        </w:rPr>
      </w:pPr>
      <w:r>
        <w:rPr>
          <w:rFonts w:ascii="Arial" w:hAnsi="Arial"/>
          <w:sz w:val="21"/>
        </w:rPr>
        <w:t>(b)not</w:t>
      </w:r>
      <w:r>
        <w:rPr>
          <w:rFonts w:ascii="Arial" w:hAnsi="Arial"/>
          <w:sz w:val="20"/>
        </w:rPr>
        <w:t xml:space="preserve"> </w:t>
      </w:r>
      <w:r>
        <w:rPr>
          <w:rFonts w:ascii="Arial" w:hAnsi="Arial"/>
          <w:sz w:val="21"/>
        </w:rPr>
        <w:t>used;</w:t>
      </w:r>
      <w:r>
        <w:rPr>
          <w:rFonts w:ascii="Arial" w:hAnsi="Arial"/>
          <w:sz w:val="20"/>
        </w:rPr>
        <w:t xml:space="preserve"> </w:t>
      </w:r>
    </w:p>
    <w:p>
      <w:pPr>
        <w:pStyle w:val="TextBody"/>
        <w:bidi w:val="0"/>
        <w:spacing w:before="148" w:after="0"/>
        <w:ind w:left="3686" w:right="700" w:hanging="0"/>
        <w:jc w:val="left"/>
        <w:rPr>
          <w:rFonts w:ascii="Arial" w:hAnsi="Arial"/>
          <w:sz w:val="20"/>
        </w:rPr>
      </w:pPr>
      <w:r>
        <w:rPr>
          <w:rFonts w:ascii="Arial" w:hAnsi="Arial"/>
          <w:sz w:val="21"/>
        </w:rPr>
        <w:t>(c)each</w:t>
      </w:r>
      <w:r>
        <w:rPr>
          <w:rFonts w:ascii="Arial" w:hAnsi="Arial"/>
          <w:sz w:val="20"/>
        </w:rPr>
        <w:t> </w:t>
      </w:r>
      <w:r>
        <w:rPr>
          <w:rFonts w:ascii="Arial" w:hAnsi="Arial"/>
          <w:sz w:val="21"/>
        </w:rPr>
        <w:t>Guarantor</w:t>
      </w:r>
      <w:r>
        <w:rPr>
          <w:rFonts w:ascii="Arial" w:hAnsi="Arial"/>
          <w:sz w:val="20"/>
        </w:rPr>
        <w:t> </w:t>
      </w:r>
      <w:r>
        <w:rPr>
          <w:rFonts w:ascii="Arial" w:hAnsi="Arial"/>
          <w:sz w:val="21"/>
        </w:rPr>
        <w:t>Accession</w:t>
      </w:r>
      <w:r>
        <w:rPr>
          <w:rFonts w:ascii="Arial" w:hAnsi="Arial"/>
          <w:sz w:val="20"/>
        </w:rPr>
        <w:t> </w:t>
      </w:r>
      <w:r>
        <w:rPr>
          <w:rFonts w:ascii="Arial" w:hAnsi="Arial"/>
          <w:sz w:val="21"/>
        </w:rPr>
        <w:t>Deed;</w:t>
      </w:r>
      <w:r>
        <w:rPr>
          <w:rFonts w:ascii="Arial" w:hAnsi="Arial"/>
          <w:sz w:val="20"/>
        </w:rPr>
        <w:t xml:space="preserve"> </w:t>
      </w:r>
    </w:p>
    <w:p>
      <w:pPr>
        <w:pStyle w:val="TextBody"/>
        <w:bidi w:val="0"/>
        <w:spacing w:before="149" w:after="0"/>
        <w:ind w:left="3686" w:right="700" w:hanging="0"/>
        <w:jc w:val="left"/>
        <w:rPr>
          <w:rFonts w:ascii="Arial" w:hAnsi="Arial"/>
          <w:sz w:val="20"/>
        </w:rPr>
      </w:pPr>
      <w:r>
        <w:rPr>
          <w:rFonts w:ascii="Arial" w:hAnsi="Arial"/>
          <w:sz w:val="21"/>
        </w:rPr>
        <w:t>(d)the</w:t>
      </w:r>
      <w:r>
        <w:rPr>
          <w:rFonts w:ascii="Arial" w:hAnsi="Arial"/>
          <w:sz w:val="20"/>
        </w:rPr>
        <w:t> </w:t>
      </w:r>
      <w:r>
        <w:rPr>
          <w:rFonts w:ascii="Arial" w:hAnsi="Arial"/>
          <w:sz w:val="21"/>
        </w:rPr>
        <w:t>Collateral</w:t>
      </w:r>
      <w:r>
        <w:rPr>
          <w:rFonts w:ascii="Arial" w:hAnsi="Arial"/>
          <w:sz w:val="20"/>
        </w:rPr>
        <w:t> </w:t>
      </w:r>
      <w:r>
        <w:rPr>
          <w:rFonts w:ascii="Arial" w:hAnsi="Arial"/>
          <w:sz w:val="21"/>
        </w:rPr>
        <w:t>Security;</w:t>
      </w:r>
      <w:r>
        <w:rPr>
          <w:rFonts w:ascii="Arial" w:hAnsi="Arial"/>
          <w:sz w:val="20"/>
        </w:rPr>
        <w:t xml:space="preserve"> </w:t>
      </w:r>
    </w:p>
    <w:p>
      <w:pPr>
        <w:pStyle w:val="TextBody"/>
        <w:bidi w:val="0"/>
        <w:spacing w:before="148" w:after="0"/>
        <w:ind w:left="3686" w:right="700" w:hanging="0"/>
        <w:jc w:val="left"/>
        <w:rPr>
          <w:rFonts w:ascii="Arial" w:hAnsi="Arial"/>
          <w:sz w:val="20"/>
        </w:rPr>
      </w:pPr>
      <w:r>
        <w:rPr>
          <w:rFonts w:ascii="Arial" w:hAnsi="Arial"/>
          <w:sz w:val="21"/>
        </w:rPr>
        <w:t>(e)the</w:t>
      </w:r>
      <w:r>
        <w:rPr>
          <w:rFonts w:ascii="Arial" w:hAnsi="Arial"/>
          <w:sz w:val="20"/>
        </w:rPr>
        <w:t> </w:t>
      </w:r>
      <w:r>
        <w:rPr>
          <w:rFonts w:ascii="Arial" w:hAnsi="Arial"/>
          <w:sz w:val="21"/>
        </w:rPr>
        <w:t>Parent</w:t>
      </w:r>
      <w:r>
        <w:rPr>
          <w:rFonts w:ascii="Arial" w:hAnsi="Arial"/>
          <w:sz w:val="20"/>
        </w:rPr>
        <w:t> </w:t>
      </w:r>
      <w:r>
        <w:rPr>
          <w:rFonts w:ascii="Arial" w:hAnsi="Arial"/>
          <w:sz w:val="21"/>
        </w:rPr>
        <w:t>Subordination</w:t>
      </w:r>
      <w:r>
        <w:rPr>
          <w:rFonts w:ascii="Arial" w:hAnsi="Arial"/>
          <w:sz w:val="20"/>
        </w:rPr>
        <w:t> </w:t>
      </w:r>
      <w:r>
        <w:rPr>
          <w:rFonts w:ascii="Arial" w:hAnsi="Arial"/>
          <w:sz w:val="21"/>
        </w:rPr>
        <w:t>Agreement;</w:t>
      </w:r>
      <w:r>
        <w:rPr>
          <w:rFonts w:ascii="Arial" w:hAnsi="Arial"/>
          <w:sz w:val="20"/>
        </w:rPr>
        <w:t xml:space="preserve"> </w:t>
      </w:r>
    </w:p>
    <w:p>
      <w:pPr>
        <w:pStyle w:val="TextBody"/>
        <w:bidi w:val="0"/>
        <w:spacing w:lineRule="auto" w:line="268" w:before="147" w:after="0"/>
        <w:ind w:left="3686" w:right="1517" w:hanging="0"/>
        <w:jc w:val="left"/>
        <w:rPr>
          <w:rFonts w:ascii="Arial" w:hAnsi="Arial"/>
          <w:sz w:val="20"/>
        </w:rPr>
      </w:pPr>
      <w:r>
        <w:rPr>
          <w:rFonts w:ascii="Arial" w:hAnsi="Arial"/>
          <w:sz w:val="21"/>
        </w:rPr>
        <w:t>(f)the</w:t>
      </w:r>
      <w:r>
        <w:rPr>
          <w:rFonts w:ascii="Arial" w:hAnsi="Arial"/>
          <w:sz w:val="20"/>
        </w:rPr>
        <w:t> </w:t>
      </w:r>
      <w:r>
        <w:rPr>
          <w:rFonts w:ascii="Arial" w:hAnsi="Arial"/>
          <w:sz w:val="21"/>
        </w:rPr>
        <w:t>ISDA</w:t>
      </w:r>
      <w:r>
        <w:rPr>
          <w:rFonts w:ascii="Arial" w:hAnsi="Arial"/>
          <w:sz w:val="20"/>
        </w:rPr>
        <w:t> </w:t>
      </w:r>
      <w:r>
        <w:rPr>
          <w:rFonts w:ascii="Arial" w:hAnsi="Arial"/>
          <w:sz w:val="21"/>
        </w:rPr>
        <w:t>Master</w:t>
      </w:r>
      <w:r>
        <w:rPr>
          <w:rFonts w:ascii="Arial" w:hAnsi="Arial"/>
          <w:sz w:val="20"/>
        </w:rPr>
        <w:t> </w:t>
      </w:r>
      <w:r>
        <w:rPr>
          <w:rFonts w:ascii="Arial" w:hAnsi="Arial"/>
          <w:sz w:val="21"/>
        </w:rPr>
        <w:t>Agreement</w:t>
      </w:r>
      <w:r>
        <w:rPr>
          <w:rFonts w:ascii="Arial" w:hAnsi="Arial"/>
          <w:sz w:val="20"/>
        </w:rPr>
        <w:t> </w:t>
      </w:r>
      <w:r>
        <w:rPr>
          <w:rFonts w:ascii="Arial" w:hAnsi="Arial"/>
          <w:sz w:val="21"/>
        </w:rPr>
        <w:t>dated</w:t>
      </w:r>
      <w:r>
        <w:rPr>
          <w:rFonts w:ascii="Arial" w:hAnsi="Arial"/>
          <w:sz w:val="20"/>
        </w:rPr>
        <w:t> </w:t>
      </w:r>
      <w:r>
        <w:rPr>
          <w:rFonts w:ascii="Arial" w:hAnsi="Arial"/>
          <w:sz w:val="21"/>
        </w:rPr>
        <w:t>17</w:t>
      </w:r>
      <w:r>
        <w:rPr>
          <w:rFonts w:ascii="Arial" w:hAnsi="Arial"/>
          <w:sz w:val="20"/>
        </w:rPr>
        <w:t> </w:t>
      </w:r>
      <w:r>
        <w:rPr>
          <w:rFonts w:ascii="Arial" w:hAnsi="Arial"/>
          <w:sz w:val="21"/>
        </w:rPr>
        <w:t>June</w:t>
      </w:r>
      <w:r>
        <w:rPr>
          <w:rFonts w:ascii="Arial" w:hAnsi="Arial"/>
          <w:sz w:val="20"/>
        </w:rPr>
        <w:t> </w:t>
      </w:r>
      <w:r>
        <w:rPr>
          <w:rFonts w:ascii="Arial" w:hAnsi="Arial"/>
          <w:sz w:val="21"/>
        </w:rPr>
        <w:t>2011</w:t>
      </w:r>
      <w:r>
        <w:rPr>
          <w:rFonts w:ascii="Arial" w:hAnsi="Arial"/>
          <w:sz w:val="20"/>
        </w:rPr>
        <w:t> </w:t>
      </w:r>
      <w:r>
        <w:rPr>
          <w:rFonts w:ascii="Arial" w:hAnsi="Arial"/>
          <w:sz w:val="21"/>
        </w:rPr>
        <w:t>between</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and the Borrower, as amended from time to time;</w:t>
      </w:r>
      <w:r>
        <w:rPr>
          <w:rFonts w:ascii="Arial" w:hAnsi="Arial"/>
          <w:sz w:val="20"/>
        </w:rPr>
        <w:t xml:space="preserve"> </w:t>
      </w:r>
    </w:p>
    <w:p>
      <w:pPr>
        <w:pStyle w:val="TextBody"/>
        <w:bidi w:val="0"/>
        <w:spacing w:before="115" w:after="0"/>
        <w:ind w:left="3686" w:right="700" w:hanging="0"/>
        <w:jc w:val="left"/>
        <w:rPr>
          <w:rFonts w:ascii="Arial" w:hAnsi="Arial"/>
          <w:sz w:val="20"/>
        </w:rPr>
      </w:pPr>
      <w:r>
        <w:rPr>
          <w:rFonts w:ascii="Arial" w:hAnsi="Arial"/>
          <w:sz w:val="21"/>
        </w:rPr>
        <w:t>(g)each</w:t>
      </w:r>
      <w:r>
        <w:rPr>
          <w:rFonts w:ascii="Arial" w:hAnsi="Arial"/>
          <w:sz w:val="20"/>
        </w:rPr>
        <w:t> </w:t>
      </w:r>
      <w:r>
        <w:rPr>
          <w:rFonts w:ascii="Arial" w:hAnsi="Arial"/>
          <w:sz w:val="21"/>
        </w:rPr>
        <w:t>deed</w:t>
      </w:r>
      <w:r>
        <w:rPr>
          <w:rFonts w:ascii="Arial" w:hAnsi="Arial"/>
          <w:sz w:val="20"/>
        </w:rPr>
        <w:t> </w:t>
      </w:r>
      <w:r>
        <w:rPr>
          <w:rFonts w:ascii="Arial" w:hAnsi="Arial"/>
          <w:sz w:val="21"/>
        </w:rPr>
        <w:t>of</w:t>
      </w:r>
      <w:r>
        <w:rPr>
          <w:rFonts w:ascii="Arial" w:hAnsi="Arial"/>
          <w:sz w:val="20"/>
        </w:rPr>
        <w:t> </w:t>
      </w:r>
      <w:r>
        <w:rPr>
          <w:rFonts w:ascii="Arial" w:hAnsi="Arial"/>
          <w:sz w:val="21"/>
        </w:rPr>
        <w:t>consent</w:t>
      </w:r>
      <w:r>
        <w:rPr>
          <w:rFonts w:ascii="Arial" w:hAnsi="Arial"/>
          <w:sz w:val="20"/>
        </w:rPr>
        <w:t> </w:t>
      </w:r>
      <w:r>
        <w:rPr>
          <w:rFonts w:ascii="Arial" w:hAnsi="Arial"/>
          <w:sz w:val="21"/>
        </w:rPr>
        <w:t>referred</w:t>
      </w:r>
      <w:r>
        <w:rPr>
          <w:rFonts w:ascii="Arial" w:hAnsi="Arial"/>
          <w:sz w:val="20"/>
        </w:rPr>
        <w:t> </w:t>
      </w:r>
      <w:r>
        <w:rPr>
          <w:rFonts w:ascii="Arial" w:hAnsi="Arial"/>
          <w:sz w:val="21"/>
        </w:rPr>
        <w:t>to</w:t>
      </w:r>
      <w:r>
        <w:rPr>
          <w:rFonts w:ascii="Arial" w:hAnsi="Arial"/>
          <w:sz w:val="20"/>
        </w:rPr>
        <w:t> </w:t>
      </w:r>
      <w:r>
        <w:rPr>
          <w:rFonts w:ascii="Arial" w:hAnsi="Arial"/>
          <w:sz w:val="21"/>
        </w:rPr>
        <w:t>in</w:t>
      </w:r>
      <w:r>
        <w:rPr>
          <w:rFonts w:ascii="Arial" w:hAnsi="Arial"/>
          <w:sz w:val="20"/>
        </w:rPr>
        <w:t> </w:t>
      </w:r>
      <w:r>
        <w:rPr>
          <w:rFonts w:ascii="Arial" w:hAnsi="Arial"/>
          <w:sz w:val="21"/>
        </w:rPr>
        <w:t>item</w:t>
      </w:r>
      <w:r>
        <w:rPr>
          <w:rFonts w:ascii="Arial" w:hAnsi="Arial"/>
          <w:sz w:val="20"/>
        </w:rPr>
        <w:t> </w:t>
      </w:r>
      <w:r>
        <w:rPr>
          <w:rFonts w:ascii="Arial" w:hAnsi="Arial"/>
          <w:sz w:val="21"/>
        </w:rPr>
        <w:t>12</w:t>
      </w:r>
      <w:r>
        <w:rPr>
          <w:rFonts w:ascii="Arial" w:hAnsi="Arial"/>
          <w:sz w:val="20"/>
        </w:rPr>
        <w:t> </w:t>
      </w:r>
      <w:r>
        <w:rPr>
          <w:rFonts w:ascii="Arial" w:hAnsi="Arial"/>
          <w:sz w:val="21"/>
        </w:rPr>
        <w:t>(</w:t>
      </w:r>
      <w:r>
        <w:rPr>
          <w:rFonts w:ascii="Arial" w:hAnsi="Arial"/>
          <w:i/>
          <w:sz w:val="21"/>
        </w:rPr>
        <w:t>Deed</w:t>
      </w:r>
      <w:r>
        <w:rPr>
          <w:rFonts w:ascii="Arial" w:hAnsi="Arial"/>
          <w:sz w:val="20"/>
        </w:rPr>
        <w:t> </w:t>
      </w:r>
      <w:r>
        <w:rPr>
          <w:rFonts w:ascii="Arial" w:hAnsi="Arial"/>
          <w:i/>
          <w:sz w:val="21"/>
        </w:rPr>
        <w:t>of</w:t>
      </w:r>
      <w:r>
        <w:rPr>
          <w:rFonts w:ascii="Arial" w:hAnsi="Arial"/>
          <w:sz w:val="20"/>
        </w:rPr>
        <w:t> </w:t>
      </w:r>
      <w:r>
        <w:rPr>
          <w:rFonts w:ascii="Arial" w:hAnsi="Arial"/>
          <w:i/>
          <w:sz w:val="21"/>
        </w:rPr>
        <w:t>consent</w:t>
      </w:r>
      <w:r>
        <w:rPr>
          <w:rFonts w:ascii="Arial" w:hAnsi="Arial"/>
          <w:sz w:val="21"/>
        </w:rPr>
        <w:t>)</w:t>
      </w:r>
      <w:r>
        <w:rPr>
          <w:rFonts w:ascii="Arial" w:hAnsi="Arial"/>
          <w:sz w:val="20"/>
        </w:rPr>
        <w:t xml:space="preserve"> </w:t>
      </w:r>
      <w:r>
        <w:rPr>
          <w:rFonts w:ascii="Arial" w:hAnsi="Arial"/>
          <w:sz w:val="21"/>
        </w:rPr>
        <w:t>of</w:t>
      </w:r>
      <w:r>
        <w:rPr>
          <w:rFonts w:ascii="Arial" w:hAnsi="Arial"/>
          <w:sz w:val="20"/>
        </w:rPr>
        <w:t xml:space="preserve"> </w:t>
      </w:r>
    </w:p>
    <w:p>
      <w:pPr>
        <w:pStyle w:val="TextBody"/>
        <w:bidi w:val="0"/>
        <w:spacing w:before="30" w:after="0"/>
        <w:ind w:left="3686" w:right="700" w:hanging="0"/>
        <w:jc w:val="left"/>
        <w:rPr>
          <w:rFonts w:ascii="Arial" w:hAnsi="Arial"/>
          <w:sz w:val="22"/>
        </w:rPr>
      </w:pPr>
      <w:r>
        <w:rPr>
          <w:rFonts w:ascii="Arial" w:hAnsi="Arial"/>
          <w:b/>
          <w:sz w:val="22"/>
        </w:rPr>
        <w:t>schedule</w:t>
      </w:r>
      <w:r>
        <w:rPr>
          <w:rFonts w:ascii="Arial" w:hAnsi="Arial"/>
          <w:sz w:val="22"/>
        </w:rPr>
        <w:t> </w:t>
      </w:r>
      <w:r>
        <w:rPr>
          <w:rFonts w:ascii="Arial" w:hAnsi="Arial"/>
          <w:b/>
          <w:sz w:val="22"/>
        </w:rPr>
        <w:t>3</w:t>
      </w:r>
      <w:r>
        <w:rPr>
          <w:rFonts w:ascii="Arial" w:hAnsi="Arial"/>
          <w:sz w:val="22"/>
        </w:rPr>
        <w:t xml:space="preserve"> upon it being executed by the relevant parties; </w:t>
      </w:r>
    </w:p>
    <w:p>
      <w:pPr>
        <w:pStyle w:val="TextBody"/>
        <w:bidi w:val="0"/>
        <w:spacing w:lineRule="auto" w:line="266" w:before="147" w:after="0"/>
        <w:ind w:left="3686" w:right="1415" w:hanging="0"/>
        <w:jc w:val="left"/>
        <w:rPr>
          <w:rFonts w:ascii="Arial" w:hAnsi="Arial"/>
          <w:sz w:val="20"/>
        </w:rPr>
      </w:pPr>
      <w:r>
        <w:rPr>
          <w:rFonts w:ascii="Arial" w:hAnsi="Arial"/>
          <w:sz w:val="21"/>
        </w:rPr>
        <w:t>(h)any</w:t>
      </w:r>
      <w:r>
        <w:rPr>
          <w:rFonts w:ascii="Arial" w:hAnsi="Arial"/>
          <w:sz w:val="20"/>
        </w:rPr>
        <w:t> </w:t>
      </w:r>
      <w:r>
        <w:rPr>
          <w:rFonts w:ascii="Arial" w:hAnsi="Arial"/>
          <w:sz w:val="21"/>
        </w:rPr>
        <w:t>agreement</w:t>
      </w:r>
      <w:r>
        <w:rPr>
          <w:rFonts w:ascii="Arial" w:hAnsi="Arial"/>
          <w:sz w:val="20"/>
        </w:rPr>
        <w:t> </w:t>
      </w:r>
      <w:r>
        <w:rPr>
          <w:rFonts w:ascii="Arial" w:hAnsi="Arial"/>
          <w:sz w:val="21"/>
        </w:rPr>
        <w:t>relating</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priority</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Security</w:t>
      </w:r>
      <w:r>
        <w:rPr>
          <w:rFonts w:ascii="Arial" w:hAnsi="Arial"/>
          <w:sz w:val="20"/>
        </w:rPr>
        <w:t> </w:t>
      </w:r>
      <w:r>
        <w:rPr>
          <w:rFonts w:ascii="Arial" w:hAnsi="Arial"/>
          <w:sz w:val="21"/>
        </w:rPr>
        <w:t>which</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Collateral Security;</w:t>
      </w:r>
      <w:r>
        <w:rPr>
          <w:rFonts w:ascii="Arial" w:hAnsi="Arial"/>
          <w:sz w:val="20"/>
        </w:rPr>
        <w:t xml:space="preserve"> </w:t>
      </w:r>
    </w:p>
    <w:p>
      <w:pPr>
        <w:pStyle w:val="TextBody"/>
        <w:bidi w:val="0"/>
        <w:spacing w:before="121" w:after="0"/>
        <w:ind w:left="3686" w:right="700" w:hanging="0"/>
        <w:jc w:val="left"/>
        <w:rPr>
          <w:rFonts w:ascii="Arial" w:hAnsi="Arial"/>
          <w:sz w:val="20"/>
        </w:rPr>
      </w:pPr>
      <w:r>
        <w:rPr>
          <w:rFonts w:ascii="Arial" w:hAnsi="Arial"/>
          <w:sz w:val="21"/>
        </w:rPr>
        <w:t>(i)the</w:t>
      </w:r>
      <w:r>
        <w:rPr>
          <w:rFonts w:ascii="Arial" w:hAnsi="Arial"/>
          <w:sz w:val="20"/>
        </w:rPr>
        <w:t> </w:t>
      </w:r>
      <w:r>
        <w:rPr>
          <w:rFonts w:ascii="Arial" w:hAnsi="Arial"/>
          <w:sz w:val="21"/>
        </w:rPr>
        <w:t>Merchant</w:t>
      </w:r>
      <w:r>
        <w:rPr>
          <w:rFonts w:ascii="Arial" w:hAnsi="Arial"/>
          <w:sz w:val="20"/>
        </w:rPr>
        <w:t> </w:t>
      </w:r>
      <w:r>
        <w:rPr>
          <w:rFonts w:ascii="Arial" w:hAnsi="Arial"/>
          <w:sz w:val="21"/>
        </w:rPr>
        <w:t>Services</w:t>
      </w:r>
      <w:r>
        <w:rPr>
          <w:rFonts w:ascii="Arial" w:hAnsi="Arial"/>
          <w:sz w:val="20"/>
        </w:rPr>
        <w:t> </w:t>
      </w:r>
      <w:r>
        <w:rPr>
          <w:rFonts w:ascii="Arial" w:hAnsi="Arial"/>
          <w:sz w:val="21"/>
        </w:rPr>
        <w:t>Agreement;</w:t>
      </w:r>
      <w:r>
        <w:rPr>
          <w:rFonts w:ascii="Arial" w:hAnsi="Arial"/>
          <w:sz w:val="20"/>
        </w:rPr>
        <w:t xml:space="preserve"> </w:t>
      </w:r>
    </w:p>
    <w:p>
      <w:pPr>
        <w:pStyle w:val="TextBody"/>
        <w:bidi w:val="0"/>
        <w:spacing w:lineRule="auto" w:line="266" w:before="148" w:after="0"/>
        <w:ind w:left="3686" w:right="1599" w:hanging="0"/>
        <w:jc w:val="left"/>
        <w:rPr>
          <w:rFonts w:ascii="Arial" w:hAnsi="Arial"/>
          <w:sz w:val="20"/>
        </w:rPr>
      </w:pPr>
      <w:r>
        <w:rPr>
          <w:rFonts w:ascii="Arial" w:hAnsi="Arial"/>
          <w:sz w:val="21"/>
        </w:rPr>
        <w:t>(j)any</w:t>
      </w:r>
      <w:r>
        <w:rPr>
          <w:rFonts w:ascii="Arial" w:hAnsi="Arial"/>
          <w:sz w:val="20"/>
        </w:rPr>
        <w:t> </w:t>
      </w:r>
      <w:r>
        <w:rPr>
          <w:rFonts w:ascii="Arial" w:hAnsi="Arial"/>
          <w:sz w:val="21"/>
        </w:rPr>
        <w:t>document</w:t>
      </w:r>
      <w:r>
        <w:rPr>
          <w:rFonts w:ascii="Arial" w:hAnsi="Arial"/>
          <w:sz w:val="20"/>
        </w:rPr>
        <w:t> </w:t>
      </w:r>
      <w:r>
        <w:rPr>
          <w:rFonts w:ascii="Arial" w:hAnsi="Arial"/>
          <w:sz w:val="21"/>
        </w:rPr>
        <w:t>which</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agree</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Transaction Document for the purposes of this document; and</w:t>
      </w:r>
      <w:r>
        <w:rPr>
          <w:rFonts w:ascii="Arial" w:hAnsi="Arial"/>
          <w:sz w:val="20"/>
        </w:rPr>
        <w:t xml:space="preserve"> </w:t>
      </w:r>
    </w:p>
    <w:p>
      <w:pPr>
        <w:pStyle w:val="TextBody"/>
        <w:bidi w:val="0"/>
        <w:spacing w:lineRule="auto" w:line="266" w:before="0" w:after="0"/>
        <w:ind w:left="3686" w:right="1948" w:hanging="0"/>
        <w:jc w:val="left"/>
        <w:rPr>
          <w:rFonts w:ascii="Arial" w:hAnsi="Arial"/>
          <w:sz w:val="20"/>
        </w:rPr>
      </w:pPr>
      <w:r>
        <w:rPr>
          <w:rFonts w:ascii="Arial" w:hAnsi="Arial"/>
          <w:sz w:val="21"/>
        </w:rPr>
        <w:t>(k)each</w:t>
      </w:r>
      <w:r>
        <w:rPr>
          <w:rFonts w:ascii="Arial" w:hAnsi="Arial"/>
          <w:sz w:val="20"/>
        </w:rPr>
        <w:t> </w:t>
      </w:r>
      <w:r>
        <w:rPr>
          <w:rFonts w:ascii="Arial" w:hAnsi="Arial"/>
          <w:sz w:val="21"/>
        </w:rPr>
        <w:t>document</w:t>
      </w:r>
      <w:r>
        <w:rPr>
          <w:rFonts w:ascii="Arial" w:hAnsi="Arial"/>
          <w:sz w:val="20"/>
        </w:rPr>
        <w:t> </w:t>
      </w:r>
      <w:r>
        <w:rPr>
          <w:rFonts w:ascii="Arial" w:hAnsi="Arial"/>
          <w:sz w:val="21"/>
        </w:rPr>
        <w:t>entered</w:t>
      </w:r>
      <w:r>
        <w:rPr>
          <w:rFonts w:ascii="Arial" w:hAnsi="Arial"/>
          <w:sz w:val="20"/>
        </w:rPr>
        <w:t> </w:t>
      </w:r>
      <w:r>
        <w:rPr>
          <w:rFonts w:ascii="Arial" w:hAnsi="Arial"/>
          <w:sz w:val="21"/>
        </w:rPr>
        <w:t>into</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purpose</w:t>
      </w:r>
      <w:r>
        <w:rPr>
          <w:rFonts w:ascii="Arial" w:hAnsi="Arial"/>
          <w:sz w:val="20"/>
        </w:rPr>
        <w:t> </w:t>
      </w:r>
      <w:r>
        <w:rPr>
          <w:rFonts w:ascii="Arial" w:hAnsi="Arial"/>
          <w:sz w:val="21"/>
        </w:rPr>
        <w:t>of</w:t>
      </w:r>
      <w:r>
        <w:rPr>
          <w:rFonts w:ascii="Arial" w:hAnsi="Arial"/>
          <w:sz w:val="20"/>
        </w:rPr>
        <w:t> </w:t>
      </w:r>
      <w:r>
        <w:rPr>
          <w:rFonts w:ascii="Arial" w:hAnsi="Arial"/>
          <w:sz w:val="21"/>
        </w:rPr>
        <w:t>amending,</w:t>
      </w:r>
      <w:r>
        <w:rPr>
          <w:rFonts w:ascii="Arial" w:hAnsi="Arial"/>
          <w:sz w:val="20"/>
        </w:rPr>
        <w:t> </w:t>
      </w:r>
      <w:r>
        <w:rPr>
          <w:rFonts w:ascii="Arial" w:hAnsi="Arial"/>
          <w:sz w:val="21"/>
        </w:rPr>
        <w:t>novating, restating or replacing any of them.</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19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p>
      <w:pPr>
        <w:pStyle w:val="TextBody"/>
        <w:bidi w:val="0"/>
        <w:spacing w:before="1" w:after="0"/>
        <w:ind w:left="3120" w:right="700" w:hanging="0"/>
        <w:jc w:val="left"/>
        <w:rPr>
          <w:rFonts w:ascii="Arial" w:hAnsi="Arial"/>
          <w:sz w:val="20"/>
        </w:rPr>
      </w:pPr>
      <w:r>
        <w:rPr>
          <w:rFonts w:ascii="Arial" w:hAnsi="Arial"/>
          <w:b/>
          <w:sz w:val="21"/>
        </w:rPr>
        <w:t>Transaction</w:t>
      </w:r>
      <w:r>
        <w:rPr>
          <w:rFonts w:ascii="Arial" w:hAnsi="Arial"/>
          <w:sz w:val="20"/>
        </w:rPr>
        <w:t> </w:t>
      </w:r>
      <w:r>
        <w:rPr>
          <w:rFonts w:ascii="Arial" w:hAnsi="Arial"/>
          <w:b/>
          <w:sz w:val="21"/>
        </w:rPr>
        <w:t>Parties</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and</w:t>
      </w:r>
      <w:r>
        <w:rPr>
          <w:rFonts w:ascii="Arial" w:hAnsi="Arial"/>
          <w:sz w:val="20"/>
        </w:rPr>
        <w:t> </w:t>
      </w:r>
      <w:r>
        <w:rPr>
          <w:rFonts w:ascii="Arial" w:hAnsi="Arial"/>
          <w:sz w:val="21"/>
        </w:rPr>
        <w:t>each</w:t>
      </w:r>
      <w:r>
        <w:rPr>
          <w:rFonts w:ascii="Arial" w:hAnsi="Arial"/>
          <w:sz w:val="20"/>
        </w:rPr>
        <w:t> </w:t>
      </w:r>
      <w:r>
        <w:rPr>
          <w:rFonts w:ascii="Arial" w:hAnsi="Arial"/>
          <w:sz w:val="21"/>
        </w:rPr>
        <w:t>Guarantor.</w:t>
      </w:r>
      <w:r>
        <w:rPr>
          <w:rFonts w:ascii="Arial" w:hAnsi="Arial"/>
          <w:sz w:val="20"/>
        </w:rPr>
        <w:t xml:space="preserve"> </w:t>
      </w:r>
    </w:p>
    <w:p>
      <w:pPr>
        <w:pStyle w:val="TextBody"/>
        <w:pBdr/>
        <w:bidi w:val="0"/>
        <w:spacing w:lineRule="auto" w:line="266" w:before="147" w:after="0"/>
        <w:ind w:left="3120" w:right="700" w:hanging="0"/>
        <w:jc w:val="left"/>
        <w:rPr>
          <w:rFonts w:ascii="Arial" w:hAnsi="Arial"/>
          <w:sz w:val="22"/>
        </w:rPr>
      </w:pPr>
      <w:r>
        <w:rPr>
          <w:rFonts w:ascii="Arial" w:hAnsi="Arial"/>
          <w:b/>
          <w:sz w:val="22"/>
        </w:rPr>
        <w:t>Trust</w:t>
      </w:r>
      <w:r>
        <w:rPr>
          <w:rFonts w:ascii="Arial" w:hAnsi="Arial"/>
          <w:sz w:val="22"/>
        </w:rPr>
        <w:t xml:space="preserve"> means, in relation to any Transaction Party that enters into a Transaction Document in the capacity as trustee of a trust, the relevant trust. </w:t>
      </w:r>
    </w:p>
    <w:p>
      <w:pPr>
        <w:pStyle w:val="TextBody"/>
        <w:pBdr/>
        <w:bidi w:val="0"/>
        <w:spacing w:lineRule="auto" w:line="266" w:before="119" w:after="0"/>
        <w:ind w:left="3120" w:right="1471" w:hanging="0"/>
        <w:jc w:val="left"/>
        <w:rPr>
          <w:rFonts w:ascii="Arial" w:hAnsi="Arial"/>
          <w:sz w:val="22"/>
        </w:rPr>
      </w:pPr>
      <w:r>
        <w:rPr>
          <w:rFonts w:ascii="Arial" w:hAnsi="Arial"/>
          <w:b/>
          <w:sz w:val="22"/>
        </w:rPr>
        <w:t>Trust</w:t>
      </w:r>
      <w:r>
        <w:rPr>
          <w:rFonts w:ascii="Arial" w:hAnsi="Arial"/>
          <w:sz w:val="22"/>
        </w:rPr>
        <w:t> </w:t>
      </w:r>
      <w:r>
        <w:rPr>
          <w:rFonts w:ascii="Arial" w:hAnsi="Arial"/>
          <w:b/>
          <w:sz w:val="22"/>
        </w:rPr>
        <w:t>Deed</w:t>
      </w:r>
      <w:r>
        <w:rPr>
          <w:rFonts w:ascii="Arial" w:hAnsi="Arial"/>
          <w:sz w:val="22"/>
        </w:rPr>
        <w:t xml:space="preserve"> means, in relation to a Trust, the trust deed or other document which establishes or evidences that Trust. </w:t>
      </w:r>
    </w:p>
    <w:p>
      <w:pPr>
        <w:pStyle w:val="TextBody"/>
        <w:pBdr/>
        <w:bidi w:val="0"/>
        <w:spacing w:lineRule="auto" w:line="268" w:before="119" w:after="0"/>
        <w:ind w:left="3120" w:right="1471" w:hanging="0"/>
        <w:jc w:val="left"/>
        <w:rPr>
          <w:rFonts w:ascii="Arial" w:hAnsi="Arial"/>
          <w:sz w:val="22"/>
        </w:rPr>
      </w:pPr>
      <w:r>
        <w:rPr>
          <w:rFonts w:ascii="Arial" w:hAnsi="Arial"/>
          <w:b/>
          <w:sz w:val="22"/>
        </w:rPr>
        <w:t>Trustee</w:t>
      </w:r>
      <w:r>
        <w:rPr>
          <w:rFonts w:ascii="Arial" w:hAnsi="Arial"/>
          <w:sz w:val="22"/>
        </w:rPr>
        <w:t xml:space="preserve"> means a Transaction Party that enters into a Transaction Document acting as the trustee of a Trust. </w:t>
      </w:r>
    </w:p>
    <w:p>
      <w:pPr>
        <w:pStyle w:val="TextBody"/>
        <w:pBdr/>
        <w:bidi w:val="0"/>
        <w:spacing w:lineRule="auto" w:line="266" w:before="115" w:after="0"/>
        <w:ind w:left="3120" w:right="1447" w:hanging="0"/>
        <w:jc w:val="left"/>
        <w:rPr>
          <w:rFonts w:ascii="Arial" w:hAnsi="Arial"/>
          <w:sz w:val="22"/>
        </w:rPr>
      </w:pPr>
      <w:r>
        <w:rPr>
          <w:rFonts w:ascii="Arial" w:hAnsi="Arial"/>
          <w:b/>
          <w:sz w:val="22"/>
        </w:rPr>
        <w:t xml:space="preserve">Valuation </w:t>
      </w:r>
      <w:r>
        <w:rPr>
          <w:rFonts w:ascii="Arial" w:hAnsi="Arial"/>
          <w:sz w:val="22"/>
        </w:rPr>
        <w:t xml:space="preserve">means a valuation of the Freehold Properties or leasehold properties included in the Secured Property addressed to the Bank, by an Approved Valuer in form and substance satisfactory to the Bank in all respects. </w:t>
      </w:r>
    </w:p>
    <w:p>
      <w:pPr>
        <w:pStyle w:val="TextBody"/>
        <w:bidi w:val="0"/>
        <w:spacing w:before="117" w:after="0"/>
        <w:ind w:left="3120" w:right="700" w:hanging="0"/>
        <w:jc w:val="left"/>
        <w:rPr>
          <w:rFonts w:ascii="Arial" w:hAnsi="Arial"/>
          <w:sz w:val="20"/>
        </w:rPr>
      </w:pPr>
      <w:r>
        <w:rPr>
          <w:rFonts w:ascii="Arial" w:hAnsi="Arial"/>
          <w:b/>
          <w:sz w:val="21"/>
        </w:rPr>
        <w:t>Verification</w:t>
      </w:r>
      <w:r>
        <w:rPr>
          <w:rFonts w:ascii="Arial" w:hAnsi="Arial"/>
          <w:sz w:val="20"/>
        </w:rPr>
        <w:t> </w:t>
      </w:r>
      <w:r>
        <w:rPr>
          <w:rFonts w:ascii="Arial" w:hAnsi="Arial"/>
          <w:b/>
          <w:sz w:val="21"/>
        </w:rPr>
        <w:t>Certificate</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certificate</w:t>
      </w:r>
      <w:r>
        <w:rPr>
          <w:rFonts w:ascii="Arial" w:hAnsi="Arial"/>
          <w:sz w:val="20"/>
        </w:rPr>
        <w:t> </w:t>
      </w:r>
      <w:r>
        <w:rPr>
          <w:rFonts w:ascii="Arial" w:hAnsi="Arial"/>
          <w:sz w:val="21"/>
        </w:rPr>
        <w:t>in</w:t>
      </w:r>
      <w:r>
        <w:rPr>
          <w:rFonts w:ascii="Arial" w:hAnsi="Arial"/>
          <w:sz w:val="20"/>
        </w:rPr>
        <w:t> </w:t>
      </w:r>
      <w:r>
        <w:rPr>
          <w:rFonts w:ascii="Arial" w:hAnsi="Arial"/>
          <w:sz w:val="21"/>
        </w:rPr>
        <w:t>substantially</w:t>
      </w:r>
      <w:r>
        <w:rPr>
          <w:rFonts w:ascii="Arial" w:hAnsi="Arial"/>
          <w:sz w:val="20"/>
        </w:rPr>
        <w:t> </w:t>
      </w:r>
      <w:r>
        <w:rPr>
          <w:rFonts w:ascii="Arial" w:hAnsi="Arial"/>
          <w:sz w:val="21"/>
        </w:rPr>
        <w:t>the</w:t>
      </w:r>
      <w:r>
        <w:rPr>
          <w:rFonts w:ascii="Arial" w:hAnsi="Arial"/>
          <w:sz w:val="20"/>
        </w:rPr>
        <w:t> </w:t>
      </w:r>
      <w:r>
        <w:rPr>
          <w:rFonts w:ascii="Arial" w:hAnsi="Arial"/>
          <w:sz w:val="21"/>
        </w:rPr>
        <w:t>form</w:t>
      </w:r>
      <w:r>
        <w:rPr>
          <w:rFonts w:ascii="Arial" w:hAnsi="Arial"/>
          <w:sz w:val="20"/>
        </w:rPr>
        <w:t> </w:t>
      </w:r>
      <w:r>
        <w:rPr>
          <w:rFonts w:ascii="Arial" w:hAnsi="Arial"/>
          <w:sz w:val="21"/>
        </w:rPr>
        <w:t>set</w:t>
      </w:r>
      <w:r>
        <w:rPr>
          <w:rFonts w:ascii="Arial" w:hAnsi="Arial"/>
          <w:sz w:val="20"/>
        </w:rPr>
        <w:t> </w:t>
      </w:r>
      <w:r>
        <w:rPr>
          <w:rFonts w:ascii="Arial" w:hAnsi="Arial"/>
          <w:sz w:val="21"/>
        </w:rPr>
        <w:t>out</w:t>
      </w:r>
      <w:r>
        <w:rPr>
          <w:rFonts w:ascii="Arial" w:hAnsi="Arial"/>
          <w:sz w:val="20"/>
        </w:rPr>
        <w:t> </w:t>
      </w:r>
      <w:r>
        <w:rPr>
          <w:rFonts w:ascii="Arial" w:hAnsi="Arial"/>
          <w:sz w:val="21"/>
        </w:rPr>
        <w:t>in</w:t>
      </w:r>
      <w:r>
        <w:rPr>
          <w:rFonts w:ascii="Arial" w:hAnsi="Arial"/>
          <w:sz w:val="20"/>
        </w:rPr>
        <w:t xml:space="preserve"> </w:t>
      </w:r>
    </w:p>
    <w:p>
      <w:pPr>
        <w:pStyle w:val="TextBody"/>
        <w:bidi w:val="0"/>
        <w:spacing w:before="30" w:after="0"/>
        <w:ind w:left="3120" w:right="700" w:hanging="0"/>
        <w:jc w:val="left"/>
        <w:rPr/>
      </w:pPr>
      <w:r>
        <w:rPr>
          <w:rFonts w:ascii="Arial" w:hAnsi="Arial"/>
          <w:b/>
          <w:sz w:val="22"/>
        </w:rPr>
        <w:t>schedule </w:t>
      </w:r>
      <w:hyperlink w:anchor="_bookmark207">
        <w:r>
          <w:rPr>
            <w:rStyle w:val="InternetLink"/>
            <w:rFonts w:ascii="Arial" w:hAnsi="Arial"/>
            <w:b/>
            <w:sz w:val="22"/>
          </w:rPr>
          <w:t>6</w:t>
        </w:r>
      </w:hyperlink>
      <w:r>
        <w:rPr>
          <w:rFonts w:ascii="Arial" w:hAnsi="Arial"/>
          <w:b w:val="false"/>
          <w:sz w:val="22"/>
        </w:rPr>
        <w:t>.</w:t>
      </w:r>
      <w:r>
        <w:rPr>
          <w:rFonts w:ascii="Arial" w:hAnsi="Arial"/>
          <w:b/>
          <w:sz w:val="22"/>
        </w:rPr>
        <w:t xml:space="preserve"> </w:t>
      </w:r>
    </w:p>
    <w:p>
      <w:pPr>
        <w:pStyle w:val="TextBody"/>
        <w:bidi w:val="0"/>
        <w:spacing w:lineRule="auto" w:line="266" w:before="147" w:after="0"/>
        <w:ind w:left="3120" w:right="1687" w:hanging="0"/>
        <w:jc w:val="both"/>
        <w:rPr>
          <w:rFonts w:ascii="Arial" w:hAnsi="Arial"/>
          <w:sz w:val="22"/>
        </w:rPr>
      </w:pPr>
      <w:r>
        <w:rPr>
          <w:rFonts w:ascii="Arial" w:hAnsi="Arial"/>
          <w:b/>
          <w:sz w:val="22"/>
        </w:rPr>
        <w:t xml:space="preserve">Waurn Ponds Property </w:t>
      </w:r>
      <w:r>
        <w:rPr>
          <w:rFonts w:ascii="Arial" w:hAnsi="Arial"/>
          <w:sz w:val="22"/>
        </w:rPr>
        <w:t xml:space="preserve">means the leasehold land improvements known as Reading Cinema Waurn Ponds, Corner Pioneer Road and Princes Highway, Waurn Ponds Victoria and described in certificate of title volume 10530 folio 739. </w:t>
      </w:r>
    </w:p>
    <w:p>
      <w:pPr>
        <w:pStyle w:val="TextBody"/>
        <w:bidi w:val="0"/>
        <w:spacing w:lineRule="auto" w:line="266" w:before="119" w:after="0"/>
        <w:ind w:left="3120" w:right="1582" w:hanging="0"/>
        <w:jc w:val="both"/>
        <w:rPr>
          <w:rFonts w:ascii="Arial" w:hAnsi="Arial"/>
          <w:sz w:val="20"/>
        </w:rPr>
      </w:pPr>
      <w:r>
        <w:rPr>
          <w:rFonts w:ascii="Arial" w:hAnsi="Arial"/>
          <w:b/>
          <w:sz w:val="21"/>
        </w:rPr>
        <w:t>Waurn</w:t>
      </w:r>
      <w:r>
        <w:rPr>
          <w:rFonts w:ascii="Arial" w:hAnsi="Arial"/>
          <w:sz w:val="20"/>
        </w:rPr>
        <w:t> </w:t>
      </w:r>
      <w:r>
        <w:rPr>
          <w:rFonts w:ascii="Arial" w:hAnsi="Arial"/>
          <w:b/>
          <w:sz w:val="21"/>
        </w:rPr>
        <w:t>Ponds</w:t>
      </w:r>
      <w:r>
        <w:rPr>
          <w:rFonts w:ascii="Arial" w:hAnsi="Arial"/>
          <w:sz w:val="20"/>
        </w:rPr>
        <w:t> </w:t>
      </w:r>
      <w:r>
        <w:rPr>
          <w:rFonts w:ascii="Arial" w:hAnsi="Arial"/>
          <w:b/>
          <w:sz w:val="21"/>
        </w:rPr>
        <w:t>Property</w:t>
      </w:r>
      <w:r>
        <w:rPr>
          <w:rFonts w:ascii="Arial" w:hAnsi="Arial"/>
          <w:sz w:val="20"/>
        </w:rPr>
        <w:t> </w:t>
      </w:r>
      <w:r>
        <w:rPr>
          <w:rFonts w:ascii="Arial" w:hAnsi="Arial"/>
          <w:b/>
          <w:sz w:val="21"/>
        </w:rPr>
        <w:t>Release</w:t>
      </w:r>
      <w:r>
        <w:rPr>
          <w:rFonts w:ascii="Arial" w:hAnsi="Arial"/>
          <w:sz w:val="20"/>
        </w:rPr>
        <w:t> </w:t>
      </w:r>
      <w:r>
        <w:rPr>
          <w:rFonts w:ascii="Arial" w:hAnsi="Arial"/>
          <w:b/>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date</w:t>
      </w:r>
      <w:r>
        <w:rPr>
          <w:rFonts w:ascii="Arial" w:hAnsi="Arial"/>
          <w:sz w:val="20"/>
        </w:rPr>
        <w:t> </w:t>
      </w:r>
      <w:r>
        <w:rPr>
          <w:rFonts w:ascii="Arial" w:hAnsi="Arial"/>
          <w:sz w:val="21"/>
        </w:rPr>
        <w:t>on</w:t>
      </w:r>
      <w:r>
        <w:rPr>
          <w:rFonts w:ascii="Arial" w:hAnsi="Arial"/>
          <w:sz w:val="20"/>
        </w:rPr>
        <w:t> </w:t>
      </w:r>
      <w:r>
        <w:rPr>
          <w:rFonts w:ascii="Arial" w:hAnsi="Arial"/>
          <w:sz w:val="21"/>
        </w:rPr>
        <w:t>which</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is satisfied in its absolute discretion that:</w:t>
      </w:r>
      <w:r>
        <w:rPr>
          <w:rFonts w:ascii="Arial" w:hAnsi="Arial"/>
          <w:sz w:val="20"/>
        </w:rPr>
        <w:t xml:space="preserve"> </w:t>
      </w:r>
    </w:p>
    <w:p>
      <w:pPr>
        <w:pStyle w:val="TextBody"/>
        <w:bidi w:val="0"/>
        <w:spacing w:before="121" w:after="0"/>
        <w:ind w:left="3685" w:right="700" w:hanging="0"/>
        <w:jc w:val="both"/>
        <w:rPr>
          <w:rFonts w:ascii="Arial" w:hAnsi="Arial"/>
          <w:sz w:val="20"/>
        </w:rPr>
      </w:pPr>
      <w:r>
        <w:rPr>
          <w:rFonts w:ascii="Arial" w:hAnsi="Arial"/>
          <w:sz w:val="21"/>
        </w:rPr>
        <w:t>(a)the</w:t>
      </w:r>
      <w:r>
        <w:rPr>
          <w:rFonts w:ascii="Arial" w:hAnsi="Arial"/>
          <w:sz w:val="20"/>
        </w:rPr>
        <w:t> </w:t>
      </w:r>
      <w:r>
        <w:rPr>
          <w:rFonts w:ascii="Arial" w:hAnsi="Arial"/>
          <w:sz w:val="21"/>
        </w:rPr>
        <w:t>Waurn</w:t>
      </w:r>
      <w:r>
        <w:rPr>
          <w:rFonts w:ascii="Arial" w:hAnsi="Arial"/>
          <w:sz w:val="20"/>
        </w:rPr>
        <w:t> </w:t>
      </w:r>
      <w:r>
        <w:rPr>
          <w:rFonts w:ascii="Arial" w:hAnsi="Arial"/>
          <w:sz w:val="21"/>
        </w:rPr>
        <w:t>Pond</w:t>
      </w:r>
      <w:r>
        <w:rPr>
          <w:rFonts w:ascii="Arial" w:hAnsi="Arial"/>
          <w:sz w:val="20"/>
        </w:rPr>
        <w:t> </w:t>
      </w:r>
      <w:r>
        <w:rPr>
          <w:rFonts w:ascii="Arial" w:hAnsi="Arial"/>
          <w:sz w:val="21"/>
        </w:rPr>
        <w:t>Property</w:t>
      </w:r>
      <w:r>
        <w:rPr>
          <w:rFonts w:ascii="Arial" w:hAnsi="Arial"/>
          <w:sz w:val="20"/>
        </w:rPr>
        <w:t> </w:t>
      </w:r>
      <w:r>
        <w:rPr>
          <w:rFonts w:ascii="Arial" w:hAnsi="Arial"/>
          <w:sz w:val="21"/>
        </w:rPr>
        <w:t>is</w:t>
      </w:r>
      <w:r>
        <w:rPr>
          <w:rFonts w:ascii="Arial" w:hAnsi="Arial"/>
          <w:sz w:val="20"/>
        </w:rPr>
        <w:t> </w:t>
      </w:r>
      <w:r>
        <w:rPr>
          <w:rFonts w:ascii="Arial" w:hAnsi="Arial"/>
          <w:sz w:val="21"/>
        </w:rPr>
        <w:t>sold;</w:t>
      </w:r>
      <w:r>
        <w:rPr>
          <w:rFonts w:ascii="Arial" w:hAnsi="Arial"/>
          <w:sz w:val="20"/>
        </w:rPr>
        <w:t xml:space="preserve"> </w:t>
      </w:r>
      <w:r>
        <w:rPr>
          <w:rFonts w:ascii="Arial" w:hAnsi="Arial"/>
          <w:sz w:val="21"/>
        </w:rPr>
        <w:t>and</w:t>
      </w:r>
      <w:r>
        <w:rPr>
          <w:rFonts w:ascii="Arial" w:hAnsi="Arial"/>
          <w:sz w:val="20"/>
        </w:rPr>
        <w:t xml:space="preserve"> </w:t>
      </w:r>
    </w:p>
    <w:p>
      <w:pPr>
        <w:pStyle w:val="TextBody"/>
        <w:bidi w:val="0"/>
        <w:spacing w:lineRule="auto" w:line="266" w:before="148" w:after="0"/>
        <w:ind w:left="3686" w:right="2382" w:hanging="0"/>
        <w:jc w:val="left"/>
        <w:rPr>
          <w:rFonts w:ascii="Arial" w:hAnsi="Arial"/>
          <w:sz w:val="20"/>
        </w:rPr>
      </w:pPr>
      <w:r>
        <w:rPr>
          <w:rFonts w:ascii="Arial" w:hAnsi="Arial"/>
          <w:sz w:val="21"/>
        </w:rPr>
        <w:t>(b)the</w:t>
      </w:r>
      <w:r>
        <w:rPr>
          <w:rFonts w:ascii="Arial" w:hAnsi="Arial"/>
          <w:sz w:val="20"/>
        </w:rPr>
        <w:t> </w:t>
      </w:r>
      <w:r>
        <w:rPr>
          <w:rFonts w:ascii="Arial" w:hAnsi="Arial"/>
          <w:sz w:val="21"/>
        </w:rPr>
        <w:t>Borrower</w:t>
      </w:r>
      <w:r>
        <w:rPr>
          <w:rFonts w:ascii="Arial" w:hAnsi="Arial"/>
          <w:sz w:val="20"/>
        </w:rPr>
        <w:t> </w:t>
      </w:r>
      <w:r>
        <w:rPr>
          <w:rFonts w:ascii="Arial" w:hAnsi="Arial"/>
          <w:sz w:val="21"/>
        </w:rPr>
        <w:t>will</w:t>
      </w:r>
      <w:r>
        <w:rPr>
          <w:rFonts w:ascii="Arial" w:hAnsi="Arial"/>
          <w:sz w:val="20"/>
        </w:rPr>
        <w:t> </w:t>
      </w:r>
      <w:r>
        <w:rPr>
          <w:rFonts w:ascii="Arial" w:hAnsi="Arial"/>
          <w:sz w:val="21"/>
        </w:rPr>
        <w:t>apply</w:t>
      </w:r>
      <w:r>
        <w:rPr>
          <w:rFonts w:ascii="Arial" w:hAnsi="Arial"/>
          <w:sz w:val="20"/>
        </w:rPr>
        <w:t> </w:t>
      </w:r>
      <w:r>
        <w:rPr>
          <w:rFonts w:ascii="Arial" w:hAnsi="Arial"/>
          <w:sz w:val="21"/>
        </w:rPr>
        <w:t>the</w:t>
      </w:r>
      <w:r>
        <w:rPr>
          <w:rFonts w:ascii="Arial" w:hAnsi="Arial"/>
          <w:sz w:val="20"/>
        </w:rPr>
        <w:t> </w:t>
      </w:r>
      <w:r>
        <w:rPr>
          <w:rFonts w:ascii="Arial" w:hAnsi="Arial"/>
          <w:sz w:val="21"/>
        </w:rPr>
        <w:t>Net</w:t>
      </w:r>
      <w:r>
        <w:rPr>
          <w:rFonts w:ascii="Arial" w:hAnsi="Arial"/>
          <w:sz w:val="20"/>
        </w:rPr>
        <w:t> </w:t>
      </w:r>
      <w:r>
        <w:rPr>
          <w:rFonts w:ascii="Arial" w:hAnsi="Arial"/>
          <w:sz w:val="21"/>
        </w:rPr>
        <w:t>Sale</w:t>
      </w:r>
      <w:r>
        <w:rPr>
          <w:rFonts w:ascii="Arial" w:hAnsi="Arial"/>
          <w:sz w:val="20"/>
        </w:rPr>
        <w:t> </w:t>
      </w:r>
      <w:r>
        <w:rPr>
          <w:rFonts w:ascii="Arial" w:hAnsi="Arial"/>
          <w:sz w:val="21"/>
        </w:rPr>
        <w:t>Proceeds</w:t>
      </w:r>
      <w:r>
        <w:rPr>
          <w:rFonts w:ascii="Arial" w:hAnsi="Arial"/>
          <w:sz w:val="20"/>
        </w:rPr>
        <w:t> </w:t>
      </w:r>
      <w:r>
        <w:rPr>
          <w:rFonts w:ascii="Arial" w:hAnsi="Arial"/>
          <w:sz w:val="21"/>
        </w:rPr>
        <w:t>from</w:t>
      </w:r>
      <w:r>
        <w:rPr>
          <w:rFonts w:ascii="Arial" w:hAnsi="Arial"/>
          <w:sz w:val="20"/>
        </w:rPr>
        <w:t> </w:t>
      </w:r>
      <w:r>
        <w:rPr>
          <w:rFonts w:ascii="Arial" w:hAnsi="Arial"/>
          <w:sz w:val="21"/>
        </w:rPr>
        <w:t>that</w:t>
      </w:r>
      <w:r>
        <w:rPr>
          <w:rFonts w:ascii="Arial" w:hAnsi="Arial"/>
          <w:sz w:val="20"/>
        </w:rPr>
        <w:t> </w:t>
      </w:r>
      <w:r>
        <w:rPr>
          <w:rFonts w:ascii="Arial" w:hAnsi="Arial"/>
          <w:sz w:val="21"/>
        </w:rPr>
        <w:t>sale</w:t>
      </w:r>
      <w:r>
        <w:rPr>
          <w:rFonts w:ascii="Arial" w:hAnsi="Arial"/>
          <w:sz w:val="20"/>
        </w:rPr>
        <w:t> </w:t>
      </w:r>
      <w:r>
        <w:rPr>
          <w:rFonts w:ascii="Arial" w:hAnsi="Arial"/>
          <w:sz w:val="21"/>
        </w:rPr>
        <w:t>in permanent reduction of the Facility Limit of the Bridge Facility,</w:t>
      </w:r>
      <w:r>
        <w:rPr>
          <w:rFonts w:ascii="Arial" w:hAnsi="Arial"/>
          <w:sz w:val="20"/>
        </w:rPr>
        <w:t xml:space="preserve"> </w:t>
      </w:r>
    </w:p>
    <w:p>
      <w:pPr>
        <w:pStyle w:val="TextBody"/>
        <w:bidi w:val="0"/>
        <w:spacing w:before="119" w:after="0"/>
        <w:ind w:left="3120" w:right="700" w:hanging="0"/>
        <w:jc w:val="left"/>
        <w:rPr>
          <w:rFonts w:ascii="Arial" w:hAnsi="Arial"/>
          <w:sz w:val="22"/>
        </w:rPr>
      </w:pPr>
      <w:r>
        <w:rPr>
          <w:rFonts w:ascii="Arial" w:hAnsi="Arial"/>
          <w:sz w:val="22"/>
        </w:rPr>
        <w:t xml:space="preserve">in accordance with the terms of this document. </w:t>
      </w:r>
    </w:p>
    <w:p>
      <w:pPr>
        <w:pStyle w:val="TextBody"/>
        <w:bidi w:val="0"/>
        <w:spacing w:before="214" w:after="0"/>
        <w:ind w:left="3725" w:right="700" w:hanging="0"/>
        <w:jc w:val="left"/>
        <w:rPr>
          <w:rFonts w:ascii="Arial" w:hAnsi="Arial"/>
          <w:b/>
          <w:sz w:val="24"/>
        </w:rPr>
      </w:pPr>
      <w:bookmarkStart w:id="402" w:name="Construction121"/>
      <w:bookmarkEnd w:id="402"/>
      <w:r>
        <w:rPr>
          <w:rFonts w:ascii="Arial" w:hAnsi="Arial"/>
          <w:b/>
          <w:color w:val="000000"/>
          <w:sz w:val="24"/>
        </w:rPr>
        <w:t>1.2Construction</w:t>
      </w:r>
      <w:r>
        <w:rPr>
          <w:rFonts w:ascii="Arial" w:hAnsi="Arial"/>
          <w:b/>
          <w:sz w:val="24"/>
        </w:rPr>
        <w:t xml:space="preserve"> </w:t>
      </w:r>
    </w:p>
    <w:p>
      <w:pPr>
        <w:pStyle w:val="TextBody"/>
        <w:bidi w:val="0"/>
        <w:spacing w:before="93" w:after="0"/>
        <w:ind w:left="3118" w:right="700" w:hanging="0"/>
        <w:jc w:val="left"/>
        <w:rPr>
          <w:rFonts w:ascii="Arial" w:hAnsi="Arial"/>
          <w:sz w:val="22"/>
        </w:rPr>
      </w:pPr>
      <w:r>
        <w:rPr>
          <w:rFonts w:ascii="Arial" w:hAnsi="Arial"/>
          <w:color w:val="000000"/>
          <w:sz w:val="22"/>
        </w:rPr>
        <w:t>Unless expressed to the contrary, in this document:</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(a)words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singular</w:t>
      </w:r>
      <w:r>
        <w:rPr>
          <w:rFonts w:ascii="Arial" w:hAnsi="Arial"/>
          <w:color w:val="000000"/>
          <w:sz w:val="20"/>
        </w:rPr>
        <w:t> </w:t>
      </w:r>
      <w:r>
        <w:rPr>
          <w:rFonts w:ascii="Arial" w:hAnsi="Arial"/>
          <w:color w:val="000000"/>
          <w:sz w:val="21"/>
        </w:rPr>
        <w:t>include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plural</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vice</w:t>
      </w:r>
      <w:r>
        <w:rPr>
          <w:rFonts w:ascii="Arial" w:hAnsi="Arial"/>
          <w:color w:val="000000"/>
          <w:sz w:val="20"/>
        </w:rPr>
        <w:t xml:space="preserve"> </w:t>
      </w:r>
      <w:r>
        <w:rPr>
          <w:rFonts w:ascii="Arial" w:hAnsi="Arial"/>
          <w:color w:val="000000"/>
          <w:sz w:val="21"/>
        </w:rPr>
        <w:t>versa;</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(b)any</w:t>
      </w:r>
      <w:r>
        <w:rPr>
          <w:rFonts w:ascii="Arial" w:hAnsi="Arial"/>
          <w:color w:val="000000"/>
          <w:sz w:val="20"/>
        </w:rPr>
        <w:t> </w:t>
      </w:r>
      <w:r>
        <w:rPr>
          <w:rFonts w:ascii="Arial" w:hAnsi="Arial"/>
          <w:color w:val="000000"/>
          <w:sz w:val="21"/>
        </w:rPr>
        <w:t>gender</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other</w:t>
      </w:r>
      <w:r>
        <w:rPr>
          <w:rFonts w:ascii="Arial" w:hAnsi="Arial"/>
          <w:color w:val="000000"/>
          <w:sz w:val="20"/>
        </w:rPr>
        <w:t xml:space="preserve"> </w:t>
      </w:r>
      <w:r>
        <w:rPr>
          <w:rFonts w:ascii="Arial" w:hAnsi="Arial"/>
          <w:color w:val="000000"/>
          <w:sz w:val="21"/>
        </w:rPr>
        <w:t>genders;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word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phrase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defined</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grammatical</w:t>
      </w:r>
      <w:r>
        <w:rPr>
          <w:rFonts w:ascii="Arial" w:hAnsi="Arial"/>
          <w:color w:val="000000"/>
          <w:sz w:val="20"/>
        </w:rPr>
        <w:t> </w:t>
      </w:r>
      <w:r>
        <w:rPr>
          <w:rFonts w:ascii="Arial" w:hAnsi="Arial"/>
          <w:color w:val="000000"/>
          <w:sz w:val="21"/>
        </w:rPr>
        <w:t>forms</w:t>
      </w:r>
      <w:r>
        <w:rPr>
          <w:rFonts w:ascii="Arial" w:hAnsi="Arial"/>
          <w:color w:val="000000"/>
          <w:sz w:val="20"/>
        </w:rPr>
        <w:t> </w:t>
      </w:r>
      <w:r>
        <w:rPr>
          <w:rFonts w:ascii="Arial" w:hAnsi="Arial"/>
          <w:color w:val="000000"/>
          <w:sz w:val="21"/>
        </w:rPr>
        <w:t>have corresponding meanings;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w:t>
      </w:r>
      <w:r>
        <w:rPr>
          <w:rFonts w:ascii="Arial" w:hAnsi="Arial"/>
          <w:color w:val="000000"/>
          <w:sz w:val="20"/>
        </w:rPr>
        <w:t>“</w:t>
      </w:r>
      <w:r>
        <w:rPr>
          <w:rFonts w:ascii="Arial" w:hAnsi="Arial"/>
          <w:color w:val="000000"/>
          <w:sz w:val="21"/>
        </w:rPr>
        <w:t>includes”</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without</w:t>
      </w:r>
      <w:r>
        <w:rPr>
          <w:rFonts w:ascii="Arial" w:hAnsi="Arial"/>
          <w:color w:val="000000"/>
          <w:sz w:val="20"/>
        </w:rPr>
        <w:t xml:space="preserve"> </w:t>
      </w:r>
      <w:r>
        <w:rPr>
          <w:rFonts w:ascii="Arial" w:hAnsi="Arial"/>
          <w:color w:val="000000"/>
          <w:sz w:val="21"/>
        </w:rPr>
        <w:t>limitation;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(e)no</w:t>
      </w:r>
      <w:r>
        <w:rPr>
          <w:rFonts w:ascii="Arial" w:hAnsi="Arial"/>
          <w:color w:val="000000"/>
          <w:sz w:val="20"/>
        </w:rPr>
        <w:t> </w:t>
      </w:r>
      <w:r>
        <w:rPr>
          <w:rFonts w:ascii="Arial" w:hAnsi="Arial"/>
          <w:color w:val="000000"/>
          <w:sz w:val="21"/>
        </w:rPr>
        <w:t>rule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construction</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clause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disadvantage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 party merely because that party put forward the clause or would otherwise benefit from it;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(f)a</w:t>
      </w:r>
      <w:r>
        <w:rPr>
          <w:rFonts w:ascii="Arial" w:hAnsi="Arial"/>
          <w:color w:val="000000"/>
          <w:sz w:val="20"/>
        </w:rPr>
        <w:t> </w:t>
      </w:r>
      <w:r>
        <w:rPr>
          <w:rFonts w:ascii="Arial" w:hAnsi="Arial"/>
          <w:color w:val="000000"/>
          <w:sz w:val="21"/>
        </w:rPr>
        <w:t>reference</w:t>
      </w:r>
      <w:r>
        <w:rPr>
          <w:rFonts w:ascii="Arial" w:hAnsi="Arial"/>
          <w:color w:val="000000"/>
          <w:sz w:val="20"/>
        </w:rPr>
        <w:t> </w:t>
      </w:r>
      <w:r>
        <w:rPr>
          <w:rFonts w:ascii="Arial" w:hAnsi="Arial"/>
          <w:color w:val="000000"/>
          <w:sz w:val="21"/>
        </w:rPr>
        <w:t>to:</w:t>
      </w:r>
      <w:r>
        <w:rPr>
          <w:rFonts w:ascii="Arial" w:hAnsi="Arial"/>
          <w:sz w:val="20"/>
        </w:rPr>
        <w:t xml:space="preserve"> </w:t>
      </w:r>
    </w:p>
    <w:p>
      <w:pPr>
        <w:pStyle w:val="TextBody"/>
        <w:bidi w:val="0"/>
        <w:spacing w:lineRule="auto" w:line="266" w:before="148" w:after="0"/>
        <w:ind w:left="4275" w:right="1780" w:hanging="0"/>
        <w:jc w:val="left"/>
        <w:rPr>
          <w:rFonts w:ascii="Arial" w:hAnsi="Arial"/>
          <w:sz w:val="20"/>
        </w:rPr>
      </w:pPr>
      <w:r>
        <w:rPr>
          <w:rFonts w:ascii="Arial" w:hAnsi="Arial"/>
          <w:color w:val="000000"/>
          <w:sz w:val="21"/>
        </w:rPr>
        <w:t>(i)a person includes a partnership, joint venture, unincorporated association,</w:t>
      </w:r>
      <w:r>
        <w:rPr>
          <w:rFonts w:ascii="Arial" w:hAnsi="Arial"/>
          <w:color w:val="000000"/>
          <w:sz w:val="20"/>
        </w:rPr>
        <w:t> </w:t>
      </w:r>
      <w:r>
        <w:rPr>
          <w:rFonts w:ascii="Arial" w:hAnsi="Arial"/>
          <w:color w:val="000000"/>
          <w:sz w:val="21"/>
        </w:rPr>
        <w:t>corporation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statutory</w:t>
      </w:r>
      <w:r>
        <w:rPr>
          <w:rFonts w:ascii="Arial" w:hAnsi="Arial"/>
          <w:color w:val="000000"/>
          <w:sz w:val="20"/>
        </w:rPr>
        <w:t> </w:t>
      </w:r>
      <w:r>
        <w:rPr>
          <w:rFonts w:ascii="Arial" w:hAnsi="Arial"/>
          <w:color w:val="000000"/>
          <w:sz w:val="21"/>
        </w:rPr>
        <w:t>body</w:t>
      </w:r>
      <w:r>
        <w:rPr>
          <w:rFonts w:ascii="Arial" w:hAnsi="Arial"/>
          <w:color w:val="000000"/>
          <w:sz w:val="20"/>
        </w:rPr>
        <w:t> </w:t>
      </w:r>
      <w:r>
        <w:rPr>
          <w:rFonts w:ascii="Arial" w:hAnsi="Arial"/>
          <w:color w:val="000000"/>
          <w:sz w:val="21"/>
        </w:rPr>
        <w:t>or authority;</w:t>
      </w:r>
      <w:r>
        <w:rPr>
          <w:rFonts w:ascii="Arial" w:hAnsi="Arial"/>
          <w:sz w:val="20"/>
        </w:rPr>
        <w:t xml:space="preserve"> </w:t>
      </w:r>
    </w:p>
    <w:p>
      <w:pPr>
        <w:pStyle w:val="TextBody"/>
        <w:bidi w:val="0"/>
        <w:spacing w:lineRule="auto" w:line="266" w:before="117" w:after="0"/>
        <w:ind w:left="4275" w:right="1851" w:hanging="0"/>
        <w:jc w:val="left"/>
        <w:rPr>
          <w:rFonts w:ascii="Arial" w:hAnsi="Arial"/>
          <w:sz w:val="20"/>
        </w:rPr>
      </w:pPr>
      <w:r>
        <w:rPr>
          <w:rFonts w:ascii="Arial" w:hAnsi="Arial"/>
          <w:color w:val="000000"/>
          <w:sz w:val="21"/>
        </w:rPr>
        <w:t>(ii)a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person’s</w:t>
      </w:r>
      <w:r>
        <w:rPr>
          <w:rFonts w:ascii="Arial" w:hAnsi="Arial"/>
          <w:color w:val="000000"/>
          <w:sz w:val="20"/>
        </w:rPr>
        <w:t> </w:t>
      </w:r>
      <w:r>
        <w:rPr>
          <w:rFonts w:ascii="Arial" w:hAnsi="Arial"/>
          <w:color w:val="000000"/>
          <w:sz w:val="21"/>
        </w:rPr>
        <w:t>legal</w:t>
      </w:r>
      <w:r>
        <w:rPr>
          <w:rFonts w:ascii="Arial" w:hAnsi="Arial"/>
          <w:color w:val="000000"/>
          <w:sz w:val="20"/>
        </w:rPr>
        <w:t> </w:t>
      </w:r>
      <w:r>
        <w:rPr>
          <w:rFonts w:ascii="Arial" w:hAnsi="Arial"/>
          <w:color w:val="000000"/>
          <w:sz w:val="21"/>
        </w:rPr>
        <w:t>personal</w:t>
      </w:r>
      <w:r>
        <w:rPr>
          <w:rFonts w:ascii="Arial" w:hAnsi="Arial"/>
          <w:color w:val="000000"/>
          <w:sz w:val="20"/>
        </w:rPr>
        <w:t> </w:t>
      </w:r>
      <w:r>
        <w:rPr>
          <w:rFonts w:ascii="Arial" w:hAnsi="Arial"/>
          <w:color w:val="000000"/>
          <w:sz w:val="21"/>
        </w:rPr>
        <w:t>representatives, successors, assigns and persons substituted by novation;</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275" w:right="1514" w:hanging="0"/>
        <w:jc w:val="left"/>
        <w:rPr>
          <w:rFonts w:ascii="Arial" w:hAnsi="Arial"/>
          <w:sz w:val="20"/>
        </w:rPr>
      </w:pPr>
      <w:r>
        <w:rPr>
          <w:rFonts w:ascii="Arial" w:hAnsi="Arial"/>
          <w:sz w:val="21"/>
        </w:rPr>
        <w:t>(iii)any legislation includes subordinate legislation under it and includes</w:t>
      </w:r>
      <w:r>
        <w:rPr>
          <w:rFonts w:ascii="Arial" w:hAnsi="Arial"/>
          <w:sz w:val="20"/>
        </w:rPr>
        <w:t> </w:t>
      </w:r>
      <w:r>
        <w:rPr>
          <w:rFonts w:ascii="Arial" w:hAnsi="Arial"/>
          <w:sz w:val="21"/>
        </w:rPr>
        <w:t>that</w:t>
      </w:r>
      <w:r>
        <w:rPr>
          <w:rFonts w:ascii="Arial" w:hAnsi="Arial"/>
          <w:sz w:val="20"/>
        </w:rPr>
        <w:t> </w:t>
      </w:r>
      <w:r>
        <w:rPr>
          <w:rFonts w:ascii="Arial" w:hAnsi="Arial"/>
          <w:sz w:val="21"/>
        </w:rPr>
        <w:t>legislation</w:t>
      </w:r>
      <w:r>
        <w:rPr>
          <w:rFonts w:ascii="Arial" w:hAnsi="Arial"/>
          <w:sz w:val="20"/>
        </w:rPr>
        <w:t> </w:t>
      </w:r>
      <w:r>
        <w:rPr>
          <w:rFonts w:ascii="Arial" w:hAnsi="Arial"/>
          <w:sz w:val="21"/>
        </w:rPr>
        <w:t>and</w:t>
      </w:r>
      <w:r>
        <w:rPr>
          <w:rFonts w:ascii="Arial" w:hAnsi="Arial"/>
          <w:sz w:val="20"/>
        </w:rPr>
        <w:t> </w:t>
      </w:r>
      <w:r>
        <w:rPr>
          <w:rFonts w:ascii="Arial" w:hAnsi="Arial"/>
          <w:sz w:val="21"/>
        </w:rPr>
        <w:t>subordinate</w:t>
      </w:r>
      <w:r>
        <w:rPr>
          <w:rFonts w:ascii="Arial" w:hAnsi="Arial"/>
          <w:sz w:val="20"/>
        </w:rPr>
        <w:t> </w:t>
      </w:r>
      <w:r>
        <w:rPr>
          <w:rFonts w:ascii="Arial" w:hAnsi="Arial"/>
          <w:sz w:val="21"/>
        </w:rPr>
        <w:t>legislation</w:t>
      </w:r>
      <w:r>
        <w:rPr>
          <w:rFonts w:ascii="Arial" w:hAnsi="Arial"/>
          <w:sz w:val="20"/>
        </w:rPr>
        <w:t> </w:t>
      </w:r>
      <w:r>
        <w:rPr>
          <w:rFonts w:ascii="Arial" w:hAnsi="Arial"/>
          <w:sz w:val="21"/>
        </w:rPr>
        <w:t>as</w:t>
      </w:r>
      <w:r>
        <w:rPr>
          <w:rFonts w:ascii="Arial" w:hAnsi="Arial"/>
          <w:sz w:val="20"/>
        </w:rPr>
        <w:t> </w:t>
      </w:r>
      <w:r>
        <w:rPr>
          <w:rFonts w:ascii="Arial" w:hAnsi="Arial"/>
          <w:sz w:val="21"/>
        </w:rPr>
        <w:t>modified</w:t>
      </w:r>
      <w:r>
        <w:rPr>
          <w:rFonts w:ascii="Arial" w:hAnsi="Arial"/>
          <w:sz w:val="20"/>
        </w:rPr>
        <w:t> </w:t>
      </w:r>
      <w:r>
        <w:rPr>
          <w:rFonts w:ascii="Arial" w:hAnsi="Arial"/>
          <w:sz w:val="21"/>
        </w:rPr>
        <w:t>or replaced;</w:t>
      </w:r>
      <w:r>
        <w:rPr>
          <w:rFonts w:ascii="Arial" w:hAnsi="Arial"/>
          <w:sz w:val="20"/>
        </w:rPr>
        <w:t xml:space="preserve"> </w:t>
      </w:r>
    </w:p>
    <w:p>
      <w:pPr>
        <w:pStyle w:val="TextBody"/>
        <w:bidi w:val="0"/>
        <w:spacing w:lineRule="auto" w:line="266" w:before="120" w:after="0"/>
        <w:ind w:left="4275" w:right="2052" w:hanging="0"/>
        <w:jc w:val="left"/>
        <w:rPr>
          <w:rFonts w:ascii="Arial" w:hAnsi="Arial"/>
          <w:sz w:val="20"/>
        </w:rPr>
      </w:pPr>
      <w:r>
        <w:rPr>
          <w:rFonts w:ascii="Arial" w:hAnsi="Arial"/>
          <w:sz w:val="21"/>
        </w:rPr>
        <w:t>(iv)an obligation includes a representation or warranty and a reference</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failure</w:t>
      </w:r>
      <w:r>
        <w:rPr>
          <w:rFonts w:ascii="Arial" w:hAnsi="Arial"/>
          <w:sz w:val="20"/>
        </w:rPr>
        <w:t> </w:t>
      </w:r>
      <w:r>
        <w:rPr>
          <w:rFonts w:ascii="Arial" w:hAnsi="Arial"/>
          <w:sz w:val="21"/>
        </w:rPr>
        <w:t>to</w:t>
      </w:r>
      <w:r>
        <w:rPr>
          <w:rFonts w:ascii="Arial" w:hAnsi="Arial"/>
          <w:sz w:val="20"/>
        </w:rPr>
        <w:t> </w:t>
      </w:r>
      <w:r>
        <w:rPr>
          <w:rFonts w:ascii="Arial" w:hAnsi="Arial"/>
          <w:sz w:val="21"/>
        </w:rPr>
        <w:t>comply</w:t>
      </w:r>
      <w:r>
        <w:rPr>
          <w:rFonts w:ascii="Arial" w:hAnsi="Arial"/>
          <w:sz w:val="20"/>
        </w:rPr>
        <w:t> </w:t>
      </w:r>
      <w:r>
        <w:rPr>
          <w:rFonts w:ascii="Arial" w:hAnsi="Arial"/>
          <w:sz w:val="21"/>
        </w:rPr>
        <w:t>with</w:t>
      </w:r>
      <w:r>
        <w:rPr>
          <w:rFonts w:ascii="Arial" w:hAnsi="Arial"/>
          <w:sz w:val="20"/>
        </w:rPr>
        <w:t> </w:t>
      </w:r>
      <w:r>
        <w:rPr>
          <w:rFonts w:ascii="Arial" w:hAnsi="Arial"/>
          <w:sz w:val="21"/>
        </w:rPr>
        <w:t>an</w:t>
      </w:r>
      <w:r>
        <w:rPr>
          <w:rFonts w:ascii="Arial" w:hAnsi="Arial"/>
          <w:sz w:val="20"/>
        </w:rPr>
        <w:t> </w:t>
      </w:r>
      <w:r>
        <w:rPr>
          <w:rFonts w:ascii="Arial" w:hAnsi="Arial"/>
          <w:sz w:val="21"/>
        </w:rPr>
        <w:t>obligation</w:t>
      </w:r>
      <w:r>
        <w:rPr>
          <w:rFonts w:ascii="Arial" w:hAnsi="Arial"/>
          <w:sz w:val="20"/>
        </w:rPr>
        <w:t> </w:t>
      </w:r>
      <w:r>
        <w:rPr>
          <w:rFonts w:ascii="Arial" w:hAnsi="Arial"/>
          <w:sz w:val="21"/>
        </w:rPr>
        <w:t>includes</w:t>
      </w:r>
      <w:r>
        <w:rPr>
          <w:rFonts w:ascii="Arial" w:hAnsi="Arial"/>
          <w:sz w:val="20"/>
        </w:rPr>
        <w:t> </w:t>
      </w:r>
      <w:r>
        <w:rPr>
          <w:rFonts w:ascii="Arial" w:hAnsi="Arial"/>
          <w:sz w:val="21"/>
        </w:rPr>
        <w:t>a breach of representation or warranty;</w:t>
      </w:r>
      <w:r>
        <w:rPr>
          <w:rFonts w:ascii="Arial" w:hAnsi="Arial"/>
          <w:sz w:val="20"/>
        </w:rPr>
        <w:t xml:space="preserve"> </w:t>
      </w:r>
    </w:p>
    <w:p>
      <w:pPr>
        <w:pStyle w:val="TextBody"/>
        <w:bidi w:val="0"/>
        <w:spacing w:before="120" w:after="0"/>
        <w:ind w:left="4275" w:right="700" w:hanging="0"/>
        <w:jc w:val="left"/>
        <w:rPr>
          <w:rFonts w:ascii="Arial" w:hAnsi="Arial"/>
          <w:sz w:val="20"/>
        </w:rPr>
      </w:pPr>
      <w:r>
        <w:rPr>
          <w:rFonts w:ascii="Arial" w:hAnsi="Arial"/>
          <w:sz w:val="21"/>
        </w:rPr>
        <w:t>(v)a</w:t>
      </w:r>
      <w:r>
        <w:rPr>
          <w:rFonts w:ascii="Arial" w:hAnsi="Arial"/>
          <w:sz w:val="20"/>
        </w:rPr>
        <w:t> </w:t>
      </w:r>
      <w:r>
        <w:rPr>
          <w:rFonts w:ascii="Arial" w:hAnsi="Arial"/>
          <w:sz w:val="21"/>
        </w:rPr>
        <w:t>right</w:t>
      </w:r>
      <w:r>
        <w:rPr>
          <w:rFonts w:ascii="Arial" w:hAnsi="Arial"/>
          <w:sz w:val="20"/>
        </w:rPr>
        <w:t> </w:t>
      </w:r>
      <w:r>
        <w:rPr>
          <w:rFonts w:ascii="Arial" w:hAnsi="Arial"/>
          <w:sz w:val="21"/>
        </w:rPr>
        <w:t>includes</w:t>
      </w:r>
      <w:r>
        <w:rPr>
          <w:rFonts w:ascii="Arial" w:hAnsi="Arial"/>
          <w:sz w:val="20"/>
        </w:rPr>
        <w:t> </w:t>
      </w:r>
      <w:r>
        <w:rPr>
          <w:rFonts w:ascii="Arial" w:hAnsi="Arial"/>
          <w:sz w:val="21"/>
        </w:rPr>
        <w:t>a</w:t>
      </w:r>
      <w:r>
        <w:rPr>
          <w:rFonts w:ascii="Arial" w:hAnsi="Arial"/>
          <w:sz w:val="20"/>
        </w:rPr>
        <w:t> </w:t>
      </w:r>
      <w:r>
        <w:rPr>
          <w:rFonts w:ascii="Arial" w:hAnsi="Arial"/>
          <w:sz w:val="21"/>
        </w:rPr>
        <w:t>benefit,</w:t>
      </w:r>
      <w:r>
        <w:rPr>
          <w:rFonts w:ascii="Arial" w:hAnsi="Arial"/>
          <w:sz w:val="20"/>
        </w:rPr>
        <w:t> </w:t>
      </w:r>
      <w:r>
        <w:rPr>
          <w:rFonts w:ascii="Arial" w:hAnsi="Arial"/>
          <w:sz w:val="21"/>
        </w:rPr>
        <w:t>remedy,</w:t>
      </w:r>
      <w:r>
        <w:rPr>
          <w:rFonts w:ascii="Arial" w:hAnsi="Arial"/>
          <w:sz w:val="20"/>
        </w:rPr>
        <w:t> </w:t>
      </w:r>
      <w:r>
        <w:rPr>
          <w:rFonts w:ascii="Arial" w:hAnsi="Arial"/>
          <w:sz w:val="21"/>
        </w:rPr>
        <w:t>discretion</w:t>
      </w:r>
      <w:r>
        <w:rPr>
          <w:rFonts w:ascii="Arial" w:hAnsi="Arial"/>
          <w:sz w:val="20"/>
        </w:rPr>
        <w:t> </w:t>
      </w:r>
      <w:r>
        <w:rPr>
          <w:rFonts w:ascii="Arial" w:hAnsi="Arial"/>
          <w:sz w:val="21"/>
        </w:rPr>
        <w:t>or</w:t>
      </w:r>
      <w:r>
        <w:rPr>
          <w:rFonts w:ascii="Arial" w:hAnsi="Arial"/>
          <w:sz w:val="20"/>
        </w:rPr>
        <w:t> </w:t>
      </w:r>
      <w:r>
        <w:rPr>
          <w:rFonts w:ascii="Arial" w:hAnsi="Arial"/>
          <w:sz w:val="21"/>
        </w:rPr>
        <w:t>power;</w:t>
      </w:r>
      <w:r>
        <w:rPr>
          <w:rFonts w:ascii="Arial" w:hAnsi="Arial"/>
          <w:sz w:val="20"/>
        </w:rPr>
        <w:t xml:space="preserve"> </w:t>
      </w:r>
    </w:p>
    <w:p>
      <w:pPr>
        <w:pStyle w:val="TextBody"/>
        <w:bidi w:val="0"/>
        <w:spacing w:before="148" w:after="0"/>
        <w:ind w:left="4275" w:right="700" w:hanging="0"/>
        <w:jc w:val="left"/>
        <w:rPr>
          <w:rFonts w:ascii="Arial" w:hAnsi="Arial"/>
          <w:sz w:val="20"/>
        </w:rPr>
      </w:pPr>
      <w:r>
        <w:rPr>
          <w:rFonts w:ascii="Arial" w:hAnsi="Arial"/>
          <w:sz w:val="21"/>
        </w:rPr>
        <w:t>(vi)time</w:t>
      </w:r>
      <w:r>
        <w:rPr>
          <w:rFonts w:ascii="Arial" w:hAnsi="Arial"/>
          <w:sz w:val="20"/>
        </w:rPr>
        <w:t> </w:t>
      </w:r>
      <w:r>
        <w:rPr>
          <w:rFonts w:ascii="Arial" w:hAnsi="Arial"/>
          <w:sz w:val="21"/>
        </w:rPr>
        <w:t>is</w:t>
      </w:r>
      <w:r>
        <w:rPr>
          <w:rFonts w:ascii="Arial" w:hAnsi="Arial"/>
          <w:sz w:val="20"/>
        </w:rPr>
        <w:t> </w:t>
      </w:r>
      <w:r>
        <w:rPr>
          <w:rFonts w:ascii="Arial" w:hAnsi="Arial"/>
          <w:sz w:val="21"/>
        </w:rPr>
        <w:t>to</w:t>
      </w:r>
      <w:r>
        <w:rPr>
          <w:rFonts w:ascii="Arial" w:hAnsi="Arial"/>
          <w:sz w:val="20"/>
        </w:rPr>
        <w:t> </w:t>
      </w:r>
      <w:r>
        <w:rPr>
          <w:rFonts w:ascii="Arial" w:hAnsi="Arial"/>
          <w:sz w:val="21"/>
        </w:rPr>
        <w:t>local</w:t>
      </w:r>
      <w:r>
        <w:rPr>
          <w:rFonts w:ascii="Arial" w:hAnsi="Arial"/>
          <w:sz w:val="20"/>
        </w:rPr>
        <w:t> </w:t>
      </w:r>
      <w:r>
        <w:rPr>
          <w:rFonts w:ascii="Arial" w:hAnsi="Arial"/>
          <w:sz w:val="21"/>
        </w:rPr>
        <w:t>time</w:t>
      </w:r>
      <w:r>
        <w:rPr>
          <w:rFonts w:ascii="Arial" w:hAnsi="Arial"/>
          <w:sz w:val="20"/>
        </w:rPr>
        <w:t> </w:t>
      </w:r>
      <w:r>
        <w:rPr>
          <w:rFonts w:ascii="Arial" w:hAnsi="Arial"/>
          <w:sz w:val="21"/>
        </w:rPr>
        <w:t>in</w:t>
      </w:r>
      <w:r>
        <w:rPr>
          <w:rFonts w:ascii="Arial" w:hAnsi="Arial"/>
          <w:sz w:val="20"/>
        </w:rPr>
        <w:t xml:space="preserve"> </w:t>
      </w:r>
      <w:r>
        <w:rPr>
          <w:rFonts w:ascii="Arial" w:hAnsi="Arial"/>
          <w:sz w:val="21"/>
        </w:rPr>
        <w:t>Melbourne;</w:t>
      </w:r>
      <w:r>
        <w:rPr>
          <w:rFonts w:ascii="Arial" w:hAnsi="Arial"/>
          <w:sz w:val="20"/>
        </w:rPr>
        <w:t xml:space="preserve"> </w:t>
      </w:r>
    </w:p>
    <w:p>
      <w:pPr>
        <w:pStyle w:val="TextBody"/>
        <w:bidi w:val="0"/>
        <w:spacing w:before="149" w:after="0"/>
        <w:ind w:left="4275" w:right="700" w:hanging="0"/>
        <w:jc w:val="left"/>
        <w:rPr>
          <w:rFonts w:ascii="Arial" w:hAnsi="Arial"/>
          <w:sz w:val="20"/>
        </w:rPr>
      </w:pPr>
      <w:r>
        <w:rPr>
          <w:rFonts w:ascii="Arial" w:hAnsi="Arial"/>
          <w:sz w:val="21"/>
        </w:rPr>
        <w:t>(vii)</w:t>
      </w:r>
      <w:r>
        <w:rPr>
          <w:rFonts w:ascii="Arial" w:hAnsi="Arial"/>
          <w:sz w:val="20"/>
        </w:rPr>
        <w:t>“</w:t>
      </w:r>
      <w:r>
        <w:rPr>
          <w:rFonts w:ascii="Arial" w:hAnsi="Arial"/>
          <w:sz w:val="21"/>
        </w:rPr>
        <w:t>$”</w:t>
      </w:r>
      <w:r>
        <w:rPr>
          <w:rFonts w:ascii="Arial" w:hAnsi="Arial"/>
          <w:sz w:val="20"/>
        </w:rPr>
        <w:t> </w:t>
      </w:r>
      <w:r>
        <w:rPr>
          <w:rFonts w:ascii="Arial" w:hAnsi="Arial"/>
          <w:sz w:val="21"/>
        </w:rPr>
        <w:t>or</w:t>
      </w:r>
      <w:r>
        <w:rPr>
          <w:rFonts w:ascii="Arial" w:hAnsi="Arial"/>
          <w:sz w:val="20"/>
        </w:rPr>
        <w:t> “</w:t>
      </w:r>
      <w:r>
        <w:rPr>
          <w:rFonts w:ascii="Arial" w:hAnsi="Arial"/>
          <w:sz w:val="21"/>
        </w:rPr>
        <w:t>dollars”</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reference</w:t>
      </w:r>
      <w:r>
        <w:rPr>
          <w:rFonts w:ascii="Arial" w:hAnsi="Arial"/>
          <w:sz w:val="20"/>
        </w:rPr>
        <w:t> </w:t>
      </w:r>
      <w:r>
        <w:rPr>
          <w:rFonts w:ascii="Arial" w:hAnsi="Arial"/>
          <w:sz w:val="21"/>
        </w:rPr>
        <w:t>to</w:t>
      </w:r>
      <w:r>
        <w:rPr>
          <w:rFonts w:ascii="Arial" w:hAnsi="Arial"/>
          <w:sz w:val="20"/>
        </w:rPr>
        <w:t> </w:t>
      </w:r>
      <w:r>
        <w:rPr>
          <w:rFonts w:ascii="Arial" w:hAnsi="Arial"/>
          <w:sz w:val="21"/>
        </w:rPr>
        <w:t>Australian</w:t>
      </w:r>
      <w:r>
        <w:rPr>
          <w:rFonts w:ascii="Arial" w:hAnsi="Arial"/>
          <w:sz w:val="20"/>
        </w:rPr>
        <w:t> </w:t>
      </w:r>
      <w:r>
        <w:rPr>
          <w:rFonts w:ascii="Arial" w:hAnsi="Arial"/>
          <w:sz w:val="21"/>
        </w:rPr>
        <w:t>currency;</w:t>
      </w:r>
      <w:r>
        <w:rPr>
          <w:rFonts w:ascii="Arial" w:hAnsi="Arial"/>
          <w:sz w:val="20"/>
        </w:rPr>
        <w:t xml:space="preserve"> </w:t>
      </w:r>
    </w:p>
    <w:p>
      <w:pPr>
        <w:pStyle w:val="TextBody"/>
        <w:bidi w:val="0"/>
        <w:spacing w:lineRule="auto" w:line="266" w:before="148" w:after="0"/>
        <w:ind w:left="4275" w:right="1772" w:hanging="0"/>
        <w:jc w:val="both"/>
        <w:rPr>
          <w:rFonts w:ascii="Arial" w:hAnsi="Arial"/>
          <w:sz w:val="20"/>
        </w:rPr>
      </w:pPr>
      <w:r>
        <w:rPr>
          <w:rFonts w:ascii="Arial" w:hAnsi="Arial"/>
          <w:sz w:val="21"/>
        </w:rPr>
        <w:t>(viii)this or any other document includes the document as novated, varied</w:t>
      </w:r>
      <w:r>
        <w:rPr>
          <w:rFonts w:ascii="Arial" w:hAnsi="Arial"/>
          <w:sz w:val="20"/>
        </w:rPr>
        <w:t> </w:t>
      </w:r>
      <w:r>
        <w:rPr>
          <w:rFonts w:ascii="Arial" w:hAnsi="Arial"/>
          <w:sz w:val="21"/>
        </w:rPr>
        <w:t>or</w:t>
      </w:r>
      <w:r>
        <w:rPr>
          <w:rFonts w:ascii="Arial" w:hAnsi="Arial"/>
          <w:sz w:val="20"/>
        </w:rPr>
        <w:t> </w:t>
      </w:r>
      <w:r>
        <w:rPr>
          <w:rFonts w:ascii="Arial" w:hAnsi="Arial"/>
          <w:sz w:val="21"/>
        </w:rPr>
        <w:t>replaced</w:t>
      </w:r>
      <w:r>
        <w:rPr>
          <w:rFonts w:ascii="Arial" w:hAnsi="Arial"/>
          <w:sz w:val="20"/>
        </w:rPr>
        <w:t> </w:t>
      </w:r>
      <w:r>
        <w:rPr>
          <w:rFonts w:ascii="Arial" w:hAnsi="Arial"/>
          <w:sz w:val="21"/>
        </w:rPr>
        <w:t>and</w:t>
      </w:r>
      <w:r>
        <w:rPr>
          <w:rFonts w:ascii="Arial" w:hAnsi="Arial"/>
          <w:sz w:val="20"/>
        </w:rPr>
        <w:t> </w:t>
      </w:r>
      <w:r>
        <w:rPr>
          <w:rFonts w:ascii="Arial" w:hAnsi="Arial"/>
          <w:sz w:val="21"/>
        </w:rPr>
        <w:t>despite</w:t>
      </w:r>
      <w:r>
        <w:rPr>
          <w:rFonts w:ascii="Arial" w:hAnsi="Arial"/>
          <w:sz w:val="20"/>
        </w:rPr>
        <w:t> </w:t>
      </w:r>
      <w:r>
        <w:rPr>
          <w:rFonts w:ascii="Arial" w:hAnsi="Arial"/>
          <w:sz w:val="21"/>
        </w:rPr>
        <w:t>any</w:t>
      </w:r>
      <w:r>
        <w:rPr>
          <w:rFonts w:ascii="Arial" w:hAnsi="Arial"/>
          <w:sz w:val="20"/>
        </w:rPr>
        <w:t> </w:t>
      </w:r>
      <w:r>
        <w:rPr>
          <w:rFonts w:ascii="Arial" w:hAnsi="Arial"/>
          <w:sz w:val="21"/>
        </w:rPr>
        <w:t>change</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identity</w:t>
      </w:r>
      <w:r>
        <w:rPr>
          <w:rFonts w:ascii="Arial" w:hAnsi="Arial"/>
          <w:sz w:val="20"/>
        </w:rPr>
        <w:t> </w:t>
      </w:r>
      <w:r>
        <w:rPr>
          <w:rFonts w:ascii="Arial" w:hAnsi="Arial"/>
          <w:sz w:val="21"/>
        </w:rPr>
        <w:t>of</w:t>
      </w:r>
      <w:r>
        <w:rPr>
          <w:rFonts w:ascii="Arial" w:hAnsi="Arial"/>
          <w:sz w:val="20"/>
        </w:rPr>
        <w:t> </w:t>
      </w:r>
      <w:r>
        <w:rPr>
          <w:rFonts w:ascii="Arial" w:hAnsi="Arial"/>
          <w:sz w:val="21"/>
        </w:rPr>
        <w:t>the parties;</w:t>
      </w:r>
      <w:r>
        <w:rPr>
          <w:rFonts w:ascii="Arial" w:hAnsi="Arial"/>
          <w:sz w:val="20"/>
        </w:rPr>
        <w:t xml:space="preserve"> </w:t>
      </w:r>
    </w:p>
    <w:p>
      <w:pPr>
        <w:pStyle w:val="TextBody"/>
        <w:bidi w:val="0"/>
        <w:spacing w:lineRule="auto" w:line="266" w:before="117" w:after="0"/>
        <w:ind w:left="4275" w:right="1491" w:hanging="0"/>
        <w:jc w:val="left"/>
        <w:rPr>
          <w:rFonts w:ascii="Arial" w:hAnsi="Arial"/>
          <w:sz w:val="20"/>
        </w:rPr>
      </w:pPr>
      <w:r>
        <w:rPr>
          <w:rFonts w:ascii="Arial" w:hAnsi="Arial"/>
          <w:sz w:val="21"/>
        </w:rPr>
        <w:t>(ix)writing</w:t>
      </w:r>
      <w:r>
        <w:rPr>
          <w:rFonts w:ascii="Arial" w:hAnsi="Arial"/>
          <w:sz w:val="20"/>
        </w:rPr>
        <w:t> </w:t>
      </w:r>
      <w:r>
        <w:rPr>
          <w:rFonts w:ascii="Arial" w:hAnsi="Arial"/>
          <w:sz w:val="21"/>
        </w:rPr>
        <w:t>includes</w:t>
      </w:r>
      <w:r>
        <w:rPr>
          <w:rFonts w:ascii="Arial" w:hAnsi="Arial"/>
          <w:sz w:val="20"/>
        </w:rPr>
        <w:t> </w:t>
      </w:r>
      <w:r>
        <w:rPr>
          <w:rFonts w:ascii="Arial" w:hAnsi="Arial"/>
          <w:sz w:val="21"/>
        </w:rPr>
        <w:t>any</w:t>
      </w:r>
      <w:r>
        <w:rPr>
          <w:rFonts w:ascii="Arial" w:hAnsi="Arial"/>
          <w:sz w:val="20"/>
        </w:rPr>
        <w:t> </w:t>
      </w:r>
      <w:r>
        <w:rPr>
          <w:rFonts w:ascii="Arial" w:hAnsi="Arial"/>
          <w:sz w:val="21"/>
        </w:rPr>
        <w:t>mode</w:t>
      </w:r>
      <w:r>
        <w:rPr>
          <w:rFonts w:ascii="Arial" w:hAnsi="Arial"/>
          <w:sz w:val="20"/>
        </w:rPr>
        <w:t> </w:t>
      </w:r>
      <w:r>
        <w:rPr>
          <w:rFonts w:ascii="Arial" w:hAnsi="Arial"/>
          <w:sz w:val="21"/>
        </w:rPr>
        <w:t>of</w:t>
      </w:r>
      <w:r>
        <w:rPr>
          <w:rFonts w:ascii="Arial" w:hAnsi="Arial"/>
          <w:sz w:val="20"/>
        </w:rPr>
        <w:t> </w:t>
      </w:r>
      <w:r>
        <w:rPr>
          <w:rFonts w:ascii="Arial" w:hAnsi="Arial"/>
          <w:sz w:val="21"/>
        </w:rPr>
        <w:t>representing</w:t>
      </w:r>
      <w:r>
        <w:rPr>
          <w:rFonts w:ascii="Arial" w:hAnsi="Arial"/>
          <w:sz w:val="20"/>
        </w:rPr>
        <w:t> </w:t>
      </w:r>
      <w:r>
        <w:rPr>
          <w:rFonts w:ascii="Arial" w:hAnsi="Arial"/>
          <w:sz w:val="21"/>
        </w:rPr>
        <w:t>or</w:t>
      </w:r>
      <w:r>
        <w:rPr>
          <w:rFonts w:ascii="Arial" w:hAnsi="Arial"/>
          <w:sz w:val="20"/>
        </w:rPr>
        <w:t> </w:t>
      </w:r>
      <w:r>
        <w:rPr>
          <w:rFonts w:ascii="Arial" w:hAnsi="Arial"/>
          <w:sz w:val="21"/>
        </w:rPr>
        <w:t>reproducing</w:t>
      </w:r>
      <w:r>
        <w:rPr>
          <w:rFonts w:ascii="Arial" w:hAnsi="Arial"/>
          <w:sz w:val="20"/>
        </w:rPr>
        <w:t> </w:t>
      </w:r>
      <w:r>
        <w:rPr>
          <w:rFonts w:ascii="Arial" w:hAnsi="Arial"/>
          <w:sz w:val="21"/>
        </w:rPr>
        <w:t>words</w:t>
      </w:r>
      <w:r>
        <w:rPr>
          <w:rFonts w:ascii="Arial" w:hAnsi="Arial"/>
          <w:sz w:val="20"/>
        </w:rPr>
        <w:t> </w:t>
      </w:r>
      <w:r>
        <w:rPr>
          <w:rFonts w:ascii="Arial" w:hAnsi="Arial"/>
          <w:sz w:val="21"/>
        </w:rPr>
        <w:t>in tangible and permanently visible form, and includes fax transmissions;</w:t>
      </w:r>
      <w:r>
        <w:rPr>
          <w:rFonts w:ascii="Arial" w:hAnsi="Arial"/>
          <w:sz w:val="20"/>
        </w:rPr>
        <w:t xml:space="preserve"> </w:t>
      </w:r>
    </w:p>
    <w:p>
      <w:pPr>
        <w:pStyle w:val="TextBody"/>
        <w:bidi w:val="0"/>
        <w:spacing w:lineRule="auto" w:line="266" w:before="120" w:after="0"/>
        <w:ind w:left="4275" w:right="1423" w:hanging="0"/>
        <w:jc w:val="left"/>
        <w:rPr>
          <w:rFonts w:ascii="Arial" w:hAnsi="Arial"/>
          <w:sz w:val="20"/>
        </w:rPr>
      </w:pPr>
      <w:r>
        <w:rPr>
          <w:rFonts w:ascii="Arial" w:hAnsi="Arial"/>
          <w:sz w:val="21"/>
        </w:rPr>
        <w:t>(x)any</w:t>
      </w:r>
      <w:r>
        <w:rPr>
          <w:rFonts w:ascii="Arial" w:hAnsi="Arial"/>
          <w:sz w:val="20"/>
        </w:rPr>
        <w:t> </w:t>
      </w:r>
      <w:r>
        <w:rPr>
          <w:rFonts w:ascii="Arial" w:hAnsi="Arial"/>
          <w:sz w:val="21"/>
        </w:rPr>
        <w:t>thing</w:t>
      </w:r>
      <w:r>
        <w:rPr>
          <w:rFonts w:ascii="Arial" w:hAnsi="Arial"/>
          <w:sz w:val="20"/>
        </w:rPr>
        <w:t> </w:t>
      </w:r>
      <w:r>
        <w:rPr>
          <w:rFonts w:ascii="Arial" w:hAnsi="Arial"/>
          <w:sz w:val="21"/>
        </w:rPr>
        <w:t>(including</w:t>
      </w:r>
      <w:r>
        <w:rPr>
          <w:rFonts w:ascii="Arial" w:hAnsi="Arial"/>
          <w:sz w:val="20"/>
        </w:rPr>
        <w:t> </w:t>
      </w:r>
      <w:r>
        <w:rPr>
          <w:rFonts w:ascii="Arial" w:hAnsi="Arial"/>
          <w:sz w:val="21"/>
        </w:rPr>
        <w:t>any</w:t>
      </w:r>
      <w:r>
        <w:rPr>
          <w:rFonts w:ascii="Arial" w:hAnsi="Arial"/>
          <w:sz w:val="20"/>
        </w:rPr>
        <w:t> </w:t>
      </w:r>
      <w:r>
        <w:rPr>
          <w:rFonts w:ascii="Arial" w:hAnsi="Arial"/>
          <w:sz w:val="21"/>
        </w:rPr>
        <w:t>amount)</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reference</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whole</w:t>
      </w:r>
      <w:r>
        <w:rPr>
          <w:rFonts w:ascii="Arial" w:hAnsi="Arial"/>
          <w:sz w:val="20"/>
        </w:rPr>
        <w:t> </w:t>
      </w:r>
      <w:r>
        <w:rPr>
          <w:rFonts w:ascii="Arial" w:hAnsi="Arial"/>
          <w:sz w:val="21"/>
        </w:rPr>
        <w:t>or</w:t>
      </w:r>
      <w:r>
        <w:rPr>
          <w:rFonts w:ascii="Arial" w:hAnsi="Arial"/>
          <w:sz w:val="20"/>
        </w:rPr>
        <w:t> </w:t>
      </w:r>
      <w:r>
        <w:rPr>
          <w:rFonts w:ascii="Arial" w:hAnsi="Arial"/>
          <w:sz w:val="21"/>
        </w:rPr>
        <w:t>any part of it and a reference to a group of things or persons is a reference to any one or more of them;</w:t>
      </w:r>
      <w:r>
        <w:rPr>
          <w:rFonts w:ascii="Arial" w:hAnsi="Arial"/>
          <w:sz w:val="20"/>
        </w:rPr>
        <w:t xml:space="preserve"> </w:t>
      </w:r>
    </w:p>
    <w:p>
      <w:pPr>
        <w:pStyle w:val="TextBody"/>
        <w:bidi w:val="0"/>
        <w:spacing w:before="120" w:after="0"/>
        <w:ind w:left="4275" w:right="700" w:hanging="0"/>
        <w:jc w:val="left"/>
        <w:rPr>
          <w:rFonts w:ascii="Arial" w:hAnsi="Arial"/>
          <w:sz w:val="20"/>
        </w:rPr>
      </w:pPr>
      <w:r>
        <w:rPr>
          <w:rFonts w:ascii="Arial" w:hAnsi="Arial"/>
          <w:sz w:val="21"/>
        </w:rPr>
        <w:t>(xi)this</w:t>
      </w:r>
      <w:r>
        <w:rPr>
          <w:rFonts w:ascii="Arial" w:hAnsi="Arial"/>
          <w:sz w:val="20"/>
        </w:rPr>
        <w:t> </w:t>
      </w:r>
      <w:r>
        <w:rPr>
          <w:rFonts w:ascii="Arial" w:hAnsi="Arial"/>
          <w:sz w:val="21"/>
        </w:rPr>
        <w:t>document</w:t>
      </w:r>
      <w:r>
        <w:rPr>
          <w:rFonts w:ascii="Arial" w:hAnsi="Arial"/>
          <w:sz w:val="20"/>
        </w:rPr>
        <w:t> </w:t>
      </w:r>
      <w:r>
        <w:rPr>
          <w:rFonts w:ascii="Arial" w:hAnsi="Arial"/>
          <w:sz w:val="21"/>
        </w:rPr>
        <w:t>includes</w:t>
      </w:r>
      <w:r>
        <w:rPr>
          <w:rFonts w:ascii="Arial" w:hAnsi="Arial"/>
          <w:sz w:val="20"/>
        </w:rPr>
        <w:t> </w:t>
      </w:r>
      <w:r>
        <w:rPr>
          <w:rFonts w:ascii="Arial" w:hAnsi="Arial"/>
          <w:sz w:val="21"/>
        </w:rPr>
        <w:t>all</w:t>
      </w:r>
      <w:r>
        <w:rPr>
          <w:rFonts w:ascii="Arial" w:hAnsi="Arial"/>
          <w:sz w:val="20"/>
        </w:rPr>
        <w:t> </w:t>
      </w:r>
      <w:r>
        <w:rPr>
          <w:rFonts w:ascii="Arial" w:hAnsi="Arial"/>
          <w:sz w:val="21"/>
        </w:rPr>
        <w:t>schedules</w:t>
      </w:r>
      <w:r>
        <w:rPr>
          <w:rFonts w:ascii="Arial" w:hAnsi="Arial"/>
          <w:sz w:val="20"/>
        </w:rPr>
        <w:t> </w:t>
      </w:r>
      <w:r>
        <w:rPr>
          <w:rFonts w:ascii="Arial" w:hAnsi="Arial"/>
          <w:sz w:val="21"/>
        </w:rPr>
        <w:t>and</w:t>
      </w:r>
      <w:r>
        <w:rPr>
          <w:rFonts w:ascii="Arial" w:hAnsi="Arial"/>
          <w:sz w:val="20"/>
        </w:rPr>
        <w:t> </w:t>
      </w:r>
      <w:r>
        <w:rPr>
          <w:rFonts w:ascii="Arial" w:hAnsi="Arial"/>
          <w:sz w:val="21"/>
        </w:rPr>
        <w:t>annexures</w:t>
      </w:r>
      <w:r>
        <w:rPr>
          <w:rFonts w:ascii="Arial" w:hAnsi="Arial"/>
          <w:sz w:val="20"/>
        </w:rPr>
        <w:t> </w:t>
      </w:r>
      <w:r>
        <w:rPr>
          <w:rFonts w:ascii="Arial" w:hAnsi="Arial"/>
          <w:sz w:val="21"/>
        </w:rPr>
        <w:t>to</w:t>
      </w:r>
      <w:r>
        <w:rPr>
          <w:rFonts w:ascii="Arial" w:hAnsi="Arial"/>
          <w:sz w:val="20"/>
        </w:rPr>
        <w:t> </w:t>
      </w:r>
      <w:r>
        <w:rPr>
          <w:rFonts w:ascii="Arial" w:hAnsi="Arial"/>
          <w:sz w:val="21"/>
        </w:rPr>
        <w:t>it;</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148" w:after="0"/>
        <w:ind w:left="4275" w:right="1946" w:hanging="0"/>
        <w:jc w:val="left"/>
        <w:rPr>
          <w:rFonts w:ascii="Arial" w:hAnsi="Arial"/>
          <w:sz w:val="20"/>
        </w:rPr>
      </w:pPr>
      <w:r>
        <w:rPr>
          <w:rFonts w:ascii="Arial" w:hAnsi="Arial"/>
          <w:sz w:val="21"/>
        </w:rPr>
        <w:t>(xii)a clause, schedule or annexure is a reference to a clause, schedule</w:t>
      </w:r>
      <w:r>
        <w:rPr>
          <w:rFonts w:ascii="Arial" w:hAnsi="Arial"/>
          <w:sz w:val="20"/>
        </w:rPr>
        <w:t> </w:t>
      </w:r>
      <w:r>
        <w:rPr>
          <w:rFonts w:ascii="Arial" w:hAnsi="Arial"/>
          <w:sz w:val="21"/>
        </w:rPr>
        <w:t>or</w:t>
      </w:r>
      <w:r>
        <w:rPr>
          <w:rFonts w:ascii="Arial" w:hAnsi="Arial"/>
          <w:sz w:val="20"/>
        </w:rPr>
        <w:t> </w:t>
      </w:r>
      <w:r>
        <w:rPr>
          <w:rFonts w:ascii="Arial" w:hAnsi="Arial"/>
          <w:sz w:val="21"/>
        </w:rPr>
        <w:t>annexure,</w:t>
      </w:r>
      <w:r>
        <w:rPr>
          <w:rFonts w:ascii="Arial" w:hAnsi="Arial"/>
          <w:sz w:val="20"/>
        </w:rPr>
        <w:t> </w:t>
      </w:r>
      <w:r>
        <w:rPr>
          <w:rFonts w:ascii="Arial" w:hAnsi="Arial"/>
          <w:sz w:val="21"/>
        </w:rPr>
        <w:t>as</w:t>
      </w:r>
      <w:r>
        <w:rPr>
          <w:rFonts w:ascii="Arial" w:hAnsi="Arial"/>
          <w:sz w:val="20"/>
        </w:rPr>
        <w:t> </w:t>
      </w:r>
      <w:r>
        <w:rPr>
          <w:rFonts w:ascii="Arial" w:hAnsi="Arial"/>
          <w:sz w:val="21"/>
        </w:rPr>
        <w:t>the</w:t>
      </w:r>
      <w:r>
        <w:rPr>
          <w:rFonts w:ascii="Arial" w:hAnsi="Arial"/>
          <w:sz w:val="20"/>
        </w:rPr>
        <w:t> </w:t>
      </w:r>
      <w:r>
        <w:rPr>
          <w:rFonts w:ascii="Arial" w:hAnsi="Arial"/>
          <w:sz w:val="21"/>
        </w:rPr>
        <w:t>case</w:t>
      </w:r>
      <w:r>
        <w:rPr>
          <w:rFonts w:ascii="Arial" w:hAnsi="Arial"/>
          <w:sz w:val="20"/>
        </w:rPr>
        <w:t> </w:t>
      </w:r>
      <w:r>
        <w:rPr>
          <w:rFonts w:ascii="Arial" w:hAnsi="Arial"/>
          <w:sz w:val="21"/>
        </w:rPr>
        <w:t>may</w:t>
      </w:r>
      <w:r>
        <w:rPr>
          <w:rFonts w:ascii="Arial" w:hAnsi="Arial"/>
          <w:sz w:val="20"/>
        </w:rPr>
        <w:t> </w:t>
      </w:r>
      <w:r>
        <w:rPr>
          <w:rFonts w:ascii="Arial" w:hAnsi="Arial"/>
          <w:sz w:val="21"/>
        </w:rPr>
        <w:t>be,</w:t>
      </w:r>
      <w:r>
        <w:rPr>
          <w:rFonts w:ascii="Arial" w:hAnsi="Arial"/>
          <w:sz w:val="20"/>
        </w:rPr>
        <w:t> </w:t>
      </w:r>
      <w:r>
        <w:rPr>
          <w:rFonts w:ascii="Arial" w:hAnsi="Arial"/>
          <w:sz w:val="21"/>
        </w:rPr>
        <w:t>of</w:t>
      </w:r>
      <w:r>
        <w:rPr>
          <w:rFonts w:ascii="Arial" w:hAnsi="Arial"/>
          <w:sz w:val="20"/>
        </w:rPr>
        <w:t> </w:t>
      </w:r>
      <w:r>
        <w:rPr>
          <w:rFonts w:ascii="Arial" w:hAnsi="Arial"/>
          <w:sz w:val="21"/>
        </w:rPr>
        <w:t>this</w:t>
      </w:r>
      <w:r>
        <w:rPr>
          <w:rFonts w:ascii="Arial" w:hAnsi="Arial"/>
          <w:sz w:val="20"/>
        </w:rPr>
        <w:t> </w:t>
      </w:r>
      <w:r>
        <w:rPr>
          <w:rFonts w:ascii="Arial" w:hAnsi="Arial"/>
          <w:sz w:val="21"/>
        </w:rPr>
        <w:t>document.</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03" w:name="Headings131"/>
      <w:bookmarkEnd w:id="403"/>
      <w:r>
        <w:rPr>
          <w:rFonts w:ascii="Arial" w:hAnsi="Arial"/>
          <w:b/>
          <w:color w:val="000000"/>
          <w:sz w:val="24"/>
        </w:rPr>
        <w:t>1.3Headings</w:t>
      </w:r>
      <w:r>
        <w:rPr>
          <w:rFonts w:ascii="Arial" w:hAnsi="Arial"/>
          <w:b/>
          <w:sz w:val="24"/>
        </w:rPr>
        <w:t xml:space="preserve"> </w:t>
      </w:r>
    </w:p>
    <w:p>
      <w:pPr>
        <w:pStyle w:val="TextBody"/>
        <w:bidi w:val="0"/>
        <w:spacing w:before="95" w:after="0"/>
        <w:ind w:left="3118" w:right="700" w:hanging="0"/>
        <w:jc w:val="left"/>
        <w:rPr>
          <w:rFonts w:ascii="Arial" w:hAnsi="Arial"/>
          <w:sz w:val="22"/>
        </w:rPr>
      </w:pPr>
      <w:r>
        <w:rPr>
          <w:rFonts w:ascii="Arial" w:hAnsi="Arial"/>
          <w:color w:val="000000"/>
          <w:sz w:val="22"/>
        </w:rPr>
        <w:t>Headings do not affect the interpretation of this document.</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04" w:name="Corporations14"/>
      <w:bookmarkEnd w:id="404"/>
      <w:r>
        <w:rPr>
          <w:rFonts w:ascii="Arial" w:hAnsi="Arial"/>
          <w:b/>
          <w:color w:val="000000"/>
          <w:sz w:val="24"/>
        </w:rPr>
        <w:t>1.4Corporations Act, GST and Accounting Standards</w:t>
      </w:r>
      <w:r>
        <w:rPr>
          <w:rFonts w:ascii="Arial" w:hAnsi="Arial"/>
          <w:b/>
          <w:sz w:val="24"/>
        </w:rPr>
        <w:t xml:space="preserve"> </w:t>
      </w:r>
    </w:p>
    <w:p>
      <w:pPr>
        <w:pStyle w:val="TextBody"/>
        <w:bidi w:val="0"/>
        <w:spacing w:before="95" w:after="0"/>
        <w:ind w:left="3118" w:right="700" w:hanging="0"/>
        <w:jc w:val="left"/>
        <w:rPr>
          <w:rFonts w:ascii="Arial" w:hAnsi="Arial"/>
          <w:sz w:val="22"/>
        </w:rPr>
      </w:pPr>
      <w:r>
        <w:rPr>
          <w:rFonts w:ascii="Arial" w:hAnsi="Arial"/>
          <w:color w:val="000000"/>
          <w:sz w:val="22"/>
        </w:rPr>
        <w:t>Unless expressed to the contrary:</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t>
      </w:r>
      <w:r>
        <w:rPr>
          <w:rFonts w:ascii="Arial" w:hAnsi="Arial"/>
          <w:color w:val="000000"/>
          <w:sz w:val="20"/>
        </w:rPr>
        <w:t>“</w:t>
      </w:r>
      <w:r>
        <w:rPr>
          <w:rFonts w:ascii="Arial" w:hAnsi="Arial"/>
          <w:color w:val="000000"/>
          <w:sz w:val="21"/>
        </w:rPr>
        <w:t>control”,</w:t>
      </w:r>
      <w:r>
        <w:rPr>
          <w:rFonts w:ascii="Arial" w:hAnsi="Arial"/>
          <w:color w:val="000000"/>
          <w:sz w:val="20"/>
        </w:rPr>
        <w:t> “</w:t>
      </w:r>
      <w:r>
        <w:rPr>
          <w:rFonts w:ascii="Arial" w:hAnsi="Arial"/>
          <w:color w:val="000000"/>
          <w:sz w:val="21"/>
        </w:rPr>
        <w:t>controller”,</w:t>
      </w:r>
      <w:r>
        <w:rPr>
          <w:rFonts w:ascii="Arial" w:hAnsi="Arial"/>
          <w:color w:val="000000"/>
          <w:sz w:val="20"/>
        </w:rPr>
        <w:t> “</w:t>
      </w:r>
      <w:r>
        <w:rPr>
          <w:rFonts w:ascii="Arial" w:hAnsi="Arial"/>
          <w:color w:val="000000"/>
          <w:sz w:val="21"/>
        </w:rPr>
        <w:t>corporation”,</w:t>
      </w:r>
      <w:r>
        <w:rPr>
          <w:rFonts w:ascii="Arial" w:hAnsi="Arial"/>
          <w:color w:val="000000"/>
          <w:sz w:val="20"/>
        </w:rPr>
        <w:t> “</w:t>
      </w:r>
      <w:r>
        <w:rPr>
          <w:rFonts w:ascii="Arial" w:hAnsi="Arial"/>
          <w:color w:val="000000"/>
          <w:sz w:val="21"/>
        </w:rPr>
        <w:t>disclosing</w:t>
      </w:r>
      <w:r>
        <w:rPr>
          <w:rFonts w:ascii="Arial" w:hAnsi="Arial"/>
          <w:color w:val="000000"/>
          <w:sz w:val="20"/>
        </w:rPr>
        <w:t> </w:t>
      </w:r>
      <w:r>
        <w:rPr>
          <w:rFonts w:ascii="Arial" w:hAnsi="Arial"/>
          <w:color w:val="000000"/>
          <w:sz w:val="21"/>
        </w:rPr>
        <w:t>entity”,</w:t>
      </w:r>
      <w:r>
        <w:rPr>
          <w:rFonts w:ascii="Arial" w:hAnsi="Arial"/>
          <w:color w:val="000000"/>
          <w:sz w:val="20"/>
        </w:rPr>
        <w:t> “</w:t>
      </w:r>
      <w:r>
        <w:rPr>
          <w:rFonts w:ascii="Arial" w:hAnsi="Arial"/>
          <w:color w:val="000000"/>
          <w:sz w:val="21"/>
        </w:rPr>
        <w:t>holding</w:t>
      </w:r>
      <w:r>
        <w:rPr>
          <w:rFonts w:ascii="Arial" w:hAnsi="Arial"/>
          <w:color w:val="000000"/>
          <w:sz w:val="20"/>
        </w:rPr>
        <w:t> </w:t>
      </w:r>
      <w:r>
        <w:rPr>
          <w:rFonts w:ascii="Arial" w:hAnsi="Arial"/>
          <w:color w:val="000000"/>
          <w:sz w:val="21"/>
        </w:rPr>
        <w:t>company”, “marketable security”, “prospective liability”, “public company”, “related body corporate” and “subsidiary” each has the meaning which it is</w:t>
      </w:r>
      <w:r>
        <w:rPr>
          <w:rFonts w:ascii="Arial" w:hAnsi="Arial"/>
          <w:color w:val="000000"/>
          <w:sz w:val="20"/>
        </w:rPr>
        <w:t> </w:t>
      </w:r>
      <w:r>
        <w:rPr>
          <w:rFonts w:ascii="Arial" w:hAnsi="Arial"/>
          <w:color w:val="000000"/>
          <w:sz w:val="21"/>
        </w:rPr>
        <w:t>defined to have in the Corporations Act;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w:t>
      </w:r>
      <w:r>
        <w:rPr>
          <w:rFonts w:ascii="Arial" w:hAnsi="Arial"/>
          <w:color w:val="000000"/>
          <w:sz w:val="20"/>
        </w:rPr>
        <w:t>“</w:t>
      </w:r>
      <w:r>
        <w:rPr>
          <w:rFonts w:ascii="Arial" w:hAnsi="Arial"/>
          <w:color w:val="000000"/>
          <w:sz w:val="21"/>
        </w:rPr>
        <w:t>adjustment event”, “consideration”, “GST”, “input tax credit”, “supply”, “taxable supply” and “tax invoice” each has the meaning which it is defined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i/>
          <w:color w:val="000000"/>
          <w:sz w:val="21"/>
        </w:rPr>
        <w:t>A</w:t>
      </w:r>
      <w:r>
        <w:rPr>
          <w:rFonts w:ascii="Arial" w:hAnsi="Arial"/>
          <w:color w:val="000000"/>
          <w:sz w:val="20"/>
        </w:rPr>
        <w:t> </w:t>
      </w:r>
      <w:r>
        <w:rPr>
          <w:rFonts w:ascii="Arial" w:hAnsi="Arial"/>
          <w:i/>
          <w:color w:val="000000"/>
          <w:sz w:val="21"/>
        </w:rPr>
        <w:t>New</w:t>
      </w:r>
      <w:r>
        <w:rPr>
          <w:rFonts w:ascii="Arial" w:hAnsi="Arial"/>
          <w:color w:val="000000"/>
          <w:sz w:val="20"/>
        </w:rPr>
        <w:t> </w:t>
      </w:r>
      <w:r>
        <w:rPr>
          <w:rFonts w:ascii="Arial" w:hAnsi="Arial"/>
          <w:i/>
          <w:color w:val="000000"/>
          <w:sz w:val="21"/>
        </w:rPr>
        <w:t>Tax</w:t>
      </w:r>
      <w:r>
        <w:rPr>
          <w:rFonts w:ascii="Arial" w:hAnsi="Arial"/>
          <w:color w:val="000000"/>
          <w:sz w:val="20"/>
        </w:rPr>
        <w:t> </w:t>
      </w:r>
      <w:r>
        <w:rPr>
          <w:rFonts w:ascii="Arial" w:hAnsi="Arial"/>
          <w:i/>
          <w:color w:val="000000"/>
          <w:sz w:val="21"/>
        </w:rPr>
        <w:t>System</w:t>
      </w:r>
      <w:r>
        <w:rPr>
          <w:rFonts w:ascii="Arial" w:hAnsi="Arial"/>
          <w:color w:val="000000"/>
          <w:sz w:val="20"/>
        </w:rPr>
        <w:t> </w:t>
      </w:r>
      <w:r>
        <w:rPr>
          <w:rFonts w:ascii="Arial" w:hAnsi="Arial"/>
          <w:i/>
          <w:color w:val="000000"/>
          <w:sz w:val="21"/>
        </w:rPr>
        <w:t>(Goods</w:t>
      </w:r>
      <w:r>
        <w:rPr>
          <w:rFonts w:ascii="Arial" w:hAnsi="Arial"/>
          <w:color w:val="000000"/>
          <w:sz w:val="20"/>
        </w:rPr>
        <w:t> </w:t>
      </w:r>
      <w:r>
        <w:rPr>
          <w:rFonts w:ascii="Arial" w:hAnsi="Arial"/>
          <w:i/>
          <w:color w:val="000000"/>
          <w:sz w:val="21"/>
        </w:rPr>
        <w:t>and</w:t>
      </w:r>
      <w:r>
        <w:rPr>
          <w:rFonts w:ascii="Arial" w:hAnsi="Arial"/>
          <w:color w:val="000000"/>
          <w:sz w:val="20"/>
        </w:rPr>
        <w:t> </w:t>
      </w:r>
      <w:r>
        <w:rPr>
          <w:rFonts w:ascii="Arial" w:hAnsi="Arial"/>
          <w:i/>
          <w:color w:val="000000"/>
          <w:sz w:val="21"/>
        </w:rPr>
        <w:t>Services</w:t>
      </w:r>
      <w:r>
        <w:rPr>
          <w:rFonts w:ascii="Arial" w:hAnsi="Arial"/>
          <w:color w:val="000000"/>
          <w:sz w:val="20"/>
        </w:rPr>
        <w:t> </w:t>
      </w:r>
      <w:r>
        <w:rPr>
          <w:rFonts w:ascii="Arial" w:hAnsi="Arial"/>
          <w:i/>
          <w:color w:val="000000"/>
          <w:sz w:val="21"/>
        </w:rPr>
        <w:t>Tax)</w:t>
      </w:r>
      <w:r>
        <w:rPr>
          <w:rFonts w:ascii="Arial" w:hAnsi="Arial"/>
          <w:color w:val="000000"/>
          <w:sz w:val="20"/>
        </w:rPr>
        <w:t> </w:t>
      </w:r>
      <w:r>
        <w:rPr>
          <w:rFonts w:ascii="Arial" w:hAnsi="Arial"/>
          <w:i/>
          <w:color w:val="000000"/>
          <w:sz w:val="21"/>
        </w:rPr>
        <w:t>Act 1999</w:t>
      </w:r>
      <w:r>
        <w:rPr>
          <w:rFonts w:ascii="Arial" w:hAnsi="Arial"/>
          <w:color w:val="000000"/>
          <w:sz w:val="21"/>
        </w:rPr>
        <w:t>;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w:t>
      </w:r>
      <w:r>
        <w:rPr>
          <w:rFonts w:ascii="Arial" w:hAnsi="Arial"/>
          <w:color w:val="000000"/>
          <w:sz w:val="20"/>
        </w:rPr>
        <w:t>“</w:t>
      </w:r>
      <w:r>
        <w:rPr>
          <w:rFonts w:ascii="Arial" w:hAnsi="Arial"/>
          <w:color w:val="000000"/>
          <w:sz w:val="21"/>
        </w:rPr>
        <w:t>economic</w:t>
      </w:r>
      <w:r>
        <w:rPr>
          <w:rFonts w:ascii="Arial" w:hAnsi="Arial"/>
          <w:color w:val="000000"/>
          <w:sz w:val="20"/>
        </w:rPr>
        <w:t> </w:t>
      </w:r>
      <w:r>
        <w:rPr>
          <w:rFonts w:ascii="Arial" w:hAnsi="Arial"/>
          <w:color w:val="000000"/>
          <w:sz w:val="21"/>
        </w:rPr>
        <w:t>entity”,</w:t>
      </w:r>
      <w:r>
        <w:rPr>
          <w:rFonts w:ascii="Arial" w:hAnsi="Arial"/>
          <w:color w:val="000000"/>
          <w:sz w:val="20"/>
        </w:rPr>
        <w:t> “</w:t>
      </w:r>
      <w:r>
        <w:rPr>
          <w:rFonts w:ascii="Arial" w:hAnsi="Arial"/>
          <w:color w:val="000000"/>
          <w:sz w:val="21"/>
        </w:rPr>
        <w:t>entity”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finance</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meaning which it has in the Accounting Standards.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(d)terms</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meanings</w:t>
      </w:r>
      <w:r>
        <w:rPr>
          <w:rFonts w:ascii="Arial" w:hAnsi="Arial"/>
          <w:color w:val="000000"/>
          <w:sz w:val="20"/>
        </w:rPr>
        <w:t> </w:t>
      </w:r>
      <w:r>
        <w:rPr>
          <w:rFonts w:ascii="Arial" w:hAnsi="Arial"/>
          <w:color w:val="000000"/>
          <w:sz w:val="21"/>
        </w:rPr>
        <w:t>given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them</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PPS</w:t>
      </w:r>
      <w:r>
        <w:rPr>
          <w:rFonts w:ascii="Arial" w:hAnsi="Arial"/>
          <w:color w:val="000000"/>
          <w:sz w:val="20"/>
        </w:rPr>
        <w:t> </w:t>
      </w:r>
      <w:r>
        <w:rPr>
          <w:rFonts w:ascii="Arial" w:hAnsi="Arial"/>
          <w:color w:val="000000"/>
          <w:sz w:val="21"/>
        </w:rPr>
        <w:t>Act.</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05" w:name="SubsistingEvents151"/>
      <w:bookmarkEnd w:id="405"/>
      <w:r>
        <w:rPr>
          <w:rFonts w:ascii="Arial" w:hAnsi="Arial"/>
          <w:b/>
          <w:color w:val="000000"/>
          <w:sz w:val="24"/>
        </w:rPr>
        <w:t>1.5Subsisting Events of Default and Potential Events of Default</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occurred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been</w:t>
      </w:r>
      <w:r>
        <w:rPr>
          <w:rFonts w:ascii="Arial" w:hAnsi="Arial"/>
          <w:color w:val="000000"/>
          <w:sz w:val="20"/>
        </w:rPr>
        <w:t> </w:t>
      </w:r>
      <w:r>
        <w:rPr>
          <w:rFonts w:ascii="Arial" w:hAnsi="Arial"/>
          <w:color w:val="000000"/>
          <w:sz w:val="21"/>
        </w:rPr>
        <w:t>waived by the Bank in accordance with this document or remedied.</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(b)A</w:t>
      </w:r>
      <w:r>
        <w:rPr>
          <w:rFonts w:ascii="Arial" w:hAnsi="Arial"/>
          <w:sz w:val="20"/>
        </w:rPr>
        <w:t> </w:t>
      </w:r>
      <w:r>
        <w:rPr>
          <w:rFonts w:ascii="Arial" w:hAnsi="Arial"/>
          <w:sz w:val="21"/>
        </w:rPr>
        <w:t>Potential</w:t>
      </w:r>
      <w:r>
        <w:rPr>
          <w:rFonts w:ascii="Arial" w:hAnsi="Arial"/>
          <w:sz w:val="20"/>
        </w:rPr>
        <w:t> </w:t>
      </w:r>
      <w:r>
        <w:rPr>
          <w:rFonts w:ascii="Arial" w:hAnsi="Arial"/>
          <w:sz w:val="21"/>
        </w:rPr>
        <w:t>Event</w:t>
      </w:r>
      <w:r>
        <w:rPr>
          <w:rFonts w:ascii="Arial" w:hAnsi="Arial"/>
          <w:sz w:val="20"/>
        </w:rPr>
        <w:t> </w:t>
      </w:r>
      <w:r>
        <w:rPr>
          <w:rFonts w:ascii="Arial" w:hAnsi="Arial"/>
          <w:sz w:val="21"/>
        </w:rPr>
        <w:t>of</w:t>
      </w:r>
      <w:r>
        <w:rPr>
          <w:rFonts w:ascii="Arial" w:hAnsi="Arial"/>
          <w:sz w:val="20"/>
        </w:rPr>
        <w:t> </w:t>
      </w:r>
      <w:r>
        <w:rPr>
          <w:rFonts w:ascii="Arial" w:hAnsi="Arial"/>
          <w:sz w:val="21"/>
        </w:rPr>
        <w:t>Default</w:t>
      </w:r>
      <w:r>
        <w:rPr>
          <w:rFonts w:ascii="Arial" w:hAnsi="Arial"/>
          <w:sz w:val="20"/>
        </w:rPr>
        <w:t> </w:t>
      </w:r>
      <w:r>
        <w:rPr>
          <w:rFonts w:ascii="Arial" w:hAnsi="Arial"/>
          <w:sz w:val="21"/>
        </w:rPr>
        <w:t>subsists</w:t>
      </w:r>
      <w:r>
        <w:rPr>
          <w:rFonts w:ascii="Arial" w:hAnsi="Arial"/>
          <w:sz w:val="20"/>
        </w:rPr>
        <w:t> </w:t>
      </w:r>
      <w:r>
        <w:rPr>
          <w:rFonts w:ascii="Arial" w:hAnsi="Arial"/>
          <w:sz w:val="21"/>
        </w:rPr>
        <w:t>if</w:t>
      </w:r>
      <w:r>
        <w:rPr>
          <w:rFonts w:ascii="Arial" w:hAnsi="Arial"/>
          <w:sz w:val="20"/>
        </w:rPr>
        <w:t> </w:t>
      </w:r>
      <w:r>
        <w:rPr>
          <w:rFonts w:ascii="Arial" w:hAnsi="Arial"/>
          <w:sz w:val="21"/>
        </w:rPr>
        <w:t>it</w:t>
      </w:r>
      <w:r>
        <w:rPr>
          <w:rFonts w:ascii="Arial" w:hAnsi="Arial"/>
          <w:sz w:val="20"/>
        </w:rPr>
        <w:t> </w:t>
      </w:r>
      <w:r>
        <w:rPr>
          <w:rFonts w:ascii="Arial" w:hAnsi="Arial"/>
          <w:sz w:val="21"/>
        </w:rPr>
        <w:t>exists</w:t>
      </w:r>
      <w:r>
        <w:rPr>
          <w:rFonts w:ascii="Arial" w:hAnsi="Arial"/>
          <w:sz w:val="20"/>
        </w:rPr>
        <w:t> </w:t>
      </w:r>
      <w:r>
        <w:rPr>
          <w:rFonts w:ascii="Arial" w:hAnsi="Arial"/>
          <w:sz w:val="21"/>
        </w:rPr>
        <w:t>and</w:t>
      </w:r>
      <w:r>
        <w:rPr>
          <w:rFonts w:ascii="Arial" w:hAnsi="Arial"/>
          <w:sz w:val="20"/>
        </w:rPr>
        <w:t> </w:t>
      </w:r>
      <w:r>
        <w:rPr>
          <w:rFonts w:ascii="Arial" w:hAnsi="Arial"/>
          <w:sz w:val="21"/>
        </w:rPr>
        <w:t>has</w:t>
      </w:r>
      <w:r>
        <w:rPr>
          <w:rFonts w:ascii="Arial" w:hAnsi="Arial"/>
          <w:sz w:val="20"/>
        </w:rPr>
        <w:t> </w:t>
      </w:r>
      <w:r>
        <w:rPr>
          <w:rFonts w:ascii="Arial" w:hAnsi="Arial"/>
          <w:sz w:val="21"/>
        </w:rPr>
        <w:t>not</w:t>
      </w:r>
      <w:r>
        <w:rPr>
          <w:rFonts w:ascii="Arial" w:hAnsi="Arial"/>
          <w:sz w:val="20"/>
        </w:rPr>
        <w:t> </w:t>
      </w:r>
      <w:r>
        <w:rPr>
          <w:rFonts w:ascii="Arial" w:hAnsi="Arial"/>
          <w:sz w:val="21"/>
        </w:rPr>
        <w:t>been</w:t>
      </w:r>
      <w:r>
        <w:rPr>
          <w:rFonts w:ascii="Arial" w:hAnsi="Arial"/>
          <w:sz w:val="20"/>
        </w:rPr>
        <w:t> </w:t>
      </w:r>
      <w:r>
        <w:rPr>
          <w:rFonts w:ascii="Arial" w:hAnsi="Arial"/>
          <w:sz w:val="21"/>
        </w:rPr>
        <w:t>waived by the Bank in accordance with this document or remedied.</w:t>
      </w:r>
      <w:r>
        <w:rPr>
          <w:rFonts w:ascii="Arial" w:hAnsi="Arial"/>
          <w:sz w:val="20"/>
        </w:rPr>
        <w:t xml:space="preserve"> </w:t>
      </w:r>
    </w:p>
    <w:p>
      <w:pPr>
        <w:pStyle w:val="TextBody"/>
        <w:pBdr/>
        <w:bidi w:val="0"/>
        <w:spacing w:before="214" w:after="0"/>
        <w:ind w:left="3725" w:right="700" w:hanging="0"/>
        <w:jc w:val="left"/>
        <w:rPr>
          <w:rFonts w:ascii="Arial" w:hAnsi="Arial"/>
          <w:b/>
          <w:sz w:val="24"/>
        </w:rPr>
      </w:pPr>
      <w:bookmarkStart w:id="406" w:name="Notused161"/>
      <w:bookmarkEnd w:id="406"/>
      <w:r>
        <w:rPr>
          <w:rFonts w:ascii="Arial" w:hAnsi="Arial"/>
          <w:b/>
          <w:color w:val="000000"/>
          <w:sz w:val="24"/>
        </w:rPr>
        <w:t>1.6Not used</w:t>
      </w:r>
      <w:r>
        <w:rPr>
          <w:rFonts w:ascii="Arial" w:hAnsi="Arial"/>
          <w:b/>
          <w:sz w:val="24"/>
        </w:rPr>
        <w:t xml:space="preserve"> </w:t>
      </w:r>
    </w:p>
    <w:p>
      <w:pPr>
        <w:pStyle w:val="TextBody"/>
        <w:pBdr/>
        <w:bidi w:val="0"/>
        <w:spacing w:before="214" w:after="0"/>
        <w:ind w:left="3725" w:right="700" w:hanging="0"/>
        <w:jc w:val="left"/>
        <w:rPr>
          <w:rFonts w:ascii="Arial" w:hAnsi="Arial"/>
          <w:b/>
          <w:sz w:val="24"/>
        </w:rPr>
      </w:pPr>
      <w:bookmarkStart w:id="407" w:name="Inconsistency171"/>
      <w:bookmarkEnd w:id="407"/>
      <w:r>
        <w:rPr>
          <w:rFonts w:ascii="Arial" w:hAnsi="Arial"/>
          <w:b/>
          <w:color w:val="000000"/>
          <w:sz w:val="24"/>
        </w:rPr>
        <w:t>1.7Inconsistency</w:t>
      </w:r>
      <w:r>
        <w:rPr>
          <w:rFonts w:ascii="Arial" w:hAnsi="Arial"/>
          <w:b/>
          <w:sz w:val="24"/>
        </w:rPr>
        <w:t xml:space="preserve"> </w:t>
      </w:r>
    </w:p>
    <w:p>
      <w:pPr>
        <w:pStyle w:val="TextBody"/>
        <w:pBdr/>
        <w:bidi w:val="0"/>
        <w:spacing w:lineRule="auto" w:line="266" w:before="93" w:after="0"/>
        <w:ind w:left="3118" w:right="700" w:hanging="0"/>
        <w:jc w:val="left"/>
        <w:rPr>
          <w:rFonts w:ascii="Arial" w:hAnsi="Arial"/>
          <w:sz w:val="22"/>
        </w:rPr>
      </w:pPr>
      <w:r>
        <w:rPr>
          <w:rFonts w:ascii="Arial" w:hAnsi="Arial"/>
          <w:color w:val="000000"/>
          <w:sz w:val="22"/>
        </w:rPr>
        <w:t>If there is any inconsistency between this document and any other Transaction Document, then this document prevails to the extent of that inconsistency.</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90"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08" w:name="Consideration21"/>
      <w:bookmarkEnd w:id="408"/>
      <w:r>
        <w:rPr>
          <w:rFonts w:ascii="Arial" w:hAnsi="Arial"/>
          <w:color w:val="000000"/>
          <w:sz w:val="32"/>
        </w:rPr>
        <w:t>2Consideration</w:t>
      </w:r>
      <w:r>
        <w:rPr>
          <w:rFonts w:ascii="Arial" w:hAnsi="Arial"/>
          <w:sz w:val="32"/>
        </w:rPr>
        <w:t xml:space="preserve"> </w:t>
      </w:r>
    </w:p>
    <w:p>
      <w:pPr>
        <w:pStyle w:val="TextBody"/>
        <w:pBdr/>
        <w:bidi w:val="0"/>
        <w:spacing w:lineRule="auto" w:line="266" w:before="88" w:after="0"/>
        <w:ind w:left="3118" w:right="1486" w:hanging="0"/>
        <w:jc w:val="left"/>
        <w:rPr>
          <w:rFonts w:ascii="Arial" w:hAnsi="Arial"/>
          <w:sz w:val="22"/>
        </w:rPr>
      </w:pPr>
      <w:r>
        <w:rPr>
          <w:rFonts w:ascii="Arial" w:hAnsi="Arial"/>
          <w:color w:val="000000"/>
          <w:sz w:val="22"/>
        </w:rPr>
        <w:t>The Borrower enters into this document in consideration of the Bank agreeing to make the Facility available in accordance with this document.</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7"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09" w:name="Conditions_precedent3"/>
      <w:bookmarkEnd w:id="409"/>
      <w:r>
        <w:rPr>
          <w:rFonts w:ascii="Arial" w:hAnsi="Arial"/>
          <w:color w:val="000000"/>
          <w:sz w:val="32"/>
        </w:rPr>
        <w:t>3Conditions precedent</w:t>
      </w:r>
      <w:r>
        <w:rPr>
          <w:rFonts w:ascii="Arial" w:hAnsi="Arial"/>
          <w:sz w:val="32"/>
        </w:rPr>
        <w:t xml:space="preserve"> </w:t>
      </w:r>
    </w:p>
    <w:p>
      <w:pPr>
        <w:pStyle w:val="TextBody"/>
        <w:pBdr/>
        <w:bidi w:val="0"/>
        <w:spacing w:before="214" w:after="0"/>
        <w:ind w:left="3725" w:right="700" w:hanging="0"/>
        <w:jc w:val="left"/>
        <w:rPr>
          <w:rFonts w:ascii="Arial" w:hAnsi="Arial"/>
          <w:b/>
          <w:sz w:val="24"/>
        </w:rPr>
      </w:pPr>
      <w:bookmarkStart w:id="410" w:name="Not_used31"/>
      <w:bookmarkEnd w:id="410"/>
      <w:r>
        <w:rPr>
          <w:rFonts w:ascii="Arial" w:hAnsi="Arial"/>
          <w:b/>
          <w:color w:val="000000"/>
          <w:sz w:val="24"/>
        </w:rPr>
        <w:t>3.1Not used</w:t>
      </w:r>
      <w:r>
        <w:rPr>
          <w:rFonts w:ascii="Arial" w:hAnsi="Arial"/>
          <w:b/>
          <w:sz w:val="24"/>
        </w:rPr>
        <w:t xml:space="preserve"> </w:t>
      </w:r>
    </w:p>
    <w:p>
      <w:pPr>
        <w:pStyle w:val="TextBody"/>
        <w:pBdr/>
        <w:bidi w:val="0"/>
        <w:spacing w:before="214" w:after="0"/>
        <w:ind w:left="3725" w:right="700" w:hanging="0"/>
        <w:jc w:val="left"/>
        <w:rPr>
          <w:rFonts w:ascii="Arial" w:hAnsi="Arial"/>
          <w:b/>
          <w:sz w:val="24"/>
        </w:rPr>
      </w:pPr>
      <w:bookmarkStart w:id="411" w:name="Conditions_precedent32"/>
      <w:bookmarkEnd w:id="411"/>
      <w:r>
        <w:rPr>
          <w:rFonts w:ascii="Arial" w:hAnsi="Arial"/>
          <w:b/>
          <w:color w:val="000000"/>
          <w:sz w:val="24"/>
        </w:rPr>
        <w:t>3.2Conditions precedent to Advances and Drawings</w:t>
      </w:r>
      <w:r>
        <w:rPr>
          <w:rFonts w:ascii="Arial" w:hAnsi="Arial"/>
          <w:b/>
          <w:sz w:val="24"/>
        </w:rPr>
        <w:t xml:space="preserve"> </w:t>
      </w:r>
    </w:p>
    <w:p>
      <w:pPr>
        <w:pStyle w:val="TextBody"/>
        <w:bidi w:val="0"/>
        <w:spacing w:lineRule="auto" w:line="266" w:before="93" w:after="0"/>
        <w:ind w:left="3120" w:right="1366" w:hanging="0"/>
        <w:jc w:val="left"/>
        <w:rPr>
          <w:rFonts w:ascii="Arial" w:hAnsi="Arial"/>
          <w:sz w:val="22"/>
        </w:rPr>
      </w:pPr>
      <w:r>
        <w:rPr>
          <w:rFonts w:ascii="Arial" w:hAnsi="Arial"/>
          <w:color w:val="000000"/>
          <w:sz w:val="22"/>
        </w:rPr>
        <w:t>The obligation of the Bank to make any Advances or Drawings is subject to the further conditions precedent that the Bank is satisfied in its absolute discretion that:</w:t>
      </w:r>
      <w:r>
        <w:rPr>
          <w:rFonts w:ascii="Arial" w:hAnsi="Arial"/>
          <w:sz w:val="22"/>
        </w:rPr>
        <w:t xml:space="preserve"> </w:t>
      </w:r>
    </w:p>
    <w:p>
      <w:pPr>
        <w:pStyle w:val="TextBody"/>
        <w:bidi w:val="0"/>
        <w:spacing w:lineRule="auto" w:line="266" w:before="118" w:after="0"/>
        <w:ind w:left="3687" w:right="854" w:hanging="0"/>
        <w:jc w:val="left"/>
        <w:rPr/>
      </w:pPr>
      <w:r>
        <w:rPr>
          <w:rFonts w:ascii="Arial" w:hAnsi="Arial"/>
          <w:color w:val="000000"/>
          <w:sz w:val="21"/>
        </w:rPr>
        <w:t>(a)the</w:t>
      </w:r>
      <w:r>
        <w:rPr>
          <w:rFonts w:ascii="Arial" w:hAnsi="Arial"/>
          <w:color w:val="000000"/>
          <w:sz w:val="20"/>
        </w:rPr>
        <w:t> </w:t>
      </w:r>
      <w:r>
        <w:rPr>
          <w:rFonts w:ascii="Arial" w:hAnsi="Arial"/>
          <w:color w:val="000000"/>
          <w:sz w:val="21"/>
        </w:rPr>
        <w:t>representations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warranties</w:t>
      </w:r>
      <w:r>
        <w:rPr>
          <w:rFonts w:ascii="Arial" w:hAnsi="Arial"/>
          <w:color w:val="000000"/>
          <w:sz w:val="20"/>
        </w:rPr>
        <w:t> </w:t>
      </w:r>
      <w:r>
        <w:rPr>
          <w:rFonts w:ascii="Arial" w:hAnsi="Arial"/>
          <w:color w:val="000000"/>
          <w:sz w:val="21"/>
        </w:rPr>
        <w:t>set</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83">
        <w:r>
          <w:rPr>
            <w:rStyle w:val="InternetLink"/>
            <w:rFonts w:ascii="Arial" w:hAnsi="Arial"/>
            <w:b/>
            <w:color w:val="000000"/>
            <w:sz w:val="21"/>
          </w:rPr>
          <w:t>8.1</w:t>
        </w:r>
      </w:hyperlink>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correct</w:t>
      </w:r>
      <w:r>
        <w:rPr>
          <w:rFonts w:ascii="Arial" w:hAnsi="Arial"/>
          <w:color w:val="000000"/>
          <w:sz w:val="20"/>
        </w:rPr>
        <w:t> </w:t>
      </w:r>
      <w:r>
        <w:rPr>
          <w:rFonts w:ascii="Arial" w:hAnsi="Arial"/>
          <w:color w:val="000000"/>
          <w:sz w:val="21"/>
        </w:rPr>
        <w:t>and in all material respects not misleading in any material respect when the Funding Notice is given and on the Funding Date;</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(b)all</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charges</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 xml:space="preserve">Facility have been paid (including the Restructure Fee set out in </w:t>
      </w:r>
      <w:r>
        <w:rPr>
          <w:rFonts w:ascii="Arial" w:hAnsi="Arial"/>
          <w:b/>
          <w:color w:val="000000"/>
          <w:sz w:val="21"/>
        </w:rPr>
        <w:t xml:space="preserve">clause </w:t>
      </w:r>
      <w:hyperlink w:anchor="_bookmark86">
        <w:r>
          <w:rPr>
            <w:rStyle w:val="InternetLink"/>
          </w:rPr>
          <w:t>9.1</w:t>
        </w:r>
      </w:hyperlink>
      <w:hyperlink w:anchor="_bookmark87">
        <w:r>
          <w:rPr>
            <w:rStyle w:val="InternetLink"/>
          </w:rPr>
          <w:t>(a)</w:t>
        </w:r>
      </w:hyperlink>
      <w:r>
        <w:rPr>
          <w:rFonts w:ascii="Arial" w:hAnsi="Arial"/>
          <w:color w:val="000000"/>
          <w:sz w:val="21"/>
        </w:rPr>
        <w:t>);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(c)no</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the Funding Notice is given and on the Funding Date.</w:t>
      </w:r>
      <w:r>
        <w:rPr>
          <w:rFonts w:ascii="Arial" w:hAnsi="Arial"/>
          <w:sz w:val="20"/>
        </w:rPr>
        <w:t xml:space="preserve"> </w:t>
      </w:r>
    </w:p>
    <w:p>
      <w:pPr>
        <w:pStyle w:val="TextBody"/>
        <w:bidi w:val="0"/>
        <w:spacing w:before="211"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12" w:name="Facility41"/>
      <w:bookmarkEnd w:id="412"/>
      <w:r>
        <w:rPr>
          <w:rFonts w:ascii="Arial" w:hAnsi="Arial"/>
          <w:color w:val="000000"/>
          <w:sz w:val="32"/>
        </w:rPr>
        <w:t>4Facility</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13" w:name="Nature411"/>
      <w:bookmarkEnd w:id="413"/>
      <w:r>
        <w:rPr>
          <w:rFonts w:ascii="Arial" w:hAnsi="Arial"/>
          <w:b/>
          <w:color w:val="000000"/>
          <w:sz w:val="24"/>
        </w:rPr>
        <w:t>4.1Nature</w:t>
      </w:r>
      <w:r>
        <w:rPr>
          <w:rFonts w:ascii="Arial" w:hAnsi="Arial"/>
          <w:b/>
          <w:sz w:val="24"/>
        </w:rPr>
        <w:t xml:space="preserve"> </w:t>
      </w:r>
    </w:p>
    <w:p>
      <w:pPr>
        <w:pStyle w:val="TextBody"/>
        <w:bidi w:val="0"/>
        <w:spacing w:lineRule="auto" w:line="266" w:before="118" w:after="0"/>
        <w:ind w:left="3687" w:right="854" w:hanging="0"/>
        <w:jc w:val="left"/>
        <w:rPr/>
      </w:pPr>
      <w:r>
        <w:rPr>
          <w:rFonts w:ascii="Arial" w:hAnsi="Arial"/>
          <w:color w:val="000000"/>
          <w:sz w:val="21"/>
        </w:rPr>
        <w:t>(a)Subject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clauses</w:t>
      </w:r>
      <w:r>
        <w:rPr>
          <w:rFonts w:ascii="Arial" w:hAnsi="Arial"/>
          <w:color w:val="000000"/>
          <w:sz w:val="20"/>
        </w:rPr>
        <w:t> </w:t>
      </w:r>
      <w:hyperlink w:anchor="_bookmark35">
        <w:r>
          <w:rPr>
            <w:rStyle w:val="InternetLink"/>
            <w:rFonts w:ascii="Arial" w:hAnsi="Arial"/>
            <w:b/>
            <w:color w:val="000000"/>
            <w:sz w:val="21"/>
          </w:rPr>
          <w:t>3</w:t>
        </w:r>
      </w:hyperlink>
      <w:r>
        <w:rPr>
          <w:rFonts w:ascii="Arial" w:hAnsi="Arial"/>
          <w:color w:val="000000"/>
          <w:sz w:val="20"/>
        </w:rPr>
        <w:t> </w:t>
      </w:r>
      <w:r>
        <w:rPr>
          <w:rFonts w:ascii="Arial" w:hAnsi="Arial"/>
          <w:color w:val="000000"/>
          <w:sz w:val="21"/>
        </w:rPr>
        <w:t>and</w:t>
      </w:r>
      <w:r>
        <w:rPr>
          <w:rFonts w:ascii="Arial" w:hAnsi="Arial"/>
          <w:color w:val="000000"/>
          <w:sz w:val="20"/>
        </w:rPr>
        <w:t> </w:t>
      </w:r>
      <w:hyperlink w:anchor="_bookmark106">
        <w:r>
          <w:rPr>
            <w:rStyle w:val="InternetLink"/>
            <w:rFonts w:ascii="Arial" w:hAnsi="Arial"/>
            <w:b/>
            <w:color w:val="000000"/>
            <w:sz w:val="21"/>
          </w:rPr>
          <w:t>10.2</w:t>
        </w:r>
      </w:hyperlink>
      <w:r>
        <w:rPr>
          <w:rFonts w:ascii="Arial" w:hAnsi="Arial"/>
          <w:color w:val="000000"/>
          <w:sz w:val="21"/>
        </w:rPr>
        <w: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available:</w:t>
      </w:r>
      <w:r>
        <w:rPr>
          <w:rFonts w:ascii="Arial" w:hAnsi="Arial"/>
          <w:sz w:val="20"/>
        </w:rPr>
        <w:t xml:space="preserve"> </w:t>
      </w:r>
    </w:p>
    <w:p>
      <w:pPr>
        <w:pStyle w:val="TextBody"/>
        <w:bidi w:val="0"/>
        <w:spacing w:lineRule="auto" w:line="266" w:before="150" w:after="0"/>
        <w:ind w:left="4275" w:right="1689" w:hanging="0"/>
        <w:jc w:val="left"/>
        <w:rPr>
          <w:rFonts w:ascii="Arial" w:hAnsi="Arial"/>
          <w:sz w:val="20"/>
        </w:rPr>
      </w:pPr>
      <w:r>
        <w:rPr>
          <w:rFonts w:ascii="Arial" w:hAnsi="Arial"/>
          <w:color w:val="000000"/>
          <w:sz w:val="21"/>
        </w:rPr>
        <w:t>(i)the</w:t>
      </w:r>
      <w:r>
        <w:rPr>
          <w:rFonts w:ascii="Arial" w:hAnsi="Arial"/>
          <w:color w:val="000000"/>
          <w:sz w:val="20"/>
        </w:rPr>
        <w:t> </w:t>
      </w:r>
      <w:r>
        <w:rPr>
          <w:rFonts w:ascii="Arial" w:hAnsi="Arial"/>
          <w:color w:val="000000"/>
          <w:sz w:val="21"/>
        </w:rPr>
        <w:t>revolving</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Markets</w:t>
      </w:r>
      <w:r>
        <w:rPr>
          <w:rFonts w:ascii="Arial" w:hAnsi="Arial"/>
          <w:color w:val="000000"/>
          <w:sz w:val="20"/>
        </w:rPr>
        <w:t> </w:t>
      </w:r>
      <w:r>
        <w:rPr>
          <w:rFonts w:ascii="Arial" w:hAnsi="Arial"/>
          <w:color w:val="000000"/>
          <w:sz w:val="21"/>
        </w:rPr>
        <w:t>Loan</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will make Advances;</w:t>
      </w:r>
      <w:r>
        <w:rPr>
          <w:rFonts w:ascii="Arial" w:hAnsi="Arial"/>
          <w:sz w:val="20"/>
        </w:rPr>
        <w:t xml:space="preserve"> </w:t>
      </w:r>
    </w:p>
    <w:p>
      <w:pPr>
        <w:pStyle w:val="TextBody"/>
        <w:bidi w:val="0"/>
        <w:spacing w:lineRule="auto" w:line="266" w:before="0" w:after="0"/>
        <w:ind w:left="4275" w:right="2235" w:hanging="0"/>
        <w:jc w:val="left"/>
        <w:rPr>
          <w:rFonts w:ascii="Arial" w:hAnsi="Arial"/>
          <w:sz w:val="20"/>
        </w:rPr>
      </w:pPr>
      <w:r>
        <w:rPr>
          <w:rFonts w:ascii="Arial" w:hAnsi="Arial"/>
          <w:color w:val="000000"/>
          <w:sz w:val="21"/>
        </w:rPr>
        <w:t>(ii)the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issue</w:t>
      </w:r>
      <w:r>
        <w:rPr>
          <w:rFonts w:ascii="Arial" w:hAnsi="Arial"/>
          <w:color w:val="000000"/>
          <w:sz w:val="20"/>
        </w:rPr>
        <w:t> </w:t>
      </w:r>
      <w:r>
        <w:rPr>
          <w:rFonts w:ascii="Arial" w:hAnsi="Arial"/>
          <w:color w:val="000000"/>
          <w:sz w:val="21"/>
        </w:rPr>
        <w:t>Bank Guarantees at the request of the Borrower; and</w:t>
      </w:r>
      <w:r>
        <w:rPr>
          <w:rFonts w:ascii="Arial" w:hAnsi="Arial"/>
          <w:sz w:val="20"/>
        </w:rPr>
        <w:t xml:space="preserve"> </w:t>
      </w:r>
    </w:p>
    <w:p>
      <w:pPr>
        <w:pStyle w:val="TextBody"/>
        <w:bidi w:val="0"/>
        <w:spacing w:lineRule="auto" w:line="266" w:before="0" w:after="0"/>
        <w:ind w:left="4275" w:right="1476" w:hanging="0"/>
        <w:jc w:val="left"/>
        <w:rPr>
          <w:rFonts w:ascii="Arial" w:hAnsi="Arial"/>
          <w:sz w:val="20"/>
        </w:rPr>
      </w:pPr>
      <w:r>
        <w:rPr>
          <w:rFonts w:ascii="Arial" w:hAnsi="Arial"/>
          <w:color w:val="000000"/>
          <w:sz w:val="21"/>
        </w:rPr>
        <w:t>(iii)on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April</w:t>
      </w:r>
      <w:r>
        <w:rPr>
          <w:rFonts w:ascii="Arial" w:hAnsi="Arial"/>
          <w:color w:val="000000"/>
          <w:sz w:val="20"/>
        </w:rPr>
        <w:t> </w:t>
      </w:r>
      <w:r>
        <w:rPr>
          <w:rFonts w:ascii="Arial" w:hAnsi="Arial"/>
          <w:color w:val="000000"/>
          <w:sz w:val="21"/>
        </w:rPr>
        <w:t>2024</w:t>
      </w:r>
      <w:r>
        <w:rPr>
          <w:rFonts w:ascii="Arial" w:hAnsi="Arial"/>
          <w:color w:val="000000"/>
          <w:sz w:val="20"/>
        </w:rPr>
        <w:t> </w:t>
      </w:r>
      <w:r>
        <w:rPr>
          <w:rFonts w:ascii="Arial" w:hAnsi="Arial"/>
          <w:color w:val="000000"/>
          <w:sz w:val="21"/>
        </w:rPr>
        <w:t>Amendment</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revolving</w:t>
      </w:r>
      <w:r>
        <w:rPr>
          <w:rFonts w:ascii="Arial" w:hAnsi="Arial"/>
          <w:color w:val="000000"/>
          <w:sz w:val="20"/>
        </w:rPr>
        <w:t> </w:t>
      </w:r>
      <w:r>
        <w:rPr>
          <w:rFonts w:ascii="Arial" w:hAnsi="Arial"/>
          <w:color w:val="000000"/>
          <w:sz w:val="21"/>
        </w:rPr>
        <w:t>Bridge Facility under which it will make Advances,</w:t>
      </w:r>
      <w:r>
        <w:rPr>
          <w:rFonts w:ascii="Arial" w:hAnsi="Arial"/>
          <w:sz w:val="20"/>
        </w:rPr>
        <w:t xml:space="preserve"> </w:t>
      </w:r>
    </w:p>
    <w:p>
      <w:pPr>
        <w:pStyle w:val="TextBody"/>
        <w:pBdr/>
        <w:bidi w:val="0"/>
        <w:spacing w:before="122" w:after="0"/>
        <w:ind w:left="3686" w:right="700" w:hanging="0"/>
        <w:jc w:val="left"/>
        <w:rPr>
          <w:rFonts w:ascii="Arial" w:hAnsi="Arial"/>
          <w:sz w:val="22"/>
        </w:rPr>
      </w:pPr>
      <w:r>
        <w:rPr>
          <w:rFonts w:ascii="Arial" w:hAnsi="Arial"/>
          <w:color w:val="000000"/>
          <w:sz w:val="22"/>
        </w:rPr>
        <w:t>in accordance with this document.</w:t>
      </w:r>
      <w:r>
        <w:rPr>
          <w:rFonts w:ascii="Arial" w:hAnsi="Arial"/>
          <w:sz w:val="22"/>
        </w:rPr>
        <w:t xml:space="preserve"> </w:t>
      </w:r>
    </w:p>
    <w:p>
      <w:pPr>
        <w:pStyle w:val="TextBody"/>
        <w:pBdr/>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 xml:space="preserve">(b)The Borrower may request one or more Advances and Drawings in accordance with this </w:t>
      </w:r>
      <w:r>
        <w:rPr>
          <w:rFonts w:ascii="Arial" w:hAnsi="Arial"/>
          <w:b/>
          <w:sz w:val="21"/>
        </w:rPr>
        <w:t>clause 4</w:t>
      </w:r>
      <w:r>
        <w:rPr>
          <w:rFonts w:ascii="Arial" w:hAnsi="Arial"/>
          <w:sz w:val="21"/>
        </w:rPr>
        <w:t>, but so that the Outstanding Accommodation</w:t>
      </w:r>
      <w:r>
        <w:rPr>
          <w:rFonts w:ascii="Arial" w:hAnsi="Arial"/>
          <w:sz w:val="20"/>
        </w:rPr>
        <w:t> </w:t>
      </w:r>
      <w:r>
        <w:rPr>
          <w:rFonts w:ascii="Arial" w:hAnsi="Arial"/>
          <w:sz w:val="21"/>
        </w:rPr>
        <w:t>under</w:t>
      </w:r>
      <w:r>
        <w:rPr>
          <w:rFonts w:ascii="Arial" w:hAnsi="Arial"/>
          <w:sz w:val="20"/>
        </w:rPr>
        <w:t> </w:t>
      </w:r>
      <w:r>
        <w:rPr>
          <w:rFonts w:ascii="Arial" w:hAnsi="Arial"/>
          <w:sz w:val="21"/>
        </w:rPr>
        <w:t>each</w:t>
      </w:r>
      <w:r>
        <w:rPr>
          <w:rFonts w:ascii="Arial" w:hAnsi="Arial"/>
          <w:sz w:val="20"/>
        </w:rPr>
        <w:t> </w:t>
      </w:r>
      <w:r>
        <w:rPr>
          <w:rFonts w:ascii="Arial" w:hAnsi="Arial"/>
          <w:sz w:val="21"/>
        </w:rPr>
        <w:t>Facility</w:t>
      </w:r>
      <w:r>
        <w:rPr>
          <w:rFonts w:ascii="Arial" w:hAnsi="Arial"/>
          <w:sz w:val="20"/>
        </w:rPr>
        <w:t> </w:t>
      </w:r>
      <w:r>
        <w:rPr>
          <w:rFonts w:ascii="Arial" w:hAnsi="Arial"/>
          <w:sz w:val="21"/>
        </w:rPr>
        <w:t>does</w:t>
      </w:r>
      <w:r>
        <w:rPr>
          <w:rFonts w:ascii="Arial" w:hAnsi="Arial"/>
          <w:sz w:val="20"/>
        </w:rPr>
        <w:t> </w:t>
      </w:r>
      <w:r>
        <w:rPr>
          <w:rFonts w:ascii="Arial" w:hAnsi="Arial"/>
          <w:sz w:val="21"/>
        </w:rPr>
        <w:t>not</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time</w:t>
      </w:r>
      <w:r>
        <w:rPr>
          <w:rFonts w:ascii="Arial" w:hAnsi="Arial"/>
          <w:sz w:val="20"/>
        </w:rPr>
        <w:t> </w:t>
      </w:r>
      <w:r>
        <w:rPr>
          <w:rFonts w:ascii="Arial" w:hAnsi="Arial"/>
          <w:sz w:val="21"/>
        </w:rPr>
        <w:t>exceed</w:t>
      </w:r>
      <w:r>
        <w:rPr>
          <w:rFonts w:ascii="Arial" w:hAnsi="Arial"/>
          <w:sz w:val="20"/>
        </w:rPr>
        <w:t> </w:t>
      </w:r>
      <w:r>
        <w:rPr>
          <w:rFonts w:ascii="Arial" w:hAnsi="Arial"/>
          <w:sz w:val="21"/>
        </w:rPr>
        <w:t>the relevant Facility Limit.</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14" w:name="Purpose421"/>
      <w:bookmarkEnd w:id="414"/>
      <w:r>
        <w:rPr>
          <w:rFonts w:ascii="Arial" w:hAnsi="Arial"/>
          <w:b/>
          <w:color w:val="000000"/>
          <w:sz w:val="24"/>
        </w:rPr>
        <w:t>4.2Purpose</w:t>
      </w:r>
      <w:r>
        <w:rPr>
          <w:rFonts w:ascii="Arial" w:hAnsi="Arial"/>
          <w:b/>
          <w:sz w:val="24"/>
        </w:rPr>
        <w:t xml:space="preserve"> </w:t>
      </w:r>
    </w:p>
    <w:p>
      <w:pPr>
        <w:pStyle w:val="TextBody"/>
        <w:bidi w:val="0"/>
        <w:spacing w:lineRule="auto" w:line="266" w:before="93" w:after="0"/>
        <w:ind w:left="3120" w:right="1471" w:hanging="0"/>
        <w:jc w:val="left"/>
        <w:rPr/>
      </w:pPr>
      <w:r>
        <w:rPr>
          <w:rFonts w:ascii="Arial" w:hAnsi="Arial"/>
          <w:color w:val="000000"/>
          <w:sz w:val="22"/>
        </w:rPr>
        <w:t>The Borrower must only use Advances and Drawings under each Facility for the relevant purposes set out in </w:t>
      </w:r>
      <w:r>
        <w:rPr>
          <w:rFonts w:ascii="Arial" w:hAnsi="Arial"/>
          <w:b/>
          <w:color w:val="000000"/>
          <w:sz w:val="22"/>
        </w:rPr>
        <w:t>schedule</w:t>
      </w:r>
      <w:r>
        <w:rPr>
          <w:rFonts w:ascii="Arial" w:hAnsi="Arial"/>
          <w:color w:val="000000"/>
          <w:sz w:val="22"/>
        </w:rPr>
        <w:t> </w:t>
      </w:r>
      <w:hyperlink w:anchor="_bookmark201">
        <w:r>
          <w:rPr>
            <w:rStyle w:val="InternetLink"/>
            <w:rFonts w:ascii="Arial" w:hAnsi="Arial"/>
            <w:b/>
            <w:color w:val="000000"/>
            <w:sz w:val="22"/>
          </w:rPr>
          <w:t>2</w:t>
        </w:r>
      </w:hyperlink>
      <w:r>
        <w:rPr>
          <w:rFonts w:ascii="Arial" w:hAnsi="Arial"/>
          <w:color w:val="000000"/>
          <w:sz w:val="22"/>
        </w:rPr>
        <w:t>, and the Borrower must promptly repay to the Bank all Advances and Drawings not used for these purposes.</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15" w:name="Advances_and_Drawings43"/>
      <w:bookmarkEnd w:id="415"/>
      <w:r>
        <w:rPr>
          <w:rFonts w:ascii="Arial" w:hAnsi="Arial"/>
          <w:b/>
          <w:color w:val="000000"/>
          <w:sz w:val="24"/>
        </w:rPr>
        <w:t>4.3Advances and Drawings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request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giving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Funding Notice to the Bank by 11.00 am at least one clear Business Day before the date the proposed Advance or Drawing is required.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(b)An Advance under the Corporate Markets Loan Facility or the Bridge Facility</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added</w:t>
      </w:r>
      <w:r>
        <w:rPr>
          <w:rFonts w:ascii="Arial" w:hAnsi="Arial"/>
          <w:color w:val="000000"/>
          <w:sz w:val="20"/>
        </w:rPr>
        <w:t> </w:t>
      </w:r>
      <w:r>
        <w:rPr>
          <w:rFonts w:ascii="Arial" w:hAnsi="Arial"/>
          <w:color w:val="000000"/>
          <w:sz w:val="21"/>
        </w:rPr>
        <w:t>to the Outstanding Accommodation (if any) under that Facility, causes the Facility Limit for that Facility to be exceeded.</w:t>
      </w:r>
      <w:r>
        <w:rPr>
          <w:rFonts w:ascii="Arial" w:hAnsi="Arial"/>
          <w:color w:val="000000"/>
          <w:sz w:val="20"/>
        </w:rPr>
        <w:t> </w:t>
      </w:r>
      <w:r>
        <w:rPr>
          <w:rFonts w:ascii="Arial" w:hAnsi="Arial"/>
          <w:color w:val="000000"/>
          <w:sz w:val="21"/>
        </w:rPr>
        <w:t>In determining with an Advance will cause the Facility Limit to be exceeded:</w:t>
      </w:r>
      <w:r>
        <w:rPr>
          <w:rFonts w:ascii="Arial" w:hAnsi="Arial"/>
          <w:sz w:val="20"/>
        </w:rPr>
        <w:t xml:space="preserve"> </w:t>
      </w:r>
    </w:p>
    <w:p>
      <w:pPr>
        <w:pStyle w:val="TextBody"/>
        <w:bidi w:val="0"/>
        <w:spacing w:lineRule="auto" w:line="266" w:before="0" w:after="0"/>
        <w:ind w:left="4275" w:right="1500" w:hanging="0"/>
        <w:jc w:val="left"/>
        <w:rPr>
          <w:rFonts w:ascii="Arial" w:hAnsi="Arial"/>
          <w:sz w:val="20"/>
        </w:rPr>
      </w:pPr>
      <w:r>
        <w:rPr>
          <w:rFonts w:ascii="Arial" w:hAnsi="Arial"/>
          <w:color w:val="000000"/>
          <w:sz w:val="21"/>
        </w:rPr>
        <w:t>(i)the amount of all Advances repaid on the Funding Date are excluded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 and</w:t>
      </w:r>
      <w:r>
        <w:rPr>
          <w:rFonts w:ascii="Arial" w:hAnsi="Arial"/>
          <w:sz w:val="20"/>
        </w:rPr>
        <w:t xml:space="preserve"> </w:t>
      </w:r>
    </w:p>
    <w:p>
      <w:pPr>
        <w:pStyle w:val="TextBody"/>
        <w:bidi w:val="0"/>
        <w:spacing w:lineRule="auto" w:line="266" w:before="117" w:after="0"/>
        <w:ind w:left="4275" w:right="1442" w:hanging="0"/>
        <w:jc w:val="left"/>
        <w:rPr>
          <w:rFonts w:ascii="Arial" w:hAnsi="Arial"/>
          <w:sz w:val="20"/>
        </w:rPr>
      </w:pPr>
      <w:r>
        <w:rPr>
          <w:rFonts w:ascii="Arial" w:hAnsi="Arial"/>
          <w:color w:val="000000"/>
          <w:sz w:val="21"/>
        </w:rPr>
        <w:t>(ii)the aggregate amount of all other Advances which the Borrower has</w:t>
      </w:r>
      <w:r>
        <w:rPr>
          <w:rFonts w:ascii="Arial" w:hAnsi="Arial"/>
          <w:color w:val="000000"/>
          <w:sz w:val="20"/>
        </w:rPr>
        <w:t> </w:t>
      </w:r>
      <w:r>
        <w:rPr>
          <w:rFonts w:ascii="Arial" w:hAnsi="Arial"/>
          <w:color w:val="000000"/>
          <w:sz w:val="21"/>
        </w:rPr>
        <w:t>requested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included in that calculation.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Aggregate Amount of a Drawing under the Bank Guarantee Facility 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added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under that Facility, cause the Facility Limit for that Facility to be exceeded at any time during the Funding Period.</w:t>
      </w:r>
      <w:r>
        <w:rPr>
          <w:rFonts w:ascii="Arial" w:hAnsi="Arial"/>
          <w:color w:val="000000"/>
          <w:sz w:val="20"/>
        </w:rPr>
        <w:t> </w:t>
      </w:r>
      <w:r>
        <w:rPr>
          <w:rFonts w:ascii="Arial" w:hAnsi="Arial"/>
          <w:color w:val="000000"/>
          <w:sz w:val="21"/>
        </w:rPr>
        <w:t>In determining whether the Aggregate Amount of a Drawing will cause the Facility Limit to be exceeded:</w:t>
      </w:r>
      <w:r>
        <w:rPr>
          <w:rFonts w:ascii="Arial" w:hAnsi="Arial"/>
          <w:sz w:val="20"/>
        </w:rPr>
        <w:t xml:space="preserve"> </w:t>
      </w:r>
    </w:p>
    <w:p>
      <w:pPr>
        <w:pStyle w:val="TextBody"/>
        <w:bidi w:val="0"/>
        <w:spacing w:lineRule="auto" w:line="266" w:before="118" w:after="0"/>
        <w:ind w:left="4275" w:right="1454" w:hanging="0"/>
        <w:jc w:val="left"/>
        <w:rPr>
          <w:rFonts w:ascii="Arial" w:hAnsi="Arial"/>
          <w:sz w:val="20"/>
        </w:rPr>
      </w:pPr>
      <w:r>
        <w:rPr>
          <w:rFonts w:ascii="Arial" w:hAnsi="Arial"/>
          <w:color w:val="000000"/>
          <w:sz w:val="21"/>
        </w:rPr>
        <w:t>(i)the Face Value of all Bank Guarantees under a Facility which will mature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excluded from the calculation of the Outstanding Accommodation; and</w:t>
      </w:r>
      <w:r>
        <w:rPr>
          <w:rFonts w:ascii="Arial" w:hAnsi="Arial"/>
          <w:sz w:val="20"/>
        </w:rPr>
        <w:t xml:space="preserve"> </w:t>
      </w:r>
    </w:p>
    <w:p>
      <w:pPr>
        <w:pStyle w:val="TextBody"/>
        <w:bidi w:val="0"/>
        <w:spacing w:lineRule="auto" w:line="266" w:before="118" w:after="0"/>
        <w:ind w:left="4275" w:right="1689" w:hanging="0"/>
        <w:jc w:val="left"/>
        <w:rPr>
          <w:rFonts w:ascii="Arial" w:hAnsi="Arial"/>
          <w:sz w:val="20"/>
        </w:rPr>
      </w:pPr>
      <w:r>
        <w:rPr>
          <w:rFonts w:ascii="Arial" w:hAnsi="Arial"/>
          <w:color w:val="000000"/>
          <w:sz w:val="21"/>
        </w:rPr>
        <w:t>(ii)the</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Drawings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 has requested to be made under the same Facility and on the same Funding Date are included in that calculation.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only</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Advances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accept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Drawings during the Availability Period.</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16" w:name="Funding_Notices44"/>
      <w:bookmarkEnd w:id="416"/>
      <w:r>
        <w:rPr>
          <w:rFonts w:ascii="Arial" w:hAnsi="Arial"/>
          <w:b/>
          <w:color w:val="000000"/>
          <w:sz w:val="24"/>
        </w:rPr>
        <w:t>4.4Funding Notices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must:</w:t>
      </w:r>
      <w:r>
        <w:rPr>
          <w:rFonts w:ascii="Arial" w:hAnsi="Arial"/>
          <w:sz w:val="20"/>
        </w:rPr>
        <w:t xml:space="preserve"> </w:t>
      </w:r>
    </w:p>
    <w:p>
      <w:pPr>
        <w:pStyle w:val="TextBody"/>
        <w:bidi w:val="0"/>
        <w:spacing w:before="148" w:after="0"/>
        <w:ind w:left="4275" w:right="700" w:hanging="0"/>
        <w:jc w:val="left"/>
        <w:rPr/>
      </w:pPr>
      <w:r>
        <w:rPr>
          <w:rFonts w:ascii="Arial" w:hAnsi="Arial"/>
          <w:color w:val="000000"/>
          <w:sz w:val="21"/>
        </w:rPr>
        <w:t>(i)be</w:t>
      </w:r>
      <w:r>
        <w:rPr>
          <w:rFonts w:ascii="Arial" w:hAnsi="Arial"/>
          <w:color w:val="000000"/>
          <w:sz w:val="20"/>
        </w:rPr>
        <w:t> </w:t>
      </w:r>
      <w:r>
        <w:rPr>
          <w:rFonts w:ascii="Arial" w:hAnsi="Arial"/>
          <w:color w:val="000000"/>
          <w:sz w:val="21"/>
        </w:rPr>
        <w:t>substantially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b/>
          <w:color w:val="000000"/>
          <w:sz w:val="21"/>
        </w:rPr>
        <w:t>schedule</w:t>
      </w:r>
      <w:r>
        <w:rPr>
          <w:rFonts w:ascii="Arial" w:hAnsi="Arial"/>
          <w:color w:val="000000"/>
          <w:sz w:val="20"/>
        </w:rPr>
        <w:t> </w:t>
      </w:r>
      <w:hyperlink w:anchor="_bookmark209">
        <w:r>
          <w:rPr>
            <w:rStyle w:val="InternetLink"/>
            <w:rFonts w:ascii="Arial" w:hAnsi="Arial"/>
            <w:b/>
            <w:color w:val="000000"/>
            <w:sz w:val="21"/>
          </w:rPr>
          <w:t>7</w:t>
        </w:r>
      </w:hyperlink>
      <w:r>
        <w:rPr>
          <w:rFonts w:ascii="Arial" w:hAnsi="Arial"/>
          <w:color w:val="000000"/>
          <w:sz w:val="21"/>
        </w:rPr>
        <w:t>;</w:t>
      </w:r>
      <w:r>
        <w:rPr>
          <w:rFonts w:ascii="Arial" w:hAnsi="Arial"/>
          <w:sz w:val="20"/>
        </w:rPr>
        <w:t xml:space="preserve"> </w:t>
      </w:r>
    </w:p>
    <w:p>
      <w:pPr>
        <w:pStyle w:val="TextBody"/>
        <w:bidi w:val="0"/>
        <w:spacing w:before="149" w:after="0"/>
        <w:ind w:left="4275" w:right="700" w:hanging="0"/>
        <w:jc w:val="left"/>
        <w:rPr>
          <w:rFonts w:ascii="Arial" w:hAnsi="Arial"/>
          <w:sz w:val="20"/>
        </w:rPr>
      </w:pPr>
      <w:r>
        <w:rPr>
          <w:rFonts w:ascii="Arial" w:hAnsi="Arial"/>
          <w:color w:val="000000"/>
          <w:sz w:val="21"/>
        </w:rPr>
        <w:t>(ii)be</w:t>
      </w:r>
      <w:r>
        <w:rPr>
          <w:rFonts w:ascii="Arial" w:hAnsi="Arial"/>
          <w:color w:val="000000"/>
          <w:sz w:val="20"/>
        </w:rPr>
        <w:t> </w:t>
      </w:r>
      <w:r>
        <w:rPr>
          <w:rFonts w:ascii="Arial" w:hAnsi="Arial"/>
          <w:color w:val="000000"/>
          <w:sz w:val="21"/>
        </w:rPr>
        <w:t>signed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Authorised</w:t>
      </w:r>
      <w:r>
        <w:rPr>
          <w:rFonts w:ascii="Arial" w:hAnsi="Arial"/>
          <w:color w:val="000000"/>
          <w:sz w:val="20"/>
        </w:rPr>
        <w:t> </w:t>
      </w:r>
      <w:r>
        <w:rPr>
          <w:rFonts w:ascii="Arial" w:hAnsi="Arial"/>
          <w:color w:val="000000"/>
          <w:sz w:val="21"/>
        </w:rPr>
        <w:t>Representative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275" w:right="1441" w:hanging="0"/>
        <w:jc w:val="left"/>
        <w:rPr>
          <w:rFonts w:ascii="Arial" w:hAnsi="Arial"/>
          <w:sz w:val="20"/>
        </w:rPr>
      </w:pPr>
      <w:r>
        <w:rPr>
          <w:rFonts w:ascii="Arial" w:hAnsi="Arial"/>
          <w:sz w:val="21"/>
        </w:rPr>
        <w:t>(iii)specify</w:t>
      </w:r>
      <w:r>
        <w:rPr>
          <w:rFonts w:ascii="Arial" w:hAnsi="Arial"/>
          <w:sz w:val="20"/>
        </w:rPr>
        <w:t> </w:t>
      </w:r>
      <w:r>
        <w:rPr>
          <w:rFonts w:ascii="Arial" w:hAnsi="Arial"/>
          <w:sz w:val="21"/>
        </w:rPr>
        <w:t>the</w:t>
      </w:r>
      <w:r>
        <w:rPr>
          <w:rFonts w:ascii="Arial" w:hAnsi="Arial"/>
          <w:sz w:val="20"/>
        </w:rPr>
        <w:t> </w:t>
      </w:r>
      <w:r>
        <w:rPr>
          <w:rFonts w:ascii="Arial" w:hAnsi="Arial"/>
          <w:sz w:val="21"/>
        </w:rPr>
        <w:t>proposed</w:t>
      </w:r>
      <w:r>
        <w:rPr>
          <w:rFonts w:ascii="Arial" w:hAnsi="Arial"/>
          <w:sz w:val="20"/>
        </w:rPr>
        <w:t> </w:t>
      </w:r>
      <w:r>
        <w:rPr>
          <w:rFonts w:ascii="Arial" w:hAnsi="Arial"/>
          <w:sz w:val="21"/>
        </w:rPr>
        <w:t>Funding</w:t>
      </w:r>
      <w:r>
        <w:rPr>
          <w:rFonts w:ascii="Arial" w:hAnsi="Arial"/>
          <w:sz w:val="20"/>
        </w:rPr>
        <w:t> </w:t>
      </w:r>
      <w:r>
        <w:rPr>
          <w:rFonts w:ascii="Arial" w:hAnsi="Arial"/>
          <w:sz w:val="21"/>
        </w:rPr>
        <w:t>Date</w:t>
      </w:r>
      <w:r>
        <w:rPr>
          <w:rFonts w:ascii="Arial" w:hAnsi="Arial"/>
          <w:sz w:val="20"/>
        </w:rPr>
        <w:t> </w:t>
      </w:r>
      <w:r>
        <w:rPr>
          <w:rFonts w:ascii="Arial" w:hAnsi="Arial"/>
          <w:sz w:val="21"/>
        </w:rPr>
        <w:t>which</w:t>
      </w:r>
      <w:r>
        <w:rPr>
          <w:rFonts w:ascii="Arial" w:hAnsi="Arial"/>
          <w:sz w:val="20"/>
        </w:rPr>
        <w:t> </w:t>
      </w:r>
      <w:r>
        <w:rPr>
          <w:rFonts w:ascii="Arial" w:hAnsi="Arial"/>
          <w:sz w:val="21"/>
        </w:rPr>
        <w:t>must</w:t>
      </w:r>
      <w:r>
        <w:rPr>
          <w:rFonts w:ascii="Arial" w:hAnsi="Arial"/>
          <w:sz w:val="20"/>
        </w:rPr>
        <w:t> </w:t>
      </w:r>
      <w:r>
        <w:rPr>
          <w:rFonts w:ascii="Arial" w:hAnsi="Arial"/>
          <w:sz w:val="21"/>
        </w:rPr>
        <w:t>be</w:t>
      </w:r>
      <w:r>
        <w:rPr>
          <w:rFonts w:ascii="Arial" w:hAnsi="Arial"/>
          <w:sz w:val="20"/>
        </w:rPr>
        <w:t> </w:t>
      </w:r>
      <w:r>
        <w:rPr>
          <w:rFonts w:ascii="Arial" w:hAnsi="Arial"/>
          <w:sz w:val="21"/>
        </w:rPr>
        <w:t>a</w:t>
      </w:r>
      <w:r>
        <w:rPr>
          <w:rFonts w:ascii="Arial" w:hAnsi="Arial"/>
          <w:sz w:val="20"/>
        </w:rPr>
        <w:t> </w:t>
      </w:r>
      <w:r>
        <w:rPr>
          <w:rFonts w:ascii="Arial" w:hAnsi="Arial"/>
          <w:sz w:val="21"/>
        </w:rPr>
        <w:t>Business</w:t>
      </w:r>
      <w:r>
        <w:rPr>
          <w:rFonts w:ascii="Arial" w:hAnsi="Arial"/>
          <w:sz w:val="20"/>
        </w:rPr>
        <w:t> </w:t>
      </w:r>
      <w:r>
        <w:rPr>
          <w:rFonts w:ascii="Arial" w:hAnsi="Arial"/>
          <w:sz w:val="21"/>
        </w:rPr>
        <w:t>Day during the Availability Period;</w:t>
      </w:r>
      <w:r>
        <w:rPr>
          <w:rFonts w:ascii="Arial" w:hAnsi="Arial"/>
          <w:sz w:val="20"/>
        </w:rPr>
        <w:t xml:space="preserve"> </w:t>
      </w:r>
    </w:p>
    <w:p>
      <w:pPr>
        <w:pStyle w:val="TextBody"/>
        <w:bidi w:val="0"/>
        <w:spacing w:lineRule="auto" w:line="266" w:before="0" w:after="0"/>
        <w:ind w:left="4275" w:right="1817" w:hanging="0"/>
        <w:jc w:val="left"/>
        <w:rPr>
          <w:rFonts w:ascii="Arial" w:hAnsi="Arial"/>
          <w:sz w:val="20"/>
        </w:rPr>
      </w:pPr>
      <w:r>
        <w:rPr>
          <w:rFonts w:ascii="Arial" w:hAnsi="Arial"/>
          <w:sz w:val="21"/>
        </w:rPr>
        <w:t>(iv)specify</w:t>
      </w:r>
      <w:r>
        <w:rPr>
          <w:rFonts w:ascii="Arial" w:hAnsi="Arial"/>
          <w:sz w:val="20"/>
        </w:rPr>
        <w:t> </w:t>
      </w:r>
      <w:r>
        <w:rPr>
          <w:rFonts w:ascii="Arial" w:hAnsi="Arial"/>
          <w:sz w:val="21"/>
        </w:rPr>
        <w:t>the</w:t>
      </w:r>
      <w:r>
        <w:rPr>
          <w:rFonts w:ascii="Arial" w:hAnsi="Arial"/>
          <w:sz w:val="20"/>
        </w:rPr>
        <w:t> </w:t>
      </w:r>
      <w:r>
        <w:rPr>
          <w:rFonts w:ascii="Arial" w:hAnsi="Arial"/>
          <w:sz w:val="21"/>
        </w:rPr>
        <w:t>Facility</w:t>
      </w:r>
      <w:r>
        <w:rPr>
          <w:rFonts w:ascii="Arial" w:hAnsi="Arial"/>
          <w:sz w:val="20"/>
        </w:rPr>
        <w:t> </w:t>
      </w:r>
      <w:r>
        <w:rPr>
          <w:rFonts w:ascii="Arial" w:hAnsi="Arial"/>
          <w:sz w:val="21"/>
        </w:rPr>
        <w:t>under</w:t>
      </w:r>
      <w:r>
        <w:rPr>
          <w:rFonts w:ascii="Arial" w:hAnsi="Arial"/>
          <w:sz w:val="20"/>
        </w:rPr>
        <w:t> </w:t>
      </w:r>
      <w:r>
        <w:rPr>
          <w:rFonts w:ascii="Arial" w:hAnsi="Arial"/>
          <w:sz w:val="21"/>
        </w:rPr>
        <w:t>which</w:t>
      </w:r>
      <w:r>
        <w:rPr>
          <w:rFonts w:ascii="Arial" w:hAnsi="Arial"/>
          <w:sz w:val="20"/>
        </w:rPr>
        <w:t> </w:t>
      </w:r>
      <w:r>
        <w:rPr>
          <w:rFonts w:ascii="Arial" w:hAnsi="Arial"/>
          <w:sz w:val="21"/>
        </w:rPr>
        <w:t>the</w:t>
      </w:r>
      <w:r>
        <w:rPr>
          <w:rFonts w:ascii="Arial" w:hAnsi="Arial"/>
          <w:sz w:val="20"/>
        </w:rPr>
        <w:t> </w:t>
      </w:r>
      <w:r>
        <w:rPr>
          <w:rFonts w:ascii="Arial" w:hAnsi="Arial"/>
          <w:sz w:val="21"/>
        </w:rPr>
        <w:t>proposed</w:t>
      </w:r>
      <w:r>
        <w:rPr>
          <w:rFonts w:ascii="Arial" w:hAnsi="Arial"/>
          <w:sz w:val="20"/>
        </w:rPr>
        <w:t> </w:t>
      </w:r>
      <w:r>
        <w:rPr>
          <w:rFonts w:ascii="Arial" w:hAnsi="Arial"/>
          <w:sz w:val="21"/>
        </w:rPr>
        <w:t>Advance</w:t>
      </w:r>
      <w:r>
        <w:rPr>
          <w:rFonts w:ascii="Arial" w:hAnsi="Arial"/>
          <w:sz w:val="20"/>
        </w:rPr>
        <w:t> </w:t>
      </w:r>
      <w:r>
        <w:rPr>
          <w:rFonts w:ascii="Arial" w:hAnsi="Arial"/>
          <w:sz w:val="21"/>
        </w:rPr>
        <w:t>is</w:t>
      </w:r>
      <w:r>
        <w:rPr>
          <w:rFonts w:ascii="Arial" w:hAnsi="Arial"/>
          <w:sz w:val="20"/>
        </w:rPr>
        <w:t> </w:t>
      </w:r>
      <w:r>
        <w:rPr>
          <w:rFonts w:ascii="Arial" w:hAnsi="Arial"/>
          <w:sz w:val="21"/>
        </w:rPr>
        <w:t>to</w:t>
      </w:r>
      <w:r>
        <w:rPr>
          <w:rFonts w:ascii="Arial" w:hAnsi="Arial"/>
          <w:sz w:val="20"/>
        </w:rPr>
        <w:t> </w:t>
      </w:r>
      <w:r>
        <w:rPr>
          <w:rFonts w:ascii="Arial" w:hAnsi="Arial"/>
          <w:sz w:val="21"/>
        </w:rPr>
        <w:t>be made;</w:t>
      </w:r>
      <w:r>
        <w:rPr>
          <w:rFonts w:ascii="Arial" w:hAnsi="Arial"/>
          <w:sz w:val="20"/>
        </w:rPr>
        <w:t xml:space="preserve"> </w:t>
      </w:r>
    </w:p>
    <w:p>
      <w:pPr>
        <w:pStyle w:val="TextBody"/>
        <w:bidi w:val="0"/>
        <w:spacing w:lineRule="auto" w:line="266" w:before="0" w:after="0"/>
        <w:ind w:left="4275" w:right="1839" w:hanging="0"/>
        <w:jc w:val="left"/>
        <w:rPr>
          <w:rFonts w:ascii="Arial" w:hAnsi="Arial"/>
          <w:sz w:val="20"/>
        </w:rPr>
      </w:pPr>
      <w:r>
        <w:rPr>
          <w:rFonts w:ascii="Arial" w:hAnsi="Arial"/>
          <w:sz w:val="21"/>
        </w:rPr>
        <w:t>(v)specify</w:t>
      </w:r>
      <w:r>
        <w:rPr>
          <w:rFonts w:ascii="Arial" w:hAnsi="Arial"/>
          <w:sz w:val="20"/>
        </w:rPr>
        <w:t> </w:t>
      </w:r>
      <w:r>
        <w:rPr>
          <w:rFonts w:ascii="Arial" w:hAnsi="Arial"/>
          <w:sz w:val="21"/>
        </w:rPr>
        <w:t>the</w:t>
      </w:r>
      <w:r>
        <w:rPr>
          <w:rFonts w:ascii="Arial" w:hAnsi="Arial"/>
          <w:sz w:val="20"/>
        </w:rPr>
        <w:t> </w:t>
      </w:r>
      <w:r>
        <w:rPr>
          <w:rFonts w:ascii="Arial" w:hAnsi="Arial"/>
          <w:sz w:val="21"/>
        </w:rPr>
        <w:t>amount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proposed</w:t>
      </w:r>
      <w:r>
        <w:rPr>
          <w:rFonts w:ascii="Arial" w:hAnsi="Arial"/>
          <w:sz w:val="20"/>
        </w:rPr>
        <w:t> </w:t>
      </w:r>
      <w:r>
        <w:rPr>
          <w:rFonts w:ascii="Arial" w:hAnsi="Arial"/>
          <w:sz w:val="21"/>
        </w:rPr>
        <w:t>Advance</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Aggregate Amount of the proposed Drawing;</w:t>
      </w:r>
      <w:r>
        <w:rPr>
          <w:rFonts w:ascii="Arial" w:hAnsi="Arial"/>
          <w:sz w:val="20"/>
        </w:rPr>
        <w:t xml:space="preserve"> </w:t>
      </w:r>
    </w:p>
    <w:p>
      <w:pPr>
        <w:pStyle w:val="TextBody"/>
        <w:bidi w:val="0"/>
        <w:spacing w:before="122" w:after="0"/>
        <w:ind w:left="4275" w:right="700" w:hanging="0"/>
        <w:jc w:val="left"/>
        <w:rPr>
          <w:rFonts w:ascii="Arial" w:hAnsi="Arial"/>
          <w:sz w:val="20"/>
        </w:rPr>
      </w:pPr>
      <w:r>
        <w:rPr>
          <w:rFonts w:ascii="Arial" w:hAnsi="Arial"/>
          <w:sz w:val="21"/>
        </w:rPr>
        <w:t>(vi)specify</w:t>
      </w:r>
      <w:r>
        <w:rPr>
          <w:rFonts w:ascii="Arial" w:hAnsi="Arial"/>
          <w:sz w:val="20"/>
        </w:rPr>
        <w:t> </w:t>
      </w:r>
      <w:r>
        <w:rPr>
          <w:rFonts w:ascii="Arial" w:hAnsi="Arial"/>
          <w:sz w:val="21"/>
        </w:rPr>
        <w:t>the</w:t>
      </w:r>
      <w:r>
        <w:rPr>
          <w:rFonts w:ascii="Arial" w:hAnsi="Arial"/>
          <w:sz w:val="20"/>
        </w:rPr>
        <w:t> </w:t>
      </w:r>
      <w:r>
        <w:rPr>
          <w:rFonts w:ascii="Arial" w:hAnsi="Arial"/>
          <w:sz w:val="21"/>
        </w:rPr>
        <w:t>duration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Pricing</w:t>
      </w:r>
      <w:r>
        <w:rPr>
          <w:rFonts w:ascii="Arial" w:hAnsi="Arial"/>
          <w:sz w:val="20"/>
        </w:rPr>
        <w:t> </w:t>
      </w:r>
      <w:r>
        <w:rPr>
          <w:rFonts w:ascii="Arial" w:hAnsi="Arial"/>
          <w:sz w:val="21"/>
        </w:rPr>
        <w:t>Period</w:t>
      </w:r>
      <w:r>
        <w:rPr>
          <w:rFonts w:ascii="Arial" w:hAnsi="Arial"/>
          <w:sz w:val="20"/>
        </w:rPr>
        <w:t> </w:t>
      </w:r>
      <w:r>
        <w:rPr>
          <w:rFonts w:ascii="Arial" w:hAnsi="Arial"/>
          <w:sz w:val="21"/>
        </w:rPr>
        <w:t>for</w:t>
      </w:r>
      <w:r>
        <w:rPr>
          <w:rFonts w:ascii="Arial" w:hAnsi="Arial"/>
          <w:sz w:val="20"/>
        </w:rPr>
        <w:t> </w:t>
      </w:r>
      <w:r>
        <w:rPr>
          <w:rFonts w:ascii="Arial" w:hAnsi="Arial"/>
          <w:sz w:val="21"/>
        </w:rPr>
        <w:t>each</w:t>
      </w:r>
      <w:r>
        <w:rPr>
          <w:rFonts w:ascii="Arial" w:hAnsi="Arial"/>
          <w:sz w:val="20"/>
        </w:rPr>
        <w:t> </w:t>
      </w:r>
      <w:r>
        <w:rPr>
          <w:rFonts w:ascii="Arial" w:hAnsi="Arial"/>
          <w:sz w:val="21"/>
        </w:rPr>
        <w:t>Advance;</w:t>
      </w:r>
      <w:r>
        <w:rPr>
          <w:rFonts w:ascii="Arial" w:hAnsi="Arial"/>
          <w:sz w:val="20"/>
        </w:rPr>
        <w:t xml:space="preserve"> </w:t>
      </w:r>
      <w:r>
        <w:rPr>
          <w:rFonts w:ascii="Arial" w:hAnsi="Arial"/>
          <w:sz w:val="21"/>
        </w:rPr>
        <w:t>and</w:t>
      </w:r>
      <w:r>
        <w:rPr>
          <w:rFonts w:ascii="Arial" w:hAnsi="Arial"/>
          <w:sz w:val="20"/>
        </w:rPr>
        <w:t xml:space="preserve"> </w:t>
      </w:r>
    </w:p>
    <w:p>
      <w:pPr>
        <w:pStyle w:val="TextBody"/>
        <w:bidi w:val="0"/>
        <w:spacing w:before="148" w:after="0"/>
        <w:ind w:left="4275" w:right="700" w:hanging="0"/>
        <w:jc w:val="left"/>
        <w:rPr>
          <w:rFonts w:ascii="Arial" w:hAnsi="Arial"/>
          <w:sz w:val="20"/>
        </w:rPr>
      </w:pPr>
      <w:r>
        <w:rPr>
          <w:rFonts w:ascii="Arial" w:hAnsi="Arial"/>
          <w:sz w:val="21"/>
        </w:rPr>
        <w:t>(vii)in</w:t>
      </w:r>
      <w:r>
        <w:rPr>
          <w:rFonts w:ascii="Arial" w:hAnsi="Arial"/>
          <w:sz w:val="20"/>
        </w:rPr>
        <w:t> </w:t>
      </w:r>
      <w:r>
        <w:rPr>
          <w:rFonts w:ascii="Arial" w:hAnsi="Arial"/>
          <w:sz w:val="21"/>
        </w:rPr>
        <w:t>the</w:t>
      </w:r>
      <w:r>
        <w:rPr>
          <w:rFonts w:ascii="Arial" w:hAnsi="Arial"/>
          <w:sz w:val="20"/>
        </w:rPr>
        <w:t> </w:t>
      </w:r>
      <w:r>
        <w:rPr>
          <w:rFonts w:ascii="Arial" w:hAnsi="Arial"/>
          <w:sz w:val="21"/>
        </w:rPr>
        <w:t>case</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Drawing,</w:t>
      </w:r>
      <w:r>
        <w:rPr>
          <w:rFonts w:ascii="Arial" w:hAnsi="Arial"/>
          <w:sz w:val="20"/>
        </w:rPr>
        <w:t> </w:t>
      </w:r>
      <w:r>
        <w:rPr>
          <w:rFonts w:ascii="Arial" w:hAnsi="Arial"/>
          <w:sz w:val="21"/>
        </w:rPr>
        <w:t>specify</w:t>
      </w:r>
      <w:r>
        <w:rPr>
          <w:rFonts w:ascii="Arial" w:hAnsi="Arial"/>
          <w:sz w:val="20"/>
        </w:rPr>
        <w:t> </w:t>
      </w:r>
      <w:r>
        <w:rPr>
          <w:rFonts w:ascii="Arial" w:hAnsi="Arial"/>
          <w:sz w:val="21"/>
        </w:rPr>
        <w:t>whether</w:t>
      </w:r>
      <w:r>
        <w:rPr>
          <w:rFonts w:ascii="Arial" w:hAnsi="Arial"/>
          <w:sz w:val="20"/>
        </w:rPr>
        <w:t> </w:t>
      </w:r>
      <w:r>
        <w:rPr>
          <w:rFonts w:ascii="Arial" w:hAnsi="Arial"/>
          <w:sz w:val="21"/>
        </w:rPr>
        <w:t>the</w:t>
      </w:r>
      <w:r>
        <w:rPr>
          <w:rFonts w:ascii="Arial" w:hAnsi="Arial"/>
          <w:sz w:val="20"/>
        </w:rPr>
        <w:t> </w:t>
      </w:r>
      <w:r>
        <w:rPr>
          <w:rFonts w:ascii="Arial" w:hAnsi="Arial"/>
          <w:sz w:val="21"/>
        </w:rPr>
        <w:t>Drawing</w:t>
      </w:r>
      <w:r>
        <w:rPr>
          <w:rFonts w:ascii="Arial" w:hAnsi="Arial"/>
          <w:sz w:val="20"/>
        </w:rPr>
        <w:t> </w:t>
      </w:r>
      <w:r>
        <w:rPr>
          <w:rFonts w:ascii="Arial" w:hAnsi="Arial"/>
          <w:sz w:val="21"/>
        </w:rPr>
        <w:t>is:</w:t>
      </w:r>
      <w:r>
        <w:rPr>
          <w:rFonts w:ascii="Arial" w:hAnsi="Arial"/>
          <w:sz w:val="20"/>
        </w:rPr>
        <w:t xml:space="preserve"> </w:t>
      </w:r>
    </w:p>
    <w:p>
      <w:pPr>
        <w:pStyle w:val="TextBody"/>
        <w:bidi w:val="0"/>
        <w:spacing w:lineRule="auto" w:line="266" w:before="147" w:after="0"/>
        <w:ind w:left="4820" w:right="1600" w:hanging="0"/>
        <w:jc w:val="left"/>
        <w:rPr>
          <w:rFonts w:ascii="Arial" w:hAnsi="Arial"/>
          <w:sz w:val="20"/>
        </w:rPr>
      </w:pPr>
      <w:r>
        <w:rPr>
          <w:rFonts w:ascii="Arial" w:hAnsi="Arial"/>
          <w:sz w:val="21"/>
        </w:rPr>
        <w:t>(A)to comprise the issue of a new Bank Guarantee, and if so, also specify the date to be shown as the Expiry Date, the person</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named</w:t>
      </w:r>
      <w:r>
        <w:rPr>
          <w:rFonts w:ascii="Arial" w:hAnsi="Arial"/>
          <w:sz w:val="20"/>
        </w:rPr>
        <w:t> </w:t>
      </w:r>
      <w:r>
        <w:rPr>
          <w:rFonts w:ascii="Arial" w:hAnsi="Arial"/>
          <w:sz w:val="21"/>
        </w:rPr>
        <w:t>as</w:t>
      </w:r>
      <w:r>
        <w:rPr>
          <w:rFonts w:ascii="Arial" w:hAnsi="Arial"/>
          <w:sz w:val="20"/>
        </w:rPr>
        <w:t> </w:t>
      </w:r>
      <w:r>
        <w:rPr>
          <w:rFonts w:ascii="Arial" w:hAnsi="Arial"/>
          <w:sz w:val="21"/>
        </w:rPr>
        <w:t>the</w:t>
      </w:r>
      <w:r>
        <w:rPr>
          <w:rFonts w:ascii="Arial" w:hAnsi="Arial"/>
          <w:sz w:val="20"/>
        </w:rPr>
        <w:t> </w:t>
      </w:r>
      <w:r>
        <w:rPr>
          <w:rFonts w:ascii="Arial" w:hAnsi="Arial"/>
          <w:sz w:val="21"/>
        </w:rPr>
        <w:t>Beneficiary</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Face</w:t>
      </w:r>
      <w:r>
        <w:rPr>
          <w:rFonts w:ascii="Arial" w:hAnsi="Arial"/>
          <w:sz w:val="20"/>
        </w:rPr>
        <w:t> </w:t>
      </w:r>
      <w:r>
        <w:rPr>
          <w:rFonts w:ascii="Arial" w:hAnsi="Arial"/>
          <w:sz w:val="21"/>
        </w:rPr>
        <w:t>Value of each requested Bank Guarantees; or</w:t>
      </w:r>
      <w:r>
        <w:rPr>
          <w:rFonts w:ascii="Arial" w:hAnsi="Arial"/>
          <w:sz w:val="20"/>
        </w:rPr>
        <w:t xml:space="preserve"> </w:t>
      </w:r>
    </w:p>
    <w:p>
      <w:pPr>
        <w:pStyle w:val="TextBody"/>
        <w:bidi w:val="0"/>
        <w:spacing w:lineRule="auto" w:line="266" w:before="118" w:after="0"/>
        <w:ind w:left="4820" w:right="1471" w:hanging="0"/>
        <w:jc w:val="left"/>
        <w:rPr>
          <w:rFonts w:ascii="Arial" w:hAnsi="Arial"/>
          <w:sz w:val="20"/>
        </w:rPr>
      </w:pPr>
      <w:r>
        <w:rPr>
          <w:rFonts w:ascii="Arial" w:hAnsi="Arial"/>
          <w:sz w:val="21"/>
        </w:rPr>
        <w:t>(B)deemed</w:t>
      </w:r>
      <w:r>
        <w:rPr>
          <w:rFonts w:ascii="Arial" w:hAnsi="Arial"/>
          <w:sz w:val="20"/>
        </w:rPr>
        <w:t> </w:t>
      </w:r>
      <w:r>
        <w:rPr>
          <w:rFonts w:ascii="Arial" w:hAnsi="Arial"/>
          <w:sz w:val="21"/>
        </w:rPr>
        <w:t>to</w:t>
      </w:r>
      <w:r>
        <w:rPr>
          <w:rFonts w:ascii="Arial" w:hAnsi="Arial"/>
          <w:sz w:val="20"/>
        </w:rPr>
        <w:t> </w:t>
      </w:r>
      <w:r>
        <w:rPr>
          <w:rFonts w:ascii="Arial" w:hAnsi="Arial"/>
          <w:sz w:val="21"/>
        </w:rPr>
        <w:t>comprise</w:t>
      </w:r>
      <w:r>
        <w:rPr>
          <w:rFonts w:ascii="Arial" w:hAnsi="Arial"/>
          <w:sz w:val="20"/>
        </w:rPr>
        <w:t> </w:t>
      </w:r>
      <w:r>
        <w:rPr>
          <w:rFonts w:ascii="Arial" w:hAnsi="Arial"/>
          <w:sz w:val="21"/>
        </w:rPr>
        <w:t>an</w:t>
      </w:r>
      <w:r>
        <w:rPr>
          <w:rFonts w:ascii="Arial" w:hAnsi="Arial"/>
          <w:sz w:val="20"/>
        </w:rPr>
        <w:t> </w:t>
      </w:r>
      <w:r>
        <w:rPr>
          <w:rFonts w:ascii="Arial" w:hAnsi="Arial"/>
          <w:sz w:val="21"/>
        </w:rPr>
        <w:t>existing</w:t>
      </w:r>
      <w:r>
        <w:rPr>
          <w:rFonts w:ascii="Arial" w:hAnsi="Arial"/>
          <w:sz w:val="20"/>
        </w:rPr>
        <w:t> </w:t>
      </w:r>
      <w:r>
        <w:rPr>
          <w:rFonts w:ascii="Arial" w:hAnsi="Arial"/>
          <w:sz w:val="21"/>
        </w:rPr>
        <w:t>bank</w:t>
      </w:r>
      <w:r>
        <w:rPr>
          <w:rFonts w:ascii="Arial" w:hAnsi="Arial"/>
          <w:sz w:val="20"/>
        </w:rPr>
        <w:t> </w:t>
      </w:r>
      <w:r>
        <w:rPr>
          <w:rFonts w:ascii="Arial" w:hAnsi="Arial"/>
          <w:sz w:val="21"/>
        </w:rPr>
        <w:t>guarantee</w:t>
      </w:r>
      <w:r>
        <w:rPr>
          <w:rFonts w:ascii="Arial" w:hAnsi="Arial"/>
          <w:sz w:val="20"/>
        </w:rPr>
        <w:t> </w:t>
      </w:r>
      <w:r>
        <w:rPr>
          <w:rFonts w:ascii="Arial" w:hAnsi="Arial"/>
          <w:sz w:val="21"/>
        </w:rPr>
        <w:t>that</w:t>
      </w:r>
      <w:r>
        <w:rPr>
          <w:rFonts w:ascii="Arial" w:hAnsi="Arial"/>
          <w:sz w:val="20"/>
        </w:rPr>
        <w:t> </w:t>
      </w:r>
      <w:r>
        <w:rPr>
          <w:rFonts w:ascii="Arial" w:hAnsi="Arial"/>
          <w:sz w:val="21"/>
        </w:rPr>
        <w:t>prior</w:t>
      </w:r>
      <w:r>
        <w:rPr>
          <w:rFonts w:ascii="Arial" w:hAnsi="Arial"/>
          <w:sz w:val="20"/>
        </w:rPr>
        <w:t> </w:t>
      </w:r>
      <w:r>
        <w:rPr>
          <w:rFonts w:ascii="Arial" w:hAnsi="Arial"/>
          <w:sz w:val="21"/>
        </w:rPr>
        <w:t>to the date of this document has been issued by the Bank at the request of the Borrower and, if so, specify the date shown as the Expiry Date, the person named as the Beneficiary and the Face Value of that bank guarantee.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(b)The</w:t>
      </w:r>
      <w:r>
        <w:rPr>
          <w:rFonts w:ascii="Arial" w:hAnsi="Arial"/>
          <w:sz w:val="20"/>
        </w:rPr>
        <w:t> </w:t>
      </w:r>
      <w:r>
        <w:rPr>
          <w:rFonts w:ascii="Arial" w:hAnsi="Arial"/>
          <w:sz w:val="21"/>
        </w:rPr>
        <w:t>requirement</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Funding</w:t>
      </w:r>
      <w:r>
        <w:rPr>
          <w:rFonts w:ascii="Arial" w:hAnsi="Arial"/>
          <w:sz w:val="20"/>
        </w:rPr>
        <w:t> </w:t>
      </w:r>
      <w:r>
        <w:rPr>
          <w:rFonts w:ascii="Arial" w:hAnsi="Arial"/>
          <w:sz w:val="21"/>
        </w:rPr>
        <w:t>Notice</w:t>
      </w:r>
      <w:r>
        <w:rPr>
          <w:rFonts w:ascii="Arial" w:hAnsi="Arial"/>
          <w:sz w:val="20"/>
        </w:rPr>
        <w:t> </w:t>
      </w:r>
      <w:r>
        <w:rPr>
          <w:rFonts w:ascii="Arial" w:hAnsi="Arial"/>
          <w:sz w:val="21"/>
        </w:rPr>
        <w:t>is</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benefit</w:t>
      </w:r>
      <w:r>
        <w:rPr>
          <w:rFonts w:ascii="Arial" w:hAnsi="Arial"/>
          <w:sz w:val="20"/>
        </w:rPr>
        <w:t> </w:t>
      </w:r>
      <w:r>
        <w:rPr>
          <w:rFonts w:ascii="Arial" w:hAnsi="Arial"/>
          <w:sz w:val="21"/>
        </w:rPr>
        <w:t>of</w:t>
      </w:r>
      <w:r>
        <w:rPr>
          <w:rFonts w:ascii="Arial" w:hAnsi="Arial"/>
          <w:sz w:val="20"/>
        </w:rPr>
        <w:t> </w:t>
      </w:r>
      <w:r>
        <w:rPr>
          <w:rFonts w:ascii="Arial" w:hAnsi="Arial"/>
          <w:sz w:val="21"/>
        </w:rPr>
        <w:t>the Bank.</w:t>
      </w:r>
      <w:r>
        <w:rPr>
          <w:rFonts w:ascii="Arial" w:hAnsi="Arial"/>
          <w:sz w:val="20"/>
        </w:rPr>
        <w:t> </w:t>
      </w:r>
      <w:r>
        <w:rPr>
          <w:rFonts w:ascii="Arial" w:hAnsi="Arial"/>
          <w:sz w:val="21"/>
        </w:rPr>
        <w:t>The Bank may waive the requirement at any time and in any manner.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(c)A</w:t>
      </w:r>
      <w:r>
        <w:rPr>
          <w:rFonts w:ascii="Arial" w:hAnsi="Arial"/>
          <w:sz w:val="20"/>
        </w:rPr>
        <w:t> </w:t>
      </w:r>
      <w:r>
        <w:rPr>
          <w:rFonts w:ascii="Arial" w:hAnsi="Arial"/>
          <w:sz w:val="21"/>
        </w:rPr>
        <w:t>Funding</w:t>
      </w:r>
      <w:r>
        <w:rPr>
          <w:rFonts w:ascii="Arial" w:hAnsi="Arial"/>
          <w:sz w:val="20"/>
        </w:rPr>
        <w:t> </w:t>
      </w:r>
      <w:r>
        <w:rPr>
          <w:rFonts w:ascii="Arial" w:hAnsi="Arial"/>
          <w:sz w:val="21"/>
        </w:rPr>
        <w:t>Notice</w:t>
      </w:r>
      <w:r>
        <w:rPr>
          <w:rFonts w:ascii="Arial" w:hAnsi="Arial"/>
          <w:sz w:val="20"/>
        </w:rPr>
        <w:t> </w:t>
      </w:r>
      <w:r>
        <w:rPr>
          <w:rFonts w:ascii="Arial" w:hAnsi="Arial"/>
          <w:sz w:val="21"/>
        </w:rPr>
        <w:t>is</w:t>
      </w:r>
      <w:r>
        <w:rPr>
          <w:rFonts w:ascii="Arial" w:hAnsi="Arial"/>
          <w:sz w:val="20"/>
        </w:rPr>
        <w:t> </w:t>
      </w:r>
      <w:r>
        <w:rPr>
          <w:rFonts w:ascii="Arial" w:hAnsi="Arial"/>
          <w:sz w:val="21"/>
        </w:rPr>
        <w:t>irrevocable</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time</w:t>
      </w:r>
      <w:r>
        <w:rPr>
          <w:rFonts w:ascii="Arial" w:hAnsi="Arial"/>
          <w:sz w:val="20"/>
        </w:rPr>
        <w:t> </w:t>
      </w:r>
      <w:r>
        <w:rPr>
          <w:rFonts w:ascii="Arial" w:hAnsi="Arial"/>
          <w:sz w:val="21"/>
        </w:rPr>
        <w:t>of</w:t>
      </w:r>
      <w:r>
        <w:rPr>
          <w:rFonts w:ascii="Arial" w:hAnsi="Arial"/>
          <w:sz w:val="20"/>
        </w:rPr>
        <w:t> </w:t>
      </w:r>
      <w:r>
        <w:rPr>
          <w:rFonts w:ascii="Arial" w:hAnsi="Arial"/>
          <w:sz w:val="21"/>
        </w:rPr>
        <w:t>its</w:t>
      </w:r>
      <w:r>
        <w:rPr>
          <w:rFonts w:ascii="Arial" w:hAnsi="Arial"/>
          <w:sz w:val="20"/>
        </w:rPr>
        <w:t> </w:t>
      </w:r>
      <w:r>
        <w:rPr>
          <w:rFonts w:ascii="Arial" w:hAnsi="Arial"/>
          <w:sz w:val="21"/>
        </w:rPr>
        <w:t>actual</w:t>
      </w:r>
      <w:r>
        <w:rPr>
          <w:rFonts w:ascii="Arial" w:hAnsi="Arial"/>
          <w:sz w:val="20"/>
        </w:rPr>
        <w:t> </w:t>
      </w:r>
      <w:r>
        <w:rPr>
          <w:rFonts w:ascii="Arial" w:hAnsi="Arial"/>
          <w:sz w:val="21"/>
        </w:rPr>
        <w:t>receipt</w:t>
      </w:r>
      <w:r>
        <w:rPr>
          <w:rFonts w:ascii="Arial" w:hAnsi="Arial"/>
          <w:sz w:val="20"/>
        </w:rPr>
        <w:t> </w:t>
      </w:r>
      <w:r>
        <w:rPr>
          <w:rFonts w:ascii="Arial" w:hAnsi="Arial"/>
          <w:sz w:val="21"/>
        </w:rPr>
        <w:t>in legible form by the Bank.</w:t>
      </w:r>
      <w:r>
        <w:rPr>
          <w:rFonts w:ascii="Arial" w:hAnsi="Arial"/>
          <w:sz w:val="20"/>
        </w:rPr>
        <w:t xml:space="preserve"> </w:t>
      </w:r>
    </w:p>
    <w:p>
      <w:pPr>
        <w:pStyle w:val="TextBody"/>
        <w:pBdr/>
        <w:bidi w:val="0"/>
        <w:spacing w:before="214" w:after="0"/>
        <w:ind w:left="3725" w:right="700" w:hanging="0"/>
        <w:jc w:val="left"/>
        <w:rPr>
          <w:rFonts w:ascii="Arial" w:hAnsi="Arial"/>
          <w:b/>
          <w:sz w:val="24"/>
        </w:rPr>
      </w:pPr>
      <w:bookmarkStart w:id="417" w:name="Not_used45"/>
      <w:bookmarkEnd w:id="417"/>
      <w:r>
        <w:rPr>
          <w:rFonts w:ascii="Arial" w:hAnsi="Arial"/>
          <w:b/>
          <w:color w:val="000000"/>
          <w:sz w:val="24"/>
        </w:rPr>
        <w:t>4.5Not used</w:t>
      </w:r>
      <w:r>
        <w:rPr>
          <w:rFonts w:ascii="Arial" w:hAnsi="Arial"/>
          <w:b/>
          <w:sz w:val="24"/>
        </w:rPr>
        <w:t xml:space="preserve"> </w:t>
      </w:r>
    </w:p>
    <w:p>
      <w:pPr>
        <w:pStyle w:val="TextBody"/>
        <w:pBdr/>
        <w:bidi w:val="0"/>
        <w:spacing w:before="214" w:after="0"/>
        <w:ind w:left="3725" w:right="700" w:hanging="0"/>
        <w:jc w:val="left"/>
        <w:rPr>
          <w:rFonts w:ascii="Arial" w:hAnsi="Arial"/>
          <w:b/>
          <w:sz w:val="24"/>
        </w:rPr>
      </w:pPr>
      <w:bookmarkStart w:id="418" w:name="Not_used46"/>
      <w:bookmarkEnd w:id="418"/>
      <w:r>
        <w:rPr>
          <w:rFonts w:ascii="Arial" w:hAnsi="Arial"/>
          <w:b/>
          <w:color w:val="000000"/>
          <w:sz w:val="24"/>
        </w:rPr>
        <w:t>4.6Not used</w:t>
      </w:r>
      <w:r>
        <w:rPr>
          <w:rFonts w:ascii="Arial" w:hAnsi="Arial"/>
          <w:b/>
          <w:sz w:val="24"/>
        </w:rPr>
        <w:t xml:space="preserve"> </w:t>
      </w:r>
    </w:p>
    <w:p>
      <w:pPr>
        <w:pStyle w:val="TextBody"/>
        <w:pBdr/>
        <w:bidi w:val="0"/>
        <w:spacing w:before="214" w:after="0"/>
        <w:ind w:left="3725" w:right="700" w:hanging="0"/>
        <w:jc w:val="left"/>
        <w:rPr>
          <w:rFonts w:ascii="Arial" w:hAnsi="Arial"/>
          <w:b/>
          <w:sz w:val="24"/>
        </w:rPr>
      </w:pPr>
      <w:bookmarkStart w:id="419" w:name="Not_used47"/>
      <w:bookmarkEnd w:id="419"/>
      <w:r>
        <w:rPr>
          <w:rFonts w:ascii="Arial" w:hAnsi="Arial"/>
          <w:b/>
          <w:color w:val="000000"/>
          <w:sz w:val="24"/>
        </w:rPr>
        <w:t>4.7Not used</w:t>
      </w:r>
      <w:r>
        <w:rPr>
          <w:rFonts w:ascii="Arial" w:hAnsi="Arial"/>
          <w:b/>
          <w:sz w:val="24"/>
        </w:rPr>
        <w:t xml:space="preserve"> </w:t>
      </w:r>
    </w:p>
    <w:p>
      <w:pPr>
        <w:pStyle w:val="TextBody"/>
        <w:pBdr/>
        <w:bidi w:val="0"/>
        <w:spacing w:before="214" w:after="0"/>
        <w:ind w:left="3725" w:right="700" w:hanging="0"/>
        <w:jc w:val="left"/>
        <w:rPr>
          <w:rFonts w:ascii="Arial" w:hAnsi="Arial"/>
          <w:b/>
          <w:sz w:val="24"/>
        </w:rPr>
      </w:pPr>
      <w:bookmarkStart w:id="420" w:name="Bank_Guarantee_Facilities48"/>
      <w:bookmarkEnd w:id="420"/>
      <w:r>
        <w:rPr>
          <w:rFonts w:ascii="Arial" w:hAnsi="Arial"/>
          <w:b/>
          <w:color w:val="000000"/>
          <w:sz w:val="24"/>
        </w:rPr>
        <w:t>4.8Bank Guarantee Facilities</w:t>
      </w:r>
      <w:r>
        <w:rPr>
          <w:rFonts w:ascii="Arial" w:hAnsi="Arial"/>
          <w:b/>
          <w:sz w:val="24"/>
        </w:rPr>
        <w:t xml:space="preserve"> </w:t>
      </w:r>
    </w:p>
    <w:p>
      <w:pPr>
        <w:pStyle w:val="TextBody"/>
        <w:bidi w:val="0"/>
        <w:spacing w:lineRule="auto" w:line="266" w:before="93" w:after="0"/>
        <w:ind w:left="3120" w:right="1424" w:hanging="0"/>
        <w:jc w:val="left"/>
        <w:rPr>
          <w:rFonts w:ascii="Arial" w:hAnsi="Arial"/>
          <w:sz w:val="22"/>
        </w:rPr>
      </w:pPr>
      <w:r>
        <w:rPr>
          <w:rFonts w:ascii="Arial" w:hAnsi="Arial"/>
          <w:color w:val="000000"/>
          <w:sz w:val="22"/>
        </w:rPr>
        <w:t>In the case of the Bank Guarantee Facility on the Funding Date specified in the Funding Notice:</w:t>
      </w:r>
      <w:r>
        <w:rPr>
          <w:rFonts w:ascii="Arial" w:hAnsi="Arial"/>
          <w:sz w:val="22"/>
        </w:rPr>
        <w:t xml:space="preserve"> </w:t>
      </w:r>
    </w:p>
    <w:p>
      <w:pPr>
        <w:pStyle w:val="TextBody"/>
        <w:bidi w:val="0"/>
        <w:spacing w:lineRule="auto" w:line="266" w:before="118" w:after="0"/>
        <w:ind w:left="3687" w:right="854" w:hanging="0"/>
        <w:jc w:val="left"/>
        <w:rPr/>
      </w:pPr>
      <w:r>
        <w:rPr>
          <w:rFonts w:ascii="Arial" w:hAnsi="Arial"/>
          <w:color w:val="000000"/>
          <w:sz w:val="21"/>
        </w:rPr>
        <w:t>(a)the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contemplated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b/>
          <w:color w:val="000000"/>
          <w:sz w:val="21"/>
        </w:rPr>
        <w:t xml:space="preserve">clause </w:t>
      </w:r>
      <w:hyperlink w:anchor="_bookmark45">
        <w:r>
          <w:rPr>
            <w:rStyle w:val="InternetLink"/>
          </w:rPr>
          <w:t>4.4</w:t>
        </w:r>
      </w:hyperlink>
      <w:hyperlink w:anchor="_bookmark46">
        <w:r>
          <w:rPr>
            <w:rStyle w:val="InternetLink"/>
          </w:rPr>
          <w:t>(a)</w:t>
        </w:r>
      </w:hyperlink>
      <w:hyperlink w:anchor="_bookmark47">
        <w:r>
          <w:rPr>
            <w:rStyle w:val="InternetLink"/>
          </w:rPr>
          <w:t>(vii)</w:t>
        </w:r>
      </w:hyperlink>
      <w:hyperlink w:anchor="_bookmark48">
        <w:r>
          <w:rPr>
            <w:rStyle w:val="InternetLink"/>
          </w:rPr>
          <w:t>(A)</w:t>
        </w:r>
      </w:hyperlink>
      <w:r>
        <w:rPr>
          <w:rFonts w:ascii="Arial" w:hAnsi="Arial"/>
          <w:color w:val="000000"/>
          <w:sz w:val="21"/>
        </w:rPr>
        <w:t>, issue each Bank Guarantee requested in the Funding Notice in accordance with that Funding Notice; or</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(b)the parties agree that for the purposes of a</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 xml:space="preserve">contemplated under </w:t>
      </w:r>
      <w:r>
        <w:rPr>
          <w:rFonts w:ascii="Arial" w:hAnsi="Arial"/>
          <w:b/>
          <w:color w:val="000000"/>
          <w:sz w:val="21"/>
        </w:rPr>
        <w:t xml:space="preserve">clause </w:t>
      </w:r>
      <w:hyperlink w:anchor="_bookmark45">
        <w:r>
          <w:rPr>
            <w:rStyle w:val="InternetLink"/>
          </w:rPr>
          <w:t>4.4</w:t>
        </w:r>
      </w:hyperlink>
      <w:hyperlink w:anchor="_bookmark46">
        <w:r>
          <w:rPr>
            <w:rStyle w:val="InternetLink"/>
          </w:rPr>
          <w:t>(a)</w:t>
        </w:r>
      </w:hyperlink>
      <w:hyperlink w:anchor="_bookmark47">
        <w:r>
          <w:rPr>
            <w:rStyle w:val="InternetLink"/>
          </w:rPr>
          <w:t>(vii)</w:t>
        </w:r>
      </w:hyperlink>
      <w:hyperlink w:anchor="_bookmark49">
        <w:r>
          <w:rPr>
            <w:rStyle w:val="InternetLink"/>
          </w:rPr>
          <w:t>(B)</w:t>
        </w:r>
      </w:hyperlink>
      <w:hyperlink w:anchor="_bookmark49">
        <w:r>
          <w:rPr>
            <w:rStyle w:val="InternetLink"/>
            <w:rFonts w:ascii="Arial" w:hAnsi="Arial"/>
            <w:color w:val="000000"/>
            <w:sz w:val="21"/>
          </w:rPr>
          <w:t>,</w:t>
        </w:r>
      </w:hyperlink>
      <w:r>
        <w:rPr>
          <w:rFonts w:ascii="Arial" w:hAnsi="Arial"/>
          <w:color w:val="000000"/>
          <w:sz w:val="20"/>
        </w:rPr>
        <w:t xml:space="preserve"> </w:t>
      </w:r>
      <w:r>
        <w:rPr>
          <w:rFonts w:ascii="Arial" w:hAnsi="Arial"/>
          <w:color w:val="000000"/>
          <w:sz w:val="21"/>
        </w:rPr>
        <w:t>the existing bank guarantee referred to in the Funding</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deemed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issued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 with the Bank Guarantee Facility and that Funding Notice.</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21" w:name="Cancellation491"/>
      <w:bookmarkEnd w:id="421"/>
      <w:r>
        <w:rPr>
          <w:rFonts w:ascii="Arial" w:hAnsi="Arial"/>
          <w:b/>
          <w:color w:val="000000"/>
          <w:sz w:val="24"/>
        </w:rPr>
        <w:t>4.9Cancellation</w:t>
      </w:r>
      <w:r>
        <w:rPr>
          <w:rFonts w:ascii="Arial" w:hAnsi="Arial"/>
          <w:b/>
          <w:sz w:val="24"/>
        </w:rPr>
        <w:t xml:space="preserve"> </w:t>
      </w:r>
    </w:p>
    <w:p>
      <w:pPr>
        <w:pStyle w:val="TextBody"/>
        <w:pBdr/>
        <w:bidi w:val="0"/>
        <w:spacing w:before="93" w:after="0"/>
        <w:ind w:left="3120" w:right="700" w:hanging="0"/>
        <w:jc w:val="left"/>
        <w:rPr>
          <w:rFonts w:ascii="Arial" w:hAnsi="Arial"/>
          <w:sz w:val="22"/>
        </w:rPr>
      </w:pPr>
      <w:r>
        <w:rPr>
          <w:rFonts w:ascii="Arial" w:hAnsi="Arial"/>
          <w:color w:val="000000"/>
          <w:sz w:val="22"/>
        </w:rPr>
        <w:t>The Borrower may cancel the Available Commitment or any part of it (being</w:t>
      </w:r>
      <w:r>
        <w:rPr>
          <w:rFonts w:ascii="Arial" w:hAnsi="Arial"/>
          <w:sz w:val="22"/>
        </w:rPr>
        <w:t xml:space="preserve"> </w:t>
      </w:r>
    </w:p>
    <w:p>
      <w:pPr>
        <w:pStyle w:val="TextBody"/>
        <w:pBdr/>
        <w:bidi w:val="0"/>
        <w:spacing w:lineRule="auto" w:line="266" w:before="27" w:after="0"/>
        <w:ind w:left="3120" w:right="1366" w:hanging="0"/>
        <w:jc w:val="left"/>
        <w:rPr>
          <w:rFonts w:ascii="Arial" w:hAnsi="Arial"/>
          <w:sz w:val="22"/>
        </w:rPr>
      </w:pPr>
      <w:r>
        <w:rPr>
          <w:rFonts w:ascii="Arial" w:hAnsi="Arial"/>
          <w:color w:val="000000"/>
          <w:sz w:val="22"/>
        </w:rPr>
        <w:t>$100,000 or an integral multiple of that amount) by giving 30 Business Days’ notice to the Bank specifying the amount to be cancelled and the date on which the cancellation takes effect. The cancellation takes effect on the date</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20" w:right="1471" w:hanging="0"/>
        <w:jc w:val="left"/>
        <w:rPr>
          <w:rFonts w:ascii="Arial" w:hAnsi="Arial"/>
          <w:sz w:val="22"/>
        </w:rPr>
      </w:pPr>
      <w:r>
        <w:rPr>
          <w:rFonts w:ascii="Arial" w:hAnsi="Arial"/>
          <w:sz w:val="22"/>
        </w:rPr>
        <w:t xml:space="preserve">specified in the notice (which must be a date not earlier than five Business Days after the date the Bank receives the notice). </w:t>
      </w:r>
    </w:p>
    <w:p>
      <w:pPr>
        <w:pStyle w:val="TextBody"/>
        <w:bidi w:val="0"/>
        <w:spacing w:before="214" w:after="0"/>
        <w:ind w:left="3725" w:right="700" w:hanging="0"/>
        <w:jc w:val="left"/>
        <w:rPr>
          <w:rFonts w:ascii="Arial" w:hAnsi="Arial"/>
          <w:b/>
          <w:sz w:val="24"/>
        </w:rPr>
      </w:pPr>
      <w:bookmarkStart w:id="422" w:name="Market_disruption4101"/>
      <w:bookmarkEnd w:id="422"/>
      <w:r>
        <w:rPr>
          <w:rFonts w:ascii="Arial" w:hAnsi="Arial"/>
          <w:b/>
          <w:color w:val="000000"/>
          <w:sz w:val="24"/>
        </w:rPr>
        <w:t>4.10Market disruption</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(a)If the Bank determines that a Market Disruption Event occurs or has occurred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promptly</w:t>
      </w:r>
      <w:r>
        <w:rPr>
          <w:rFonts w:ascii="Arial" w:hAnsi="Arial"/>
          <w:color w:val="000000"/>
          <w:sz w:val="20"/>
        </w:rPr>
        <w:t> </w:t>
      </w:r>
      <w:r>
        <w:rPr>
          <w:rFonts w:ascii="Arial" w:hAnsi="Arial"/>
          <w:color w:val="000000"/>
          <w:sz w:val="21"/>
        </w:rPr>
        <w:t>notify</w:t>
      </w:r>
      <w:r>
        <w:rPr>
          <w:rFonts w:ascii="Arial" w:hAnsi="Arial"/>
          <w:color w:val="000000"/>
          <w:sz w:val="20"/>
        </w:rPr>
        <w:t> </w:t>
      </w:r>
      <w:r>
        <w:rPr>
          <w:rFonts w:ascii="Arial" w:hAnsi="Arial"/>
          <w:color w:val="000000"/>
          <w:sz w:val="21"/>
        </w:rPr>
        <w:t>the Borrower, and the Interest Rate on that Advance for that Pricing Period will be the rate per annum which is the sum of:</w:t>
      </w:r>
      <w:r>
        <w:rPr>
          <w:rFonts w:ascii="Arial" w:hAnsi="Arial"/>
          <w:sz w:val="20"/>
        </w:rPr>
        <w:t xml:space="preserve"> </w:t>
      </w:r>
    </w:p>
    <w:p>
      <w:pPr>
        <w:pStyle w:val="TextBody"/>
        <w:bidi w:val="0"/>
        <w:spacing w:before="118" w:after="0"/>
        <w:ind w:left="4275" w:right="700" w:hanging="0"/>
        <w:jc w:val="left"/>
        <w:rPr>
          <w:rFonts w:ascii="Arial" w:hAnsi="Arial"/>
          <w:sz w:val="20"/>
        </w:rPr>
      </w:pPr>
      <w:r>
        <w:rPr>
          <w:rFonts w:ascii="Arial" w:hAnsi="Arial"/>
          <w:color w:val="000000"/>
          <w:sz w:val="21"/>
        </w:rPr>
        <w:t>(i)the</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and</w:t>
      </w:r>
      <w:r>
        <w:rPr>
          <w:rFonts w:ascii="Arial" w:hAnsi="Arial"/>
          <w:sz w:val="20"/>
        </w:rPr>
        <w:t xml:space="preserve"> </w:t>
      </w:r>
    </w:p>
    <w:p>
      <w:pPr>
        <w:pStyle w:val="TextBody"/>
        <w:bidi w:val="0"/>
        <w:spacing w:lineRule="auto" w:line="266" w:before="148" w:after="0"/>
        <w:ind w:left="4275" w:right="1501" w:hanging="0"/>
        <w:jc w:val="left"/>
        <w:rPr>
          <w:rFonts w:ascii="Arial" w:hAnsi="Arial"/>
          <w:sz w:val="20"/>
        </w:rPr>
      </w:pPr>
      <w:r>
        <w:rPr>
          <w:rFonts w:ascii="Arial" w:hAnsi="Arial"/>
          <w:color w:val="000000"/>
          <w:sz w:val="21"/>
        </w:rPr>
        <w:t>(ii)the</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notified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soon</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practicable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 event no later than the Business Day before interest is due to be paid in respect of that Pricing Period, to be that which expresses as a percentage rate per annum the cost to the Bank of funding that Advance from whatever source or sources the Bank may reasonably select.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(b)For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55">
        <w:r>
          <w:rPr>
            <w:rStyle w:val="InternetLink"/>
          </w:rPr>
          <w:t>4.10</w:t>
        </w:r>
      </w:hyperlink>
      <w:hyperlink w:anchor="_bookmark56">
        <w:r>
          <w:rPr>
            <w:rStyle w:val="InternetLink"/>
          </w:rPr>
          <w:t>(a)</w:t>
        </w:r>
      </w:hyperlink>
      <w:r>
        <w:rPr>
          <w:rFonts w:ascii="Arial" w:hAnsi="Arial"/>
          <w:color w:val="000000"/>
          <w:sz w:val="21"/>
        </w:rPr>
        <w:t>:</w:t>
      </w:r>
      <w:r>
        <w:rPr>
          <w:rFonts w:ascii="Arial" w:hAnsi="Arial"/>
          <w:sz w:val="20"/>
        </w:rPr>
        <w:t xml:space="preserve"> </w:t>
      </w:r>
    </w:p>
    <w:p>
      <w:pPr>
        <w:pStyle w:val="TextBody"/>
        <w:bidi w:val="0"/>
        <w:spacing w:before="148" w:after="0"/>
        <w:ind w:left="4275" w:right="700" w:hanging="0"/>
        <w:jc w:val="left"/>
        <w:rPr>
          <w:rFonts w:ascii="Arial" w:hAnsi="Arial"/>
          <w:b/>
          <w:sz w:val="22"/>
        </w:rPr>
      </w:pPr>
      <w:r>
        <w:rPr>
          <w:rFonts w:ascii="Arial" w:hAnsi="Arial"/>
          <w:b w:val="false"/>
          <w:color w:val="000000"/>
          <w:sz w:val="22"/>
        </w:rPr>
        <w:t>(i)</w:t>
      </w:r>
      <w:r>
        <w:rPr>
          <w:rFonts w:ascii="Arial" w:hAnsi="Arial"/>
          <w:b/>
          <w:color w:val="000000"/>
          <w:sz w:val="22"/>
        </w:rPr>
        <w:t>Market Disruption Event </w:t>
      </w:r>
      <w:r>
        <w:rPr>
          <w:rFonts w:ascii="Arial" w:hAnsi="Arial"/>
          <w:b w:val="false"/>
          <w:color w:val="000000"/>
          <w:sz w:val="22"/>
        </w:rPr>
        <w:t>means:</w:t>
      </w:r>
      <w:r>
        <w:rPr>
          <w:rFonts w:ascii="Arial" w:hAnsi="Arial"/>
          <w:b/>
          <w:sz w:val="22"/>
        </w:rPr>
        <w:t xml:space="preserve"> </w:t>
      </w:r>
    </w:p>
    <w:p>
      <w:pPr>
        <w:pStyle w:val="TextBody"/>
        <w:bidi w:val="0"/>
        <w:spacing w:lineRule="auto" w:line="266" w:before="147" w:after="0"/>
        <w:ind w:left="4820" w:right="1494" w:hanging="0"/>
        <w:jc w:val="left"/>
        <w:rPr>
          <w:rFonts w:ascii="Arial" w:hAnsi="Arial"/>
          <w:sz w:val="20"/>
        </w:rPr>
      </w:pPr>
      <w:r>
        <w:rPr>
          <w:rFonts w:ascii="Arial" w:hAnsi="Arial"/>
          <w:color w:val="000000"/>
          <w:sz w:val="21"/>
        </w:rPr>
        <w:t>(A)at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about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(Quotation</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to determine the Screen Rate for the relevant currency and Pricing Period, the Screen Rate is not available and the 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unable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specify</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page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service</w:t>
      </w:r>
      <w:r>
        <w:rPr>
          <w:rFonts w:ascii="Arial" w:hAnsi="Arial"/>
          <w:color w:val="000000"/>
          <w:sz w:val="20"/>
        </w:rPr>
        <w:t> </w:t>
      </w:r>
      <w:r>
        <w:rPr>
          <w:rFonts w:ascii="Arial" w:hAnsi="Arial"/>
          <w:color w:val="000000"/>
          <w:sz w:val="21"/>
        </w:rPr>
        <w:t>displaying an appropriate rate; or</w:t>
      </w:r>
      <w:r>
        <w:rPr>
          <w:rFonts w:ascii="Arial" w:hAnsi="Arial"/>
          <w:sz w:val="20"/>
        </w:rPr>
        <w:t xml:space="preserve"> </w:t>
      </w:r>
    </w:p>
    <w:p>
      <w:pPr>
        <w:pStyle w:val="TextBody"/>
        <w:bidi w:val="0"/>
        <w:spacing w:lineRule="auto" w:line="266" w:before="0" w:after="0"/>
        <w:ind w:left="4820" w:right="1506" w:hanging="0"/>
        <w:jc w:val="left"/>
        <w:rPr>
          <w:rFonts w:ascii="Arial" w:hAnsi="Arial"/>
          <w:sz w:val="20"/>
        </w:rPr>
      </w:pPr>
      <w:r>
        <w:rPr>
          <w:rFonts w:ascii="Arial" w:hAnsi="Arial"/>
          <w:color w:val="000000"/>
          <w:sz w:val="21"/>
        </w:rPr>
        <w:t>(B)in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5.00</w:t>
      </w:r>
      <w:r>
        <w:rPr>
          <w:rFonts w:ascii="Arial" w:hAnsi="Arial"/>
          <w:color w:val="000000"/>
          <w:sz w:val="20"/>
        </w:rPr>
        <w:t> </w:t>
      </w:r>
      <w:r>
        <w:rPr>
          <w:rFonts w:ascii="Arial" w:hAnsi="Arial"/>
          <w:color w:val="000000"/>
          <w:sz w:val="21"/>
        </w:rPr>
        <w:t>pm</w:t>
      </w:r>
      <w:r>
        <w:rPr>
          <w:rFonts w:ascii="Arial" w:hAnsi="Arial"/>
          <w:color w:val="000000"/>
          <w:sz w:val="20"/>
        </w:rPr>
        <w:t> </w:t>
      </w:r>
      <w:r>
        <w:rPr>
          <w:rFonts w:ascii="Arial" w:hAnsi="Arial"/>
          <w:color w:val="000000"/>
          <w:sz w:val="21"/>
        </w:rPr>
        <w:t>(local</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 Business Day after the Quotation Day for the relevant period, the Bank notifies the Borrower, that as a result of market</w:t>
      </w:r>
      <w:r>
        <w:rPr>
          <w:rFonts w:ascii="Arial" w:hAnsi="Arial"/>
          <w:color w:val="000000"/>
          <w:sz w:val="20"/>
        </w:rPr>
        <w:t> </w:t>
      </w:r>
      <w:r>
        <w:rPr>
          <w:rFonts w:ascii="Arial" w:hAnsi="Arial"/>
          <w:color w:val="000000"/>
          <w:sz w:val="21"/>
        </w:rPr>
        <w:t>circumstances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limited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cost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Bank of funding the Advance exceeds the Screen Rate.</w:t>
      </w:r>
      <w:r>
        <w:rPr>
          <w:rFonts w:ascii="Arial" w:hAnsi="Arial"/>
          <w:sz w:val="20"/>
        </w:rPr>
        <w:t xml:space="preserve"> </w:t>
      </w:r>
    </w:p>
    <w:p>
      <w:pPr>
        <w:pStyle w:val="TextBody"/>
        <w:bidi w:val="0"/>
        <w:spacing w:lineRule="auto" w:line="266" w:before="118" w:after="0"/>
        <w:ind w:left="4275" w:right="1926" w:hanging="0"/>
        <w:jc w:val="left"/>
        <w:rPr>
          <w:rFonts w:ascii="Arial" w:hAnsi="Arial"/>
          <w:sz w:val="20"/>
        </w:rPr>
      </w:pPr>
      <w:r>
        <w:rPr>
          <w:rFonts w:ascii="Arial" w:hAnsi="Arial"/>
          <w:color w:val="000000"/>
          <w:sz w:val="21"/>
        </w:rPr>
        <w:t>(ii)</w:t>
      </w:r>
      <w:r>
        <w:rPr>
          <w:rFonts w:ascii="Arial" w:hAnsi="Arial"/>
          <w:b/>
          <w:color w:val="000000"/>
          <w:sz w:val="21"/>
        </w:rPr>
        <w:t>Screen</w:t>
      </w:r>
      <w:r>
        <w:rPr>
          <w:rFonts w:ascii="Arial" w:hAnsi="Arial"/>
          <w:color w:val="000000"/>
          <w:sz w:val="20"/>
        </w:rPr>
        <w:t> </w:t>
      </w:r>
      <w:r>
        <w:rPr>
          <w:rFonts w:ascii="Arial" w:hAnsi="Arial"/>
          <w:b/>
          <w:color w:val="000000"/>
          <w:sz w:val="21"/>
        </w:rPr>
        <w:t>Rate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specified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paragraph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definition of “Base Rate”.</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23" w:name="Alternative_basis411"/>
      <w:bookmarkEnd w:id="423"/>
      <w:r>
        <w:rPr>
          <w:rFonts w:ascii="Arial" w:hAnsi="Arial"/>
          <w:b/>
          <w:color w:val="000000"/>
          <w:sz w:val="24"/>
        </w:rPr>
        <w:t>4.11Alternative basis of interest or funding</w:t>
      </w:r>
      <w:r>
        <w:rPr>
          <w:rFonts w:ascii="Arial" w:hAnsi="Arial"/>
          <w:b/>
          <w:sz w:val="24"/>
        </w:rPr>
        <w:t xml:space="preserve"> </w:t>
      </w:r>
    </w:p>
    <w:p>
      <w:pPr>
        <w:pStyle w:val="TextBody"/>
        <w:bidi w:val="0"/>
        <w:spacing w:lineRule="auto" w:line="266" w:before="93" w:after="0"/>
        <w:ind w:left="3120" w:right="1482" w:hanging="0"/>
        <w:jc w:val="left"/>
        <w:rPr>
          <w:rFonts w:ascii="Arial" w:hAnsi="Arial"/>
          <w:sz w:val="22"/>
        </w:rPr>
      </w:pPr>
      <w:r>
        <w:rPr>
          <w:rFonts w:ascii="Arial" w:hAnsi="Arial"/>
          <w:color w:val="000000"/>
          <w:sz w:val="22"/>
        </w:rPr>
        <w:t>If a Market Disruption Event occurs and the Bank or the Borrower so requires, the Bank and the Borrower will enter into negotiations (for a period of not more than 30 days) with a view to agreeing a substitute basis for determining the rate of interest or discount.</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24" w:name="Pricing_Review412"/>
      <w:bookmarkEnd w:id="424"/>
      <w:r>
        <w:rPr>
          <w:rFonts w:ascii="Arial" w:hAnsi="Arial"/>
          <w:b/>
          <w:color w:val="000000"/>
          <w:sz w:val="24"/>
        </w:rPr>
        <w:t>4.12Pricing Review Events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Facility (</w:t>
      </w:r>
      <w:r>
        <w:rPr>
          <w:rFonts w:ascii="Arial" w:hAnsi="Arial"/>
          <w:b/>
          <w:color w:val="000000"/>
          <w:sz w:val="21"/>
        </w:rPr>
        <w:t>Review</w:t>
      </w:r>
      <w:r>
        <w:rPr>
          <w:rFonts w:ascii="Arial" w:hAnsi="Arial"/>
          <w:color w:val="000000"/>
          <w:sz w:val="21"/>
        </w:rPr>
        <w:t>):</w:t>
      </w:r>
      <w:r>
        <w:rPr>
          <w:rFonts w:ascii="Arial" w:hAnsi="Arial"/>
          <w:sz w:val="20"/>
        </w:rPr>
        <w:t xml:space="preserve"> </w:t>
      </w:r>
    </w:p>
    <w:p>
      <w:pPr>
        <w:pStyle w:val="TextBody"/>
        <w:bidi w:val="0"/>
        <w:spacing w:lineRule="auto" w:line="266" w:before="120" w:after="0"/>
        <w:ind w:left="4275" w:right="2095" w:hanging="0"/>
        <w:jc w:val="left"/>
        <w:rPr>
          <w:rFonts w:ascii="Arial" w:hAnsi="Arial"/>
          <w:sz w:val="20"/>
        </w:rPr>
      </w:pPr>
      <w:r>
        <w:rPr>
          <w:rFonts w:ascii="Arial" w:hAnsi="Arial"/>
          <w:color w:val="000000"/>
          <w:sz w:val="21"/>
        </w:rPr>
        <w:t>(i)at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reasonably</w:t>
      </w:r>
      <w:r>
        <w:rPr>
          <w:rFonts w:ascii="Arial" w:hAnsi="Arial"/>
          <w:color w:val="000000"/>
          <w:sz w:val="20"/>
        </w:rPr>
        <w:t> </w:t>
      </w:r>
      <w:r>
        <w:rPr>
          <w:rFonts w:ascii="Arial" w:hAnsi="Arial"/>
          <w:color w:val="000000"/>
          <w:sz w:val="21"/>
        </w:rPr>
        <w:t>believes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 Default subsists;</w:t>
      </w:r>
      <w:r>
        <w:rPr>
          <w:rFonts w:ascii="Arial" w:hAnsi="Arial"/>
          <w:sz w:val="20"/>
        </w:rPr>
        <w:t xml:space="preserve"> </w:t>
      </w:r>
    </w:p>
    <w:p>
      <w:pPr>
        <w:pStyle w:val="TextBody"/>
        <w:bidi w:val="0"/>
        <w:spacing w:before="121" w:after="0"/>
        <w:ind w:left="4275" w:right="700" w:hanging="0"/>
        <w:jc w:val="left"/>
        <w:rPr>
          <w:rFonts w:ascii="Arial" w:hAnsi="Arial"/>
          <w:sz w:val="20"/>
        </w:rPr>
      </w:pPr>
      <w:r>
        <w:rPr>
          <w:rFonts w:ascii="Arial" w:hAnsi="Arial"/>
          <w:color w:val="000000"/>
          <w:sz w:val="21"/>
        </w:rPr>
        <w:t>(ii)at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sz w:val="20"/>
        </w:rPr>
        <w:t xml:space="preserve"> </w:t>
      </w:r>
    </w:p>
    <w:p>
      <w:pPr>
        <w:pStyle w:val="TextBody"/>
        <w:bidi w:val="0"/>
        <w:spacing w:lineRule="auto" w:line="266" w:before="148" w:after="0"/>
        <w:ind w:left="4820" w:right="2058" w:hanging="0"/>
        <w:jc w:val="left"/>
        <w:rPr>
          <w:rFonts w:ascii="Arial" w:hAnsi="Arial"/>
          <w:sz w:val="20"/>
        </w:rPr>
      </w:pPr>
      <w:r>
        <w:rPr>
          <w:rFonts w:ascii="Arial" w:hAnsi="Arial"/>
          <w:color w:val="000000"/>
          <w:sz w:val="21"/>
        </w:rPr>
        <w:t>(A)a</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markets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affects financial institutions generally; and/or</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820" w:right="1519" w:hanging="0"/>
        <w:jc w:val="left"/>
        <w:rPr>
          <w:rFonts w:ascii="Arial" w:hAnsi="Arial"/>
          <w:sz w:val="20"/>
        </w:rPr>
      </w:pPr>
      <w:r>
        <w:rPr>
          <w:rFonts w:ascii="Arial" w:hAnsi="Arial"/>
          <w:sz w:val="21"/>
        </w:rPr>
        <w:t>(B)a general change occurs</w:t>
      </w:r>
      <w:r>
        <w:rPr>
          <w:rFonts w:ascii="Arial" w:hAnsi="Arial"/>
          <w:sz w:val="20"/>
        </w:rPr>
        <w:t> </w:t>
      </w:r>
      <w:r>
        <w:rPr>
          <w:rFonts w:ascii="Arial" w:hAnsi="Arial"/>
          <w:sz w:val="21"/>
        </w:rPr>
        <w:t>in the cost</w:t>
      </w:r>
      <w:r>
        <w:rPr>
          <w:rFonts w:ascii="Arial" w:hAnsi="Arial"/>
          <w:sz w:val="20"/>
        </w:rPr>
        <w:t> </w:t>
      </w:r>
      <w:r>
        <w:rPr>
          <w:rFonts w:ascii="Arial" w:hAnsi="Arial"/>
          <w:sz w:val="21"/>
        </w:rPr>
        <w:t>of</w:t>
      </w:r>
      <w:r>
        <w:rPr>
          <w:rFonts w:ascii="Arial" w:hAnsi="Arial"/>
          <w:sz w:val="20"/>
        </w:rPr>
        <w:t> </w:t>
      </w:r>
      <w:r>
        <w:rPr>
          <w:rFonts w:ascii="Arial" w:hAnsi="Arial"/>
          <w:sz w:val="21"/>
        </w:rPr>
        <w:t>funds in the financial markets</w:t>
      </w:r>
      <w:r>
        <w:rPr>
          <w:rFonts w:ascii="Arial" w:hAnsi="Arial"/>
          <w:sz w:val="20"/>
        </w:rPr>
        <w:t> </w:t>
      </w:r>
      <w:r>
        <w:rPr>
          <w:rFonts w:ascii="Arial" w:hAnsi="Arial"/>
          <w:sz w:val="21"/>
        </w:rPr>
        <w:t>in</w:t>
      </w:r>
      <w:r>
        <w:rPr>
          <w:rFonts w:ascii="Arial" w:hAnsi="Arial"/>
          <w:sz w:val="20"/>
        </w:rPr>
        <w:t> </w:t>
      </w:r>
      <w:r>
        <w:rPr>
          <w:rFonts w:ascii="Arial" w:hAnsi="Arial"/>
          <w:sz w:val="21"/>
        </w:rPr>
        <w:t>which</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raises</w:t>
      </w:r>
      <w:r>
        <w:rPr>
          <w:rFonts w:ascii="Arial" w:hAnsi="Arial"/>
          <w:sz w:val="20"/>
        </w:rPr>
        <w:t> </w:t>
      </w:r>
      <w:r>
        <w:rPr>
          <w:rFonts w:ascii="Arial" w:hAnsi="Arial"/>
          <w:sz w:val="21"/>
        </w:rPr>
        <w:t>funds</w:t>
      </w:r>
      <w:r>
        <w:rPr>
          <w:rFonts w:ascii="Arial" w:hAnsi="Arial"/>
          <w:sz w:val="20"/>
        </w:rPr>
        <w:t> </w:t>
      </w:r>
      <w:r>
        <w:rPr>
          <w:rFonts w:ascii="Arial" w:hAnsi="Arial"/>
          <w:sz w:val="21"/>
        </w:rPr>
        <w:t>(not</w:t>
      </w:r>
      <w:r>
        <w:rPr>
          <w:rFonts w:ascii="Arial" w:hAnsi="Arial"/>
          <w:sz w:val="20"/>
        </w:rPr>
        <w:t> </w:t>
      </w:r>
      <w:r>
        <w:rPr>
          <w:rFonts w:ascii="Arial" w:hAnsi="Arial"/>
          <w:sz w:val="21"/>
        </w:rPr>
        <w:t>being</w:t>
      </w:r>
      <w:r>
        <w:rPr>
          <w:rFonts w:ascii="Arial" w:hAnsi="Arial"/>
          <w:sz w:val="20"/>
        </w:rPr>
        <w:t> </w:t>
      </w:r>
      <w:r>
        <w:rPr>
          <w:rFonts w:ascii="Arial" w:hAnsi="Arial"/>
          <w:sz w:val="21"/>
        </w:rPr>
        <w:t>a</w:t>
      </w:r>
      <w:r>
        <w:rPr>
          <w:rFonts w:ascii="Arial" w:hAnsi="Arial"/>
          <w:sz w:val="20"/>
        </w:rPr>
        <w:t> </w:t>
      </w:r>
      <w:r>
        <w:rPr>
          <w:rFonts w:ascii="Arial" w:hAnsi="Arial"/>
          <w:sz w:val="21"/>
        </w:rPr>
        <w:t>change resulting from a change in the Bank’s credit rating or any other matter relating specifically to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(b)The</w:t>
      </w:r>
      <w:r>
        <w:rPr>
          <w:rFonts w:ascii="Arial" w:hAnsi="Arial"/>
          <w:sz w:val="20"/>
        </w:rPr>
        <w:t> </w:t>
      </w:r>
      <w:r>
        <w:rPr>
          <w:rFonts w:ascii="Arial" w:hAnsi="Arial"/>
          <w:sz w:val="21"/>
        </w:rPr>
        <w:t>Bank</w:t>
      </w:r>
      <w:r>
        <w:rPr>
          <w:rFonts w:ascii="Arial" w:hAnsi="Arial"/>
          <w:sz w:val="20"/>
        </w:rPr>
        <w:t> </w:t>
      </w:r>
      <w:r>
        <w:rPr>
          <w:rFonts w:ascii="Arial" w:hAnsi="Arial"/>
          <w:sz w:val="21"/>
        </w:rPr>
        <w:t>may</w:t>
      </w:r>
      <w:r>
        <w:rPr>
          <w:rFonts w:ascii="Arial" w:hAnsi="Arial"/>
          <w:sz w:val="20"/>
        </w:rPr>
        <w:t> </w:t>
      </w:r>
      <w:r>
        <w:rPr>
          <w:rFonts w:ascii="Arial" w:hAnsi="Arial"/>
          <w:sz w:val="21"/>
        </w:rPr>
        <w:t>request</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to</w:t>
      </w:r>
      <w:r>
        <w:rPr>
          <w:rFonts w:ascii="Arial" w:hAnsi="Arial"/>
          <w:sz w:val="20"/>
        </w:rPr>
        <w:t> </w:t>
      </w:r>
      <w:r>
        <w:rPr>
          <w:rFonts w:ascii="Arial" w:hAnsi="Arial"/>
          <w:sz w:val="21"/>
        </w:rPr>
        <w:t>provide</w:t>
      </w:r>
      <w:r>
        <w:rPr>
          <w:rFonts w:ascii="Arial" w:hAnsi="Arial"/>
          <w:sz w:val="20"/>
        </w:rPr>
        <w:t> </w:t>
      </w:r>
      <w:r>
        <w:rPr>
          <w:rFonts w:ascii="Arial" w:hAnsi="Arial"/>
          <w:sz w:val="21"/>
        </w:rPr>
        <w:t>information</w:t>
      </w:r>
      <w:r>
        <w:rPr>
          <w:rFonts w:ascii="Arial" w:hAnsi="Arial"/>
          <w:sz w:val="20"/>
        </w:rPr>
        <w:t> </w:t>
      </w:r>
      <w:r>
        <w:rPr>
          <w:rFonts w:ascii="Arial" w:hAnsi="Arial"/>
          <w:sz w:val="21"/>
        </w:rPr>
        <w:t>in</w:t>
      </w:r>
      <w:r>
        <w:rPr>
          <w:rFonts w:ascii="Arial" w:hAnsi="Arial"/>
          <w:sz w:val="20"/>
        </w:rPr>
        <w:t> </w:t>
      </w:r>
      <w:r>
        <w:rPr>
          <w:rFonts w:ascii="Arial" w:hAnsi="Arial"/>
          <w:sz w:val="21"/>
        </w:rPr>
        <w:t>connection with a Review and the Borrower must provide such information as soon as possible following receipt of the request.</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25" w:name="Consequences4131"/>
      <w:bookmarkEnd w:id="425"/>
      <w:r>
        <w:rPr>
          <w:rFonts w:ascii="Arial" w:hAnsi="Arial"/>
          <w:b/>
          <w:color w:val="000000"/>
          <w:sz w:val="24"/>
        </w:rPr>
        <w:t>4.13Consequences of a Pricing Review</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(a)Following a Review, the Bank may, by giving written notice to the Borrower</w:t>
      </w:r>
      <w:r>
        <w:rPr>
          <w:rFonts w:ascii="Arial" w:hAnsi="Arial"/>
          <w:color w:val="000000"/>
          <w:sz w:val="20"/>
        </w:rPr>
        <w:t> </w:t>
      </w:r>
      <w:r>
        <w:rPr>
          <w:rFonts w:ascii="Arial" w:hAnsi="Arial"/>
          <w:color w:val="000000"/>
          <w:sz w:val="21"/>
        </w:rPr>
        <w:t>and/or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advertisement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local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national</w:t>
      </w:r>
      <w:r>
        <w:rPr>
          <w:rFonts w:ascii="Arial" w:hAnsi="Arial"/>
          <w:color w:val="000000"/>
          <w:sz w:val="20"/>
        </w:rPr>
        <w:t> </w:t>
      </w:r>
      <w:r>
        <w:rPr>
          <w:rFonts w:ascii="Arial" w:hAnsi="Arial"/>
          <w:color w:val="000000"/>
          <w:sz w:val="21"/>
        </w:rPr>
        <w:t>press:</w:t>
      </w:r>
      <w:r>
        <w:rPr>
          <w:rFonts w:ascii="Arial" w:hAnsi="Arial"/>
          <w:sz w:val="20"/>
        </w:rPr>
        <w:t xml:space="preserve"> </w:t>
      </w:r>
    </w:p>
    <w:p>
      <w:pPr>
        <w:pStyle w:val="TextBody"/>
        <w:bidi w:val="0"/>
        <w:spacing w:lineRule="auto" w:line="266" w:before="0" w:after="0"/>
        <w:ind w:left="4275" w:right="1443" w:hanging="0"/>
        <w:jc w:val="left"/>
        <w:rPr>
          <w:rFonts w:ascii="Arial" w:hAnsi="Arial"/>
          <w:sz w:val="20"/>
        </w:rPr>
      </w:pPr>
      <w:r>
        <w:rPr>
          <w:rFonts w:ascii="Arial" w:hAnsi="Arial"/>
          <w:color w:val="000000"/>
          <w:sz w:val="21"/>
        </w:rPr>
        <w:t>(i)introduce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new</w:t>
      </w:r>
      <w:r>
        <w:rPr>
          <w:rFonts w:ascii="Arial" w:hAnsi="Arial"/>
          <w:color w:val="000000"/>
          <w:sz w:val="20"/>
        </w:rPr>
        <w:t> </w:t>
      </w:r>
      <w:r>
        <w:rPr>
          <w:rFonts w:ascii="Arial" w:hAnsi="Arial"/>
          <w:color w:val="000000"/>
          <w:sz w:val="21"/>
        </w:rPr>
        <w:t>fee,</w:t>
      </w:r>
      <w:r>
        <w:rPr>
          <w:rFonts w:ascii="Arial" w:hAnsi="Arial"/>
          <w:color w:val="000000"/>
          <w:sz w:val="20"/>
        </w:rPr>
        <w:t> </w:t>
      </w:r>
      <w:r>
        <w:rPr>
          <w:rFonts w:ascii="Arial" w:hAnsi="Arial"/>
          <w:color w:val="000000"/>
          <w:sz w:val="21"/>
        </w:rPr>
        <w:t>charge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premium</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existing</w:t>
      </w:r>
      <w:r>
        <w:rPr>
          <w:rFonts w:ascii="Arial" w:hAnsi="Arial"/>
          <w:color w:val="000000"/>
          <w:sz w:val="20"/>
        </w:rPr>
        <w:t> </w:t>
      </w:r>
      <w:r>
        <w:rPr>
          <w:rFonts w:ascii="Arial" w:hAnsi="Arial"/>
          <w:color w:val="000000"/>
          <w:sz w:val="21"/>
        </w:rPr>
        <w:t>fee, charge or premium (including its amount, the way in which it is calculated and when it is charged); and</w:t>
      </w:r>
      <w:r>
        <w:rPr>
          <w:rFonts w:ascii="Arial" w:hAnsi="Arial"/>
          <w:sz w:val="20"/>
        </w:rPr>
        <w:t xml:space="preserve"> </w:t>
      </w:r>
    </w:p>
    <w:p>
      <w:pPr>
        <w:pStyle w:val="TextBody"/>
        <w:bidi w:val="0"/>
        <w:spacing w:lineRule="auto" w:line="266" w:before="120" w:after="0"/>
        <w:ind w:left="4275" w:right="1560" w:hanging="0"/>
        <w:jc w:val="left"/>
        <w:rPr>
          <w:rFonts w:ascii="Arial" w:hAnsi="Arial"/>
          <w:sz w:val="20"/>
        </w:rPr>
      </w:pPr>
      <w:r>
        <w:rPr>
          <w:rFonts w:ascii="Arial" w:hAnsi="Arial"/>
          <w:color w:val="000000"/>
          <w:sz w:val="21"/>
        </w:rPr>
        <w:t>(ii)change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acceptance</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line</w:t>
      </w:r>
      <w:r>
        <w:rPr>
          <w:rFonts w:ascii="Arial" w:hAnsi="Arial"/>
          <w:color w:val="000000"/>
          <w:sz w:val="20"/>
        </w:rPr>
        <w:t> </w:t>
      </w:r>
      <w:r>
        <w:rPr>
          <w:rFonts w:ascii="Arial" w:hAnsi="Arial"/>
          <w:color w:val="000000"/>
          <w:sz w:val="21"/>
        </w:rPr>
        <w:t>fee,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yield</w:t>
      </w:r>
      <w:r>
        <w:rPr>
          <w:rFonts w:ascii="Arial" w:hAnsi="Arial"/>
          <w:color w:val="000000"/>
          <w:sz w:val="20"/>
        </w:rPr>
        <w:t> </w:t>
      </w:r>
      <w:r>
        <w:rPr>
          <w:rFonts w:ascii="Arial" w:hAnsi="Arial"/>
          <w:color w:val="000000"/>
          <w:sz w:val="21"/>
        </w:rPr>
        <w:t>rate applicable to a Facility including by changing or introducing a margin (including by making the margin positive or negative), or substituting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different</w:t>
      </w:r>
      <w:r>
        <w:rPr>
          <w:rFonts w:ascii="Arial" w:hAnsi="Arial"/>
          <w:color w:val="000000"/>
          <w:sz w:val="20"/>
        </w:rPr>
        <w:t> </w:t>
      </w:r>
      <w:r>
        <w:rPr>
          <w:rFonts w:ascii="Arial" w:hAnsi="Arial"/>
          <w:color w:val="000000"/>
          <w:sz w:val="21"/>
        </w:rPr>
        <w:t>indicator</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indicator</w:t>
      </w:r>
      <w:r>
        <w:rPr>
          <w:rFonts w:ascii="Arial" w:hAnsi="Arial"/>
          <w:color w:val="000000"/>
          <w:sz w:val="20"/>
        </w:rPr>
        <w:t> </w:t>
      </w:r>
      <w:r>
        <w:rPr>
          <w:rFonts w:ascii="Arial" w:hAnsi="Arial"/>
          <w:color w:val="000000"/>
          <w:sz w:val="21"/>
        </w:rPr>
        <w:t>rate (except where the rate is a fixed rate).</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(b)Where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gives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55">
        <w:r>
          <w:rPr>
            <w:rStyle w:val="InternetLink"/>
          </w:rPr>
          <w:t>4.10</w:t>
        </w:r>
      </w:hyperlink>
      <w:hyperlink w:anchor="_bookmark56">
        <w:r>
          <w:rPr>
            <w:rStyle w:val="InternetLink"/>
          </w:rPr>
          <w:t>(a)</w:t>
        </w:r>
      </w:hyperlink>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way of advertisement in the local or national press, the Bank will also endeavour to directly notify the Borrower of the change although the Bank</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precluded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charging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new</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adjusted</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it does not directly notify the Borrower.</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 xml:space="preserve">(c)An introduction or change of a matter specified in </w:t>
      </w:r>
      <w:r>
        <w:rPr>
          <w:rFonts w:ascii="Arial" w:hAnsi="Arial"/>
          <w:b/>
          <w:color w:val="000000"/>
          <w:sz w:val="21"/>
        </w:rPr>
        <w:t xml:space="preserve">clause </w:t>
      </w:r>
      <w:hyperlink w:anchor="_bookmark55">
        <w:r>
          <w:rPr>
            <w:rStyle w:val="InternetLink"/>
          </w:rPr>
          <w:t>4.10</w:t>
        </w:r>
      </w:hyperlink>
      <w:hyperlink w:anchor="_bookmark56">
        <w:r>
          <w:rPr>
            <w:rStyle w:val="InternetLink"/>
          </w:rPr>
          <w:t>(a)</w:t>
        </w:r>
      </w:hyperlink>
      <w:r>
        <w:rPr>
          <w:rFonts w:ascii="Arial" w:hAnsi="Arial"/>
          <w:color w:val="000000"/>
          <w:sz w:val="20"/>
        </w:rPr>
        <w:t> </w:t>
      </w:r>
      <w:r>
        <w:rPr>
          <w:rFonts w:ascii="Arial" w:hAnsi="Arial"/>
          <w:color w:val="000000"/>
          <w:sz w:val="21"/>
        </w:rPr>
        <w:t>takes effect on the date specified in the relevant notice to the Borrower (which must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least</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given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Borrower).</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9"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26" w:name="Payments51"/>
      <w:bookmarkEnd w:id="426"/>
      <w:r>
        <w:rPr>
          <w:rFonts w:ascii="Arial" w:hAnsi="Arial"/>
          <w:color w:val="000000"/>
          <w:sz w:val="32"/>
        </w:rPr>
        <w:t>5Payments</w:t>
      </w:r>
      <w:r>
        <w:rPr>
          <w:rFonts w:ascii="Arial" w:hAnsi="Arial"/>
          <w:sz w:val="32"/>
        </w:rPr>
        <w:t xml:space="preserve"> </w:t>
      </w:r>
    </w:p>
    <w:p>
      <w:pPr>
        <w:pStyle w:val="TextBody"/>
        <w:pBdr/>
        <w:bidi w:val="0"/>
        <w:spacing w:before="214" w:after="0"/>
        <w:ind w:left="3725" w:right="700" w:hanging="0"/>
        <w:jc w:val="left"/>
        <w:rPr>
          <w:rFonts w:ascii="Arial" w:hAnsi="Arial"/>
          <w:b/>
          <w:sz w:val="24"/>
        </w:rPr>
      </w:pPr>
      <w:bookmarkStart w:id="427" w:name="Not_used51"/>
      <w:bookmarkEnd w:id="427"/>
      <w:r>
        <w:rPr>
          <w:rFonts w:ascii="Arial" w:hAnsi="Arial"/>
          <w:b/>
          <w:color w:val="000000"/>
          <w:sz w:val="24"/>
        </w:rPr>
        <w:t>5.1Not used</w:t>
      </w:r>
      <w:r>
        <w:rPr>
          <w:rFonts w:ascii="Arial" w:hAnsi="Arial"/>
          <w:b/>
          <w:sz w:val="24"/>
        </w:rPr>
        <w:t xml:space="preserve"> </w:t>
      </w:r>
    </w:p>
    <w:p>
      <w:pPr>
        <w:pStyle w:val="TextBody"/>
        <w:pBdr/>
        <w:bidi w:val="0"/>
        <w:spacing w:before="214" w:after="0"/>
        <w:ind w:left="3725" w:right="700" w:hanging="0"/>
        <w:jc w:val="left"/>
        <w:rPr>
          <w:rFonts w:ascii="Arial" w:hAnsi="Arial"/>
          <w:b/>
          <w:sz w:val="24"/>
        </w:rPr>
      </w:pPr>
      <w:bookmarkStart w:id="428" w:name="Voluntary_prepayments521"/>
      <w:bookmarkEnd w:id="428"/>
      <w:r>
        <w:rPr>
          <w:rFonts w:ascii="Arial" w:hAnsi="Arial"/>
          <w:b/>
          <w:color w:val="000000"/>
          <w:sz w:val="24"/>
        </w:rPr>
        <w:t>5.2Voluntary prepayments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sz w:val="20"/>
        </w:rPr>
        <w:t xml:space="preserve"> </w:t>
      </w:r>
    </w:p>
    <w:p>
      <w:pPr>
        <w:pStyle w:val="TextBody"/>
        <w:bidi w:val="0"/>
        <w:spacing w:before="148" w:after="0"/>
        <w:ind w:left="4275" w:right="700" w:hanging="0"/>
        <w:jc w:val="left"/>
        <w:rPr>
          <w:rFonts w:ascii="Arial" w:hAnsi="Arial"/>
          <w:sz w:val="20"/>
        </w:rPr>
      </w:pPr>
      <w:r>
        <w:rPr>
          <w:rFonts w:ascii="Arial" w:hAnsi="Arial"/>
          <w:color w:val="000000"/>
          <w:sz w:val="21"/>
        </w:rPr>
        <w:t>(i)may</w:t>
      </w:r>
      <w:r>
        <w:rPr>
          <w:rFonts w:ascii="Arial" w:hAnsi="Arial"/>
          <w:color w:val="000000"/>
          <w:sz w:val="20"/>
        </w:rPr>
        <w:t> </w:t>
      </w:r>
      <w:r>
        <w:rPr>
          <w:rFonts w:ascii="Arial" w:hAnsi="Arial"/>
          <w:color w:val="000000"/>
          <w:sz w:val="21"/>
        </w:rPr>
        <w:t>prepay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minimum</w:t>
      </w:r>
      <w:r>
        <w:rPr>
          <w:rFonts w:ascii="Arial" w:hAnsi="Arial"/>
          <w:color w:val="000000"/>
          <w:sz w:val="20"/>
        </w:rPr>
        <w:t> </w:t>
      </w:r>
      <w:r>
        <w:rPr>
          <w:rFonts w:ascii="Arial" w:hAnsi="Arial"/>
          <w:color w:val="000000"/>
          <w:sz w:val="21"/>
        </w:rPr>
        <w:t>of</w:t>
      </w:r>
      <w:r>
        <w:rPr>
          <w:rFonts w:ascii="Arial" w:hAnsi="Arial"/>
          <w:sz w:val="20"/>
        </w:rPr>
        <w:t xml:space="preserve"> </w:t>
      </w:r>
    </w:p>
    <w:p>
      <w:pPr>
        <w:pStyle w:val="TextBody"/>
        <w:bidi w:val="0"/>
        <w:spacing w:lineRule="auto" w:line="266" w:before="27" w:after="0"/>
        <w:ind w:left="4275" w:right="1471" w:hanging="0"/>
        <w:jc w:val="left"/>
        <w:rPr>
          <w:rFonts w:ascii="Arial" w:hAnsi="Arial"/>
          <w:sz w:val="22"/>
        </w:rPr>
      </w:pPr>
      <w:r>
        <w:rPr>
          <w:rFonts w:ascii="Arial" w:hAnsi="Arial"/>
          <w:color w:val="000000"/>
          <w:sz w:val="22"/>
        </w:rPr>
        <w:t>$100,000 or an integral multiple of that amount) by giving 5 Business Days’ notice to the Bank specifying the amount to be prepaid and the date on which the prepayment will be made;</w:t>
      </w:r>
      <w:r>
        <w:rPr>
          <w:rFonts w:ascii="Arial" w:hAnsi="Arial"/>
          <w:sz w:val="22"/>
        </w:rPr>
        <w:t xml:space="preserve"> </w:t>
      </w:r>
    </w:p>
    <w:p>
      <w:pPr>
        <w:pStyle w:val="TextBody"/>
        <w:bidi w:val="0"/>
        <w:spacing w:lineRule="auto" w:line="266" w:before="118" w:after="0"/>
        <w:ind w:left="4275" w:right="1591" w:hanging="0"/>
        <w:jc w:val="left"/>
        <w:rPr/>
      </w:pPr>
      <w:r>
        <w:rPr>
          <w:rFonts w:ascii="Arial" w:hAnsi="Arial"/>
          <w:color w:val="000000"/>
          <w:sz w:val="21"/>
        </w:rPr>
        <w:t>(ii)may,</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clauses</w:t>
      </w:r>
      <w:r>
        <w:rPr>
          <w:rFonts w:ascii="Arial" w:hAnsi="Arial"/>
          <w:color w:val="000000"/>
          <w:sz w:val="20"/>
        </w:rPr>
        <w:t> </w:t>
      </w:r>
      <w:hyperlink w:anchor="_bookmark44">
        <w:r>
          <w:rPr>
            <w:rStyle w:val="InternetLink"/>
            <w:rFonts w:ascii="Arial" w:hAnsi="Arial"/>
            <w:b/>
            <w:color w:val="000000"/>
            <w:sz w:val="21"/>
          </w:rPr>
          <w:t>4.3</w:t>
        </w:r>
      </w:hyperlink>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b/>
          <w:color w:val="000000"/>
          <w:sz w:val="21"/>
        </w:rPr>
        <w:t>5.6</w:t>
      </w:r>
      <w:r>
        <w:rPr>
          <w:rFonts w:ascii="Arial" w:hAnsi="Arial"/>
          <w:color w:val="000000"/>
          <w:sz w:val="21"/>
        </w:rPr>
        <w:t>,</w:t>
      </w:r>
      <w:r>
        <w:rPr>
          <w:rFonts w:ascii="Arial" w:hAnsi="Arial"/>
          <w:color w:val="000000"/>
          <w:sz w:val="20"/>
        </w:rPr>
        <w:t> </w:t>
      </w:r>
      <w:r>
        <w:rPr>
          <w:rFonts w:ascii="Arial" w:hAnsi="Arial"/>
          <w:color w:val="000000"/>
          <w:sz w:val="21"/>
        </w:rPr>
        <w:t>redraw</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 xml:space="preserve">prepaid in accordance with this </w:t>
      </w:r>
      <w:r>
        <w:rPr>
          <w:rFonts w:ascii="Arial" w:hAnsi="Arial"/>
          <w:b/>
          <w:color w:val="000000"/>
          <w:sz w:val="21"/>
        </w:rPr>
        <w:t xml:space="preserve">clause </w:t>
      </w:r>
      <w:hyperlink w:anchor="_bookmark62">
        <w:r>
          <w:rPr>
            <w:rStyle w:val="InternetLink"/>
          </w:rPr>
          <w:t>5.2</w:t>
        </w:r>
      </w:hyperlink>
      <w:r>
        <w:rPr>
          <w:rFonts w:ascii="Arial" w:hAnsi="Arial"/>
          <w:color w:val="000000"/>
          <w:sz w:val="20"/>
        </w:rPr>
        <w:t> </w:t>
      </w:r>
      <w:r>
        <w:rPr>
          <w:rFonts w:ascii="Arial" w:hAnsi="Arial"/>
          <w:color w:val="000000"/>
          <w:sz w:val="21"/>
        </w:rPr>
        <w:t>which forms part of the Revolving Tranche or the Bridge Facility (as applicable); and</w:t>
      </w:r>
      <w:r>
        <w:rPr>
          <w:rFonts w:ascii="Arial" w:hAnsi="Arial"/>
          <w:sz w:val="20"/>
        </w:rPr>
        <w:t xml:space="preserve"> </w:t>
      </w:r>
    </w:p>
    <w:p>
      <w:pPr>
        <w:pStyle w:val="TextBody"/>
        <w:bidi w:val="0"/>
        <w:spacing w:lineRule="auto" w:line="266" w:before="120" w:after="0"/>
        <w:ind w:left="4275" w:right="1664" w:hanging="0"/>
        <w:jc w:val="left"/>
        <w:rPr>
          <w:rFonts w:ascii="Arial" w:hAnsi="Arial"/>
          <w:sz w:val="20"/>
        </w:rPr>
      </w:pPr>
      <w:r>
        <w:rPr>
          <w:rFonts w:ascii="Arial" w:hAnsi="Arial"/>
          <w:color w:val="000000"/>
          <w:sz w:val="21"/>
        </w:rPr>
        <w:t>(iii)must make any prepayment under this document together with accrued</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prepaid,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under</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5" w:after="0"/>
        <w:ind w:left="1700" w:right="700" w:hanging="0"/>
        <w:jc w:val="left"/>
        <w:rPr>
          <w:rFonts w:cs="Arial"/>
          <w:szCs w:val="22"/>
        </w:rPr>
      </w:pPr>
      <w:r>
        <w:rPr>
          <w:rFonts w:cs="Arial"/>
          <w:szCs w:val="22"/>
        </w:rPr>
        <w:t xml:space="preserve">﻿ </w:t>
      </w:r>
    </w:p>
    <w:p>
      <w:pPr>
        <w:pStyle w:val="TextBody"/>
        <w:pBdr/>
        <w:bidi w:val="0"/>
        <w:spacing w:lineRule="auto" w:line="268" w:before="0" w:after="0"/>
        <w:ind w:left="4275" w:right="1524" w:hanging="0"/>
        <w:jc w:val="left"/>
        <w:rPr/>
      </w:pPr>
      <w:r>
        <w:rPr>
          <w:rFonts w:ascii="Arial" w:hAnsi="Arial"/>
          <w:b/>
          <w:sz w:val="22"/>
        </w:rPr>
        <w:t>clause</w:t>
      </w:r>
      <w:r>
        <w:rPr>
          <w:rFonts w:ascii="Arial" w:hAnsi="Arial"/>
          <w:sz w:val="22"/>
        </w:rPr>
        <w:t> </w:t>
      </w:r>
      <w:hyperlink w:anchor="_bookmark86">
        <w:r>
          <w:rPr>
            <w:rStyle w:val="InternetLink"/>
            <w:rFonts w:ascii="Arial" w:hAnsi="Arial"/>
            <w:b/>
            <w:sz w:val="22"/>
          </w:rPr>
          <w:t>9.1</w:t>
        </w:r>
      </w:hyperlink>
      <w:r>
        <w:rPr>
          <w:rFonts w:ascii="Arial" w:hAnsi="Arial"/>
          <w:sz w:val="22"/>
        </w:rPr>
        <w:t xml:space="preserve"> and any Break Costs, but otherwise without premium or penalty. </w:t>
      </w:r>
    </w:p>
    <w:p>
      <w:pPr>
        <w:pStyle w:val="TextBody"/>
        <w:bidi w:val="0"/>
        <w:spacing w:lineRule="auto" w:line="266" w:before="118" w:after="0"/>
        <w:ind w:left="3687" w:right="854" w:hanging="0"/>
        <w:jc w:val="left"/>
        <w:rPr>
          <w:rFonts w:ascii="Arial" w:hAnsi="Arial"/>
          <w:sz w:val="20"/>
        </w:rPr>
      </w:pPr>
      <w:r>
        <w:rPr>
          <w:rFonts w:ascii="Arial" w:hAnsi="Arial"/>
          <w:sz w:val="21"/>
        </w:rPr>
        <w:t>(b)The</w:t>
      </w:r>
      <w:r>
        <w:rPr>
          <w:rFonts w:ascii="Arial" w:hAnsi="Arial"/>
          <w:sz w:val="20"/>
        </w:rPr>
        <w:t> </w:t>
      </w:r>
      <w:r>
        <w:rPr>
          <w:rFonts w:ascii="Arial" w:hAnsi="Arial"/>
          <w:sz w:val="21"/>
        </w:rPr>
        <w:t>Borrower</w:t>
      </w:r>
      <w:r>
        <w:rPr>
          <w:rFonts w:ascii="Arial" w:hAnsi="Arial"/>
          <w:sz w:val="20"/>
        </w:rPr>
        <w:t> </w:t>
      </w:r>
      <w:r>
        <w:rPr>
          <w:rFonts w:ascii="Arial" w:hAnsi="Arial"/>
          <w:sz w:val="21"/>
        </w:rPr>
        <w:t>may</w:t>
      </w:r>
      <w:r>
        <w:rPr>
          <w:rFonts w:ascii="Arial" w:hAnsi="Arial"/>
          <w:sz w:val="20"/>
        </w:rPr>
        <w:t> </w:t>
      </w:r>
      <w:r>
        <w:rPr>
          <w:rFonts w:ascii="Arial" w:hAnsi="Arial"/>
          <w:sz w:val="21"/>
        </w:rPr>
        <w:t>reimburse</w:t>
      </w:r>
      <w:r>
        <w:rPr>
          <w:rFonts w:ascii="Arial" w:hAnsi="Arial"/>
          <w:sz w:val="20"/>
        </w:rPr>
        <w:t> </w:t>
      </w:r>
      <w:r>
        <w:rPr>
          <w:rFonts w:ascii="Arial" w:hAnsi="Arial"/>
          <w:sz w:val="21"/>
        </w:rPr>
        <w:t>or</w:t>
      </w:r>
      <w:r>
        <w:rPr>
          <w:rFonts w:ascii="Arial" w:hAnsi="Arial"/>
          <w:sz w:val="20"/>
        </w:rPr>
        <w:t> </w:t>
      </w:r>
      <w:r>
        <w:rPr>
          <w:rFonts w:ascii="Arial" w:hAnsi="Arial"/>
          <w:sz w:val="21"/>
        </w:rPr>
        <w:t>repay</w:t>
      </w:r>
      <w:r>
        <w:rPr>
          <w:rFonts w:ascii="Arial" w:hAnsi="Arial"/>
          <w:sz w:val="20"/>
        </w:rPr>
        <w:t> </w:t>
      </w:r>
      <w:r>
        <w:rPr>
          <w:rFonts w:ascii="Arial" w:hAnsi="Arial"/>
          <w:sz w:val="21"/>
        </w:rPr>
        <w:t>the</w:t>
      </w:r>
      <w:r>
        <w:rPr>
          <w:rFonts w:ascii="Arial" w:hAnsi="Arial"/>
          <w:sz w:val="20"/>
        </w:rPr>
        <w:t> </w:t>
      </w:r>
      <w:r>
        <w:rPr>
          <w:rFonts w:ascii="Arial" w:hAnsi="Arial"/>
          <w:sz w:val="21"/>
        </w:rPr>
        <w:t>Face</w:t>
      </w:r>
      <w:r>
        <w:rPr>
          <w:rFonts w:ascii="Arial" w:hAnsi="Arial"/>
          <w:sz w:val="20"/>
        </w:rPr>
        <w:t> </w:t>
      </w:r>
      <w:r>
        <w:rPr>
          <w:rFonts w:ascii="Arial" w:hAnsi="Arial"/>
          <w:sz w:val="21"/>
        </w:rPr>
        <w:t>Value</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any Current Bank Guarantee by:</w:t>
      </w:r>
      <w:r>
        <w:rPr>
          <w:rFonts w:ascii="Arial" w:hAnsi="Arial"/>
          <w:sz w:val="20"/>
        </w:rPr>
        <w:t xml:space="preserve"> </w:t>
      </w:r>
    </w:p>
    <w:p>
      <w:pPr>
        <w:pStyle w:val="TextBody"/>
        <w:bidi w:val="0"/>
        <w:spacing w:lineRule="auto" w:line="266" w:before="120" w:after="0"/>
        <w:ind w:left="4275" w:right="1538" w:hanging="0"/>
        <w:jc w:val="left"/>
        <w:rPr/>
      </w:pPr>
      <w:r>
        <w:rPr>
          <w:rFonts w:ascii="Arial" w:hAnsi="Arial"/>
          <w:sz w:val="21"/>
        </w:rPr>
        <w:t>(i)providing</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cash</w:t>
      </w:r>
      <w:r>
        <w:rPr>
          <w:rFonts w:ascii="Arial" w:hAnsi="Arial"/>
          <w:sz w:val="20"/>
        </w:rPr>
        <w:t> </w:t>
      </w:r>
      <w:r>
        <w:rPr>
          <w:rFonts w:ascii="Arial" w:hAnsi="Arial"/>
          <w:sz w:val="21"/>
        </w:rPr>
        <w:t>collateral</w:t>
      </w:r>
      <w:r>
        <w:rPr>
          <w:rFonts w:ascii="Arial" w:hAnsi="Arial"/>
          <w:sz w:val="20"/>
        </w:rPr>
        <w:t> </w:t>
      </w:r>
      <w:r>
        <w:rPr>
          <w:rFonts w:ascii="Arial" w:hAnsi="Arial"/>
          <w:sz w:val="21"/>
        </w:rPr>
        <w:t>(on</w:t>
      </w:r>
      <w:r>
        <w:rPr>
          <w:rFonts w:ascii="Arial" w:hAnsi="Arial"/>
          <w:sz w:val="20"/>
        </w:rPr>
        <w:t> </w:t>
      </w:r>
      <w:r>
        <w:rPr>
          <w:rFonts w:ascii="Arial" w:hAnsi="Arial"/>
          <w:sz w:val="21"/>
        </w:rPr>
        <w:t>terms</w:t>
      </w:r>
      <w:r>
        <w:rPr>
          <w:rFonts w:ascii="Arial" w:hAnsi="Arial"/>
          <w:sz w:val="20"/>
        </w:rPr>
        <w:t> </w:t>
      </w:r>
      <w:r>
        <w:rPr>
          <w:rFonts w:ascii="Arial" w:hAnsi="Arial"/>
          <w:sz w:val="21"/>
        </w:rPr>
        <w:t>satisfactory</w:t>
      </w:r>
      <w:r>
        <w:rPr>
          <w:rFonts w:ascii="Arial" w:hAnsi="Arial"/>
          <w:sz w:val="20"/>
        </w:rPr>
        <w:t> </w:t>
      </w:r>
      <w:r>
        <w:rPr>
          <w:rFonts w:ascii="Arial" w:hAnsi="Arial"/>
          <w:sz w:val="21"/>
        </w:rPr>
        <w:t>to</w:t>
      </w:r>
      <w:r>
        <w:rPr>
          <w:rFonts w:ascii="Arial" w:hAnsi="Arial"/>
          <w:sz w:val="20"/>
        </w:rPr>
        <w:t> </w:t>
      </w:r>
      <w:r>
        <w:rPr>
          <w:rFonts w:ascii="Arial" w:hAnsi="Arial"/>
          <w:sz w:val="21"/>
        </w:rPr>
        <w:t xml:space="preserve">the Bank and subject to </w:t>
      </w:r>
      <w:r>
        <w:rPr>
          <w:rFonts w:ascii="Arial" w:hAnsi="Arial"/>
          <w:b/>
          <w:sz w:val="21"/>
        </w:rPr>
        <w:t xml:space="preserve">clause </w:t>
      </w:r>
      <w:hyperlink w:anchor="_bookmark114">
        <w:r>
          <w:rPr>
            <w:rStyle w:val="InternetLink"/>
            <w:rFonts w:ascii="Arial" w:hAnsi="Arial"/>
            <w:b/>
            <w:sz w:val="21"/>
          </w:rPr>
          <w:t>10.3</w:t>
        </w:r>
      </w:hyperlink>
      <w:r>
        <w:rPr>
          <w:rFonts w:ascii="Arial" w:hAnsi="Arial"/>
          <w:sz w:val="21"/>
        </w:rPr>
        <w:t>) in an amount not less than the Face Value of the Bank Guarantee; or</w:t>
      </w:r>
      <w:r>
        <w:rPr>
          <w:rFonts w:ascii="Arial" w:hAnsi="Arial"/>
          <w:sz w:val="20"/>
        </w:rPr>
        <w:t xml:space="preserve"> </w:t>
      </w:r>
    </w:p>
    <w:p>
      <w:pPr>
        <w:pStyle w:val="TextBody"/>
        <w:bidi w:val="0"/>
        <w:spacing w:lineRule="auto" w:line="266" w:before="120" w:after="0"/>
        <w:ind w:left="4275" w:right="1665" w:hanging="0"/>
        <w:jc w:val="left"/>
        <w:rPr>
          <w:rFonts w:ascii="Arial" w:hAnsi="Arial"/>
          <w:sz w:val="20"/>
        </w:rPr>
      </w:pPr>
      <w:r>
        <w:rPr>
          <w:rFonts w:ascii="Arial" w:hAnsi="Arial"/>
          <w:sz w:val="21"/>
        </w:rPr>
        <w:t>(ii)cancelling that Bank Guarantee by returning the original to the Bank</w:t>
      </w:r>
      <w:r>
        <w:rPr>
          <w:rFonts w:ascii="Arial" w:hAnsi="Arial"/>
          <w:sz w:val="20"/>
        </w:rPr>
        <w:t> </w:t>
      </w:r>
      <w:r>
        <w:rPr>
          <w:rFonts w:ascii="Arial" w:hAnsi="Arial"/>
          <w:sz w:val="21"/>
        </w:rPr>
        <w:t>together</w:t>
      </w:r>
      <w:r>
        <w:rPr>
          <w:rFonts w:ascii="Arial" w:hAnsi="Arial"/>
          <w:sz w:val="20"/>
        </w:rPr>
        <w:t> </w:t>
      </w:r>
      <w:r>
        <w:rPr>
          <w:rFonts w:ascii="Arial" w:hAnsi="Arial"/>
          <w:sz w:val="21"/>
        </w:rPr>
        <w:t>with</w:t>
      </w:r>
      <w:r>
        <w:rPr>
          <w:rFonts w:ascii="Arial" w:hAnsi="Arial"/>
          <w:sz w:val="20"/>
        </w:rPr>
        <w:t> </w:t>
      </w:r>
      <w:r>
        <w:rPr>
          <w:rFonts w:ascii="Arial" w:hAnsi="Arial"/>
          <w:sz w:val="21"/>
        </w:rPr>
        <w:t>written</w:t>
      </w:r>
      <w:r>
        <w:rPr>
          <w:rFonts w:ascii="Arial" w:hAnsi="Arial"/>
          <w:sz w:val="20"/>
        </w:rPr>
        <w:t> </w:t>
      </w:r>
      <w:r>
        <w:rPr>
          <w:rFonts w:ascii="Arial" w:hAnsi="Arial"/>
          <w:sz w:val="21"/>
        </w:rPr>
        <w:t>confirmation</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Beneficiary</w:t>
      </w:r>
      <w:r>
        <w:rPr>
          <w:rFonts w:ascii="Arial" w:hAnsi="Arial"/>
          <w:sz w:val="20"/>
        </w:rPr>
        <w:t> </w:t>
      </w:r>
      <w:r>
        <w:rPr>
          <w:rFonts w:ascii="Arial" w:hAnsi="Arial"/>
          <w:sz w:val="21"/>
        </w:rPr>
        <w:t>that the Bank has no further liability under that Bank Guarantee.</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29" w:name="Indemnity531"/>
      <w:bookmarkEnd w:id="429"/>
      <w:r>
        <w:rPr>
          <w:rFonts w:ascii="Arial" w:hAnsi="Arial"/>
          <w:b/>
          <w:color w:val="000000"/>
          <w:sz w:val="24"/>
        </w:rPr>
        <w:t>5.3Indemnity in respect of Bank Guarantees</w:t>
      </w:r>
      <w:r>
        <w:rPr>
          <w:rFonts w:ascii="Arial" w:hAnsi="Arial"/>
          <w:b/>
          <w:sz w:val="24"/>
        </w:rPr>
        <w:t xml:space="preserve"> </w:t>
      </w:r>
    </w:p>
    <w:p>
      <w:pPr>
        <w:pStyle w:val="TextBody"/>
        <w:bidi w:val="0"/>
        <w:spacing w:lineRule="auto" w:line="266" w:before="118" w:after="0"/>
        <w:ind w:left="3687" w:right="854" w:hanging="0"/>
        <w:jc w:val="left"/>
        <w:rPr/>
      </w:pPr>
      <w:r>
        <w:rPr>
          <w:rFonts w:ascii="Arial" w:hAnsi="Arial"/>
          <w:color w:val="000000"/>
          <w:sz w:val="21"/>
        </w:rPr>
        <w:t xml:space="preserve">(a)Without limiting </w:t>
      </w:r>
      <w:r>
        <w:rPr>
          <w:rFonts w:ascii="Arial" w:hAnsi="Arial"/>
          <w:b/>
          <w:color w:val="000000"/>
          <w:sz w:val="21"/>
        </w:rPr>
        <w:t xml:space="preserve">clause </w:t>
      </w:r>
      <w:hyperlink w:anchor="_bookmark124">
        <w:r>
          <w:rPr>
            <w:rStyle w:val="InternetLink"/>
          </w:rPr>
          <w:t>12.1</w:t>
        </w:r>
      </w:hyperlink>
      <w:r>
        <w:rPr>
          <w:rFonts w:ascii="Arial" w:hAnsi="Arial"/>
          <w:color w:val="000000"/>
          <w:sz w:val="21"/>
        </w:rPr>
        <w:t>, the Borrower indemnifies the Bank against any</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cost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expense</w:t>
      </w:r>
      <w:r>
        <w:rPr>
          <w:rFonts w:ascii="Arial" w:hAnsi="Arial"/>
          <w:color w:val="000000"/>
          <w:sz w:val="20"/>
        </w:rPr>
        <w:t> </w:t>
      </w:r>
      <w:r>
        <w:rPr>
          <w:rFonts w:ascii="Arial" w:hAnsi="Arial"/>
          <w:color w:val="000000"/>
          <w:sz w:val="21"/>
        </w:rPr>
        <w:t>sustained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incurred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Bank Guarantee or as a direct or indirect consequence of any claim made or purported to be made under any Bank Guarantee, or anything done by any person who is or claims to be entitled to the benefit of a Bank Guarantee.</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 xml:space="preserve">(b)Without limiting </w:t>
      </w:r>
      <w:r>
        <w:rPr>
          <w:rFonts w:ascii="Arial" w:hAnsi="Arial"/>
          <w:b/>
          <w:color w:val="000000"/>
          <w:sz w:val="21"/>
        </w:rPr>
        <w:t xml:space="preserve">clause </w:t>
      </w:r>
      <w:hyperlink w:anchor="_bookmark63">
        <w:r>
          <w:rPr>
            <w:rStyle w:val="InternetLink"/>
          </w:rPr>
          <w:t>5.3</w:t>
        </w:r>
      </w:hyperlink>
      <w:hyperlink w:anchor="_bookmark64">
        <w:r>
          <w:rPr>
            <w:rStyle w:val="InternetLink"/>
          </w:rPr>
          <w:t>(a)</w:t>
        </w:r>
      </w:hyperlink>
      <w:r>
        <w:rPr>
          <w:rFonts w:ascii="Arial" w:hAnsi="Arial"/>
          <w:color w:val="000000"/>
          <w:sz w:val="21"/>
        </w:rPr>
        <w:t>, the Borrower must pay to the Bank all amounts claimed by or paid to any Beneficiary in relation to any Bank Guarantee</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Beneficiary</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entitled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 xml:space="preserve">claim or the Bank was required to make that payment), including any payment made by the Bank under </w:t>
      </w:r>
      <w:r>
        <w:rPr>
          <w:rFonts w:ascii="Arial" w:hAnsi="Arial"/>
          <w:b/>
          <w:color w:val="000000"/>
          <w:sz w:val="21"/>
        </w:rPr>
        <w:t xml:space="preserve">clause </w:t>
      </w:r>
      <w:hyperlink w:anchor="_bookmark106">
        <w:r>
          <w:rPr>
            <w:rStyle w:val="InternetLink"/>
          </w:rPr>
          <w:t>10.2</w:t>
        </w:r>
      </w:hyperlink>
      <w:hyperlink w:anchor="_bookmark107">
        <w:r>
          <w:rPr>
            <w:rStyle w:val="InternetLink"/>
          </w:rPr>
          <w:t>(a)</w:t>
        </w:r>
      </w:hyperlink>
      <w:hyperlink w:anchor="_bookmark111">
        <w:r>
          <w:rPr>
            <w:rStyle w:val="InternetLink"/>
          </w:rPr>
          <w:t>(iv)</w:t>
        </w:r>
      </w:hyperlink>
      <w:hyperlink w:anchor="_bookmark113">
        <w:r>
          <w:rPr>
            <w:rStyle w:val="InternetLink"/>
          </w:rPr>
          <w:t>(B)</w:t>
        </w:r>
      </w:hyperlink>
      <w:r>
        <w:rPr>
          <w:rFonts w:ascii="Arial" w:hAnsi="Arial"/>
          <w:color w:val="000000"/>
          <w:sz w:val="21"/>
        </w:rPr>
        <w: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 xml:space="preserve">(c)The Borrower’s obligations under </w:t>
      </w:r>
      <w:r>
        <w:rPr>
          <w:rFonts w:ascii="Arial" w:hAnsi="Arial"/>
          <w:b/>
          <w:color w:val="000000"/>
          <w:sz w:val="21"/>
        </w:rPr>
        <w:t xml:space="preserve">clause </w:t>
      </w:r>
      <w:hyperlink w:anchor="_bookmark65">
        <w:r>
          <w:rPr>
            <w:rStyle w:val="InternetLink"/>
          </w:rPr>
          <w:t>5.4</w:t>
        </w:r>
      </w:hyperlink>
      <w:r>
        <w:rPr>
          <w:rFonts w:ascii="Arial" w:hAnsi="Arial"/>
          <w:color w:val="000000"/>
          <w:sz w:val="20"/>
        </w:rPr>
        <w:t> </w:t>
      </w:r>
      <w:r>
        <w:rPr>
          <w:rFonts w:ascii="Arial" w:hAnsi="Arial"/>
          <w:color w:val="000000"/>
          <w:sz w:val="21"/>
        </w:rPr>
        <w:t>are absolute and unconditional.</w:t>
      </w:r>
      <w:r>
        <w:rPr>
          <w:rFonts w:ascii="Arial" w:hAnsi="Arial"/>
          <w:color w:val="000000"/>
          <w:sz w:val="20"/>
        </w:rPr>
        <w:t> </w:t>
      </w:r>
      <w:r>
        <w:rPr>
          <w:rFonts w:ascii="Arial" w:hAnsi="Arial"/>
          <w:color w:val="000000"/>
          <w:sz w:val="21"/>
        </w:rPr>
        <w:t>They</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affected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reduction,</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or other impairment by set-off, deduction, abatement, counterclaim, agreement, defence, suspension, deferment or otherwise.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(d)The Borrower is not released, relieved or discharged from any obligation 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nor</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prejudiced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affected</w:t>
      </w:r>
      <w:r>
        <w:rPr>
          <w:rFonts w:ascii="Arial" w:hAnsi="Arial"/>
          <w:color w:val="000000"/>
          <w:sz w:val="20"/>
        </w:rPr>
        <w:t> </w:t>
      </w:r>
      <w:r>
        <w:rPr>
          <w:rFonts w:ascii="Arial" w:hAnsi="Arial"/>
          <w:color w:val="000000"/>
          <w:sz w:val="21"/>
        </w:rPr>
        <w:t>for any reason, including:</w:t>
      </w:r>
      <w:r>
        <w:rPr>
          <w:rFonts w:ascii="Arial" w:hAnsi="Arial"/>
          <w:sz w:val="20"/>
        </w:rPr>
        <w:t xml:space="preserve"> </w:t>
      </w:r>
    </w:p>
    <w:p>
      <w:pPr>
        <w:pStyle w:val="TextBody"/>
        <w:bidi w:val="0"/>
        <w:spacing w:lineRule="auto" w:line="266" w:before="121" w:after="0"/>
        <w:ind w:left="4275" w:right="1486" w:hanging="0"/>
        <w:jc w:val="left"/>
        <w:rPr>
          <w:rFonts w:ascii="Arial" w:hAnsi="Arial"/>
          <w:sz w:val="20"/>
        </w:rPr>
      </w:pPr>
      <w:r>
        <w:rPr>
          <w:rFonts w:ascii="Arial" w:hAnsi="Arial"/>
          <w:color w:val="000000"/>
          <w:sz w:val="21"/>
        </w:rPr>
        <w:t>(i)any falsity, inaccuracy, insufficiency or forgery of or in any demand, certificate or declaration or other document which on its face</w:t>
      </w:r>
      <w:r>
        <w:rPr>
          <w:rFonts w:ascii="Arial" w:hAnsi="Arial"/>
          <w:color w:val="000000"/>
          <w:sz w:val="20"/>
        </w:rPr>
        <w:t> </w:t>
      </w:r>
      <w:r>
        <w:rPr>
          <w:rFonts w:ascii="Arial" w:hAnsi="Arial"/>
          <w:color w:val="000000"/>
          <w:sz w:val="21"/>
        </w:rPr>
        <w:t>purports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signed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authorised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sz w:val="20"/>
        </w:rPr>
        <w:t xml:space="preserve"> </w:t>
      </w:r>
    </w:p>
    <w:p>
      <w:pPr>
        <w:pStyle w:val="TextBody"/>
        <w:bidi w:val="0"/>
        <w:spacing w:lineRule="auto" w:line="266" w:before="117" w:after="0"/>
        <w:ind w:left="4275" w:right="1546" w:hanging="0"/>
        <w:jc w:val="both"/>
        <w:rPr>
          <w:rFonts w:ascii="Arial" w:hAnsi="Arial"/>
          <w:sz w:val="20"/>
        </w:rPr>
      </w:pPr>
      <w:r>
        <w:rPr>
          <w:rFonts w:ascii="Arial" w:hAnsi="Arial"/>
          <w:color w:val="000000"/>
          <w:sz w:val="21"/>
        </w:rPr>
        <w:t>(ii)any failure by the Bank to enquire whether a cable, telex or other notification was inaccurately transmitted, received or given by an unauthorised</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failure</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to the wilful default or fraud of the Bank);</w:t>
      </w:r>
      <w:r>
        <w:rPr>
          <w:rFonts w:ascii="Arial" w:hAnsi="Arial"/>
          <w:sz w:val="20"/>
        </w:rPr>
        <w:t xml:space="preserve"> </w:t>
      </w:r>
    </w:p>
    <w:p>
      <w:pPr>
        <w:pStyle w:val="TextBody"/>
        <w:bidi w:val="0"/>
        <w:spacing w:lineRule="auto" w:line="266" w:before="118" w:after="0"/>
        <w:ind w:left="4275" w:right="1478" w:hanging="0"/>
        <w:jc w:val="left"/>
        <w:rPr>
          <w:rFonts w:ascii="Arial" w:hAnsi="Arial"/>
          <w:sz w:val="20"/>
        </w:rPr>
      </w:pPr>
      <w:r>
        <w:rPr>
          <w:rFonts w:ascii="Arial" w:hAnsi="Arial"/>
          <w:color w:val="000000"/>
          <w:sz w:val="21"/>
        </w:rPr>
        <w:t>(iii)the impossibility or illegality of performance of, or any invalidity of or</w:t>
      </w:r>
      <w:r>
        <w:rPr>
          <w:rFonts w:ascii="Arial" w:hAnsi="Arial"/>
          <w:color w:val="000000"/>
          <w:sz w:val="20"/>
        </w:rPr>
        <w:t> </w:t>
      </w:r>
      <w:r>
        <w:rPr>
          <w:rFonts w:ascii="Arial" w:hAnsi="Arial"/>
          <w:color w:val="000000"/>
          <w:sz w:val="21"/>
        </w:rPr>
        <w:t>affecting,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 other document;</w:t>
      </w:r>
      <w:r>
        <w:rPr>
          <w:rFonts w:ascii="Arial" w:hAnsi="Arial"/>
          <w:sz w:val="20"/>
        </w:rPr>
        <w:t xml:space="preserve"> </w:t>
      </w:r>
    </w:p>
    <w:p>
      <w:pPr>
        <w:pStyle w:val="TextBody"/>
        <w:bidi w:val="0"/>
        <w:spacing w:lineRule="auto" w:line="266" w:before="120" w:after="0"/>
        <w:ind w:left="4275" w:right="1654" w:hanging="0"/>
        <w:jc w:val="left"/>
        <w:rPr>
          <w:rFonts w:ascii="Arial" w:hAnsi="Arial"/>
          <w:sz w:val="20"/>
        </w:rPr>
      </w:pPr>
      <w:r>
        <w:rPr>
          <w:rFonts w:ascii="Arial" w:hAnsi="Arial"/>
          <w:color w:val="000000"/>
          <w:sz w:val="21"/>
        </w:rPr>
        <w:t>(iv)any act of any Government Body or arbitrator including any law, judgment,</w:t>
      </w:r>
      <w:r>
        <w:rPr>
          <w:rFonts w:ascii="Arial" w:hAnsi="Arial"/>
          <w:color w:val="000000"/>
          <w:sz w:val="20"/>
        </w:rPr>
        <w:t> </w:t>
      </w:r>
      <w:r>
        <w:rPr>
          <w:rFonts w:ascii="Arial" w:hAnsi="Arial"/>
          <w:color w:val="000000"/>
          <w:sz w:val="21"/>
        </w:rPr>
        <w:t>decree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jurisdiction affecting any Transaction Document or Bank Guarantee or any document delivered under a Transaction Document;</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275" w:right="1782" w:hanging="0"/>
        <w:jc w:val="left"/>
        <w:rPr>
          <w:rFonts w:ascii="Arial" w:hAnsi="Arial"/>
          <w:sz w:val="20"/>
        </w:rPr>
      </w:pPr>
      <w:r>
        <w:rPr>
          <w:rFonts w:ascii="Arial" w:hAnsi="Arial"/>
          <w:sz w:val="21"/>
        </w:rPr>
        <w:t>(v)any</w:t>
      </w:r>
      <w:r>
        <w:rPr>
          <w:rFonts w:ascii="Arial" w:hAnsi="Arial"/>
          <w:sz w:val="20"/>
        </w:rPr>
        <w:t> </w:t>
      </w:r>
      <w:r>
        <w:rPr>
          <w:rFonts w:ascii="Arial" w:hAnsi="Arial"/>
          <w:sz w:val="21"/>
        </w:rPr>
        <w:t>failure</w:t>
      </w:r>
      <w:r>
        <w:rPr>
          <w:rFonts w:ascii="Arial" w:hAnsi="Arial"/>
          <w:sz w:val="20"/>
        </w:rPr>
        <w:t> </w:t>
      </w:r>
      <w:r>
        <w:rPr>
          <w:rFonts w:ascii="Arial" w:hAnsi="Arial"/>
          <w:sz w:val="21"/>
        </w:rPr>
        <w:t>to</w:t>
      </w:r>
      <w:r>
        <w:rPr>
          <w:rFonts w:ascii="Arial" w:hAnsi="Arial"/>
          <w:sz w:val="20"/>
        </w:rPr>
        <w:t> </w:t>
      </w:r>
      <w:r>
        <w:rPr>
          <w:rFonts w:ascii="Arial" w:hAnsi="Arial"/>
          <w:sz w:val="21"/>
        </w:rPr>
        <w:t>obtain</w:t>
      </w:r>
      <w:r>
        <w:rPr>
          <w:rFonts w:ascii="Arial" w:hAnsi="Arial"/>
          <w:sz w:val="20"/>
        </w:rPr>
        <w:t> </w:t>
      </w:r>
      <w:r>
        <w:rPr>
          <w:rFonts w:ascii="Arial" w:hAnsi="Arial"/>
          <w:sz w:val="21"/>
        </w:rPr>
        <w:t>any</w:t>
      </w:r>
      <w:r>
        <w:rPr>
          <w:rFonts w:ascii="Arial" w:hAnsi="Arial"/>
          <w:sz w:val="20"/>
        </w:rPr>
        <w:t> </w:t>
      </w:r>
      <w:r>
        <w:rPr>
          <w:rFonts w:ascii="Arial" w:hAnsi="Arial"/>
          <w:sz w:val="21"/>
        </w:rPr>
        <w:t>consent,</w:t>
      </w:r>
      <w:r>
        <w:rPr>
          <w:rFonts w:ascii="Arial" w:hAnsi="Arial"/>
          <w:sz w:val="20"/>
        </w:rPr>
        <w:t> </w:t>
      </w:r>
      <w:r>
        <w:rPr>
          <w:rFonts w:ascii="Arial" w:hAnsi="Arial"/>
          <w:sz w:val="21"/>
        </w:rPr>
        <w:t>license</w:t>
      </w:r>
      <w:r>
        <w:rPr>
          <w:rFonts w:ascii="Arial" w:hAnsi="Arial"/>
          <w:sz w:val="20"/>
        </w:rPr>
        <w:t> </w:t>
      </w:r>
      <w:r>
        <w:rPr>
          <w:rFonts w:ascii="Arial" w:hAnsi="Arial"/>
          <w:sz w:val="21"/>
        </w:rPr>
        <w:t>or</w:t>
      </w:r>
      <w:r>
        <w:rPr>
          <w:rFonts w:ascii="Arial" w:hAnsi="Arial"/>
          <w:sz w:val="20"/>
        </w:rPr>
        <w:t> </w:t>
      </w:r>
      <w:r>
        <w:rPr>
          <w:rFonts w:ascii="Arial" w:hAnsi="Arial"/>
          <w:sz w:val="21"/>
        </w:rPr>
        <w:t>other</w:t>
      </w:r>
      <w:r>
        <w:rPr>
          <w:rFonts w:ascii="Arial" w:hAnsi="Arial"/>
          <w:sz w:val="20"/>
        </w:rPr>
        <w:t> </w:t>
      </w:r>
      <w:r>
        <w:rPr>
          <w:rFonts w:ascii="Arial" w:hAnsi="Arial"/>
          <w:sz w:val="21"/>
        </w:rPr>
        <w:t>authorisation necessary or desirable in connection with any Transaction Document or any Bank Guarantee; or</w:t>
      </w:r>
      <w:r>
        <w:rPr>
          <w:rFonts w:ascii="Arial" w:hAnsi="Arial"/>
          <w:sz w:val="20"/>
        </w:rPr>
        <w:t xml:space="preserve"> </w:t>
      </w:r>
    </w:p>
    <w:p>
      <w:pPr>
        <w:pStyle w:val="TextBody"/>
        <w:bidi w:val="0"/>
        <w:spacing w:lineRule="auto" w:line="266" w:before="120" w:after="0"/>
        <w:ind w:left="4275" w:right="1428" w:hanging="0"/>
        <w:jc w:val="left"/>
        <w:rPr>
          <w:rFonts w:ascii="Arial" w:hAnsi="Arial"/>
          <w:sz w:val="20"/>
        </w:rPr>
      </w:pPr>
      <w:r>
        <w:rPr>
          <w:rFonts w:ascii="Arial" w:hAnsi="Arial"/>
          <w:sz w:val="21"/>
        </w:rPr>
        <w:t>(vi)any</w:t>
      </w:r>
      <w:r>
        <w:rPr>
          <w:rFonts w:ascii="Arial" w:hAnsi="Arial"/>
          <w:sz w:val="20"/>
        </w:rPr>
        <w:t> </w:t>
      </w:r>
      <w:r>
        <w:rPr>
          <w:rFonts w:ascii="Arial" w:hAnsi="Arial"/>
          <w:sz w:val="21"/>
        </w:rPr>
        <w:t>other</w:t>
      </w:r>
      <w:r>
        <w:rPr>
          <w:rFonts w:ascii="Arial" w:hAnsi="Arial"/>
          <w:sz w:val="20"/>
        </w:rPr>
        <w:t> </w:t>
      </w:r>
      <w:r>
        <w:rPr>
          <w:rFonts w:ascii="Arial" w:hAnsi="Arial"/>
          <w:sz w:val="21"/>
        </w:rPr>
        <w:t>cause</w:t>
      </w:r>
      <w:r>
        <w:rPr>
          <w:rFonts w:ascii="Arial" w:hAnsi="Arial"/>
          <w:sz w:val="20"/>
        </w:rPr>
        <w:t> </w:t>
      </w:r>
      <w:r>
        <w:rPr>
          <w:rFonts w:ascii="Arial" w:hAnsi="Arial"/>
          <w:sz w:val="21"/>
        </w:rPr>
        <w:t>or</w:t>
      </w:r>
      <w:r>
        <w:rPr>
          <w:rFonts w:ascii="Arial" w:hAnsi="Arial"/>
          <w:sz w:val="20"/>
        </w:rPr>
        <w:t> </w:t>
      </w:r>
      <w:r>
        <w:rPr>
          <w:rFonts w:ascii="Arial" w:hAnsi="Arial"/>
          <w:sz w:val="21"/>
        </w:rPr>
        <w:t>circumstance,</w:t>
      </w:r>
      <w:r>
        <w:rPr>
          <w:rFonts w:ascii="Arial" w:hAnsi="Arial"/>
          <w:sz w:val="20"/>
        </w:rPr>
        <w:t> </w:t>
      </w:r>
      <w:r>
        <w:rPr>
          <w:rFonts w:ascii="Arial" w:hAnsi="Arial"/>
          <w:sz w:val="21"/>
        </w:rPr>
        <w:t>foreseen</w:t>
      </w:r>
      <w:r>
        <w:rPr>
          <w:rFonts w:ascii="Arial" w:hAnsi="Arial"/>
          <w:sz w:val="20"/>
        </w:rPr>
        <w:t> </w:t>
      </w:r>
      <w:r>
        <w:rPr>
          <w:rFonts w:ascii="Arial" w:hAnsi="Arial"/>
          <w:sz w:val="21"/>
        </w:rPr>
        <w:t>or</w:t>
      </w:r>
      <w:r>
        <w:rPr>
          <w:rFonts w:ascii="Arial" w:hAnsi="Arial"/>
          <w:sz w:val="20"/>
        </w:rPr>
        <w:t> </w:t>
      </w:r>
      <w:r>
        <w:rPr>
          <w:rFonts w:ascii="Arial" w:hAnsi="Arial"/>
          <w:sz w:val="21"/>
        </w:rPr>
        <w:t>unforeseen,</w:t>
      </w:r>
      <w:r>
        <w:rPr>
          <w:rFonts w:ascii="Arial" w:hAnsi="Arial"/>
          <w:sz w:val="20"/>
        </w:rPr>
        <w:t> </w:t>
      </w:r>
      <w:r>
        <w:rPr>
          <w:rFonts w:ascii="Arial" w:hAnsi="Arial"/>
          <w:sz w:val="21"/>
        </w:rPr>
        <w:t>whether or not similar to any of the above, affecting any Transaction Document or Bank Guarantee or any transaction under a Transaction Document or Bank Guarantee,</w:t>
      </w:r>
      <w:r>
        <w:rPr>
          <w:rFonts w:ascii="Arial" w:hAnsi="Arial"/>
          <w:sz w:val="20"/>
        </w:rPr>
        <w:t xml:space="preserve"> </w:t>
      </w:r>
    </w:p>
    <w:p>
      <w:pPr>
        <w:pStyle w:val="TextBody"/>
        <w:bidi w:val="0"/>
        <w:spacing w:before="0" w:after="0"/>
        <w:ind w:left="4275" w:right="700" w:hanging="0"/>
        <w:jc w:val="left"/>
        <w:rPr>
          <w:rFonts w:ascii="Arial" w:hAnsi="Arial"/>
          <w:sz w:val="20"/>
        </w:rPr>
      </w:pPr>
      <w:r>
        <w:rPr>
          <w:rFonts w:ascii="Arial" w:hAnsi="Arial"/>
          <w:sz w:val="21"/>
        </w:rPr>
        <w:t>(vii)and</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need</w:t>
      </w:r>
      <w:r>
        <w:rPr>
          <w:rFonts w:ascii="Arial" w:hAnsi="Arial"/>
          <w:sz w:val="20"/>
        </w:rPr>
        <w:t> </w:t>
      </w:r>
      <w:r>
        <w:rPr>
          <w:rFonts w:ascii="Arial" w:hAnsi="Arial"/>
          <w:sz w:val="21"/>
        </w:rPr>
        <w:t>not</w:t>
      </w:r>
      <w:r>
        <w:rPr>
          <w:rFonts w:ascii="Arial" w:hAnsi="Arial"/>
          <w:sz w:val="20"/>
        </w:rPr>
        <w:t> </w:t>
      </w:r>
      <w:r>
        <w:rPr>
          <w:rFonts w:ascii="Arial" w:hAnsi="Arial"/>
          <w:sz w:val="21"/>
        </w:rPr>
        <w:t>inquire</w:t>
      </w:r>
      <w:r>
        <w:rPr>
          <w:rFonts w:ascii="Arial" w:hAnsi="Arial"/>
          <w:sz w:val="20"/>
        </w:rPr>
        <w:t> </w:t>
      </w:r>
      <w:r>
        <w:rPr>
          <w:rFonts w:ascii="Arial" w:hAnsi="Arial"/>
          <w:sz w:val="21"/>
        </w:rPr>
        <w:t>into</w:t>
      </w:r>
      <w:r>
        <w:rPr>
          <w:rFonts w:ascii="Arial" w:hAnsi="Arial"/>
          <w:sz w:val="20"/>
        </w:rPr>
        <w:t> </w:t>
      </w:r>
      <w:r>
        <w:rPr>
          <w:rFonts w:ascii="Arial" w:hAnsi="Arial"/>
          <w:sz w:val="21"/>
        </w:rPr>
        <w:t>any</w:t>
      </w:r>
      <w:r>
        <w:rPr>
          <w:rFonts w:ascii="Arial" w:hAnsi="Arial"/>
          <w:sz w:val="20"/>
        </w:rPr>
        <w:t> </w:t>
      </w:r>
      <w:r>
        <w:rPr>
          <w:rFonts w:ascii="Arial" w:hAnsi="Arial"/>
          <w:sz w:val="21"/>
        </w:rPr>
        <w:t>of</w:t>
      </w:r>
      <w:r>
        <w:rPr>
          <w:rFonts w:ascii="Arial" w:hAnsi="Arial"/>
          <w:sz w:val="20"/>
        </w:rPr>
        <w:t> </w:t>
      </w:r>
      <w:r>
        <w:rPr>
          <w:rFonts w:ascii="Arial" w:hAnsi="Arial"/>
          <w:sz w:val="21"/>
        </w:rPr>
        <w:t>these</w:t>
      </w:r>
      <w:r>
        <w:rPr>
          <w:rFonts w:ascii="Arial" w:hAnsi="Arial"/>
          <w:sz w:val="20"/>
        </w:rPr>
        <w:t> </w:t>
      </w:r>
      <w:r>
        <w:rPr>
          <w:rFonts w:ascii="Arial" w:hAnsi="Arial"/>
          <w:sz w:val="21"/>
        </w:rPr>
        <w:t>matters.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(e)The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w:t>
      </w:r>
      <w:r>
        <w:rPr>
          <w:rFonts w:ascii="Arial" w:hAnsi="Arial"/>
          <w:sz w:val="20"/>
        </w:rPr>
        <w:t> </w:t>
      </w:r>
      <w:r>
        <w:rPr>
          <w:rFonts w:ascii="Arial" w:hAnsi="Arial"/>
          <w:sz w:val="21"/>
        </w:rPr>
        <w:t>the</w:t>
      </w:r>
      <w:r>
        <w:rPr>
          <w:rFonts w:ascii="Arial" w:hAnsi="Arial"/>
          <w:sz w:val="20"/>
        </w:rPr>
        <w:t> </w:t>
      </w:r>
      <w:r>
        <w:rPr>
          <w:rFonts w:ascii="Arial" w:hAnsi="Arial"/>
          <w:sz w:val="21"/>
        </w:rPr>
        <w:t>part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and</w:t>
      </w:r>
      <w:r>
        <w:rPr>
          <w:rFonts w:ascii="Arial" w:hAnsi="Arial"/>
          <w:sz w:val="20"/>
        </w:rPr>
        <w:t> </w:t>
      </w:r>
      <w:r>
        <w:rPr>
          <w:rFonts w:ascii="Arial" w:hAnsi="Arial"/>
          <w:sz w:val="21"/>
        </w:rPr>
        <w:t>notwithstanding</w:t>
      </w:r>
      <w:r>
        <w:rPr>
          <w:rFonts w:ascii="Arial" w:hAnsi="Arial"/>
          <w:sz w:val="20"/>
        </w:rPr>
        <w:t> </w:t>
      </w:r>
      <w:r>
        <w:rPr>
          <w:rFonts w:ascii="Arial" w:hAnsi="Arial"/>
          <w:sz w:val="21"/>
        </w:rPr>
        <w:t>any</w:t>
      </w:r>
      <w:r>
        <w:rPr>
          <w:rFonts w:ascii="Arial" w:hAnsi="Arial"/>
          <w:sz w:val="20"/>
        </w:rPr>
        <w:t> </w:t>
      </w:r>
      <w:r>
        <w:rPr>
          <w:rFonts w:ascii="Arial" w:hAnsi="Arial"/>
          <w:sz w:val="21"/>
        </w:rPr>
        <w:t>instructions</w:t>
      </w:r>
      <w:r>
        <w:rPr>
          <w:rFonts w:ascii="Arial" w:hAnsi="Arial"/>
          <w:sz w:val="20"/>
        </w:rPr>
        <w:t> </w:t>
      </w:r>
      <w:r>
        <w:rPr>
          <w:rFonts w:ascii="Arial" w:hAnsi="Arial"/>
          <w:sz w:val="21"/>
        </w:rPr>
        <w:t>from</w:t>
      </w:r>
      <w:r>
        <w:rPr>
          <w:rFonts w:ascii="Arial" w:hAnsi="Arial"/>
          <w:sz w:val="20"/>
        </w:rPr>
        <w:t> </w:t>
      </w:r>
      <w:r>
        <w:rPr>
          <w:rFonts w:ascii="Arial" w:hAnsi="Arial"/>
          <w:sz w:val="21"/>
        </w:rPr>
        <w:t>the Borrower to the contrary.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(f)The obligations of the Borrower will not be affected or in any way</w:t>
      </w:r>
      <w:r>
        <w:rPr>
          <w:rFonts w:ascii="Arial" w:hAnsi="Arial"/>
          <w:sz w:val="20"/>
        </w:rPr>
        <w:t> </w:t>
      </w:r>
      <w:r>
        <w:rPr>
          <w:rFonts w:ascii="Arial" w:hAnsi="Arial"/>
          <w:sz w:val="21"/>
        </w:rPr>
        <w:t>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w:t>
      </w:r>
      <w:r>
        <w:rPr>
          <w:rFonts w:ascii="Arial" w:hAnsi="Arial"/>
          <w:sz w:val="20"/>
        </w:rPr>
        <w:t> </w:t>
      </w:r>
      <w:r>
        <w:rPr>
          <w:rFonts w:ascii="Arial" w:hAnsi="Arial"/>
          <w:sz w:val="21"/>
        </w:rPr>
        <w:t>or</w:t>
      </w:r>
      <w:r>
        <w:rPr>
          <w:rFonts w:ascii="Arial" w:hAnsi="Arial"/>
          <w:sz w:val="20"/>
        </w:rPr>
        <w:t> </w:t>
      </w:r>
      <w:r>
        <w:rPr>
          <w:rFonts w:ascii="Arial" w:hAnsi="Arial"/>
          <w:sz w:val="21"/>
        </w:rPr>
        <w:t>received</w:t>
      </w:r>
      <w:r>
        <w:rPr>
          <w:rFonts w:ascii="Arial" w:hAnsi="Arial"/>
          <w:sz w:val="20"/>
        </w:rPr>
        <w:t> </w:t>
      </w:r>
      <w:r>
        <w:rPr>
          <w:rFonts w:ascii="Arial" w:hAnsi="Arial"/>
          <w:sz w:val="21"/>
        </w:rPr>
        <w:t>from</w:t>
      </w:r>
      <w:r>
        <w:rPr>
          <w:rFonts w:ascii="Arial" w:hAnsi="Arial"/>
          <w:sz w:val="20"/>
        </w:rPr>
        <w:t> </w:t>
      </w:r>
      <w:r>
        <w:rPr>
          <w:rFonts w:ascii="Arial" w:hAnsi="Arial"/>
          <w:sz w:val="21"/>
        </w:rPr>
        <w:t>any</w:t>
      </w:r>
      <w:r>
        <w:rPr>
          <w:rFonts w:ascii="Arial" w:hAnsi="Arial"/>
          <w:sz w:val="20"/>
        </w:rPr>
        <w:t> </w:t>
      </w:r>
      <w:r>
        <w:rPr>
          <w:rFonts w:ascii="Arial" w:hAnsi="Arial"/>
          <w:sz w:val="21"/>
        </w:rPr>
        <w:t>cause</w:t>
      </w:r>
      <w:r>
        <w:rPr>
          <w:rFonts w:ascii="Arial" w:hAnsi="Arial"/>
          <w:sz w:val="20"/>
        </w:rPr>
        <w:t> </w:t>
      </w:r>
      <w:r>
        <w:rPr>
          <w:rFonts w:ascii="Arial" w:hAnsi="Arial"/>
          <w:sz w:val="21"/>
        </w:rPr>
        <w:t>whatsoever</w:t>
      </w:r>
      <w:r>
        <w:rPr>
          <w:rFonts w:ascii="Arial" w:hAnsi="Arial"/>
          <w:sz w:val="20"/>
        </w:rPr>
        <w:t> </w:t>
      </w:r>
      <w:r>
        <w:rPr>
          <w:rFonts w:ascii="Arial" w:hAnsi="Arial"/>
          <w:sz w:val="21"/>
        </w:rPr>
        <w:t>or</w:t>
      </w:r>
      <w:r>
        <w:rPr>
          <w:rFonts w:ascii="Arial" w:hAnsi="Arial"/>
          <w:sz w:val="20"/>
        </w:rPr>
        <w:t> </w:t>
      </w:r>
      <w:r>
        <w:rPr>
          <w:rFonts w:ascii="Arial" w:hAnsi="Arial"/>
          <w:sz w:val="21"/>
        </w:rPr>
        <w:t>has</w:t>
      </w:r>
      <w:r>
        <w:rPr>
          <w:rFonts w:ascii="Arial" w:hAnsi="Arial"/>
          <w:sz w:val="20"/>
        </w:rPr>
        <w:t> </w:t>
      </w:r>
      <w:r>
        <w:rPr>
          <w:rFonts w:ascii="Arial" w:hAnsi="Arial"/>
          <w:sz w:val="21"/>
        </w:rPr>
        <w:t>been</w:t>
      </w:r>
      <w:r>
        <w:rPr>
          <w:rFonts w:ascii="Arial" w:hAnsi="Arial"/>
          <w:sz w:val="20"/>
        </w:rPr>
        <w:t> </w:t>
      </w:r>
      <w:r>
        <w:rPr>
          <w:rFonts w:ascii="Arial" w:hAnsi="Arial"/>
          <w:sz w:val="21"/>
        </w:rPr>
        <w:t>given</w:t>
      </w:r>
      <w:r>
        <w:rPr>
          <w:rFonts w:ascii="Arial" w:hAnsi="Arial"/>
          <w:sz w:val="20"/>
        </w:rPr>
        <w:t> </w:t>
      </w:r>
      <w:r>
        <w:rPr>
          <w:rFonts w:ascii="Arial" w:hAnsi="Arial"/>
          <w:sz w:val="21"/>
        </w:rPr>
        <w:t>or sent by an unauthorised person.</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30" w:name="Mandatory_prepayments541"/>
      <w:bookmarkEnd w:id="430"/>
      <w:r>
        <w:rPr>
          <w:rFonts w:ascii="Arial" w:hAnsi="Arial"/>
          <w:b/>
          <w:color w:val="000000"/>
          <w:sz w:val="24"/>
        </w:rPr>
        <w:t>5.4Mandatory prepayments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(a)Unless the Bank otherwise agrees, if any of the assets, business or undertaking</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Disposal</w:t>
      </w:r>
      <w:r>
        <w:rPr>
          <w:rFonts w:ascii="Arial" w:hAnsi="Arial"/>
          <w:color w:val="000000"/>
          <w:sz w:val="20"/>
        </w:rPr>
        <w:t> </w:t>
      </w:r>
      <w:r>
        <w:rPr>
          <w:rFonts w:ascii="Arial" w:hAnsi="Arial"/>
          <w:color w:val="000000"/>
          <w:sz w:val="21"/>
        </w:rPr>
        <w:t>(other than a Permitted Disposal) the Borrower must apply or ensure is applied an amount equal to the cash or equivalent proceeds received by the Transaction Party from the Disposal net of reasonable transaction costs and Taxes in prepayment of Outstanding Accommodation or at the Borrower’s election, in permanent reduction of the unused portion of one or more of the Facility Limits.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Disposal</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paragraph</w:t>
      </w:r>
      <w:r>
        <w:rPr>
          <w:rFonts w:ascii="Arial" w:hAnsi="Arial"/>
          <w:sz w:val="20"/>
        </w:rPr>
        <w:t xml:space="preserve"> </w:t>
      </w:r>
    </w:p>
    <w:p>
      <w:pPr>
        <w:pStyle w:val="TextBody"/>
        <w:bidi w:val="0"/>
        <w:spacing w:before="30" w:after="0"/>
        <w:ind w:left="3888" w:right="700" w:hanging="0"/>
        <w:jc w:val="left"/>
        <w:rPr>
          <w:rFonts w:ascii="Arial" w:hAnsi="Arial"/>
          <w:sz w:val="20"/>
        </w:rPr>
      </w:pPr>
      <w:r>
        <w:rPr>
          <w:rFonts w:ascii="Arial" w:hAnsi="Arial"/>
          <w:color w:val="000000"/>
          <w:sz w:val="21"/>
        </w:rPr>
        <w:t>(i)of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definition:</w:t>
      </w:r>
      <w:r>
        <w:rPr>
          <w:rFonts w:ascii="Arial" w:hAnsi="Arial"/>
          <w:sz w:val="20"/>
        </w:rPr>
        <w:t xml:space="preserve"> </w:t>
      </w:r>
    </w:p>
    <w:p>
      <w:pPr>
        <w:pStyle w:val="TextBody"/>
        <w:bidi w:val="0"/>
        <w:spacing w:lineRule="auto" w:line="266" w:before="148" w:after="0"/>
        <w:ind w:left="4275" w:right="2154" w:hanging="0"/>
        <w:jc w:val="left"/>
        <w:rPr>
          <w:rFonts w:ascii="Arial" w:hAnsi="Arial"/>
          <w:sz w:val="20"/>
        </w:rPr>
      </w:pPr>
      <w:r>
        <w:rPr>
          <w:rFonts w:ascii="Arial" w:hAnsi="Arial"/>
          <w:color w:val="000000"/>
          <w:sz w:val="21"/>
        </w:rPr>
        <w:t>(i)in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Cannon</w:t>
      </w:r>
      <w:r>
        <w:rPr>
          <w:rFonts w:ascii="Arial" w:hAnsi="Arial"/>
          <w:color w:val="000000"/>
          <w:sz w:val="20"/>
        </w:rPr>
        <w:t> </w:t>
      </w:r>
      <w:r>
        <w:rPr>
          <w:rFonts w:ascii="Arial" w:hAnsi="Arial"/>
          <w:color w:val="000000"/>
          <w:sz w:val="21"/>
        </w:rPr>
        <w:t>Park</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Net</w:t>
      </w:r>
      <w:r>
        <w:rPr>
          <w:rFonts w:ascii="Arial" w:hAnsi="Arial"/>
          <w:color w:val="000000"/>
          <w:sz w:val="20"/>
        </w:rPr>
        <w:t> </w:t>
      </w:r>
      <w:r>
        <w:rPr>
          <w:rFonts w:ascii="Arial" w:hAnsi="Arial"/>
          <w:color w:val="000000"/>
          <w:sz w:val="21"/>
        </w:rPr>
        <w:t>Sale Proceeds as follows:</w:t>
      </w:r>
      <w:r>
        <w:rPr>
          <w:rFonts w:ascii="Arial" w:hAnsi="Arial"/>
          <w:sz w:val="20"/>
        </w:rPr>
        <w:t xml:space="preserve"> </w:t>
      </w:r>
    </w:p>
    <w:p>
      <w:pPr>
        <w:pStyle w:val="TextBody"/>
        <w:bidi w:val="0"/>
        <w:spacing w:lineRule="auto" w:line="266" w:before="0" w:after="0"/>
        <w:ind w:left="4820" w:right="1566" w:hanging="0"/>
        <w:jc w:val="left"/>
        <w:rPr>
          <w:rFonts w:ascii="Arial" w:hAnsi="Arial"/>
          <w:sz w:val="20"/>
        </w:rPr>
      </w:pPr>
      <w:r>
        <w:rPr>
          <w:rFonts w:ascii="Arial" w:hAnsi="Arial"/>
          <w:color w:val="000000"/>
          <w:sz w:val="21"/>
        </w:rPr>
        <w:t>(A)repay in permanent reduction the Outstanding Accommodation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Limit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Bridge</w:t>
      </w:r>
      <w:r>
        <w:rPr>
          <w:rFonts w:ascii="Arial" w:hAnsi="Arial"/>
          <w:color w:val="000000"/>
          <w:sz w:val="20"/>
        </w:rPr>
        <w:t> </w:t>
      </w:r>
      <w:r>
        <w:rPr>
          <w:rFonts w:ascii="Arial" w:hAnsi="Arial"/>
          <w:color w:val="000000"/>
          <w:sz w:val="21"/>
        </w:rPr>
        <w:t>Facility to nil; and</w:t>
      </w:r>
      <w:r>
        <w:rPr>
          <w:rFonts w:ascii="Arial" w:hAnsi="Arial"/>
          <w:sz w:val="20"/>
        </w:rPr>
        <w:t xml:space="preserve"> </w:t>
      </w:r>
    </w:p>
    <w:p>
      <w:pPr>
        <w:pStyle w:val="TextBody"/>
        <w:bidi w:val="0"/>
        <w:spacing w:lineRule="auto" w:line="266" w:before="117" w:after="0"/>
        <w:ind w:left="4820" w:right="1458" w:hanging="0"/>
        <w:jc w:val="left"/>
        <w:rPr>
          <w:rFonts w:ascii="Arial" w:hAnsi="Arial"/>
          <w:sz w:val="20"/>
        </w:rPr>
      </w:pPr>
      <w:r>
        <w:rPr>
          <w:rFonts w:ascii="Arial" w:hAnsi="Arial"/>
          <w:color w:val="000000"/>
          <w:sz w:val="21"/>
        </w:rPr>
        <w:t>(B)repay</w:t>
      </w:r>
      <w:r>
        <w:rPr>
          <w:rFonts w:ascii="Arial" w:hAnsi="Arial"/>
          <w:color w:val="000000"/>
          <w:sz w:val="20"/>
        </w:rPr>
        <w:t> </w:t>
      </w:r>
      <w:r>
        <w:rPr>
          <w:rFonts w:ascii="Arial" w:hAnsi="Arial"/>
          <w:color w:val="000000"/>
          <w:sz w:val="21"/>
        </w:rPr>
        <w:t>$1,500,000</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permanent</w:t>
      </w:r>
      <w:r>
        <w:rPr>
          <w:rFonts w:ascii="Arial" w:hAnsi="Arial"/>
          <w:color w:val="000000"/>
          <w:sz w:val="20"/>
        </w:rPr>
        <w:t> </w:t>
      </w:r>
      <w:r>
        <w:rPr>
          <w:rFonts w:ascii="Arial" w:hAnsi="Arial"/>
          <w:color w:val="000000"/>
          <w:sz w:val="21"/>
        </w:rPr>
        <w:t>reduction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 Accommodation and the Facility Limit for the Corporate Markets Loan Facility,</w:t>
      </w:r>
      <w:r>
        <w:rPr>
          <w:rFonts w:ascii="Arial" w:hAnsi="Arial"/>
          <w:sz w:val="20"/>
        </w:rPr>
        <w:t xml:space="preserve"> </w:t>
      </w:r>
    </w:p>
    <w:p>
      <w:pPr>
        <w:pStyle w:val="TextBody"/>
        <w:pBdr/>
        <w:bidi w:val="0"/>
        <w:spacing w:before="120" w:after="0"/>
        <w:ind w:left="4253" w:right="700" w:hanging="0"/>
        <w:jc w:val="left"/>
        <w:rPr>
          <w:rFonts w:ascii="Arial" w:hAnsi="Arial"/>
          <w:sz w:val="22"/>
        </w:rPr>
      </w:pPr>
      <w:r>
        <w:rPr>
          <w:rFonts w:ascii="Arial" w:hAnsi="Arial"/>
          <w:color w:val="000000"/>
          <w:sz w:val="22"/>
        </w:rPr>
        <w:t>on the earlier of:</w:t>
      </w:r>
      <w:r>
        <w:rPr>
          <w:rFonts w:ascii="Arial" w:hAnsi="Arial"/>
          <w:sz w:val="22"/>
        </w:rPr>
        <w:t xml:space="preserve"> </w:t>
      </w:r>
    </w:p>
    <w:p>
      <w:pPr>
        <w:pStyle w:val="TextBody"/>
        <w:pBdr/>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820" w:right="1410" w:hanging="0"/>
        <w:jc w:val="left"/>
        <w:rPr>
          <w:rFonts w:ascii="Arial" w:hAnsi="Arial"/>
          <w:sz w:val="20"/>
        </w:rPr>
      </w:pPr>
      <w:r>
        <w:rPr>
          <w:rFonts w:ascii="Arial" w:hAnsi="Arial"/>
          <w:sz w:val="21"/>
        </w:rPr>
        <w:t>(C)the date on which the Borrower receives the Net Sale Proceeds</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sale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Cannon</w:t>
      </w:r>
      <w:r>
        <w:rPr>
          <w:rFonts w:ascii="Arial" w:hAnsi="Arial"/>
          <w:sz w:val="20"/>
        </w:rPr>
        <w:t> </w:t>
      </w:r>
      <w:r>
        <w:rPr>
          <w:rFonts w:ascii="Arial" w:hAnsi="Arial"/>
          <w:sz w:val="21"/>
        </w:rPr>
        <w:t>Park</w:t>
      </w:r>
      <w:r>
        <w:rPr>
          <w:rFonts w:ascii="Arial" w:hAnsi="Arial"/>
          <w:sz w:val="20"/>
        </w:rPr>
        <w:t> </w:t>
      </w:r>
      <w:r>
        <w:rPr>
          <w:rFonts w:ascii="Arial" w:hAnsi="Arial"/>
          <w:sz w:val="21"/>
        </w:rPr>
        <w:t>Property; and</w:t>
      </w:r>
      <w:r>
        <w:rPr>
          <w:rFonts w:ascii="Arial" w:hAnsi="Arial"/>
          <w:sz w:val="20"/>
        </w:rPr>
        <w:t xml:space="preserve"> </w:t>
      </w:r>
    </w:p>
    <w:p>
      <w:pPr>
        <w:pStyle w:val="TextBody"/>
        <w:bidi w:val="0"/>
        <w:spacing w:before="120" w:after="0"/>
        <w:ind w:left="4820" w:right="700" w:hanging="0"/>
        <w:jc w:val="left"/>
        <w:rPr>
          <w:rFonts w:ascii="Arial" w:hAnsi="Arial"/>
          <w:sz w:val="20"/>
        </w:rPr>
      </w:pPr>
      <w:r>
        <w:rPr>
          <w:rFonts w:ascii="Arial" w:hAnsi="Arial"/>
          <w:sz w:val="21"/>
        </w:rPr>
        <w:t>(D)</w:t>
      </w:r>
      <w:r>
        <w:rPr>
          <w:rFonts w:ascii="Arial" w:hAnsi="Arial"/>
          <w:strike/>
          <w:color w:val="B5082D"/>
          <w:sz w:val="21"/>
        </w:rPr>
        <w:t>30</w:t>
      </w:r>
      <w:r>
        <w:rPr>
          <w:rFonts w:ascii="Arial" w:hAnsi="Arial"/>
          <w:strike/>
          <w:color w:val="B5082D"/>
          <w:sz w:val="20"/>
        </w:rPr>
        <w:t> </w:t>
      </w:r>
      <w:r>
        <w:rPr>
          <w:rFonts w:ascii="Arial" w:hAnsi="Arial"/>
          <w:strike/>
          <w:color w:val="B5082D"/>
          <w:sz w:val="21"/>
        </w:rPr>
        <w:t>April</w:t>
      </w:r>
      <w:r>
        <w:rPr>
          <w:rFonts w:ascii="Arial" w:hAnsi="Arial"/>
          <w:strike/>
          <w:color w:val="B5082D"/>
          <w:sz w:val="20"/>
        </w:rPr>
        <w:t> </w:t>
      </w:r>
      <w:r>
        <w:rPr>
          <w:rFonts w:ascii="Arial" w:hAnsi="Arial"/>
          <w:strike/>
          <w:color w:val="B5082D"/>
          <w:sz w:val="21"/>
        </w:rPr>
        <w:t>2025</w:t>
      </w:r>
      <w:r>
        <w:rPr>
          <w:rFonts w:ascii="Arial" w:hAnsi="Arial"/>
          <w:color w:val="2D96D2"/>
          <w:sz w:val="21"/>
          <w:u w:val="single"/>
        </w:rPr>
        <w:t>14</w:t>
      </w:r>
      <w:r>
        <w:rPr>
          <w:rFonts w:ascii="Arial" w:hAnsi="Arial"/>
          <w:color w:val="2D96D2"/>
          <w:sz w:val="20"/>
          <w:u w:val="single"/>
        </w:rPr>
        <w:t> </w:t>
      </w:r>
      <w:r>
        <w:rPr>
          <w:rFonts w:ascii="Arial" w:hAnsi="Arial"/>
          <w:color w:val="2D96D2"/>
          <w:sz w:val="21"/>
          <w:u w:val="single"/>
        </w:rPr>
        <w:t>May</w:t>
      </w:r>
      <w:r>
        <w:rPr>
          <w:rFonts w:ascii="Arial" w:hAnsi="Arial"/>
          <w:color w:val="2D96D2"/>
          <w:sz w:val="20"/>
          <w:u w:val="single"/>
        </w:rPr>
        <w:t> </w:t>
      </w:r>
      <w:r>
        <w:rPr>
          <w:rFonts w:ascii="Arial" w:hAnsi="Arial"/>
          <w:color w:val="2D96D2"/>
          <w:sz w:val="21"/>
          <w:u w:val="single"/>
        </w:rPr>
        <w:t>2025</w:t>
      </w:r>
      <w:r>
        <w:rPr>
          <w:rFonts w:ascii="Arial" w:hAnsi="Arial"/>
          <w:sz w:val="21"/>
        </w:rPr>
        <w:t>;</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147" w:after="0"/>
        <w:ind w:left="4275" w:right="1758" w:hanging="0"/>
        <w:jc w:val="left"/>
        <w:rPr>
          <w:rFonts w:ascii="Arial" w:hAnsi="Arial"/>
          <w:sz w:val="20"/>
        </w:rPr>
      </w:pPr>
      <w:r>
        <w:rPr>
          <w:rFonts w:ascii="Arial" w:hAnsi="Arial"/>
          <w:sz w:val="21"/>
        </w:rPr>
        <w:t>(ii)in respect of the Waurn Ponds Property, apply the Net Sale Proceeds in permanent reduction of the Outstanding Accommodation</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Facility</w:t>
      </w:r>
      <w:r>
        <w:rPr>
          <w:rFonts w:ascii="Arial" w:hAnsi="Arial"/>
          <w:sz w:val="20"/>
        </w:rPr>
        <w:t> </w:t>
      </w:r>
      <w:r>
        <w:rPr>
          <w:rFonts w:ascii="Arial" w:hAnsi="Arial"/>
          <w:sz w:val="21"/>
        </w:rPr>
        <w:t>Limit</w:t>
      </w:r>
      <w:r>
        <w:rPr>
          <w:rFonts w:ascii="Arial" w:hAnsi="Arial"/>
          <w:sz w:val="20"/>
        </w:rPr>
        <w:t> </w:t>
      </w:r>
      <w:r>
        <w:rPr>
          <w:rFonts w:ascii="Arial" w:hAnsi="Arial"/>
          <w:sz w:val="21"/>
        </w:rPr>
        <w:t>under</w:t>
      </w:r>
      <w:r>
        <w:rPr>
          <w:rFonts w:ascii="Arial" w:hAnsi="Arial"/>
          <w:sz w:val="20"/>
        </w:rPr>
        <w:t> </w:t>
      </w:r>
      <w:r>
        <w:rPr>
          <w:rFonts w:ascii="Arial" w:hAnsi="Arial"/>
          <w:sz w:val="21"/>
        </w:rPr>
        <w:t>the</w:t>
      </w:r>
      <w:r>
        <w:rPr>
          <w:rFonts w:ascii="Arial" w:hAnsi="Arial"/>
          <w:sz w:val="20"/>
        </w:rPr>
        <w:t> </w:t>
      </w:r>
      <w:r>
        <w:rPr>
          <w:rFonts w:ascii="Arial" w:hAnsi="Arial"/>
          <w:sz w:val="21"/>
        </w:rPr>
        <w:t>Bridge</w:t>
      </w:r>
      <w:r>
        <w:rPr>
          <w:rFonts w:ascii="Arial" w:hAnsi="Arial"/>
          <w:sz w:val="20"/>
        </w:rPr>
        <w:t> </w:t>
      </w:r>
      <w:r>
        <w:rPr>
          <w:rFonts w:ascii="Arial" w:hAnsi="Arial"/>
          <w:sz w:val="21"/>
        </w:rPr>
        <w:t>Facility.</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31" w:name="Repayment551"/>
      <w:bookmarkEnd w:id="431"/>
      <w:r>
        <w:rPr>
          <w:rFonts w:ascii="Arial" w:hAnsi="Arial"/>
          <w:b/>
          <w:color w:val="000000"/>
          <w:sz w:val="24"/>
        </w:rPr>
        <w:t>5.5Repayment</w:t>
      </w:r>
      <w:r>
        <w:rPr>
          <w:rFonts w:ascii="Arial" w:hAnsi="Arial"/>
          <w:b/>
          <w:sz w:val="24"/>
        </w:rPr>
        <w:t xml:space="preserve"> </w:t>
      </w:r>
    </w:p>
    <w:p>
      <w:pPr>
        <w:pStyle w:val="TextBody"/>
        <w:bidi w:val="0"/>
        <w:spacing w:before="93" w:after="0"/>
        <w:ind w:left="3118" w:right="700" w:hanging="0"/>
        <w:jc w:val="left"/>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106">
        <w:r>
          <w:rPr>
            <w:rStyle w:val="InternetLink"/>
            <w:rFonts w:ascii="Arial" w:hAnsi="Arial"/>
            <w:b/>
            <w:color w:val="000000"/>
            <w:sz w:val="21"/>
          </w:rPr>
          <w:t>10.2</w:t>
        </w:r>
      </w:hyperlink>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114">
        <w:r>
          <w:rPr>
            <w:rStyle w:val="InternetLink"/>
            <w:rFonts w:ascii="Arial" w:hAnsi="Arial"/>
            <w:b/>
            <w:color w:val="000000"/>
            <w:sz w:val="21"/>
          </w:rPr>
          <w:t>10.3</w:t>
        </w:r>
      </w:hyperlink>
      <w:r>
        <w:rPr>
          <w:rFonts w:ascii="Arial" w:hAnsi="Arial"/>
          <w:color w:val="000000"/>
          <w:sz w:val="21"/>
        </w:rPr>
        <w:t>,</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(a)pay instalments, in permanent reduction of the Outstanding Accommodation and the Facility Limit for the Corporate Markets Loan Facility,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$1,500,000</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Quarter</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30 June 2025 and on the last Business Day of each Quarter thereafter until the Corporate Markets Loan Facility is repaid in full.</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(b)repay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 Termination Date in respect of that Facility; and</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(c)subject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68">
        <w:r>
          <w:rPr>
            <w:rStyle w:val="InternetLink"/>
            <w:rFonts w:ascii="Arial" w:hAnsi="Arial"/>
            <w:b/>
            <w:color w:val="000000"/>
            <w:sz w:val="21"/>
          </w:rPr>
          <w:t>5.8</w:t>
        </w:r>
      </w:hyperlink>
      <w:r>
        <w:rPr>
          <w:rFonts w:ascii="Arial" w:hAnsi="Arial"/>
          <w:color w:val="000000"/>
          <w:sz w:val="21"/>
        </w:rPr>
        <w: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provision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 that provides otherwise, pay any other amounts payable in connection with the Transaction Documents, to the Bank on demand.</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32" w:name="Amounts_may_not_be_redrawn561"/>
      <w:bookmarkEnd w:id="432"/>
      <w:r>
        <w:rPr>
          <w:rFonts w:ascii="Arial" w:hAnsi="Arial"/>
          <w:b/>
          <w:color w:val="000000"/>
          <w:sz w:val="24"/>
        </w:rPr>
        <w:t>5.6Amounts may not be redrawn</w:t>
      </w:r>
      <w:r>
        <w:rPr>
          <w:rFonts w:ascii="Arial" w:hAnsi="Arial"/>
          <w:b/>
          <w:sz w:val="24"/>
        </w:rPr>
        <w:t xml:space="preserve"> </w:t>
      </w:r>
    </w:p>
    <w:p>
      <w:pPr>
        <w:pStyle w:val="TextBody"/>
        <w:bidi w:val="0"/>
        <w:spacing w:before="96" w:after="0"/>
        <w:ind w:left="1836" w:right="4955" w:hanging="0"/>
        <w:jc w:val="center"/>
        <w:rPr>
          <w:rFonts w:ascii="Arial" w:hAnsi="Arial"/>
          <w:sz w:val="22"/>
        </w:rPr>
      </w:pPr>
      <w:r>
        <w:rPr>
          <w:rFonts w:ascii="Arial" w:hAnsi="Arial"/>
          <w:color w:val="000000"/>
          <w:sz w:val="22"/>
        </w:rPr>
        <w:t>Amounts repaid or prepaid:</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(a)which</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w:t>
      </w:r>
      <w:r>
        <w:rPr>
          <w:rFonts w:ascii="Arial" w:hAnsi="Arial"/>
          <w:color w:val="000000"/>
          <w:sz w:val="20"/>
        </w:rPr>
        <w:t> </w:t>
      </w:r>
      <w:r>
        <w:rPr>
          <w:rFonts w:ascii="Arial" w:hAnsi="Arial"/>
          <w:color w:val="000000"/>
          <w:sz w:val="21"/>
        </w:rPr>
        <w:t>Tranche;</w:t>
      </w:r>
      <w:r>
        <w:rPr>
          <w:rFonts w:ascii="Arial" w:hAnsi="Arial"/>
          <w:color w:val="000000"/>
          <w:sz w:val="20"/>
        </w:rPr>
        <w:t xml:space="preserve"> </w:t>
      </w:r>
      <w:r>
        <w:rPr>
          <w:rFonts w:ascii="Arial" w:hAnsi="Arial"/>
          <w:color w:val="000000"/>
          <w:sz w:val="21"/>
        </w:rPr>
        <w:t>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proceeds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sale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Cannon</w:t>
      </w:r>
      <w:r>
        <w:rPr>
          <w:rFonts w:ascii="Arial" w:hAnsi="Arial"/>
          <w:color w:val="000000"/>
          <w:sz w:val="20"/>
        </w:rPr>
        <w:t> </w:t>
      </w:r>
      <w:r>
        <w:rPr>
          <w:rFonts w:ascii="Arial" w:hAnsi="Arial"/>
          <w:color w:val="000000"/>
          <w:sz w:val="21"/>
        </w:rPr>
        <w:t>Park</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 xml:space="preserve">Waurn Ponds Property under </w:t>
      </w:r>
      <w:r>
        <w:rPr>
          <w:rFonts w:ascii="Arial" w:hAnsi="Arial"/>
          <w:b/>
          <w:color w:val="000000"/>
          <w:sz w:val="21"/>
        </w:rPr>
        <w:t>clause 5.4(b)(ii)</w:t>
      </w:r>
      <w:r>
        <w:rPr>
          <w:rFonts w:ascii="Arial" w:hAnsi="Arial"/>
          <w:color w:val="000000"/>
          <w:sz w:val="21"/>
        </w:rPr>
        <w:t>,</w:t>
      </w:r>
      <w:r>
        <w:rPr>
          <w:rFonts w:ascii="Arial" w:hAnsi="Arial"/>
          <w:sz w:val="20"/>
        </w:rPr>
        <w:t xml:space="preserve"> </w:t>
      </w:r>
    </w:p>
    <w:p>
      <w:pPr>
        <w:pStyle w:val="TextBody"/>
        <w:bidi w:val="0"/>
        <w:spacing w:lineRule="auto" w:line="266" w:before="119" w:after="0"/>
        <w:ind w:left="3120" w:right="1471" w:hanging="0"/>
        <w:jc w:val="left"/>
        <w:rPr>
          <w:rFonts w:ascii="Arial" w:hAnsi="Arial"/>
          <w:sz w:val="22"/>
        </w:rPr>
      </w:pPr>
      <w:r>
        <w:rPr>
          <w:rFonts w:ascii="Arial" w:hAnsi="Arial"/>
          <w:color w:val="000000"/>
          <w:sz w:val="22"/>
        </w:rPr>
        <w:t>may not be redrawn, and the Facility Limit in respect of the Corporate Markets Loan Facility or the Bridge Facility (as applicable) will be reduced by the aggregate amount of such repayments or prepayments.</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33" w:name="Release_of_Cannon_Park57"/>
      <w:bookmarkEnd w:id="433"/>
      <w:r>
        <w:rPr>
          <w:rFonts w:ascii="Arial" w:hAnsi="Arial"/>
          <w:b/>
          <w:color w:val="000000"/>
          <w:sz w:val="24"/>
        </w:rPr>
        <w:t>5.7Release of Cannon Park Property on Cannon Park Property Release Date</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(a)On the Cannon Park Property Release Date, the Bank releases and discharges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registered</w:t>
      </w:r>
      <w:r>
        <w:rPr>
          <w:rFonts w:ascii="Arial" w:hAnsi="Arial"/>
          <w:color w:val="000000"/>
          <w:sz w:val="20"/>
        </w:rPr>
        <w:t> </w:t>
      </w:r>
      <w:r>
        <w:rPr>
          <w:rFonts w:ascii="Arial" w:hAnsi="Arial"/>
          <w:color w:val="000000"/>
          <w:sz w:val="21"/>
        </w:rPr>
        <w:t>freehold</w:t>
      </w:r>
      <w:r>
        <w:rPr>
          <w:rFonts w:ascii="Arial" w:hAnsi="Arial"/>
          <w:color w:val="000000"/>
          <w:sz w:val="20"/>
        </w:rPr>
        <w:t> </w:t>
      </w:r>
      <w:r>
        <w:rPr>
          <w:rFonts w:ascii="Arial" w:hAnsi="Arial"/>
          <w:color w:val="000000"/>
          <w:sz w:val="21"/>
        </w:rPr>
        <w:t>mortgage</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Cannon</w:t>
      </w:r>
      <w:r>
        <w:rPr>
          <w:rFonts w:ascii="Arial" w:hAnsi="Arial"/>
          <w:color w:val="000000"/>
          <w:sz w:val="20"/>
        </w:rPr>
        <w:t> </w:t>
      </w:r>
      <w:r>
        <w:rPr>
          <w:rFonts w:ascii="Arial" w:hAnsi="Arial"/>
          <w:color w:val="000000"/>
          <w:sz w:val="21"/>
        </w:rPr>
        <w:t>Park</w:t>
      </w:r>
      <w:r>
        <w:rPr>
          <w:rFonts w:ascii="Arial" w:hAnsi="Arial"/>
          <w:color w:val="000000"/>
          <w:sz w:val="20"/>
        </w:rPr>
        <w:t> </w:t>
      </w:r>
      <w:r>
        <w:rPr>
          <w:rFonts w:ascii="Arial" w:hAnsi="Arial"/>
          <w:color w:val="000000"/>
          <w:sz w:val="21"/>
        </w:rPr>
        <w:t>Property 719329379 dated 27 March 2019 granted by Reading Cannon Park Pty Ltd in favour of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 xml:space="preserve">(b)Subject to this </w:t>
      </w:r>
      <w:r>
        <w:rPr>
          <w:rFonts w:ascii="Arial" w:hAnsi="Arial"/>
          <w:b/>
          <w:color w:val="000000"/>
          <w:sz w:val="21"/>
        </w:rPr>
        <w:t>clause 5.7</w:t>
      </w:r>
      <w:r>
        <w:rPr>
          <w:rFonts w:ascii="Arial" w:hAnsi="Arial"/>
          <w:color w:val="000000"/>
          <w:sz w:val="21"/>
        </w:rPr>
        <w:t>, each Transaction Party acknowledges and agrees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nothing</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 terminates, releases or otherwise affects any other Collateral Security granted by a Transaction Party under a Transaction Document.</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29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bookmarkStart w:id="434" w:name="Release_of_Waurn58"/>
      <w:bookmarkEnd w:id="434"/>
      <w:r>
        <w:rPr>
          <w:rFonts w:ascii="Arial" w:hAnsi="Arial"/>
          <w:b/>
          <w:color w:val="000000"/>
          <w:sz w:val="24"/>
        </w:rPr>
        <w:t>5.8Release of Waurn Ponds Property on Waurn Ponds Property Release Date</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(a)On the Waurn Ponds Property Release Date, the Bank releases and discharges the registered caveat AJ188641H with respect to the leasehold</w:t>
      </w:r>
      <w:r>
        <w:rPr>
          <w:rFonts w:ascii="Arial" w:hAnsi="Arial"/>
          <w:color w:val="000000"/>
          <w:sz w:val="20"/>
        </w:rPr>
        <w:t> </w:t>
      </w:r>
      <w:r>
        <w:rPr>
          <w:rFonts w:ascii="Arial" w:hAnsi="Arial"/>
          <w:color w:val="000000"/>
          <w:sz w:val="21"/>
        </w:rPr>
        <w:t>mortgage</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Waurn</w:t>
      </w:r>
      <w:r>
        <w:rPr>
          <w:rFonts w:ascii="Arial" w:hAnsi="Arial"/>
          <w:color w:val="000000"/>
          <w:sz w:val="20"/>
        </w:rPr>
        <w:t> </w:t>
      </w:r>
      <w:r>
        <w:rPr>
          <w:rFonts w:ascii="Arial" w:hAnsi="Arial"/>
          <w:color w:val="000000"/>
          <w:sz w:val="21"/>
        </w:rPr>
        <w:t>Ponds</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dated</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September 2011 granted by Reading Cinemas Pty Ltd, in favour of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 xml:space="preserve">(b)Subject to this </w:t>
      </w:r>
      <w:r>
        <w:rPr>
          <w:rFonts w:ascii="Arial" w:hAnsi="Arial"/>
          <w:b/>
          <w:color w:val="000000"/>
          <w:sz w:val="21"/>
        </w:rPr>
        <w:t>clause 5.8</w:t>
      </w:r>
      <w:r>
        <w:rPr>
          <w:rFonts w:ascii="Arial" w:hAnsi="Arial"/>
          <w:color w:val="000000"/>
          <w:sz w:val="21"/>
        </w:rPr>
        <w:t>, each Transaction Party acknowledges and agrees that nothing else in this document or any other Transaction Document</w:t>
      </w:r>
      <w:r>
        <w:rPr>
          <w:rFonts w:ascii="Arial" w:hAnsi="Arial"/>
          <w:color w:val="000000"/>
          <w:sz w:val="20"/>
        </w:rPr>
        <w:t> </w:t>
      </w:r>
      <w:r>
        <w:rPr>
          <w:rFonts w:ascii="Arial" w:hAnsi="Arial"/>
          <w:color w:val="000000"/>
          <w:sz w:val="21"/>
        </w:rPr>
        <w:t>terminates,</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affects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Collateral Security</w:t>
      </w:r>
      <w:r>
        <w:rPr>
          <w:rFonts w:ascii="Arial" w:hAnsi="Arial"/>
          <w:color w:val="000000"/>
          <w:sz w:val="20"/>
        </w:rPr>
        <w:t> </w:t>
      </w:r>
      <w:r>
        <w:rPr>
          <w:rFonts w:ascii="Arial" w:hAnsi="Arial"/>
          <w:color w:val="000000"/>
          <w:sz w:val="21"/>
        </w:rPr>
        <w:t>granted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6"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35" w:name="Interest_and_fees61"/>
      <w:bookmarkEnd w:id="435"/>
      <w:r>
        <w:rPr>
          <w:rFonts w:ascii="Arial" w:hAnsi="Arial"/>
          <w:color w:val="000000"/>
          <w:sz w:val="32"/>
        </w:rPr>
        <w:t>6Interest and fees</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36" w:name="Pricing_Periods611"/>
      <w:bookmarkEnd w:id="436"/>
      <w:r>
        <w:rPr>
          <w:rFonts w:ascii="Arial" w:hAnsi="Arial"/>
          <w:b/>
          <w:color w:val="000000"/>
          <w:sz w:val="24"/>
        </w:rPr>
        <w:t>6.1Pricing Periods</w:t>
      </w:r>
      <w:r>
        <w:rPr>
          <w:rFonts w:ascii="Arial" w:hAnsi="Arial"/>
          <w:b/>
          <w:sz w:val="24"/>
        </w:rPr>
        <w:t xml:space="preserve"> </w:t>
      </w:r>
    </w:p>
    <w:p>
      <w:pPr>
        <w:pStyle w:val="TextBody"/>
        <w:bidi w:val="0"/>
        <w:spacing w:lineRule="auto" w:line="266" w:before="118" w:after="0"/>
        <w:ind w:left="3687" w:right="854" w:hanging="0"/>
        <w:jc w:val="left"/>
        <w:rPr/>
      </w:pPr>
      <w:r>
        <w:rPr>
          <w:rFonts w:ascii="Arial" w:hAnsi="Arial"/>
          <w:color w:val="000000"/>
          <w:sz w:val="21"/>
        </w:rPr>
        <w:t xml:space="preserve">(a)Subject to </w:t>
      </w:r>
      <w:r>
        <w:rPr>
          <w:rFonts w:ascii="Arial" w:hAnsi="Arial"/>
          <w:b/>
          <w:color w:val="000000"/>
          <w:sz w:val="21"/>
        </w:rPr>
        <w:t xml:space="preserve">clause </w:t>
      </w:r>
      <w:hyperlink w:anchor="_bookmark69">
        <w:r>
          <w:rPr>
            <w:rStyle w:val="InternetLink"/>
          </w:rPr>
          <w:t>6.1</w:t>
        </w:r>
      </w:hyperlink>
      <w:hyperlink w:anchor="_bookmark70">
        <w:r>
          <w:rPr>
            <w:rStyle w:val="InternetLink"/>
          </w:rPr>
          <w:t>(c)</w:t>
        </w:r>
      </w:hyperlink>
      <w:r>
        <w:rPr>
          <w:rFonts w:ascii="Arial" w:hAnsi="Arial"/>
          <w:color w:val="000000"/>
          <w:sz w:val="21"/>
        </w:rPr>
        <w:t>, the Pricing Period for each Advance must be a period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60</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90</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six</w:t>
      </w:r>
      <w:r>
        <w:rPr>
          <w:rFonts w:ascii="Arial" w:hAnsi="Arial"/>
          <w:color w:val="000000"/>
          <w:sz w:val="20"/>
        </w:rPr>
        <w:t> </w:t>
      </w:r>
      <w:r>
        <w:rPr>
          <w:rFonts w:ascii="Arial" w:hAnsi="Arial"/>
          <w:color w:val="000000"/>
          <w:sz w:val="21"/>
        </w:rPr>
        <w:t>Months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agreed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Bank.</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 xml:space="preserve">(b)Subject to </w:t>
      </w:r>
      <w:r>
        <w:rPr>
          <w:rFonts w:ascii="Arial" w:hAnsi="Arial"/>
          <w:b/>
          <w:color w:val="000000"/>
          <w:sz w:val="21"/>
        </w:rPr>
        <w:t xml:space="preserve">clause </w:t>
      </w:r>
      <w:hyperlink w:anchor="_bookmark69">
        <w:r>
          <w:rPr>
            <w:rStyle w:val="InternetLink"/>
          </w:rPr>
          <w:t>6.1</w:t>
        </w:r>
      </w:hyperlink>
      <w:hyperlink w:anchor="_bookmark70">
        <w:r>
          <w:rPr>
            <w:rStyle w:val="InternetLink"/>
          </w:rPr>
          <w:t>(c)</w:t>
        </w:r>
      </w:hyperlink>
      <w:r>
        <w:rPr>
          <w:rFonts w:ascii="Arial" w:hAnsi="Arial"/>
          <w:color w:val="000000"/>
          <w:sz w:val="21"/>
        </w:rPr>
        <w:t>, the first Pricing Period for an Advance commences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duration</w:t>
      </w:r>
      <w:r>
        <w:rPr>
          <w:rFonts w:ascii="Arial" w:hAnsi="Arial"/>
          <w:color w:val="000000"/>
          <w:sz w:val="20"/>
        </w:rPr>
        <w:t> </w:t>
      </w:r>
      <w:r>
        <w:rPr>
          <w:rFonts w:ascii="Arial" w:hAnsi="Arial"/>
          <w:color w:val="000000"/>
          <w:sz w:val="21"/>
        </w:rPr>
        <w:t>specified</w:t>
      </w:r>
      <w:r>
        <w:rPr>
          <w:rFonts w:ascii="Arial" w:hAnsi="Arial"/>
          <w:color w:val="000000"/>
          <w:sz w:val="20"/>
        </w:rPr>
        <w:t> </w:t>
      </w:r>
      <w:r>
        <w:rPr>
          <w:rFonts w:ascii="Arial" w:hAnsi="Arial"/>
          <w:color w:val="000000"/>
          <w:sz w:val="21"/>
        </w:rPr>
        <w:t>in the relevant Funding Notice.</w:t>
      </w:r>
      <w:r>
        <w:rPr>
          <w:rFonts w:ascii="Arial" w:hAnsi="Arial"/>
          <w:color w:val="000000"/>
          <w:sz w:val="20"/>
        </w:rPr>
        <w:t> </w:t>
      </w:r>
      <w:r>
        <w:rPr>
          <w:rFonts w:ascii="Arial" w:hAnsi="Arial"/>
          <w:color w:val="000000"/>
          <w:sz w:val="21"/>
        </w:rPr>
        <w:t>Each subsequent Pricing Period for the Advance:</w:t>
      </w:r>
      <w:r>
        <w:rPr>
          <w:rFonts w:ascii="Arial" w:hAnsi="Arial"/>
          <w:sz w:val="20"/>
        </w:rPr>
        <w:t xml:space="preserve"> </w:t>
      </w:r>
    </w:p>
    <w:p>
      <w:pPr>
        <w:pStyle w:val="TextBody"/>
        <w:bidi w:val="0"/>
        <w:spacing w:lineRule="auto" w:line="266" w:before="121" w:after="0"/>
        <w:ind w:left="4275" w:right="1620" w:hanging="0"/>
        <w:jc w:val="left"/>
        <w:rPr>
          <w:rFonts w:ascii="Arial" w:hAnsi="Arial"/>
          <w:sz w:val="20"/>
        </w:rPr>
      </w:pPr>
      <w:r>
        <w:rPr>
          <w:rFonts w:ascii="Arial" w:hAnsi="Arial"/>
          <w:color w:val="000000"/>
          <w:sz w:val="21"/>
        </w:rPr>
        <w:t>(i)commences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preceding</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 Advance expires; and</w:t>
      </w:r>
      <w:r>
        <w:rPr>
          <w:rFonts w:ascii="Arial" w:hAnsi="Arial"/>
          <w:sz w:val="20"/>
        </w:rPr>
        <w:t xml:space="preserve"> </w:t>
      </w:r>
    </w:p>
    <w:p>
      <w:pPr>
        <w:pStyle w:val="TextBody"/>
        <w:bidi w:val="0"/>
        <w:spacing w:lineRule="auto" w:line="266" w:before="0" w:after="0"/>
        <w:ind w:left="4275" w:right="1455" w:hanging="0"/>
        <w:jc w:val="left"/>
        <w:rPr>
          <w:rFonts w:ascii="Arial" w:hAnsi="Arial"/>
          <w:sz w:val="20"/>
        </w:rPr>
      </w:pPr>
      <w:r>
        <w:rPr>
          <w:rFonts w:ascii="Arial" w:hAnsi="Arial"/>
          <w:color w:val="000000"/>
          <w:sz w:val="21"/>
        </w:rPr>
        <w:t>(ii)is a period notified by the Borrower to the Bank at least two Business Days before the last day of the current Pricing Period, but</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give</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duration</w:t>
      </w:r>
      <w:r>
        <w:rPr>
          <w:rFonts w:ascii="Arial" w:hAnsi="Arial"/>
          <w:color w:val="000000"/>
          <w:sz w:val="20"/>
        </w:rPr>
        <w:t> </w:t>
      </w:r>
      <w:r>
        <w:rPr>
          <w:rFonts w:ascii="Arial" w:hAnsi="Arial"/>
          <w:color w:val="000000"/>
          <w:sz w:val="21"/>
        </w:rPr>
        <w:t>as the Pricing Period which immediately precedes it.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sz w:val="20"/>
        </w:rPr>
        <w:t xml:space="preserve"> </w:t>
      </w:r>
    </w:p>
    <w:p>
      <w:pPr>
        <w:pStyle w:val="TextBody"/>
        <w:bidi w:val="0"/>
        <w:spacing w:lineRule="auto" w:line="266" w:before="147" w:after="0"/>
        <w:ind w:left="4275" w:right="1488" w:hanging="0"/>
        <w:jc w:val="left"/>
        <w:rPr/>
      </w:pPr>
      <w:r>
        <w:rPr>
          <w:rFonts w:ascii="Arial" w:hAnsi="Arial"/>
          <w:color w:val="000000"/>
          <w:sz w:val="21"/>
        </w:rPr>
        <w:t>(i)which would otherwise end on a day which is not a Business Day ends on the next Business Day and a Pricing Period which would otherwise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ends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 Date.</w:t>
      </w:r>
      <w:r>
        <w:rPr>
          <w:rFonts w:ascii="Arial" w:hAnsi="Arial"/>
          <w:color w:val="000000"/>
          <w:sz w:val="20"/>
        </w:rPr>
        <w:t> </w:t>
      </w:r>
      <w:r>
        <w:rPr>
          <w:rFonts w:ascii="Arial" w:hAnsi="Arial"/>
          <w:color w:val="000000"/>
          <w:sz w:val="21"/>
        </w:rPr>
        <w:t xml:space="preserve">For the avoidance of doubt, if a Pricing Period ends on a day that is not followed by a Business Day, the Bank may extend that Pricing Period accordingly (except where this would be contrary to </w:t>
      </w:r>
      <w:r>
        <w:rPr>
          <w:rFonts w:ascii="Arial" w:hAnsi="Arial"/>
          <w:b/>
          <w:color w:val="000000"/>
          <w:sz w:val="21"/>
        </w:rPr>
        <w:t xml:space="preserve">clause </w:t>
      </w:r>
      <w:hyperlink w:anchor="_bookmark69">
        <w:r>
          <w:rPr>
            <w:rStyle w:val="InternetLink"/>
          </w:rPr>
          <w:t>6.1</w:t>
        </w:r>
      </w:hyperlink>
      <w:hyperlink w:anchor="_bookmark70">
        <w:r>
          <w:rPr>
            <w:rStyle w:val="InternetLink"/>
          </w:rPr>
          <w:t>(c)</w:t>
        </w:r>
      </w:hyperlink>
      <w:hyperlink w:anchor="_bookmark71">
        <w:r>
          <w:rPr>
            <w:rStyle w:val="InternetLink"/>
          </w:rPr>
          <w:t>(ii)</w:t>
        </w:r>
      </w:hyperlink>
      <w:hyperlink w:anchor="_bookmark71">
        <w:r>
          <w:rPr>
            <w:rStyle w:val="InternetLink"/>
            <w:rFonts w:ascii="Arial" w:hAnsi="Arial"/>
            <w:color w:val="000000"/>
            <w:sz w:val="21"/>
          </w:rPr>
          <w:t>,</w:t>
        </w:r>
      </w:hyperlink>
      <w:r>
        <w:rPr>
          <w:rFonts w:ascii="Arial" w:hAnsi="Arial"/>
          <w:color w:val="000000"/>
          <w:sz w:val="20"/>
        </w:rPr>
        <w:t xml:space="preserve"> </w:t>
      </w:r>
      <w:r>
        <w:rPr>
          <w:rFonts w:ascii="Arial" w:hAnsi="Arial"/>
          <w:color w:val="000000"/>
          <w:sz w:val="21"/>
        </w:rPr>
        <w:t>in which case the Bank may shorten the Pricing Period); and</w:t>
      </w:r>
      <w:r>
        <w:rPr>
          <w:rFonts w:ascii="Arial" w:hAnsi="Arial"/>
          <w:sz w:val="20"/>
        </w:rPr>
        <w:t xml:space="preserve"> </w:t>
      </w:r>
    </w:p>
    <w:p>
      <w:pPr>
        <w:pStyle w:val="TextBody"/>
        <w:bidi w:val="0"/>
        <w:spacing w:before="0" w:after="0"/>
        <w:ind w:left="4275" w:right="700" w:hanging="0"/>
        <w:jc w:val="left"/>
        <w:rPr>
          <w:rFonts w:ascii="Arial" w:hAnsi="Arial"/>
          <w:sz w:val="20"/>
        </w:rPr>
      </w:pPr>
      <w:r>
        <w:rPr>
          <w:rFonts w:ascii="Arial" w:hAnsi="Arial"/>
          <w:color w:val="000000"/>
          <w:sz w:val="21"/>
        </w:rPr>
        <w:t>(ii)May</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adjusted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so</w:t>
      </w:r>
      <w:r>
        <w:rPr>
          <w:rFonts w:ascii="Arial" w:hAnsi="Arial"/>
          <w:color w:val="000000"/>
          <w:sz w:val="20"/>
        </w:rPr>
        <w:t xml:space="preserve"> </w:t>
      </w:r>
      <w:r>
        <w:rPr>
          <w:rFonts w:ascii="Arial" w:hAnsi="Arial"/>
          <w:color w:val="000000"/>
          <w:sz w:val="21"/>
        </w:rPr>
        <w:t>that:</w:t>
      </w:r>
      <w:r>
        <w:rPr>
          <w:rFonts w:ascii="Arial" w:hAnsi="Arial"/>
          <w:sz w:val="20"/>
        </w:rPr>
        <w:t xml:space="preserve"> </w:t>
      </w:r>
    </w:p>
    <w:p>
      <w:pPr>
        <w:pStyle w:val="TextBody"/>
        <w:bidi w:val="0"/>
        <w:spacing w:before="147" w:after="0"/>
        <w:ind w:left="4820" w:right="700" w:hanging="0"/>
        <w:jc w:val="left"/>
        <w:rPr>
          <w:rFonts w:ascii="Arial" w:hAnsi="Arial"/>
          <w:sz w:val="20"/>
        </w:rPr>
      </w:pPr>
      <w:r>
        <w:rPr>
          <w:rFonts w:ascii="Arial" w:hAnsi="Arial"/>
          <w:color w:val="000000"/>
          <w:sz w:val="21"/>
        </w:rPr>
        <w:t>(A)a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starts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sz w:val="20"/>
        </w:rPr>
        <w:t xml:space="preserve"> </w:t>
      </w:r>
    </w:p>
    <w:p>
      <w:pPr>
        <w:pStyle w:val="TextBody"/>
        <w:bidi w:val="0"/>
        <w:spacing w:before="150" w:after="0"/>
        <w:ind w:left="4820" w:right="700" w:hanging="0"/>
        <w:jc w:val="left"/>
        <w:rPr>
          <w:rFonts w:ascii="Arial" w:hAnsi="Arial"/>
          <w:sz w:val="20"/>
        </w:rPr>
      </w:pPr>
      <w:r>
        <w:rPr>
          <w:rFonts w:ascii="Arial" w:hAnsi="Arial"/>
          <w:color w:val="000000"/>
          <w:sz w:val="21"/>
        </w:rPr>
        <w:t>(B)all</w:t>
      </w:r>
      <w:r>
        <w:rPr>
          <w:rFonts w:ascii="Arial" w:hAnsi="Arial"/>
          <w:color w:val="000000"/>
          <w:sz w:val="20"/>
        </w:rPr>
        <w:t> </w:t>
      </w:r>
      <w:r>
        <w:rPr>
          <w:rFonts w:ascii="Arial" w:hAnsi="Arial"/>
          <w:color w:val="000000"/>
          <w:sz w:val="21"/>
        </w:rPr>
        <w:t>Advances</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sz w:val="20"/>
        </w:rPr>
        <w:t xml:space="preserve"> </w:t>
      </w:r>
    </w:p>
    <w:p>
      <w:pPr>
        <w:pStyle w:val="TextBody"/>
        <w:bidi w:val="0"/>
        <w:spacing w:lineRule="auto" w:line="266" w:before="148" w:after="0"/>
        <w:ind w:left="4820" w:right="1763" w:hanging="0"/>
        <w:jc w:val="left"/>
        <w:rPr>
          <w:rFonts w:ascii="Arial" w:hAnsi="Arial"/>
          <w:sz w:val="20"/>
        </w:rPr>
      </w:pPr>
      <w:r>
        <w:rPr>
          <w:rFonts w:ascii="Arial" w:hAnsi="Arial"/>
          <w:color w:val="000000"/>
          <w:sz w:val="21"/>
        </w:rPr>
        <w:t>(C)a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Date; and</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820" w:right="1485" w:hanging="0"/>
        <w:jc w:val="left"/>
        <w:rPr>
          <w:rFonts w:ascii="Arial" w:hAnsi="Arial"/>
          <w:sz w:val="20"/>
        </w:rPr>
      </w:pPr>
      <w:r>
        <w:rPr>
          <w:rFonts w:ascii="Arial" w:hAnsi="Arial"/>
          <w:sz w:val="21"/>
        </w:rPr>
        <w:t>(D)if a new Advance is made during a Pricing Period for an existing Advance, the first Pricing Period for that new Advance</w:t>
      </w:r>
      <w:r>
        <w:rPr>
          <w:rFonts w:ascii="Arial" w:hAnsi="Arial"/>
          <w:sz w:val="20"/>
        </w:rPr>
        <w:t> </w:t>
      </w:r>
      <w:r>
        <w:rPr>
          <w:rFonts w:ascii="Arial" w:hAnsi="Arial"/>
          <w:sz w:val="21"/>
        </w:rPr>
        <w:t>ends</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same</w:t>
      </w:r>
      <w:r>
        <w:rPr>
          <w:rFonts w:ascii="Arial" w:hAnsi="Arial"/>
          <w:sz w:val="20"/>
        </w:rPr>
        <w:t> </w:t>
      </w:r>
      <w:r>
        <w:rPr>
          <w:rFonts w:ascii="Arial" w:hAnsi="Arial"/>
          <w:sz w:val="21"/>
        </w:rPr>
        <w:t>day</w:t>
      </w:r>
      <w:r>
        <w:rPr>
          <w:rFonts w:ascii="Arial" w:hAnsi="Arial"/>
          <w:sz w:val="20"/>
        </w:rPr>
        <w:t> </w:t>
      </w:r>
      <w:r>
        <w:rPr>
          <w:rFonts w:ascii="Arial" w:hAnsi="Arial"/>
          <w:sz w:val="21"/>
        </w:rPr>
        <w:t>as</w:t>
      </w:r>
      <w:r>
        <w:rPr>
          <w:rFonts w:ascii="Arial" w:hAnsi="Arial"/>
          <w:sz w:val="20"/>
        </w:rPr>
        <w:t> </w:t>
      </w:r>
      <w:r>
        <w:rPr>
          <w:rFonts w:ascii="Arial" w:hAnsi="Arial"/>
          <w:sz w:val="21"/>
        </w:rPr>
        <w:t>the</w:t>
      </w:r>
      <w:r>
        <w:rPr>
          <w:rFonts w:ascii="Arial" w:hAnsi="Arial"/>
          <w:sz w:val="20"/>
        </w:rPr>
        <w:t> </w:t>
      </w:r>
      <w:r>
        <w:rPr>
          <w:rFonts w:ascii="Arial" w:hAnsi="Arial"/>
          <w:sz w:val="21"/>
        </w:rPr>
        <w:t>Pricing</w:t>
      </w:r>
      <w:r>
        <w:rPr>
          <w:rFonts w:ascii="Arial" w:hAnsi="Arial"/>
          <w:sz w:val="20"/>
        </w:rPr>
        <w:t> </w:t>
      </w:r>
      <w:r>
        <w:rPr>
          <w:rFonts w:ascii="Arial" w:hAnsi="Arial"/>
          <w:sz w:val="21"/>
        </w:rPr>
        <w:t>Period</w:t>
      </w:r>
      <w:r>
        <w:rPr>
          <w:rFonts w:ascii="Arial" w:hAnsi="Arial"/>
          <w:sz w:val="20"/>
        </w:rPr>
        <w:t> </w:t>
      </w:r>
      <w:r>
        <w:rPr>
          <w:rFonts w:ascii="Arial" w:hAnsi="Arial"/>
          <w:sz w:val="21"/>
        </w:rPr>
        <w:t>for</w:t>
      </w:r>
      <w:r>
        <w:rPr>
          <w:rFonts w:ascii="Arial" w:hAnsi="Arial"/>
          <w:sz w:val="20"/>
        </w:rPr>
        <w:t> </w:t>
      </w:r>
      <w:r>
        <w:rPr>
          <w:rFonts w:ascii="Arial" w:hAnsi="Arial"/>
          <w:sz w:val="21"/>
        </w:rPr>
        <w:t>the existing Advance.</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37" w:name="Payment_and_rate621"/>
      <w:bookmarkEnd w:id="437"/>
      <w:r>
        <w:rPr>
          <w:rFonts w:ascii="Arial" w:hAnsi="Arial"/>
          <w:b/>
          <w:color w:val="000000"/>
          <w:sz w:val="24"/>
        </w:rPr>
        <w:t>6.2Payment and rate</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Markets</w:t>
      </w:r>
      <w:r>
        <w:rPr>
          <w:rFonts w:ascii="Arial" w:hAnsi="Arial"/>
          <w:color w:val="000000"/>
          <w:sz w:val="20"/>
        </w:rPr>
        <w:t> </w:t>
      </w:r>
      <w:r>
        <w:rPr>
          <w:rFonts w:ascii="Arial" w:hAnsi="Arial"/>
          <w:color w:val="000000"/>
          <w:sz w:val="21"/>
        </w:rPr>
        <w:t>Loan</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Bridge</w:t>
      </w:r>
      <w:r>
        <w:rPr>
          <w:rFonts w:ascii="Arial" w:hAnsi="Arial"/>
          <w:color w:val="000000"/>
          <w:sz w:val="20"/>
        </w:rPr>
        <w:t> </w:t>
      </w:r>
      <w:r>
        <w:rPr>
          <w:rFonts w:ascii="Arial" w:hAnsi="Arial"/>
          <w:color w:val="000000"/>
          <w:sz w:val="21"/>
        </w:rPr>
        <w:t>Facility (as applicable):</w:t>
      </w:r>
      <w:r>
        <w:rPr>
          <w:rFonts w:ascii="Arial" w:hAnsi="Arial"/>
          <w:sz w:val="20"/>
        </w:rPr>
        <w:t xml:space="preserve"> </w:t>
      </w:r>
    </w:p>
    <w:p>
      <w:pPr>
        <w:pStyle w:val="TextBody"/>
        <w:bidi w:val="0"/>
        <w:spacing w:lineRule="auto" w:line="266" w:before="0" w:after="0"/>
        <w:ind w:left="4275" w:right="1509" w:hanging="0"/>
        <w:jc w:val="left"/>
        <w:rPr>
          <w:rFonts w:ascii="Arial" w:hAnsi="Arial"/>
          <w:sz w:val="20"/>
        </w:rPr>
      </w:pPr>
      <w:r>
        <w:rPr>
          <w:rFonts w:ascii="Arial" w:hAnsi="Arial"/>
          <w:color w:val="000000"/>
          <w:sz w:val="21"/>
        </w:rPr>
        <w:t>(i)interest for each day is calculated by applying the Daily Interest Rate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(excluding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 to which the Overdue Rate applies); and</w:t>
      </w:r>
      <w:r>
        <w:rPr>
          <w:rFonts w:ascii="Arial" w:hAnsi="Arial"/>
          <w:sz w:val="20"/>
        </w:rPr>
        <w:t xml:space="preserve"> </w:t>
      </w:r>
    </w:p>
    <w:p>
      <w:pPr>
        <w:pStyle w:val="TextBody"/>
        <w:bidi w:val="0"/>
        <w:spacing w:before="120" w:after="0"/>
        <w:ind w:left="4275" w:right="700" w:hanging="0"/>
        <w:jc w:val="left"/>
        <w:rPr>
          <w:rFonts w:ascii="Arial" w:hAnsi="Arial"/>
          <w:sz w:val="20"/>
        </w:rPr>
      </w:pPr>
      <w:r>
        <w:rPr>
          <w:rFonts w:ascii="Arial" w:hAnsi="Arial"/>
          <w:color w:val="000000"/>
          <w:sz w:val="21"/>
        </w:rPr>
        <w:t>(ii)the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accrued</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sz w:val="20"/>
        </w:rPr>
        <w:t xml:space="preserve"> </w:t>
      </w:r>
    </w:p>
    <w:p>
      <w:pPr>
        <w:pStyle w:val="TextBody"/>
        <w:bidi w:val="0"/>
        <w:spacing w:lineRule="auto" w:line="266" w:before="148" w:after="0"/>
        <w:ind w:left="4820" w:right="1915" w:hanging="0"/>
        <w:jc w:val="left"/>
        <w:rPr>
          <w:rFonts w:ascii="Arial" w:hAnsi="Arial"/>
          <w:sz w:val="20"/>
        </w:rPr>
      </w:pPr>
      <w:r>
        <w:rPr>
          <w:rFonts w:ascii="Arial" w:hAnsi="Arial"/>
          <w:color w:val="000000"/>
          <w:sz w:val="21"/>
        </w:rPr>
        <w:t>(A)each</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 expiry of that Pricing Period; and</w:t>
      </w:r>
      <w:r>
        <w:rPr>
          <w:rFonts w:ascii="Arial" w:hAnsi="Arial"/>
          <w:sz w:val="20"/>
        </w:rPr>
        <w:t xml:space="preserve"> </w:t>
      </w:r>
    </w:p>
    <w:p>
      <w:pPr>
        <w:pStyle w:val="TextBody"/>
        <w:bidi w:val="0"/>
        <w:spacing w:lineRule="auto" w:line="266" w:before="0" w:after="0"/>
        <w:ind w:left="4820" w:right="1507"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last</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up</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the Termination Date, on the Termination Date.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Overdue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interest must be paid on demand by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Overdue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Overdue</w:t>
      </w:r>
      <w:r>
        <w:rPr>
          <w:rFonts w:ascii="Arial" w:hAnsi="Arial"/>
          <w:color w:val="000000"/>
          <w:sz w:val="20"/>
        </w:rPr>
        <w:t> </w:t>
      </w:r>
      <w:r>
        <w:rPr>
          <w:rFonts w:ascii="Arial" w:hAnsi="Arial"/>
          <w:color w:val="000000"/>
          <w:sz w:val="21"/>
        </w:rPr>
        <w:t>Rate.</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38" w:name="Computation_of_interest631"/>
      <w:bookmarkEnd w:id="438"/>
      <w:r>
        <w:rPr>
          <w:rFonts w:ascii="Arial" w:hAnsi="Arial"/>
          <w:b/>
          <w:color w:val="000000"/>
          <w:sz w:val="24"/>
        </w:rPr>
        <w:t>6.3Computation of interest</w:t>
      </w:r>
      <w:r>
        <w:rPr>
          <w:rFonts w:ascii="Arial" w:hAnsi="Arial"/>
          <w:b/>
          <w:sz w:val="24"/>
        </w:rPr>
        <w:t xml:space="preserve"> </w:t>
      </w:r>
    </w:p>
    <w:p>
      <w:pPr>
        <w:pStyle w:val="TextBody"/>
        <w:bidi w:val="0"/>
        <w:spacing w:before="93" w:after="0"/>
        <w:ind w:left="3118" w:right="700" w:hanging="0"/>
        <w:jc w:val="left"/>
        <w:rPr>
          <w:rFonts w:ascii="Arial" w:hAnsi="Arial"/>
          <w:sz w:val="22"/>
        </w:rPr>
      </w:pPr>
      <w:r>
        <w:rPr>
          <w:rFonts w:ascii="Arial" w:hAnsi="Arial"/>
          <w:color w:val="000000"/>
          <w:sz w:val="22"/>
        </w:rPr>
        <w:t>Interest will:</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(a)accrue</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to</w:t>
      </w:r>
      <w:r>
        <w:rPr>
          <w:rFonts w:ascii="Arial" w:hAnsi="Arial"/>
          <w:color w:val="000000"/>
          <w:sz w:val="20"/>
        </w:rPr>
        <w:t xml:space="preserve"> </w:t>
      </w:r>
      <w:r>
        <w:rPr>
          <w:rFonts w:ascii="Arial" w:hAnsi="Arial"/>
          <w:color w:val="000000"/>
          <w:sz w:val="21"/>
        </w:rPr>
        <w:t>day;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(b)be computed from and including the day when the money on which interest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until</w:t>
      </w:r>
      <w:r>
        <w:rPr>
          <w:rFonts w:ascii="Arial" w:hAnsi="Arial"/>
          <w:color w:val="000000"/>
          <w:sz w:val="20"/>
        </w:rPr>
        <w:t> </w:t>
      </w:r>
      <w:r>
        <w:rPr>
          <w:rFonts w:ascii="Arial" w:hAnsi="Arial"/>
          <w:color w:val="000000"/>
          <w:sz w:val="21"/>
        </w:rPr>
        <w:t>but excluding the day of payment of that money;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(c)be</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actual</w:t>
      </w:r>
      <w:r>
        <w:rPr>
          <w:rFonts w:ascii="Arial" w:hAnsi="Arial"/>
          <w:color w:val="000000"/>
          <w:sz w:val="20"/>
        </w:rPr>
        <w:t> </w:t>
      </w:r>
      <w:r>
        <w:rPr>
          <w:rFonts w:ascii="Arial" w:hAnsi="Arial"/>
          <w:color w:val="000000"/>
          <w:sz w:val="21"/>
        </w:rPr>
        <w:t>number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elapsed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basis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365 day year.</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39" w:name="Capitalisation_of_interest641"/>
      <w:bookmarkEnd w:id="439"/>
      <w:r>
        <w:rPr>
          <w:rFonts w:ascii="Arial" w:hAnsi="Arial"/>
          <w:b/>
          <w:color w:val="000000"/>
          <w:sz w:val="24"/>
        </w:rPr>
        <w:t>6.4Capitalisation of interest</w:t>
      </w:r>
      <w:r>
        <w:rPr>
          <w:rFonts w:ascii="Arial" w:hAnsi="Arial"/>
          <w:b/>
          <w:sz w:val="24"/>
        </w:rPr>
        <w:t xml:space="preserve"> </w:t>
      </w:r>
    </w:p>
    <w:p>
      <w:pPr>
        <w:pStyle w:val="TextBody"/>
        <w:bidi w:val="0"/>
        <w:spacing w:before="93" w:after="0"/>
        <w:ind w:left="3118" w:right="700" w:hanging="0"/>
        <w:jc w:val="left"/>
        <w:rPr>
          <w:rFonts w:ascii="Arial" w:hAnsi="Arial"/>
          <w:sz w:val="22"/>
        </w:rPr>
      </w:pPr>
      <w:r>
        <w:rPr>
          <w:rFonts w:ascii="Arial" w:hAnsi="Arial"/>
          <w:color w:val="000000"/>
          <w:sz w:val="22"/>
        </w:rPr>
        <w:t>The Bank may:</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(a)capitalise,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monthly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periodical</w:t>
      </w:r>
      <w:r>
        <w:rPr>
          <w:rFonts w:ascii="Arial" w:hAnsi="Arial"/>
          <w:color w:val="000000"/>
          <w:sz w:val="20"/>
        </w:rPr>
        <w:t> </w:t>
      </w:r>
      <w:r>
        <w:rPr>
          <w:rFonts w:ascii="Arial" w:hAnsi="Arial"/>
          <w:color w:val="000000"/>
          <w:sz w:val="21"/>
        </w:rPr>
        <w:t>basis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determines, any part of any interest which becomes due and payable and interest is payable in accordance with this document on capitalised interest;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(b)continue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capitalise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despite:</w:t>
      </w:r>
      <w:r>
        <w:rPr>
          <w:rFonts w:ascii="Arial" w:hAnsi="Arial"/>
          <w:sz w:val="20"/>
        </w:rPr>
        <w:t xml:space="preserve"> </w:t>
      </w:r>
    </w:p>
    <w:p>
      <w:pPr>
        <w:pStyle w:val="TextBody"/>
        <w:bidi w:val="0"/>
        <w:spacing w:lineRule="auto" w:line="266" w:before="147" w:after="0"/>
        <w:ind w:left="4275" w:right="1861" w:hanging="0"/>
        <w:jc w:val="left"/>
        <w:rPr>
          <w:rFonts w:ascii="Arial" w:hAnsi="Arial"/>
          <w:sz w:val="20"/>
        </w:rPr>
      </w:pPr>
      <w:r>
        <w:rPr>
          <w:rFonts w:ascii="Arial" w:hAnsi="Arial"/>
          <w:color w:val="000000"/>
          <w:sz w:val="21"/>
        </w:rPr>
        <w:t>(i)that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between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relationship</w:t>
      </w:r>
      <w:r>
        <w:rPr>
          <w:rFonts w:ascii="Arial" w:hAnsi="Arial"/>
          <w:color w:val="000000"/>
          <w:sz w:val="20"/>
        </w:rPr>
        <w:t> </w:t>
      </w:r>
      <w:r>
        <w:rPr>
          <w:rFonts w:ascii="Arial" w:hAnsi="Arial"/>
          <w:color w:val="000000"/>
          <w:sz w:val="21"/>
        </w:rPr>
        <w:t>of Bank and customer has ceased;</w:t>
      </w:r>
      <w:r>
        <w:rPr>
          <w:rFonts w:ascii="Arial" w:hAnsi="Arial"/>
          <w:sz w:val="20"/>
        </w:rPr>
        <w:t xml:space="preserve"> </w:t>
      </w:r>
    </w:p>
    <w:p>
      <w:pPr>
        <w:pStyle w:val="TextBody"/>
        <w:bidi w:val="0"/>
        <w:spacing w:before="122" w:after="0"/>
        <w:ind w:left="4275" w:right="700" w:hanging="0"/>
        <w:jc w:val="left"/>
        <w:rPr>
          <w:rFonts w:ascii="Arial" w:hAnsi="Arial"/>
          <w:sz w:val="20"/>
        </w:rPr>
      </w:pPr>
      <w:r>
        <w:rPr>
          <w:rFonts w:ascii="Arial" w:hAnsi="Arial"/>
          <w:color w:val="000000"/>
          <w:sz w:val="21"/>
        </w:rPr>
        <w:t>(ii)any</w:t>
      </w:r>
      <w:r>
        <w:rPr>
          <w:rFonts w:ascii="Arial" w:hAnsi="Arial"/>
          <w:color w:val="000000"/>
          <w:sz w:val="20"/>
        </w:rPr>
        <w:t> </w:t>
      </w:r>
      <w:r>
        <w:rPr>
          <w:rFonts w:ascii="Arial" w:hAnsi="Arial"/>
          <w:color w:val="000000"/>
          <w:sz w:val="21"/>
        </w:rPr>
        <w:t>composition</w:t>
      </w:r>
      <w:r>
        <w:rPr>
          <w:rFonts w:ascii="Arial" w:hAnsi="Arial"/>
          <w:color w:val="000000"/>
          <w:sz w:val="20"/>
        </w:rPr>
        <w:t> </w:t>
      </w:r>
      <w:r>
        <w:rPr>
          <w:rFonts w:ascii="Arial" w:hAnsi="Arial"/>
          <w:color w:val="000000"/>
          <w:sz w:val="21"/>
        </w:rPr>
        <w:t>agreed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xml:space="preserve"> </w:t>
      </w:r>
      <w:r>
        <w:rPr>
          <w:rFonts w:ascii="Arial" w:hAnsi="Arial"/>
          <w:color w:val="000000"/>
          <w:sz w:val="21"/>
        </w:rPr>
        <w:t>Bank;</w:t>
      </w:r>
      <w:r>
        <w:rPr>
          <w:rFonts w:ascii="Arial" w:hAnsi="Arial"/>
          <w:sz w:val="20"/>
        </w:rPr>
        <w:t xml:space="preserve"> </w:t>
      </w:r>
    </w:p>
    <w:p>
      <w:pPr>
        <w:pStyle w:val="TextBody"/>
        <w:bidi w:val="0"/>
        <w:spacing w:before="147" w:after="0"/>
        <w:ind w:left="4275" w:right="700" w:hanging="0"/>
        <w:jc w:val="left"/>
        <w:rPr>
          <w:rFonts w:ascii="Arial" w:hAnsi="Arial"/>
          <w:sz w:val="20"/>
        </w:rPr>
      </w:pPr>
      <w:r>
        <w:rPr>
          <w:rFonts w:ascii="Arial" w:hAnsi="Arial"/>
          <w:color w:val="000000"/>
          <w:sz w:val="21"/>
        </w:rPr>
        <w:t>(iii)any</w:t>
      </w:r>
      <w:r>
        <w:rPr>
          <w:rFonts w:ascii="Arial" w:hAnsi="Arial"/>
          <w:color w:val="000000"/>
          <w:sz w:val="20"/>
        </w:rPr>
        <w:t> </w:t>
      </w:r>
      <w:r>
        <w:rPr>
          <w:rFonts w:ascii="Arial" w:hAnsi="Arial"/>
          <w:color w:val="000000"/>
          <w:sz w:val="21"/>
        </w:rPr>
        <w:t>judgment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or</w:t>
      </w:r>
      <w:r>
        <w:rPr>
          <w:rFonts w:ascii="Arial" w:hAnsi="Arial"/>
          <w:sz w:val="20"/>
        </w:rPr>
        <w:t xml:space="preserve"> </w:t>
      </w:r>
    </w:p>
    <w:p>
      <w:pPr>
        <w:pStyle w:val="TextBody"/>
        <w:bidi w:val="0"/>
        <w:spacing w:before="150" w:after="0"/>
        <w:ind w:left="4275" w:right="700" w:hanging="0"/>
        <w:jc w:val="left"/>
        <w:rPr>
          <w:rFonts w:ascii="Arial" w:hAnsi="Arial"/>
          <w:sz w:val="20"/>
        </w:rPr>
      </w:pPr>
      <w:r>
        <w:rPr>
          <w:rFonts w:ascii="Arial" w:hAnsi="Arial"/>
          <w:color w:val="000000"/>
          <w:sz w:val="21"/>
        </w:rPr>
        <w:t>(iv)any</w:t>
      </w:r>
      <w:r>
        <w:rPr>
          <w:rFonts w:ascii="Arial" w:hAnsi="Arial"/>
          <w:color w:val="000000"/>
          <w:sz w:val="20"/>
        </w:rPr>
        <w:t> </w:t>
      </w:r>
      <w:r>
        <w:rPr>
          <w:rFonts w:ascii="Arial" w:hAnsi="Arial"/>
          <w:color w:val="000000"/>
          <w:sz w:val="21"/>
        </w:rPr>
        <w:t>other</w:t>
      </w:r>
      <w:r>
        <w:rPr>
          <w:rFonts w:ascii="Arial" w:hAnsi="Arial"/>
          <w:color w:val="000000"/>
          <w:sz w:val="20"/>
        </w:rPr>
        <w:t xml:space="preserve"> </w:t>
      </w:r>
      <w:r>
        <w:rPr>
          <w:rFonts w:ascii="Arial" w:hAnsi="Arial"/>
          <w:color w:val="000000"/>
          <w:sz w:val="21"/>
        </w:rPr>
        <w:t>thing.</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bookmarkStart w:id="440" w:name="Merger651"/>
      <w:bookmarkEnd w:id="440"/>
      <w:r>
        <w:rPr>
          <w:rFonts w:ascii="Arial" w:hAnsi="Arial"/>
          <w:b/>
          <w:color w:val="000000"/>
          <w:sz w:val="24"/>
        </w:rPr>
        <w:t>6.5Merger</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 payable under the Transaction Documents and that fixed by or payable under that deed, judgment, order or other thing.</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41" w:name="Reset_Margin661"/>
      <w:bookmarkEnd w:id="441"/>
      <w:r>
        <w:rPr>
          <w:rFonts w:ascii="Arial" w:hAnsi="Arial"/>
          <w:b/>
          <w:color w:val="000000"/>
          <w:sz w:val="24"/>
        </w:rPr>
        <w:t>6.6Reset Margin</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Reset</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or becomes, shorter than 3 months.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Reset</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sz w:val="20"/>
        </w:rPr>
        <w:t xml:space="preserve"> </w:t>
      </w:r>
    </w:p>
    <w:p>
      <w:pPr>
        <w:pStyle w:val="TextBody"/>
        <w:bidi w:val="0"/>
        <w:spacing w:lineRule="auto" w:line="266" w:before="148" w:after="0"/>
        <w:ind w:left="4256" w:right="1944" w:hanging="0"/>
        <w:jc w:val="left"/>
        <w:rPr>
          <w:rFonts w:ascii="Arial" w:hAnsi="Arial"/>
          <w:sz w:val="20"/>
        </w:rPr>
      </w:pPr>
      <w:r>
        <w:rPr>
          <w:rFonts w:ascii="Arial" w:hAnsi="Arial"/>
          <w:color w:val="000000"/>
          <w:sz w:val="21"/>
        </w:rPr>
        <w:t>(i)will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determined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commencement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 period;</w:t>
      </w:r>
      <w:r>
        <w:rPr>
          <w:rFonts w:ascii="Arial" w:hAnsi="Arial"/>
          <w:sz w:val="20"/>
        </w:rPr>
        <w:t xml:space="preserve"> </w:t>
      </w:r>
    </w:p>
    <w:p>
      <w:pPr>
        <w:pStyle w:val="TextBody"/>
        <w:bidi w:val="0"/>
        <w:spacing w:lineRule="auto" w:line="266" w:before="0" w:after="0"/>
        <w:ind w:left="4256" w:right="2388" w:hanging="0"/>
        <w:jc w:val="left"/>
        <w:rPr>
          <w:rFonts w:ascii="Arial" w:hAnsi="Arial"/>
          <w:sz w:val="20"/>
        </w:rPr>
      </w:pPr>
      <w:r>
        <w:rPr>
          <w:rFonts w:ascii="Arial" w:hAnsi="Arial"/>
          <w:color w:val="000000"/>
          <w:sz w:val="21"/>
        </w:rPr>
        <w:t>(ii)will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advised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writing</w:t>
      </w:r>
      <w:r>
        <w:rPr>
          <w:rFonts w:ascii="Arial" w:hAnsi="Arial"/>
          <w:color w:val="000000"/>
          <w:sz w:val="20"/>
        </w:rPr>
        <w:t> </w:t>
      </w:r>
      <w:r>
        <w:rPr>
          <w:rFonts w:ascii="Arial" w:hAnsi="Arial"/>
          <w:color w:val="000000"/>
          <w:sz w:val="21"/>
        </w:rPr>
        <w:t>shortly</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 commencement of that period; and</w:t>
      </w:r>
      <w:r>
        <w:rPr>
          <w:rFonts w:ascii="Arial" w:hAnsi="Arial"/>
          <w:sz w:val="20"/>
        </w:rPr>
        <w:t xml:space="preserve"> </w:t>
      </w:r>
    </w:p>
    <w:p>
      <w:pPr>
        <w:pStyle w:val="TextBody"/>
        <w:bidi w:val="0"/>
        <w:spacing w:before="121" w:after="0"/>
        <w:ind w:left="4256" w:right="700" w:hanging="0"/>
        <w:jc w:val="left"/>
        <w:rPr>
          <w:rFonts w:ascii="Arial" w:hAnsi="Arial"/>
          <w:sz w:val="20"/>
        </w:rPr>
      </w:pPr>
      <w:r>
        <w:rPr>
          <w:rFonts w:ascii="Arial" w:hAnsi="Arial"/>
          <w:color w:val="000000"/>
          <w:sz w:val="21"/>
        </w:rPr>
        <w:t>(iii)will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fixed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period.</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(c)Subject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77">
        <w:r>
          <w:rPr>
            <w:rStyle w:val="InternetLink"/>
            <w:rFonts w:ascii="Arial" w:hAnsi="Arial"/>
            <w:b/>
            <w:color w:val="000000"/>
            <w:sz w:val="21"/>
          </w:rPr>
          <w:t>6.6(b)</w:t>
        </w:r>
      </w:hyperlink>
      <w:r>
        <w:rPr>
          <w:rFonts w:ascii="Arial" w:hAnsi="Arial"/>
          <w:color w:val="000000"/>
          <w:sz w:val="21"/>
        </w:rPr>
        <w:t>,</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Reset</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the Bank may vary the rate of the Reset Margin from time to time (and any rate set out in this document is indicative only).</w:t>
      </w:r>
      <w:r>
        <w:rPr>
          <w:rFonts w:ascii="Arial" w:hAnsi="Arial"/>
          <w:color w:val="000000"/>
          <w:sz w:val="20"/>
        </w:rPr>
        <w:t> </w:t>
      </w:r>
      <w:r>
        <w:rPr>
          <w:rFonts w:ascii="Arial" w:hAnsi="Arial"/>
          <w:color w:val="000000"/>
          <w:sz w:val="21"/>
        </w:rPr>
        <w:t>The Bank publishes Reset Margin rates periodically on nab.com.au.</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(d)The</w:t>
      </w:r>
      <w:r>
        <w:rPr>
          <w:rFonts w:ascii="Arial" w:hAnsi="Arial"/>
          <w:color w:val="000000"/>
          <w:sz w:val="20"/>
        </w:rPr>
        <w:t> </w:t>
      </w:r>
      <w:r>
        <w:rPr>
          <w:rFonts w:ascii="Arial" w:hAnsi="Arial"/>
          <w:color w:val="000000"/>
          <w:sz w:val="21"/>
        </w:rPr>
        <w:t>Reset</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arrears:</w:t>
      </w:r>
      <w:r>
        <w:rPr>
          <w:rFonts w:ascii="Arial" w:hAnsi="Arial"/>
          <w:sz w:val="20"/>
        </w:rPr>
        <w:t xml:space="preserve"> </w:t>
      </w:r>
    </w:p>
    <w:p>
      <w:pPr>
        <w:pStyle w:val="TextBody"/>
        <w:bidi w:val="0"/>
        <w:spacing w:lineRule="auto" w:line="266" w:before="147" w:after="0"/>
        <w:ind w:left="4256" w:right="1571" w:hanging="0"/>
        <w:jc w:val="left"/>
        <w:rPr>
          <w:rFonts w:ascii="Arial" w:hAnsi="Arial"/>
          <w:sz w:val="20"/>
        </w:rPr>
      </w:pPr>
      <w:r>
        <w:rPr>
          <w:rFonts w:ascii="Arial" w:hAnsi="Arial"/>
          <w:color w:val="000000"/>
          <w:sz w:val="21"/>
        </w:rPr>
        <w:t>(i)on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 that is shorter than 3 months;</w:t>
      </w:r>
      <w:r>
        <w:rPr>
          <w:rFonts w:ascii="Arial" w:hAnsi="Arial"/>
          <w:sz w:val="20"/>
        </w:rPr>
        <w:t xml:space="preserve"> </w:t>
      </w:r>
    </w:p>
    <w:p>
      <w:pPr>
        <w:pStyle w:val="TextBody"/>
        <w:bidi w:val="0"/>
        <w:spacing w:before="122" w:after="0"/>
        <w:ind w:left="4256" w:right="700" w:hanging="0"/>
        <w:jc w:val="left"/>
        <w:rPr>
          <w:rFonts w:ascii="Arial" w:hAnsi="Arial"/>
          <w:sz w:val="20"/>
        </w:rPr>
      </w:pPr>
      <w:r>
        <w:rPr>
          <w:rFonts w:ascii="Arial" w:hAnsi="Arial"/>
          <w:color w:val="000000"/>
          <w:sz w:val="21"/>
        </w:rPr>
        <w:t>(ii)on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and</w:t>
      </w:r>
      <w:r>
        <w:rPr>
          <w:rFonts w:ascii="Arial" w:hAnsi="Arial"/>
          <w:sz w:val="20"/>
        </w:rPr>
        <w:t xml:space="preserve"> </w:t>
      </w:r>
    </w:p>
    <w:p>
      <w:pPr>
        <w:pStyle w:val="TextBody"/>
        <w:bidi w:val="0"/>
        <w:spacing w:before="147" w:after="0"/>
        <w:ind w:left="4256" w:right="700" w:hanging="0"/>
        <w:jc w:val="left"/>
        <w:rPr>
          <w:rFonts w:ascii="Arial" w:hAnsi="Arial"/>
          <w:sz w:val="20"/>
        </w:rPr>
      </w:pPr>
      <w:r>
        <w:rPr>
          <w:rFonts w:ascii="Arial" w:hAnsi="Arial"/>
          <w:color w:val="000000"/>
          <w:sz w:val="21"/>
        </w:rPr>
        <w:t>(iii)upon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early</w:t>
      </w:r>
      <w:r>
        <w:rPr>
          <w:rFonts w:ascii="Arial" w:hAnsi="Arial"/>
          <w:color w:val="000000"/>
          <w:sz w:val="20"/>
        </w:rPr>
        <w:t> </w:t>
      </w:r>
      <w:r>
        <w:rPr>
          <w:rFonts w:ascii="Arial" w:hAnsi="Arial"/>
          <w:color w:val="000000"/>
          <w:sz w:val="21"/>
        </w:rPr>
        <w:t>repayment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Advance.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(e)The Reset Margin is calculated on a daily basis on the outstanding principal</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basis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365</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year and the actual number of days elapsed.</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8"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42" w:name="Payments71"/>
      <w:bookmarkEnd w:id="442"/>
      <w:r>
        <w:rPr>
          <w:rFonts w:ascii="Arial" w:hAnsi="Arial"/>
          <w:color w:val="000000"/>
          <w:sz w:val="32"/>
        </w:rPr>
        <w:t>7Payments</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43" w:name="Place71"/>
      <w:bookmarkEnd w:id="443"/>
      <w:r>
        <w:rPr>
          <w:rFonts w:ascii="Arial" w:hAnsi="Arial"/>
          <w:b/>
          <w:color w:val="000000"/>
          <w:sz w:val="24"/>
        </w:rPr>
        <w:t>7.1Place, manner and time of payment</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Each Transaction Party must make payments to the Bank under the Transaction Documents:</w:t>
      </w:r>
      <w:r>
        <w:rPr>
          <w:rFonts w:ascii="Arial" w:hAnsi="Arial"/>
          <w:sz w:val="22"/>
        </w:rPr>
        <w:t xml:space="preserve"> </w:t>
      </w:r>
    </w:p>
    <w:p>
      <w:pPr>
        <w:pStyle w:val="TextBody"/>
        <w:bidi w:val="0"/>
        <w:spacing w:lineRule="auto" w:line="266" w:before="118" w:after="0"/>
        <w:ind w:left="3687" w:right="854" w:hanging="0"/>
        <w:jc w:val="left"/>
        <w:rPr/>
      </w:pPr>
      <w:r>
        <w:rPr>
          <w:rFonts w:ascii="Arial" w:hAnsi="Arial"/>
          <w:color w:val="000000"/>
          <w:sz w:val="21"/>
        </w:rPr>
        <w:t>(a)at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address</w:t>
      </w:r>
      <w:r>
        <w:rPr>
          <w:rFonts w:ascii="Arial" w:hAnsi="Arial"/>
          <w:color w:val="000000"/>
          <w:sz w:val="20"/>
        </w:rPr>
        <w:t> </w:t>
      </w:r>
      <w:r>
        <w:rPr>
          <w:rFonts w:ascii="Arial" w:hAnsi="Arial"/>
          <w:color w:val="000000"/>
          <w:sz w:val="21"/>
        </w:rPr>
        <w:t>specified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193">
        <w:r>
          <w:rPr>
            <w:rStyle w:val="InternetLink"/>
            <w:rFonts w:ascii="Arial" w:hAnsi="Arial"/>
            <w:b/>
            <w:color w:val="000000"/>
            <w:sz w:val="21"/>
          </w:rPr>
          <w:t>19.3</w:t>
        </w:r>
      </w:hyperlink>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place</w:t>
      </w:r>
      <w:r>
        <w:rPr>
          <w:rFonts w:ascii="Arial" w:hAnsi="Arial"/>
          <w:color w:val="000000"/>
          <w:sz w:val="20"/>
        </w:rPr>
        <w:t> </w:t>
      </w:r>
      <w:r>
        <w:rPr>
          <w:rFonts w:ascii="Arial" w:hAnsi="Arial"/>
          <w:color w:val="000000"/>
          <w:sz w:val="21"/>
        </w:rPr>
        <w:t>reasonably required by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manner</w:t>
      </w:r>
      <w:r>
        <w:rPr>
          <w:rFonts w:ascii="Arial" w:hAnsi="Arial"/>
          <w:color w:val="000000"/>
          <w:sz w:val="20"/>
        </w:rPr>
        <w:t> </w:t>
      </w:r>
      <w:r>
        <w:rPr>
          <w:rFonts w:ascii="Arial" w:hAnsi="Arial"/>
          <w:color w:val="000000"/>
          <w:sz w:val="21"/>
        </w:rPr>
        <w:t>reasonably</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(c)by</w:t>
      </w:r>
      <w:r>
        <w:rPr>
          <w:rFonts w:ascii="Arial" w:hAnsi="Arial"/>
          <w:color w:val="000000"/>
          <w:sz w:val="20"/>
        </w:rPr>
        <w:t> </w:t>
      </w:r>
      <w:r>
        <w:rPr>
          <w:rFonts w:ascii="Arial" w:hAnsi="Arial"/>
          <w:color w:val="000000"/>
          <w:sz w:val="21"/>
        </w:rPr>
        <w:t>11.00</w:t>
      </w:r>
      <w:r>
        <w:rPr>
          <w:rFonts w:ascii="Arial" w:hAnsi="Arial"/>
          <w:color w:val="000000"/>
          <w:sz w:val="20"/>
        </w:rPr>
        <w:t> </w:t>
      </w:r>
      <w:r>
        <w:rPr>
          <w:rFonts w:ascii="Arial" w:hAnsi="Arial"/>
          <w:color w:val="000000"/>
          <w:sz w:val="21"/>
        </w:rPr>
        <w:t>am</w:t>
      </w:r>
      <w:r>
        <w:rPr>
          <w:rFonts w:ascii="Arial" w:hAnsi="Arial"/>
          <w:color w:val="000000"/>
          <w:sz w:val="20"/>
        </w:rPr>
        <w:t> </w:t>
      </w:r>
      <w:r>
        <w:rPr>
          <w:rFonts w:ascii="Arial" w:hAnsi="Arial"/>
          <w:color w:val="000000"/>
          <w:sz w:val="21"/>
        </w:rPr>
        <w:t>local</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place</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 made; and</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(d)in</w:t>
      </w:r>
      <w:r>
        <w:rPr>
          <w:rFonts w:ascii="Arial" w:hAnsi="Arial"/>
          <w:sz w:val="20"/>
        </w:rPr>
        <w:t> </w:t>
      </w:r>
      <w:r>
        <w:rPr>
          <w:rFonts w:ascii="Arial" w:hAnsi="Arial"/>
          <w:sz w:val="21"/>
        </w:rPr>
        <w:t>immediately</w:t>
      </w:r>
      <w:r>
        <w:rPr>
          <w:rFonts w:ascii="Arial" w:hAnsi="Arial"/>
          <w:sz w:val="20"/>
        </w:rPr>
        <w:t> </w:t>
      </w:r>
      <w:r>
        <w:rPr>
          <w:rFonts w:ascii="Arial" w:hAnsi="Arial"/>
          <w:sz w:val="21"/>
        </w:rPr>
        <w:t>available</w:t>
      </w:r>
      <w:r>
        <w:rPr>
          <w:rFonts w:ascii="Arial" w:hAnsi="Arial"/>
          <w:sz w:val="20"/>
        </w:rPr>
        <w:t> </w:t>
      </w:r>
      <w:r>
        <w:rPr>
          <w:rFonts w:ascii="Arial" w:hAnsi="Arial"/>
          <w:sz w:val="21"/>
        </w:rPr>
        <w:t>funds</w:t>
      </w:r>
      <w:r>
        <w:rPr>
          <w:rFonts w:ascii="Arial" w:hAnsi="Arial"/>
          <w:sz w:val="20"/>
        </w:rPr>
        <w:t> </w:t>
      </w:r>
      <w:r>
        <w:rPr>
          <w:rFonts w:ascii="Arial" w:hAnsi="Arial"/>
          <w:sz w:val="21"/>
        </w:rPr>
        <w:t>and</w:t>
      </w:r>
      <w:r>
        <w:rPr>
          <w:rFonts w:ascii="Arial" w:hAnsi="Arial"/>
          <w:sz w:val="20"/>
        </w:rPr>
        <w:t> </w:t>
      </w:r>
      <w:r>
        <w:rPr>
          <w:rFonts w:ascii="Arial" w:hAnsi="Arial"/>
          <w:sz w:val="21"/>
        </w:rPr>
        <w:t>without</w:t>
      </w:r>
      <w:r>
        <w:rPr>
          <w:rFonts w:ascii="Arial" w:hAnsi="Arial"/>
          <w:sz w:val="20"/>
        </w:rPr>
        <w:t> </w:t>
      </w:r>
      <w:r>
        <w:rPr>
          <w:rFonts w:ascii="Arial" w:hAnsi="Arial"/>
          <w:sz w:val="21"/>
        </w:rPr>
        <w:t>set-off,</w:t>
      </w:r>
      <w:r>
        <w:rPr>
          <w:rFonts w:ascii="Arial" w:hAnsi="Arial"/>
          <w:sz w:val="20"/>
        </w:rPr>
        <w:t> </w:t>
      </w:r>
      <w:r>
        <w:rPr>
          <w:rFonts w:ascii="Arial" w:hAnsi="Arial"/>
          <w:sz w:val="21"/>
        </w:rPr>
        <w:t>counter</w:t>
      </w:r>
      <w:r>
        <w:rPr>
          <w:rFonts w:ascii="Arial" w:hAnsi="Arial"/>
          <w:sz w:val="20"/>
        </w:rPr>
        <w:t> </w:t>
      </w:r>
      <w:r>
        <w:rPr>
          <w:rFonts w:ascii="Arial" w:hAnsi="Arial"/>
          <w:sz w:val="21"/>
        </w:rPr>
        <w:t>claim, condition or, unless required by law, deduction or withholding.</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44" w:name="Gross_up721"/>
      <w:bookmarkEnd w:id="444"/>
      <w:r>
        <w:rPr>
          <w:rFonts w:ascii="Arial" w:hAnsi="Arial"/>
          <w:b/>
          <w:color w:val="000000"/>
          <w:sz w:val="24"/>
        </w:rPr>
        <w:t>7.2Gross-up</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If a Transaction Party is required by law to deduct or withhold Taxes from any payment it must:</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(a)make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deduction</w:t>
      </w:r>
      <w:r>
        <w:rPr>
          <w:rFonts w:ascii="Arial" w:hAnsi="Arial"/>
          <w:color w:val="000000"/>
          <w:sz w:val="20"/>
        </w:rPr>
        <w:t> </w:t>
      </w:r>
      <w:r>
        <w:rPr>
          <w:rFonts w:ascii="Arial" w:hAnsi="Arial"/>
          <w:color w:val="000000"/>
          <w:sz w:val="21"/>
        </w:rPr>
        <w:t>and</w:t>
      </w:r>
      <w:r>
        <w:rPr>
          <w:rFonts w:ascii="Arial" w:hAnsi="Arial"/>
          <w:color w:val="000000"/>
          <w:sz w:val="20"/>
        </w:rPr>
        <w:t xml:space="preserve"> </w:t>
      </w:r>
      <w:r>
        <w:rPr>
          <w:rFonts w:ascii="Arial" w:hAnsi="Arial"/>
          <w:color w:val="000000"/>
          <w:sz w:val="21"/>
        </w:rPr>
        <w:t>withholding;</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full</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deducted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withheld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 law;</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(c)deliver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original</w:t>
      </w:r>
      <w:r>
        <w:rPr>
          <w:rFonts w:ascii="Arial" w:hAnsi="Arial"/>
          <w:color w:val="000000"/>
          <w:sz w:val="20"/>
        </w:rPr>
        <w:t> </w:t>
      </w:r>
      <w:r>
        <w:rPr>
          <w:rFonts w:ascii="Arial" w:hAnsi="Arial"/>
          <w:color w:val="000000"/>
          <w:sz w:val="21"/>
        </w:rPr>
        <w:t>receipt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payment;</w:t>
      </w:r>
      <w:r>
        <w:rPr>
          <w:rFonts w:ascii="Arial" w:hAnsi="Arial"/>
          <w:color w:val="000000"/>
          <w:sz w:val="20"/>
        </w:rPr>
        <w:t xml:space="preserve"> </w:t>
      </w:r>
      <w:r>
        <w:rPr>
          <w:rFonts w:ascii="Arial" w:hAnsi="Arial"/>
          <w:color w:val="000000"/>
          <w:sz w:val="21"/>
        </w:rPr>
        <w:t>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(d)pay an additional amount with such payment so that, after all applicable deductions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withholdings,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actually</w:t>
      </w:r>
      <w:r>
        <w:rPr>
          <w:rFonts w:ascii="Arial" w:hAnsi="Arial"/>
          <w:color w:val="000000"/>
          <w:sz w:val="20"/>
        </w:rPr>
        <w:t> </w:t>
      </w:r>
      <w:r>
        <w:rPr>
          <w:rFonts w:ascii="Arial" w:hAnsi="Arial"/>
          <w:color w:val="000000"/>
          <w:sz w:val="21"/>
        </w:rPr>
        <w:t>receives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own</w:t>
      </w:r>
      <w:r>
        <w:rPr>
          <w:rFonts w:ascii="Arial" w:hAnsi="Arial"/>
          <w:color w:val="000000"/>
          <w:sz w:val="20"/>
        </w:rPr>
        <w:t> </w:t>
      </w:r>
      <w:r>
        <w:rPr>
          <w:rFonts w:ascii="Arial" w:hAnsi="Arial"/>
          <w:color w:val="000000"/>
          <w:sz w:val="21"/>
        </w:rPr>
        <w:t>benefit the full amount which would have been payable to the Bank if no deduction or withholding had been required.</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45" w:name="Appropriation731"/>
      <w:bookmarkEnd w:id="445"/>
      <w:r>
        <w:rPr>
          <w:rFonts w:ascii="Arial" w:hAnsi="Arial"/>
          <w:b/>
          <w:color w:val="000000"/>
          <w:sz w:val="24"/>
        </w:rPr>
        <w:t>7.3Appropriation</w:t>
      </w:r>
      <w:r>
        <w:rPr>
          <w:rFonts w:ascii="Arial" w:hAnsi="Arial"/>
          <w:b/>
          <w:sz w:val="24"/>
        </w:rPr>
        <w:t xml:space="preserve"> </w:t>
      </w:r>
    </w:p>
    <w:p>
      <w:pPr>
        <w:pStyle w:val="TextBody"/>
        <w:pBdr/>
        <w:bidi w:val="0"/>
        <w:spacing w:lineRule="auto" w:line="266" w:before="93" w:after="0"/>
        <w:ind w:left="3120" w:right="1471" w:hanging="0"/>
        <w:jc w:val="left"/>
        <w:rPr>
          <w:rFonts w:ascii="Arial" w:hAnsi="Arial"/>
          <w:sz w:val="22"/>
        </w:rPr>
      </w:pPr>
      <w:r>
        <w:rPr>
          <w:rFonts w:ascii="Arial" w:hAnsi="Arial"/>
          <w:color w:val="000000"/>
          <w:sz w:val="22"/>
        </w:rPr>
        <w:t>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7"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46" w:name="Representations_and_warranties81"/>
      <w:bookmarkEnd w:id="446"/>
      <w:r>
        <w:rPr>
          <w:rFonts w:ascii="Arial" w:hAnsi="Arial"/>
          <w:color w:val="000000"/>
          <w:sz w:val="32"/>
        </w:rPr>
        <w:t>8Representations and warranties</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47" w:name="Nature811"/>
      <w:bookmarkEnd w:id="447"/>
      <w:r>
        <w:rPr>
          <w:rFonts w:ascii="Arial" w:hAnsi="Arial"/>
          <w:b/>
          <w:color w:val="000000"/>
          <w:sz w:val="24"/>
        </w:rPr>
        <w:t>8.1Nature</w:t>
      </w:r>
      <w:r>
        <w:rPr>
          <w:rFonts w:ascii="Arial" w:hAnsi="Arial"/>
          <w:b/>
          <w:sz w:val="24"/>
        </w:rPr>
        <w:t xml:space="preserve"> </w:t>
      </w:r>
    </w:p>
    <w:p>
      <w:pPr>
        <w:pStyle w:val="TextBody"/>
        <w:bidi w:val="0"/>
        <w:spacing w:before="93" w:after="0"/>
        <w:ind w:left="3120" w:right="700" w:hanging="0"/>
        <w:jc w:val="left"/>
        <w:rPr>
          <w:rFonts w:ascii="Arial" w:hAnsi="Arial"/>
          <w:sz w:val="22"/>
        </w:rPr>
      </w:pPr>
      <w:r>
        <w:rPr>
          <w:rFonts w:ascii="Arial" w:hAnsi="Arial"/>
          <w:color w:val="000000"/>
          <w:sz w:val="22"/>
        </w:rPr>
        <w:t>Each Transaction Party represents and warrants that:</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t>
      </w:r>
      <w:r>
        <w:rPr>
          <w:rFonts w:ascii="Arial" w:hAnsi="Arial"/>
          <w:b/>
          <w:color w:val="000000"/>
          <w:sz w:val="21"/>
        </w:rPr>
        <w:t>duly incorporated:</w:t>
      </w:r>
      <w:r>
        <w:rPr>
          <w:rFonts w:ascii="Arial" w:hAnsi="Arial"/>
          <w:color w:val="000000"/>
          <w:sz w:val="20"/>
        </w:rPr>
        <w:t> </w:t>
      </w:r>
      <w:r>
        <w:rPr>
          <w:rFonts w:ascii="Arial" w:hAnsi="Arial"/>
          <w:color w:val="000000"/>
          <w:sz w:val="21"/>
        </w:rPr>
        <w:t>if it purports to be a corporation, it is duly incorporated in accordance with the laws of its place of incorporation, validly</w:t>
      </w:r>
      <w:r>
        <w:rPr>
          <w:rFonts w:ascii="Arial" w:hAnsi="Arial"/>
          <w:color w:val="000000"/>
          <w:sz w:val="20"/>
        </w:rPr>
        <w:t> </w:t>
      </w:r>
      <w:r>
        <w:rPr>
          <w:rFonts w:ascii="Arial" w:hAnsi="Arial"/>
          <w:color w:val="000000"/>
          <w:sz w:val="21"/>
        </w:rPr>
        <w:t>exists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those</w:t>
      </w:r>
      <w:r>
        <w:rPr>
          <w:rFonts w:ascii="Arial" w:hAnsi="Arial"/>
          <w:color w:val="000000"/>
          <w:sz w:val="20"/>
        </w:rPr>
        <w:t> </w:t>
      </w:r>
      <w:r>
        <w:rPr>
          <w:rFonts w:ascii="Arial" w:hAnsi="Arial"/>
          <w:color w:val="000000"/>
          <w:sz w:val="21"/>
        </w:rPr>
        <w:t>laws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capacity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sue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sued</w:t>
      </w:r>
      <w:r>
        <w:rPr>
          <w:rFonts w:ascii="Arial" w:hAnsi="Arial"/>
          <w:color w:val="000000"/>
          <w:sz w:val="20"/>
        </w:rPr>
        <w:t> </w:t>
      </w:r>
      <w:r>
        <w:rPr>
          <w:rFonts w:ascii="Arial" w:hAnsi="Arial"/>
          <w:color w:val="000000"/>
          <w:sz w:val="21"/>
        </w:rPr>
        <w:t>in its own name and to own its property and conduct its business as it is being conducted;</w:t>
      </w:r>
      <w:r>
        <w:rPr>
          <w:rFonts w:ascii="Arial" w:hAnsi="Arial"/>
          <w:sz w:val="20"/>
        </w:rPr>
        <w:t xml:space="preserve"> </w:t>
      </w:r>
    </w:p>
    <w:p>
      <w:pPr>
        <w:pStyle w:val="TextBody"/>
        <w:bidi w:val="0"/>
        <w:spacing w:lineRule="auto" w:line="266" w:before="120" w:after="0"/>
        <w:ind w:left="3646" w:right="1920" w:hanging="0"/>
        <w:jc w:val="left"/>
        <w:rPr>
          <w:rFonts w:ascii="Arial" w:hAnsi="Arial"/>
          <w:sz w:val="20"/>
        </w:rPr>
      </w:pPr>
      <w:r>
        <w:rPr>
          <w:rFonts w:ascii="Arial" w:hAnsi="Arial"/>
          <w:color w:val="000000"/>
          <w:sz w:val="21"/>
        </w:rPr>
        <w:t>(b)</w:t>
      </w:r>
      <w:r>
        <w:rPr>
          <w:rFonts w:ascii="Arial" w:hAnsi="Arial"/>
          <w:b/>
          <w:color w:val="000000"/>
          <w:sz w:val="21"/>
        </w:rPr>
        <w:t>capacity: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capacity</w:t>
      </w:r>
      <w:r>
        <w:rPr>
          <w:rFonts w:ascii="Arial" w:hAnsi="Arial"/>
          <w:color w:val="000000"/>
          <w:sz w:val="20"/>
        </w:rPr>
        <w:t> </w:t>
      </w:r>
      <w:r>
        <w:rPr>
          <w:rFonts w:ascii="Arial" w:hAnsi="Arial"/>
          <w:color w:val="000000"/>
          <w:sz w:val="21"/>
        </w:rPr>
        <w:t>unconditionally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execute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deliver</w:t>
      </w:r>
      <w:r>
        <w:rPr>
          <w:rFonts w:ascii="Arial" w:hAnsi="Arial"/>
          <w:color w:val="000000"/>
          <w:sz w:val="20"/>
        </w:rPr>
        <w:t> </w:t>
      </w:r>
      <w:r>
        <w:rPr>
          <w:rFonts w:ascii="Arial" w:hAnsi="Arial"/>
          <w:color w:val="000000"/>
          <w:sz w:val="21"/>
        </w:rPr>
        <w:t>and comply with its obligations under the Transaction Documents;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w:t>
      </w:r>
      <w:r>
        <w:rPr>
          <w:rFonts w:ascii="Arial" w:hAnsi="Arial"/>
          <w:b/>
          <w:color w:val="000000"/>
          <w:sz w:val="21"/>
        </w:rPr>
        <w:t>action taken:</w:t>
      </w:r>
      <w:r>
        <w:rPr>
          <w:rFonts w:ascii="Arial" w:hAnsi="Arial"/>
          <w:color w:val="000000"/>
          <w:sz w:val="20"/>
        </w:rPr>
        <w:t> </w:t>
      </w:r>
      <w:r>
        <w:rPr>
          <w:rFonts w:ascii="Arial" w:hAnsi="Arial"/>
          <w:color w:val="000000"/>
          <w:sz w:val="21"/>
        </w:rPr>
        <w:t>it has taken all necessary action to authorise the unconditional</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 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w:t>
      </w:r>
      <w:r>
        <w:rPr>
          <w:rFonts w:ascii="Arial" w:hAnsi="Arial"/>
          <w:b/>
          <w:color w:val="000000"/>
          <w:sz w:val="21"/>
        </w:rPr>
        <w:t>binding obligations:</w:t>
      </w:r>
      <w:r>
        <w:rPr>
          <w:rFonts w:ascii="Arial" w:hAnsi="Arial"/>
          <w:color w:val="000000"/>
          <w:sz w:val="20"/>
        </w:rPr>
        <w:t> </w:t>
      </w:r>
      <w:r>
        <w:rPr>
          <w:rFonts w:ascii="Arial" w:hAnsi="Arial"/>
          <w:color w:val="000000"/>
          <w:sz w:val="21"/>
        </w:rPr>
        <w:t>each Transaction Document constitutes the valid and legally binding obligations of, and is enforceable against it by the 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terms</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stamping</w:t>
      </w:r>
      <w:r>
        <w:rPr>
          <w:rFonts w:ascii="Arial" w:hAnsi="Arial"/>
          <w:color w:val="000000"/>
          <w:sz w:val="20"/>
        </w:rPr>
        <w:t> </w:t>
      </w:r>
      <w:r>
        <w:rPr>
          <w:rFonts w:ascii="Arial" w:hAnsi="Arial"/>
          <w:color w:val="000000"/>
          <w:sz w:val="21"/>
        </w:rPr>
        <w:t>or registration and to equitable principles and insolvency laws);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w:t>
      </w:r>
      <w:r>
        <w:rPr>
          <w:rFonts w:ascii="Arial" w:hAnsi="Arial"/>
          <w:b/>
          <w:color w:val="000000"/>
          <w:sz w:val="21"/>
        </w:rPr>
        <w:t>priority:</w:t>
      </w:r>
      <w:r>
        <w:rPr>
          <w:rFonts w:ascii="Arial" w:hAnsi="Arial"/>
          <w:color w:val="000000"/>
          <w:sz w:val="20"/>
        </w:rPr>
        <w:t> </w:t>
      </w:r>
      <w:r>
        <w:rPr>
          <w:rFonts w:ascii="Arial" w:hAnsi="Arial"/>
          <w:color w:val="000000"/>
          <w:sz w:val="21"/>
        </w:rPr>
        <w:t>each Security Interest which each Transaction Document purports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create</w:t>
      </w:r>
      <w:r>
        <w:rPr>
          <w:rFonts w:ascii="Arial" w:hAnsi="Arial"/>
          <w:color w:val="000000"/>
          <w:sz w:val="20"/>
        </w:rPr>
        <w:t> </w:t>
      </w:r>
      <w:r>
        <w:rPr>
          <w:rFonts w:ascii="Arial" w:hAnsi="Arial"/>
          <w:color w:val="000000"/>
          <w:sz w:val="21"/>
        </w:rPr>
        <w:t>exists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priority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agreed to (subject to any necessary stamping and registration);</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(f)</w:t>
      </w:r>
      <w:r>
        <w:rPr>
          <w:rFonts w:ascii="Arial" w:hAnsi="Arial"/>
          <w:b/>
          <w:sz w:val="21"/>
        </w:rPr>
        <w:t>authorisations:</w:t>
      </w:r>
      <w:r>
        <w:rPr>
          <w:rFonts w:ascii="Arial" w:hAnsi="Arial"/>
          <w:sz w:val="20"/>
        </w:rPr>
        <w:t> </w:t>
      </w:r>
      <w:r>
        <w:rPr>
          <w:rFonts w:ascii="Arial" w:hAnsi="Arial"/>
          <w:sz w:val="21"/>
        </w:rPr>
        <w:t>each</w:t>
      </w:r>
      <w:r>
        <w:rPr>
          <w:rFonts w:ascii="Arial" w:hAnsi="Arial"/>
          <w:sz w:val="20"/>
        </w:rPr>
        <w:t> </w:t>
      </w:r>
      <w:r>
        <w:rPr>
          <w:rFonts w:ascii="Arial" w:hAnsi="Arial"/>
          <w:sz w:val="21"/>
        </w:rPr>
        <w:t>authorisation</w:t>
      </w:r>
      <w:r>
        <w:rPr>
          <w:rFonts w:ascii="Arial" w:hAnsi="Arial"/>
          <w:sz w:val="20"/>
        </w:rPr>
        <w:t> </w:t>
      </w:r>
      <w:r>
        <w:rPr>
          <w:rFonts w:ascii="Arial" w:hAnsi="Arial"/>
          <w:sz w:val="21"/>
        </w:rPr>
        <w:t>from,</w:t>
      </w:r>
      <w:r>
        <w:rPr>
          <w:rFonts w:ascii="Arial" w:hAnsi="Arial"/>
          <w:sz w:val="20"/>
        </w:rPr>
        <w:t> </w:t>
      </w:r>
      <w:r>
        <w:rPr>
          <w:rFonts w:ascii="Arial" w:hAnsi="Arial"/>
          <w:sz w:val="21"/>
        </w:rPr>
        <w:t>and</w:t>
      </w:r>
      <w:r>
        <w:rPr>
          <w:rFonts w:ascii="Arial" w:hAnsi="Arial"/>
          <w:sz w:val="20"/>
        </w:rPr>
        <w:t> </w:t>
      </w:r>
      <w:r>
        <w:rPr>
          <w:rFonts w:ascii="Arial" w:hAnsi="Arial"/>
          <w:sz w:val="21"/>
        </w:rPr>
        <w:t>filing</w:t>
      </w:r>
      <w:r>
        <w:rPr>
          <w:rFonts w:ascii="Arial" w:hAnsi="Arial"/>
          <w:sz w:val="20"/>
        </w:rPr>
        <w:t> </w:t>
      </w:r>
      <w:r>
        <w:rPr>
          <w:rFonts w:ascii="Arial" w:hAnsi="Arial"/>
          <w:sz w:val="21"/>
        </w:rPr>
        <w:t>and</w:t>
      </w:r>
      <w:r>
        <w:rPr>
          <w:rFonts w:ascii="Arial" w:hAnsi="Arial"/>
          <w:sz w:val="20"/>
        </w:rPr>
        <w:t> </w:t>
      </w:r>
      <w:r>
        <w:rPr>
          <w:rFonts w:ascii="Arial" w:hAnsi="Arial"/>
          <w:sz w:val="21"/>
        </w:rPr>
        <w:t>registration</w:t>
      </w:r>
      <w:r>
        <w:rPr>
          <w:rFonts w:ascii="Arial" w:hAnsi="Arial"/>
          <w:sz w:val="20"/>
        </w:rPr>
        <w:t> </w:t>
      </w:r>
      <w:r>
        <w:rPr>
          <w:rFonts w:ascii="Arial" w:hAnsi="Arial"/>
          <w:sz w:val="21"/>
        </w:rPr>
        <w:t>with, a Government Body necessary to enable it to unconditionally execute and deliver and comply with its obligations under the Transaction Documents to which it is a party has been obtained, effected and complied with;</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(g)</w:t>
      </w:r>
      <w:r>
        <w:rPr>
          <w:rFonts w:ascii="Arial" w:hAnsi="Arial"/>
          <w:b/>
          <w:sz w:val="21"/>
        </w:rPr>
        <w:t>no contravention:</w:t>
      </w:r>
      <w:r>
        <w:rPr>
          <w:rFonts w:ascii="Arial" w:hAnsi="Arial"/>
          <w:sz w:val="20"/>
        </w:rPr>
        <w:t> </w:t>
      </w:r>
      <w:r>
        <w:rPr>
          <w:rFonts w:ascii="Arial" w:hAnsi="Arial"/>
          <w:sz w:val="21"/>
        </w:rPr>
        <w:t>the unconditional execution and delivery of, and compliance</w:t>
      </w:r>
      <w:r>
        <w:rPr>
          <w:rFonts w:ascii="Arial" w:hAnsi="Arial"/>
          <w:sz w:val="20"/>
        </w:rPr>
        <w:t> </w:t>
      </w:r>
      <w:r>
        <w:rPr>
          <w:rFonts w:ascii="Arial" w:hAnsi="Arial"/>
          <w:sz w:val="21"/>
        </w:rPr>
        <w:t>with</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by it</w:t>
      </w:r>
      <w:r>
        <w:rPr>
          <w:rFonts w:ascii="Arial" w:hAnsi="Arial"/>
          <w:sz w:val="20"/>
        </w:rPr>
        <w:t> </w:t>
      </w:r>
      <w:r>
        <w:rPr>
          <w:rFonts w:ascii="Arial" w:hAnsi="Arial"/>
          <w:sz w:val="21"/>
        </w:rPr>
        <w:t>under,</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Documents</w:t>
      </w:r>
      <w:r>
        <w:rPr>
          <w:rFonts w:ascii="Arial" w:hAnsi="Arial"/>
          <w:sz w:val="20"/>
        </w:rPr>
        <w:t> </w:t>
      </w:r>
      <w:r>
        <w:rPr>
          <w:rFonts w:ascii="Arial" w:hAnsi="Arial"/>
          <w:sz w:val="21"/>
        </w:rPr>
        <w:t>to which it is a party do not:</w:t>
      </w:r>
      <w:r>
        <w:rPr>
          <w:rFonts w:ascii="Arial" w:hAnsi="Arial"/>
          <w:sz w:val="20"/>
        </w:rPr>
        <w:t xml:space="preserve"> </w:t>
      </w:r>
    </w:p>
    <w:p>
      <w:pPr>
        <w:pStyle w:val="TextBody"/>
        <w:bidi w:val="0"/>
        <w:spacing w:lineRule="auto" w:line="266" w:before="118" w:after="0"/>
        <w:ind w:left="4275" w:right="1408" w:hanging="0"/>
        <w:jc w:val="left"/>
        <w:rPr>
          <w:rFonts w:ascii="Arial" w:hAnsi="Arial"/>
          <w:sz w:val="20"/>
        </w:rPr>
      </w:pPr>
      <w:r>
        <w:rPr>
          <w:rFonts w:ascii="Arial" w:hAnsi="Arial"/>
          <w:sz w:val="21"/>
        </w:rPr>
        <w:t>(i)contravene any law to which it or any of its property is subject or any</w:t>
      </w:r>
      <w:r>
        <w:rPr>
          <w:rFonts w:ascii="Arial" w:hAnsi="Arial"/>
          <w:sz w:val="20"/>
        </w:rPr>
        <w:t> </w:t>
      </w:r>
      <w:r>
        <w:rPr>
          <w:rFonts w:ascii="Arial" w:hAnsi="Arial"/>
          <w:sz w:val="21"/>
        </w:rPr>
        <w:t>order</w:t>
      </w:r>
      <w:r>
        <w:rPr>
          <w:rFonts w:ascii="Arial" w:hAnsi="Arial"/>
          <w:sz w:val="20"/>
        </w:rPr>
        <w:t> </w:t>
      </w:r>
      <w:r>
        <w:rPr>
          <w:rFonts w:ascii="Arial" w:hAnsi="Arial"/>
          <w:sz w:val="21"/>
        </w:rPr>
        <w:t>or</w:t>
      </w:r>
      <w:r>
        <w:rPr>
          <w:rFonts w:ascii="Arial" w:hAnsi="Arial"/>
          <w:sz w:val="20"/>
        </w:rPr>
        <w:t> </w:t>
      </w:r>
      <w:r>
        <w:rPr>
          <w:rFonts w:ascii="Arial" w:hAnsi="Arial"/>
          <w:sz w:val="21"/>
        </w:rPr>
        <w:t>directive</w:t>
      </w:r>
      <w:r>
        <w:rPr>
          <w:rFonts w:ascii="Arial" w:hAnsi="Arial"/>
          <w:sz w:val="20"/>
        </w:rPr>
        <w:t> </w:t>
      </w:r>
      <w:r>
        <w:rPr>
          <w:rFonts w:ascii="Arial" w:hAnsi="Arial"/>
          <w:sz w:val="21"/>
        </w:rPr>
        <w:t>from</w:t>
      </w:r>
      <w:r>
        <w:rPr>
          <w:rFonts w:ascii="Arial" w:hAnsi="Arial"/>
          <w:sz w:val="20"/>
        </w:rPr>
        <w:t> </w:t>
      </w:r>
      <w:r>
        <w:rPr>
          <w:rFonts w:ascii="Arial" w:hAnsi="Arial"/>
          <w:sz w:val="21"/>
        </w:rPr>
        <w:t>a</w:t>
      </w:r>
      <w:r>
        <w:rPr>
          <w:rFonts w:ascii="Arial" w:hAnsi="Arial"/>
          <w:sz w:val="20"/>
        </w:rPr>
        <w:t> </w:t>
      </w:r>
      <w:r>
        <w:rPr>
          <w:rFonts w:ascii="Arial" w:hAnsi="Arial"/>
          <w:sz w:val="21"/>
        </w:rPr>
        <w:t>Government</w:t>
      </w:r>
      <w:r>
        <w:rPr>
          <w:rFonts w:ascii="Arial" w:hAnsi="Arial"/>
          <w:sz w:val="20"/>
        </w:rPr>
        <w:t> </w:t>
      </w:r>
      <w:r>
        <w:rPr>
          <w:rFonts w:ascii="Arial" w:hAnsi="Arial"/>
          <w:sz w:val="21"/>
        </w:rPr>
        <w:t>Body</w:t>
      </w:r>
      <w:r>
        <w:rPr>
          <w:rFonts w:ascii="Arial" w:hAnsi="Arial"/>
          <w:sz w:val="20"/>
        </w:rPr>
        <w:t> </w:t>
      </w:r>
      <w:r>
        <w:rPr>
          <w:rFonts w:ascii="Arial" w:hAnsi="Arial"/>
          <w:sz w:val="21"/>
        </w:rPr>
        <w:t>binding</w:t>
      </w:r>
      <w:r>
        <w:rPr>
          <w:rFonts w:ascii="Arial" w:hAnsi="Arial"/>
          <w:sz w:val="20"/>
        </w:rPr>
        <w:t> </w:t>
      </w:r>
      <w:r>
        <w:rPr>
          <w:rFonts w:ascii="Arial" w:hAnsi="Arial"/>
          <w:sz w:val="21"/>
        </w:rPr>
        <w:t>on</w:t>
      </w:r>
      <w:r>
        <w:rPr>
          <w:rFonts w:ascii="Arial" w:hAnsi="Arial"/>
          <w:sz w:val="20"/>
        </w:rPr>
        <w:t> </w:t>
      </w:r>
      <w:r>
        <w:rPr>
          <w:rFonts w:ascii="Arial" w:hAnsi="Arial"/>
          <w:sz w:val="21"/>
        </w:rPr>
        <w:t>it</w:t>
      </w:r>
      <w:r>
        <w:rPr>
          <w:rFonts w:ascii="Arial" w:hAnsi="Arial"/>
          <w:sz w:val="20"/>
        </w:rPr>
        <w:t> </w:t>
      </w:r>
      <w:r>
        <w:rPr>
          <w:rFonts w:ascii="Arial" w:hAnsi="Arial"/>
          <w:sz w:val="21"/>
        </w:rPr>
        <w:t>or</w:t>
      </w:r>
      <w:r>
        <w:rPr>
          <w:rFonts w:ascii="Arial" w:hAnsi="Arial"/>
          <w:sz w:val="20"/>
        </w:rPr>
        <w:t> </w:t>
      </w:r>
      <w:r>
        <w:rPr>
          <w:rFonts w:ascii="Arial" w:hAnsi="Arial"/>
          <w:sz w:val="21"/>
        </w:rPr>
        <w:t>any of its property;</w:t>
      </w:r>
      <w:r>
        <w:rPr>
          <w:rFonts w:ascii="Arial" w:hAnsi="Arial"/>
          <w:sz w:val="20"/>
        </w:rPr>
        <w:t xml:space="preserve"> </w:t>
      </w:r>
    </w:p>
    <w:p>
      <w:pPr>
        <w:pStyle w:val="TextBody"/>
        <w:bidi w:val="0"/>
        <w:spacing w:before="120" w:after="0"/>
        <w:ind w:left="4275" w:right="700" w:hanging="0"/>
        <w:jc w:val="left"/>
        <w:rPr>
          <w:rFonts w:ascii="Arial" w:hAnsi="Arial"/>
          <w:sz w:val="20"/>
        </w:rPr>
      </w:pPr>
      <w:r>
        <w:rPr>
          <w:rFonts w:ascii="Arial" w:hAnsi="Arial"/>
          <w:sz w:val="21"/>
        </w:rPr>
        <w:t>(ii)contravene</w:t>
      </w:r>
      <w:r>
        <w:rPr>
          <w:rFonts w:ascii="Arial" w:hAnsi="Arial"/>
          <w:sz w:val="20"/>
        </w:rPr>
        <w:t> </w:t>
      </w:r>
      <w:r>
        <w:rPr>
          <w:rFonts w:ascii="Arial" w:hAnsi="Arial"/>
          <w:sz w:val="21"/>
        </w:rPr>
        <w:t>its</w:t>
      </w:r>
      <w:r>
        <w:rPr>
          <w:rFonts w:ascii="Arial" w:hAnsi="Arial"/>
          <w:sz w:val="20"/>
        </w:rPr>
        <w:t> </w:t>
      </w:r>
      <w:r>
        <w:rPr>
          <w:rFonts w:ascii="Arial" w:hAnsi="Arial"/>
          <w:sz w:val="21"/>
        </w:rPr>
        <w:t>constituent</w:t>
      </w:r>
      <w:r>
        <w:rPr>
          <w:rFonts w:ascii="Arial" w:hAnsi="Arial"/>
          <w:sz w:val="20"/>
        </w:rPr>
        <w:t> </w:t>
      </w:r>
      <w:r>
        <w:rPr>
          <w:rFonts w:ascii="Arial" w:hAnsi="Arial"/>
          <w:sz w:val="21"/>
        </w:rPr>
        <w:t>documents;</w:t>
      </w:r>
      <w:r>
        <w:rPr>
          <w:rFonts w:ascii="Arial" w:hAnsi="Arial"/>
          <w:sz w:val="20"/>
        </w:rPr>
        <w:t xml:space="preserve"> </w:t>
      </w:r>
    </w:p>
    <w:p>
      <w:pPr>
        <w:pStyle w:val="TextBody"/>
        <w:bidi w:val="0"/>
        <w:spacing w:before="150" w:after="0"/>
        <w:ind w:left="4275" w:right="700" w:hanging="0"/>
        <w:jc w:val="left"/>
        <w:rPr>
          <w:rFonts w:ascii="Arial" w:hAnsi="Arial"/>
          <w:sz w:val="20"/>
        </w:rPr>
      </w:pPr>
      <w:r>
        <w:rPr>
          <w:rFonts w:ascii="Arial" w:hAnsi="Arial"/>
          <w:sz w:val="21"/>
        </w:rPr>
        <w:t>(iii)contravene</w:t>
      </w:r>
      <w:r>
        <w:rPr>
          <w:rFonts w:ascii="Arial" w:hAnsi="Arial"/>
          <w:sz w:val="20"/>
        </w:rPr>
        <w:t> </w:t>
      </w:r>
      <w:r>
        <w:rPr>
          <w:rFonts w:ascii="Arial" w:hAnsi="Arial"/>
          <w:sz w:val="21"/>
        </w:rPr>
        <w:t>any</w:t>
      </w:r>
      <w:r>
        <w:rPr>
          <w:rFonts w:ascii="Arial" w:hAnsi="Arial"/>
          <w:sz w:val="20"/>
        </w:rPr>
        <w:t> </w:t>
      </w:r>
      <w:r>
        <w:rPr>
          <w:rFonts w:ascii="Arial" w:hAnsi="Arial"/>
          <w:sz w:val="21"/>
        </w:rPr>
        <w:t>agreement</w:t>
      </w:r>
      <w:r>
        <w:rPr>
          <w:rFonts w:ascii="Arial" w:hAnsi="Arial"/>
          <w:sz w:val="20"/>
        </w:rPr>
        <w:t> </w:t>
      </w:r>
      <w:r>
        <w:rPr>
          <w:rFonts w:ascii="Arial" w:hAnsi="Arial"/>
          <w:sz w:val="21"/>
        </w:rPr>
        <w:t>or</w:t>
      </w:r>
      <w:r>
        <w:rPr>
          <w:rFonts w:ascii="Arial" w:hAnsi="Arial"/>
          <w:sz w:val="20"/>
        </w:rPr>
        <w:t> </w:t>
      </w:r>
      <w:r>
        <w:rPr>
          <w:rFonts w:ascii="Arial" w:hAnsi="Arial"/>
          <w:sz w:val="21"/>
        </w:rPr>
        <w:t>instrument</w:t>
      </w:r>
      <w:r>
        <w:rPr>
          <w:rFonts w:ascii="Arial" w:hAnsi="Arial"/>
          <w:sz w:val="20"/>
        </w:rPr>
        <w:t> </w:t>
      </w:r>
      <w:r>
        <w:rPr>
          <w:rFonts w:ascii="Arial" w:hAnsi="Arial"/>
          <w:sz w:val="21"/>
        </w:rPr>
        <w:t>to</w:t>
      </w:r>
      <w:r>
        <w:rPr>
          <w:rFonts w:ascii="Arial" w:hAnsi="Arial"/>
          <w:sz w:val="20"/>
        </w:rPr>
        <w:t> </w:t>
      </w:r>
      <w:r>
        <w:rPr>
          <w:rFonts w:ascii="Arial" w:hAnsi="Arial"/>
          <w:sz w:val="21"/>
        </w:rPr>
        <w:t>which</w:t>
      </w:r>
      <w:r>
        <w:rPr>
          <w:rFonts w:ascii="Arial" w:hAnsi="Arial"/>
          <w:sz w:val="20"/>
        </w:rPr>
        <w:t> </w:t>
      </w:r>
      <w:r>
        <w:rPr>
          <w:rFonts w:ascii="Arial" w:hAnsi="Arial"/>
          <w:sz w:val="21"/>
        </w:rPr>
        <w:t>it</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party;</w:t>
      </w:r>
      <w:r>
        <w:rPr>
          <w:rFonts w:ascii="Arial" w:hAnsi="Arial"/>
          <w:sz w:val="20"/>
        </w:rPr>
        <w:t xml:space="preserve"> </w:t>
      </w:r>
    </w:p>
    <w:p>
      <w:pPr>
        <w:pStyle w:val="TextBody"/>
        <w:bidi w:val="0"/>
        <w:spacing w:before="147" w:after="0"/>
        <w:ind w:left="4275" w:right="700" w:hanging="0"/>
        <w:jc w:val="left"/>
        <w:rPr>
          <w:rFonts w:ascii="Arial" w:hAnsi="Arial"/>
          <w:sz w:val="20"/>
        </w:rPr>
      </w:pPr>
      <w:r>
        <w:rPr>
          <w:rFonts w:ascii="Arial" w:hAnsi="Arial"/>
          <w:sz w:val="21"/>
        </w:rPr>
        <w:t>(iv)contravene</w:t>
      </w:r>
      <w:r>
        <w:rPr>
          <w:rFonts w:ascii="Arial" w:hAnsi="Arial"/>
          <w:sz w:val="20"/>
        </w:rPr>
        <w:t> </w:t>
      </w:r>
      <w:r>
        <w:rPr>
          <w:rFonts w:ascii="Arial" w:hAnsi="Arial"/>
          <w:sz w:val="21"/>
        </w:rPr>
        <w:t>any</w:t>
      </w:r>
      <w:r>
        <w:rPr>
          <w:rFonts w:ascii="Arial" w:hAnsi="Arial"/>
          <w:sz w:val="20"/>
        </w:rPr>
        <w:t> </w:t>
      </w:r>
      <w:r>
        <w:rPr>
          <w:rFonts w:ascii="Arial" w:hAnsi="Arial"/>
          <w:sz w:val="21"/>
        </w:rPr>
        <w:t>obligation</w:t>
      </w:r>
      <w:r>
        <w:rPr>
          <w:rFonts w:ascii="Arial" w:hAnsi="Arial"/>
          <w:sz w:val="20"/>
        </w:rPr>
        <w:t> </w:t>
      </w:r>
      <w:r>
        <w:rPr>
          <w:rFonts w:ascii="Arial" w:hAnsi="Arial"/>
          <w:sz w:val="21"/>
        </w:rPr>
        <w:t>it</w:t>
      </w:r>
      <w:r>
        <w:rPr>
          <w:rFonts w:ascii="Arial" w:hAnsi="Arial"/>
          <w:sz w:val="20"/>
        </w:rPr>
        <w:t> </w:t>
      </w:r>
      <w:r>
        <w:rPr>
          <w:rFonts w:ascii="Arial" w:hAnsi="Arial"/>
          <w:sz w:val="21"/>
        </w:rPr>
        <w:t>has</w:t>
      </w:r>
      <w:r>
        <w:rPr>
          <w:rFonts w:ascii="Arial" w:hAnsi="Arial"/>
          <w:sz w:val="20"/>
        </w:rPr>
        <w:t> </w:t>
      </w:r>
      <w:r>
        <w:rPr>
          <w:rFonts w:ascii="Arial" w:hAnsi="Arial"/>
          <w:sz w:val="21"/>
        </w:rPr>
        <w:t>to</w:t>
      </w:r>
      <w:r>
        <w:rPr>
          <w:rFonts w:ascii="Arial" w:hAnsi="Arial"/>
          <w:sz w:val="20"/>
        </w:rPr>
        <w:t> </w:t>
      </w:r>
      <w:r>
        <w:rPr>
          <w:rFonts w:ascii="Arial" w:hAnsi="Arial"/>
          <w:sz w:val="21"/>
        </w:rPr>
        <w:t>any</w:t>
      </w:r>
      <w:r>
        <w:rPr>
          <w:rFonts w:ascii="Arial" w:hAnsi="Arial"/>
          <w:sz w:val="20"/>
        </w:rPr>
        <w:t> </w:t>
      </w:r>
      <w:r>
        <w:rPr>
          <w:rFonts w:ascii="Arial" w:hAnsi="Arial"/>
          <w:sz w:val="21"/>
        </w:rPr>
        <w:t>other</w:t>
      </w:r>
      <w:r>
        <w:rPr>
          <w:rFonts w:ascii="Arial" w:hAnsi="Arial"/>
          <w:sz w:val="20"/>
        </w:rPr>
        <w:t> </w:t>
      </w:r>
      <w:r>
        <w:rPr>
          <w:rFonts w:ascii="Arial" w:hAnsi="Arial"/>
          <w:sz w:val="21"/>
        </w:rPr>
        <w:t>person;</w:t>
      </w:r>
      <w:r>
        <w:rPr>
          <w:rFonts w:ascii="Arial" w:hAnsi="Arial"/>
          <w:sz w:val="20"/>
        </w:rPr>
        <w:t xml:space="preserve"> </w:t>
      </w:r>
      <w:r>
        <w:rPr>
          <w:rFonts w:ascii="Arial" w:hAnsi="Arial"/>
          <w:sz w:val="21"/>
        </w:rPr>
        <w:t>or</w:t>
      </w:r>
      <w:r>
        <w:rPr>
          <w:rFonts w:ascii="Arial" w:hAnsi="Arial"/>
          <w:sz w:val="20"/>
        </w:rPr>
        <w:t xml:space="preserve"> </w:t>
      </w:r>
    </w:p>
    <w:p>
      <w:pPr>
        <w:pStyle w:val="TextBody"/>
        <w:bidi w:val="0"/>
        <w:spacing w:lineRule="auto" w:line="266" w:before="147" w:after="0"/>
        <w:ind w:left="4275" w:right="1979" w:hanging="0"/>
        <w:jc w:val="left"/>
        <w:rPr>
          <w:rFonts w:ascii="Arial" w:hAnsi="Arial"/>
          <w:sz w:val="20"/>
        </w:rPr>
      </w:pPr>
      <w:r>
        <w:rPr>
          <w:rFonts w:ascii="Arial" w:hAnsi="Arial"/>
          <w:sz w:val="21"/>
        </w:rPr>
        <w:t>(v)require it to make any payment or delivery in relation to any Financial Indebtedness (other than Excluded Financial Indebtedness)</w:t>
      </w:r>
      <w:r>
        <w:rPr>
          <w:rFonts w:ascii="Arial" w:hAnsi="Arial"/>
          <w:sz w:val="20"/>
        </w:rPr>
        <w:t> </w:t>
      </w:r>
      <w:r>
        <w:rPr>
          <w:rFonts w:ascii="Arial" w:hAnsi="Arial"/>
          <w:sz w:val="21"/>
        </w:rPr>
        <w:t>before</w:t>
      </w:r>
      <w:r>
        <w:rPr>
          <w:rFonts w:ascii="Arial" w:hAnsi="Arial"/>
          <w:sz w:val="20"/>
        </w:rPr>
        <w:t> </w:t>
      </w:r>
      <w:r>
        <w:rPr>
          <w:rFonts w:ascii="Arial" w:hAnsi="Arial"/>
          <w:sz w:val="21"/>
        </w:rPr>
        <w:t>the</w:t>
      </w:r>
      <w:r>
        <w:rPr>
          <w:rFonts w:ascii="Arial" w:hAnsi="Arial"/>
          <w:sz w:val="20"/>
        </w:rPr>
        <w:t> </w:t>
      </w:r>
      <w:r>
        <w:rPr>
          <w:rFonts w:ascii="Arial" w:hAnsi="Arial"/>
          <w:sz w:val="21"/>
        </w:rPr>
        <w:t>scheduled</w:t>
      </w:r>
      <w:r>
        <w:rPr>
          <w:rFonts w:ascii="Arial" w:hAnsi="Arial"/>
          <w:sz w:val="20"/>
        </w:rPr>
        <w:t> </w:t>
      </w:r>
      <w:r>
        <w:rPr>
          <w:rFonts w:ascii="Arial" w:hAnsi="Arial"/>
          <w:sz w:val="21"/>
        </w:rPr>
        <w:t>date</w:t>
      </w:r>
      <w:r>
        <w:rPr>
          <w:rFonts w:ascii="Arial" w:hAnsi="Arial"/>
          <w:sz w:val="20"/>
        </w:rPr>
        <w:t> </w:t>
      </w:r>
      <w:r>
        <w:rPr>
          <w:rFonts w:ascii="Arial" w:hAnsi="Arial"/>
          <w:sz w:val="21"/>
        </w:rPr>
        <w:t>for</w:t>
      </w:r>
      <w:r>
        <w:rPr>
          <w:rFonts w:ascii="Arial" w:hAnsi="Arial"/>
          <w:sz w:val="20"/>
        </w:rPr>
        <w:t> </w:t>
      </w:r>
      <w:r>
        <w:rPr>
          <w:rFonts w:ascii="Arial" w:hAnsi="Arial"/>
          <w:sz w:val="21"/>
        </w:rPr>
        <w:t>that</w:t>
      </w:r>
      <w:r>
        <w:rPr>
          <w:rFonts w:ascii="Arial" w:hAnsi="Arial"/>
          <w:sz w:val="20"/>
        </w:rPr>
        <w:t> </w:t>
      </w:r>
      <w:r>
        <w:rPr>
          <w:rFonts w:ascii="Arial" w:hAnsi="Arial"/>
          <w:sz w:val="21"/>
        </w:rPr>
        <w:t>payment</w:t>
      </w:r>
      <w:r>
        <w:rPr>
          <w:rFonts w:ascii="Arial" w:hAnsi="Arial"/>
          <w:sz w:val="20"/>
        </w:rPr>
        <w:t> </w:t>
      </w:r>
      <w:r>
        <w:rPr>
          <w:rFonts w:ascii="Arial" w:hAnsi="Arial"/>
          <w:sz w:val="21"/>
        </w:rPr>
        <w:t>or delivery;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(h)</w:t>
      </w:r>
      <w:r>
        <w:rPr>
          <w:rFonts w:ascii="Arial" w:hAnsi="Arial"/>
          <w:b/>
          <w:sz w:val="21"/>
        </w:rPr>
        <w:t>correct information:</w:t>
      </w:r>
      <w:r>
        <w:rPr>
          <w:rFonts w:ascii="Arial" w:hAnsi="Arial"/>
          <w:sz w:val="20"/>
        </w:rPr>
        <w:t> </w:t>
      </w:r>
      <w:r>
        <w:rPr>
          <w:rFonts w:ascii="Arial" w:hAnsi="Arial"/>
          <w:sz w:val="21"/>
        </w:rPr>
        <w:t>all information given and each statement made to any</w:t>
      </w:r>
      <w:r>
        <w:rPr>
          <w:rFonts w:ascii="Arial" w:hAnsi="Arial"/>
          <w:sz w:val="20"/>
        </w:rPr>
        <w:t> </w:t>
      </w:r>
      <w:r>
        <w:rPr>
          <w:rFonts w:ascii="Arial" w:hAnsi="Arial"/>
          <w:sz w:val="21"/>
        </w:rPr>
        <w:t>Bank</w:t>
      </w:r>
      <w:r>
        <w:rPr>
          <w:rFonts w:ascii="Arial" w:hAnsi="Arial"/>
          <w:sz w:val="20"/>
        </w:rPr>
        <w:t> </w:t>
      </w:r>
      <w:r>
        <w:rPr>
          <w:rFonts w:ascii="Arial" w:hAnsi="Arial"/>
          <w:sz w:val="21"/>
        </w:rPr>
        <w:t>by</w:t>
      </w:r>
      <w:r>
        <w:rPr>
          <w:rFonts w:ascii="Arial" w:hAnsi="Arial"/>
          <w:sz w:val="20"/>
        </w:rPr>
        <w:t> </w:t>
      </w:r>
      <w:r>
        <w:rPr>
          <w:rFonts w:ascii="Arial" w:hAnsi="Arial"/>
          <w:sz w:val="21"/>
        </w:rPr>
        <w:t>it</w:t>
      </w:r>
      <w:r>
        <w:rPr>
          <w:rFonts w:ascii="Arial" w:hAnsi="Arial"/>
          <w:sz w:val="20"/>
        </w:rPr>
        <w:t> </w:t>
      </w:r>
      <w:r>
        <w:rPr>
          <w:rFonts w:ascii="Arial" w:hAnsi="Arial"/>
          <w:sz w:val="21"/>
        </w:rPr>
        <w:t>or</w:t>
      </w:r>
      <w:r>
        <w:rPr>
          <w:rFonts w:ascii="Arial" w:hAnsi="Arial"/>
          <w:sz w:val="20"/>
        </w:rPr>
        <w:t> </w:t>
      </w:r>
      <w:r>
        <w:rPr>
          <w:rFonts w:ascii="Arial" w:hAnsi="Arial"/>
          <w:sz w:val="21"/>
        </w:rPr>
        <w:t>at</w:t>
      </w:r>
      <w:r>
        <w:rPr>
          <w:rFonts w:ascii="Arial" w:hAnsi="Arial"/>
          <w:sz w:val="20"/>
        </w:rPr>
        <w:t> </w:t>
      </w:r>
      <w:r>
        <w:rPr>
          <w:rFonts w:ascii="Arial" w:hAnsi="Arial"/>
          <w:sz w:val="21"/>
        </w:rPr>
        <w:t>its</w:t>
      </w:r>
      <w:r>
        <w:rPr>
          <w:rFonts w:ascii="Arial" w:hAnsi="Arial"/>
          <w:sz w:val="20"/>
        </w:rPr>
        <w:t> </w:t>
      </w:r>
      <w:r>
        <w:rPr>
          <w:rFonts w:ascii="Arial" w:hAnsi="Arial"/>
          <w:sz w:val="21"/>
        </w:rPr>
        <w:t>direction</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Documents, is correct, complete and not misleading;</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(i)</w:t>
      </w:r>
      <w:r>
        <w:rPr>
          <w:rFonts w:ascii="Arial" w:hAnsi="Arial"/>
          <w:b/>
          <w:sz w:val="21"/>
        </w:rPr>
        <w:t>full disclosure:</w:t>
      </w:r>
      <w:r>
        <w:rPr>
          <w:rFonts w:ascii="Arial" w:hAnsi="Arial"/>
          <w:sz w:val="20"/>
        </w:rPr>
        <w:t> </w:t>
      </w:r>
      <w:r>
        <w:rPr>
          <w:rFonts w:ascii="Arial" w:hAnsi="Arial"/>
          <w:sz w:val="21"/>
        </w:rPr>
        <w:t>it has disclosed to the Bank all information which the Borrower</w:t>
      </w:r>
      <w:r>
        <w:rPr>
          <w:rFonts w:ascii="Arial" w:hAnsi="Arial"/>
          <w:sz w:val="20"/>
        </w:rPr>
        <w:t> </w:t>
      </w:r>
      <w:r>
        <w:rPr>
          <w:rFonts w:ascii="Arial" w:hAnsi="Arial"/>
          <w:sz w:val="21"/>
        </w:rPr>
        <w:t>has</w:t>
      </w:r>
      <w:r>
        <w:rPr>
          <w:rFonts w:ascii="Arial" w:hAnsi="Arial"/>
          <w:sz w:val="20"/>
        </w:rPr>
        <w:t> </w:t>
      </w:r>
      <w:r>
        <w:rPr>
          <w:rFonts w:ascii="Arial" w:hAnsi="Arial"/>
          <w:sz w:val="21"/>
        </w:rPr>
        <w:t>or</w:t>
      </w:r>
      <w:r>
        <w:rPr>
          <w:rFonts w:ascii="Arial" w:hAnsi="Arial"/>
          <w:sz w:val="20"/>
        </w:rPr>
        <w:t> </w:t>
      </w:r>
      <w:r>
        <w:rPr>
          <w:rFonts w:ascii="Arial" w:hAnsi="Arial"/>
          <w:sz w:val="21"/>
        </w:rPr>
        <w:t>has</w:t>
      </w:r>
      <w:r>
        <w:rPr>
          <w:rFonts w:ascii="Arial" w:hAnsi="Arial"/>
          <w:sz w:val="20"/>
        </w:rPr>
        <w:t> </w:t>
      </w:r>
      <w:r>
        <w:rPr>
          <w:rFonts w:ascii="Arial" w:hAnsi="Arial"/>
          <w:sz w:val="21"/>
        </w:rPr>
        <w:t>access</w:t>
      </w:r>
      <w:r>
        <w:rPr>
          <w:rFonts w:ascii="Arial" w:hAnsi="Arial"/>
          <w:sz w:val="20"/>
        </w:rPr>
        <w:t> </w:t>
      </w:r>
      <w:r>
        <w:rPr>
          <w:rFonts w:ascii="Arial" w:hAnsi="Arial"/>
          <w:sz w:val="21"/>
        </w:rPr>
        <w:t>to</w:t>
      </w:r>
      <w:r>
        <w:rPr>
          <w:rFonts w:ascii="Arial" w:hAnsi="Arial"/>
          <w:sz w:val="20"/>
        </w:rPr>
        <w:t> </w:t>
      </w:r>
      <w:r>
        <w:rPr>
          <w:rFonts w:ascii="Arial" w:hAnsi="Arial"/>
          <w:sz w:val="21"/>
        </w:rPr>
        <w:t>and</w:t>
      </w:r>
      <w:r>
        <w:rPr>
          <w:rFonts w:ascii="Arial" w:hAnsi="Arial"/>
          <w:sz w:val="20"/>
        </w:rPr>
        <w:t> </w:t>
      </w:r>
      <w:r>
        <w:rPr>
          <w:rFonts w:ascii="Arial" w:hAnsi="Arial"/>
          <w:sz w:val="21"/>
        </w:rPr>
        <w:t>which</w:t>
      </w:r>
      <w:r>
        <w:rPr>
          <w:rFonts w:ascii="Arial" w:hAnsi="Arial"/>
          <w:sz w:val="20"/>
        </w:rPr>
        <w:t> </w:t>
      </w:r>
      <w:r>
        <w:rPr>
          <w:rFonts w:ascii="Arial" w:hAnsi="Arial"/>
          <w:sz w:val="21"/>
        </w:rPr>
        <w:t>is</w:t>
      </w:r>
      <w:r>
        <w:rPr>
          <w:rFonts w:ascii="Arial" w:hAnsi="Arial"/>
          <w:sz w:val="20"/>
        </w:rPr>
        <w:t> </w:t>
      </w:r>
      <w:r>
        <w:rPr>
          <w:rFonts w:ascii="Arial" w:hAnsi="Arial"/>
          <w:sz w:val="21"/>
        </w:rPr>
        <w:t>relevant</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assessment by the Bank of the nature and amount of the risks undertaken by the Bank becoming a creditor of or taking a Security from it;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(j)</w:t>
      </w:r>
      <w:r>
        <w:rPr>
          <w:rFonts w:ascii="Arial" w:hAnsi="Arial"/>
          <w:b/>
          <w:sz w:val="21"/>
        </w:rPr>
        <w:t>Financial</w:t>
      </w:r>
      <w:r>
        <w:rPr>
          <w:rFonts w:ascii="Arial" w:hAnsi="Arial"/>
          <w:sz w:val="20"/>
        </w:rPr>
        <w:t> </w:t>
      </w:r>
      <w:r>
        <w:rPr>
          <w:rFonts w:ascii="Arial" w:hAnsi="Arial"/>
          <w:b/>
          <w:sz w:val="21"/>
        </w:rPr>
        <w:t>Statements:</w:t>
      </w:r>
      <w:r>
        <w:rPr>
          <w:rFonts w:ascii="Arial" w:hAnsi="Arial"/>
          <w:sz w:val="20"/>
        </w:rPr>
        <w:t> </w:t>
      </w:r>
      <w:r>
        <w:rPr>
          <w:rFonts w:ascii="Arial" w:hAnsi="Arial"/>
          <w:sz w:val="21"/>
        </w:rPr>
        <w:t>the</w:t>
      </w:r>
      <w:r>
        <w:rPr>
          <w:rFonts w:ascii="Arial" w:hAnsi="Arial"/>
          <w:sz w:val="20"/>
        </w:rPr>
        <w:t> </w:t>
      </w:r>
      <w:r>
        <w:rPr>
          <w:rFonts w:ascii="Arial" w:hAnsi="Arial"/>
          <w:sz w:val="21"/>
        </w:rPr>
        <w:t>Financial</w:t>
      </w:r>
      <w:r>
        <w:rPr>
          <w:rFonts w:ascii="Arial" w:hAnsi="Arial"/>
          <w:sz w:val="20"/>
        </w:rPr>
        <w:t> </w:t>
      </w:r>
      <w:r>
        <w:rPr>
          <w:rFonts w:ascii="Arial" w:hAnsi="Arial"/>
          <w:sz w:val="21"/>
        </w:rPr>
        <w:t>Statements</w:t>
      </w:r>
      <w:r>
        <w:rPr>
          <w:rFonts w:ascii="Arial" w:hAnsi="Arial"/>
          <w:sz w:val="20"/>
        </w:rPr>
        <w:t> </w:t>
      </w:r>
      <w:r>
        <w:rPr>
          <w:rFonts w:ascii="Arial" w:hAnsi="Arial"/>
          <w:sz w:val="21"/>
        </w:rPr>
        <w:t>of</w:t>
      </w:r>
      <w:r>
        <w:rPr>
          <w:rFonts w:ascii="Arial" w:hAnsi="Arial"/>
          <w:sz w:val="20"/>
        </w:rPr>
        <w:t> </w:t>
      </w:r>
      <w:r>
        <w:rPr>
          <w:rFonts w:ascii="Arial" w:hAnsi="Arial"/>
          <w:sz w:val="21"/>
        </w:rPr>
        <w:t>each</w:t>
      </w:r>
      <w:r>
        <w:rPr>
          <w:rFonts w:ascii="Arial" w:hAnsi="Arial"/>
          <w:sz w:val="20"/>
        </w:rPr>
        <w:t> </w:t>
      </w:r>
      <w:r>
        <w:rPr>
          <w:rFonts w:ascii="Arial" w:hAnsi="Arial"/>
          <w:sz w:val="21"/>
        </w:rPr>
        <w:t>of</w:t>
      </w:r>
      <w:r>
        <w:rPr>
          <w:rFonts w:ascii="Arial" w:hAnsi="Arial"/>
          <w:sz w:val="20"/>
        </w:rPr>
        <w:t> </w:t>
      </w:r>
      <w:r>
        <w:rPr>
          <w:rFonts w:ascii="Arial" w:hAnsi="Arial"/>
          <w:sz w:val="21"/>
        </w:rPr>
        <w:t xml:space="preserve">Transaction Party given to the Bank under </w:t>
      </w:r>
      <w:r>
        <w:rPr>
          <w:rFonts w:ascii="Arial" w:hAnsi="Arial"/>
          <w:b/>
          <w:sz w:val="21"/>
        </w:rPr>
        <w:t xml:space="preserve">clause </w:t>
      </w:r>
      <w:hyperlink w:anchor="_bookmark89">
        <w:r>
          <w:rPr>
            <w:rStyle w:val="InternetLink"/>
            <w:rFonts w:ascii="Arial" w:hAnsi="Arial"/>
            <w:b/>
            <w:sz w:val="21"/>
          </w:rPr>
          <w:t>9.3</w:t>
        </w:r>
      </w:hyperlink>
      <w:r>
        <w:rPr>
          <w:rFonts w:ascii="Arial" w:hAnsi="Arial"/>
          <w:sz w:val="21"/>
        </w:rPr>
        <w:t>:</w:t>
      </w:r>
      <w:r>
        <w:rPr>
          <w:rFonts w:ascii="Arial" w:hAnsi="Arial"/>
          <w:sz w:val="20"/>
        </w:rPr>
        <w:t xml:space="preserve"> </w:t>
      </w:r>
    </w:p>
    <w:p>
      <w:pPr>
        <w:pStyle w:val="TextBody"/>
        <w:bidi w:val="0"/>
        <w:spacing w:lineRule="auto" w:line="266" w:before="120" w:after="0"/>
        <w:ind w:left="4275" w:right="1513" w:hanging="0"/>
        <w:jc w:val="left"/>
        <w:rPr>
          <w:rFonts w:ascii="Arial" w:hAnsi="Arial"/>
          <w:sz w:val="20"/>
        </w:rPr>
      </w:pPr>
      <w:r>
        <w:rPr>
          <w:rFonts w:ascii="Arial" w:hAnsi="Arial"/>
          <w:sz w:val="21"/>
        </w:rPr>
        <w:t>(i)are</w:t>
      </w:r>
      <w:r>
        <w:rPr>
          <w:rFonts w:ascii="Arial" w:hAnsi="Arial"/>
          <w:sz w:val="20"/>
        </w:rPr>
        <w:t> </w:t>
      </w:r>
      <w:r>
        <w:rPr>
          <w:rFonts w:ascii="Arial" w:hAnsi="Arial"/>
          <w:sz w:val="21"/>
        </w:rPr>
        <w:t>a</w:t>
      </w:r>
      <w:r>
        <w:rPr>
          <w:rFonts w:ascii="Arial" w:hAnsi="Arial"/>
          <w:sz w:val="20"/>
        </w:rPr>
        <w:t> </w:t>
      </w:r>
      <w:r>
        <w:rPr>
          <w:rFonts w:ascii="Arial" w:hAnsi="Arial"/>
          <w:sz w:val="21"/>
        </w:rPr>
        <w:t>true,</w:t>
      </w:r>
      <w:r>
        <w:rPr>
          <w:rFonts w:ascii="Arial" w:hAnsi="Arial"/>
          <w:sz w:val="20"/>
        </w:rPr>
        <w:t> </w:t>
      </w:r>
      <w:r>
        <w:rPr>
          <w:rFonts w:ascii="Arial" w:hAnsi="Arial"/>
          <w:sz w:val="21"/>
        </w:rPr>
        <w:t>fair</w:t>
      </w:r>
      <w:r>
        <w:rPr>
          <w:rFonts w:ascii="Arial" w:hAnsi="Arial"/>
          <w:sz w:val="20"/>
        </w:rPr>
        <w:t> </w:t>
      </w:r>
      <w:r>
        <w:rPr>
          <w:rFonts w:ascii="Arial" w:hAnsi="Arial"/>
          <w:sz w:val="21"/>
        </w:rPr>
        <w:t>and</w:t>
      </w:r>
      <w:r>
        <w:rPr>
          <w:rFonts w:ascii="Arial" w:hAnsi="Arial"/>
          <w:sz w:val="20"/>
        </w:rPr>
        <w:t> </w:t>
      </w:r>
      <w:r>
        <w:rPr>
          <w:rFonts w:ascii="Arial" w:hAnsi="Arial"/>
          <w:sz w:val="21"/>
        </w:rPr>
        <w:t>accurate</w:t>
      </w:r>
      <w:r>
        <w:rPr>
          <w:rFonts w:ascii="Arial" w:hAnsi="Arial"/>
          <w:sz w:val="20"/>
        </w:rPr>
        <w:t> </w:t>
      </w:r>
      <w:r>
        <w:rPr>
          <w:rFonts w:ascii="Arial" w:hAnsi="Arial"/>
          <w:sz w:val="21"/>
        </w:rPr>
        <w:t>statement</w:t>
      </w:r>
      <w:r>
        <w:rPr>
          <w:rFonts w:ascii="Arial" w:hAnsi="Arial"/>
          <w:sz w:val="20"/>
        </w:rPr>
        <w:t> </w:t>
      </w:r>
      <w:r>
        <w:rPr>
          <w:rFonts w:ascii="Arial" w:hAnsi="Arial"/>
          <w:sz w:val="21"/>
        </w:rPr>
        <w:t>of</w:t>
      </w:r>
      <w:r>
        <w:rPr>
          <w:rFonts w:ascii="Arial" w:hAnsi="Arial"/>
          <w:sz w:val="20"/>
        </w:rPr>
        <w:t> </w:t>
      </w:r>
      <w:r>
        <w:rPr>
          <w:rFonts w:ascii="Arial" w:hAnsi="Arial"/>
          <w:sz w:val="21"/>
        </w:rPr>
        <w:t>their</w:t>
      </w:r>
      <w:r>
        <w:rPr>
          <w:rFonts w:ascii="Arial" w:hAnsi="Arial"/>
          <w:sz w:val="20"/>
        </w:rPr>
        <w:t> </w:t>
      </w:r>
      <w:r>
        <w:rPr>
          <w:rFonts w:ascii="Arial" w:hAnsi="Arial"/>
          <w:sz w:val="21"/>
        </w:rPr>
        <w:t>respective</w:t>
      </w:r>
      <w:r>
        <w:rPr>
          <w:rFonts w:ascii="Arial" w:hAnsi="Arial"/>
          <w:sz w:val="20"/>
        </w:rPr>
        <w:t> </w:t>
      </w:r>
      <w:r>
        <w:rPr>
          <w:rFonts w:ascii="Arial" w:hAnsi="Arial"/>
          <w:sz w:val="21"/>
        </w:rPr>
        <w:t>financial performance and position and their respective consolidated financial performance and position at the date to which they are prepared; and</w:t>
      </w:r>
      <w:r>
        <w:rPr>
          <w:rFonts w:ascii="Arial" w:hAnsi="Arial"/>
          <w:sz w:val="20"/>
        </w:rPr>
        <w:t xml:space="preserve"> </w:t>
      </w:r>
    </w:p>
    <w:p>
      <w:pPr>
        <w:pStyle w:val="TextBody"/>
        <w:bidi w:val="0"/>
        <w:spacing w:lineRule="auto" w:line="266" w:before="115" w:after="0"/>
        <w:ind w:left="4275" w:right="1563" w:hanging="0"/>
        <w:jc w:val="left"/>
        <w:rPr/>
      </w:pPr>
      <w:r>
        <w:rPr>
          <w:rFonts w:ascii="Arial" w:hAnsi="Arial"/>
          <w:sz w:val="21"/>
        </w:rPr>
        <w:t xml:space="preserve">(ii)have been prepared in accordance with </w:t>
      </w:r>
      <w:r>
        <w:rPr>
          <w:rFonts w:ascii="Arial" w:hAnsi="Arial"/>
          <w:b/>
          <w:sz w:val="21"/>
        </w:rPr>
        <w:t xml:space="preserve">clause </w:t>
      </w:r>
      <w:hyperlink w:anchor="_bookmark88">
        <w:r>
          <w:rPr>
            <w:rStyle w:val="InternetLink"/>
            <w:rFonts w:ascii="Arial" w:hAnsi="Arial"/>
            <w:b/>
            <w:sz w:val="21"/>
          </w:rPr>
          <w:t>9.2</w:t>
        </w:r>
      </w:hyperlink>
      <w:r>
        <w:rPr>
          <w:rFonts w:ascii="Arial" w:hAnsi="Arial"/>
          <w:sz w:val="20"/>
        </w:rPr>
        <w:t> </w:t>
      </w:r>
      <w:r>
        <w:rPr>
          <w:rFonts w:ascii="Arial" w:hAnsi="Arial"/>
          <w:sz w:val="21"/>
        </w:rPr>
        <w:t xml:space="preserve">and </w:t>
      </w:r>
      <w:hyperlink w:anchor="_bookmark89">
        <w:r>
          <w:rPr>
            <w:rStyle w:val="InternetLink"/>
            <w:rFonts w:ascii="Arial" w:hAnsi="Arial"/>
            <w:b/>
            <w:sz w:val="21"/>
          </w:rPr>
          <w:t>9.3</w:t>
        </w:r>
      </w:hyperlink>
      <w:r>
        <w:rPr>
          <w:rFonts w:ascii="Arial" w:hAnsi="Arial"/>
          <w:sz w:val="21"/>
        </w:rPr>
        <w:t>, except</w:t>
      </w:r>
      <w:r>
        <w:rPr>
          <w:rFonts w:ascii="Arial" w:hAnsi="Arial"/>
          <w:sz w:val="20"/>
        </w:rPr>
        <w:t> </w:t>
      </w:r>
      <w:r>
        <w:rPr>
          <w:rFonts w:ascii="Arial" w:hAnsi="Arial"/>
          <w:sz w:val="21"/>
        </w:rPr>
        <w:t>for</w:t>
      </w:r>
      <w:r>
        <w:rPr>
          <w:rFonts w:ascii="Arial" w:hAnsi="Arial"/>
          <w:sz w:val="20"/>
        </w:rPr>
        <w:t> </w:t>
      </w:r>
      <w:r>
        <w:rPr>
          <w:rFonts w:ascii="Arial" w:hAnsi="Arial"/>
          <w:sz w:val="21"/>
        </w:rPr>
        <w:t>such</w:t>
      </w:r>
      <w:r>
        <w:rPr>
          <w:rFonts w:ascii="Arial" w:hAnsi="Arial"/>
          <w:sz w:val="20"/>
        </w:rPr>
        <w:t> </w:t>
      </w:r>
      <w:r>
        <w:rPr>
          <w:rFonts w:ascii="Arial" w:hAnsi="Arial"/>
          <w:sz w:val="21"/>
        </w:rPr>
        <w:t>departures</w:t>
      </w:r>
      <w:r>
        <w:rPr>
          <w:rFonts w:ascii="Arial" w:hAnsi="Arial"/>
          <w:sz w:val="20"/>
        </w:rPr>
        <w:t> </w:t>
      </w:r>
      <w:r>
        <w:rPr>
          <w:rFonts w:ascii="Arial" w:hAnsi="Arial"/>
          <w:sz w:val="21"/>
        </w:rPr>
        <w:t>expressly</w:t>
      </w:r>
      <w:r>
        <w:rPr>
          <w:rFonts w:ascii="Arial" w:hAnsi="Arial"/>
          <w:sz w:val="20"/>
        </w:rPr>
        <w:t> </w:t>
      </w:r>
      <w:r>
        <w:rPr>
          <w:rFonts w:ascii="Arial" w:hAnsi="Arial"/>
          <w:sz w:val="21"/>
        </w:rPr>
        <w:t>disclosed</w:t>
      </w:r>
      <w:r>
        <w:rPr>
          <w:rFonts w:ascii="Arial" w:hAnsi="Arial"/>
          <w:sz w:val="20"/>
        </w:rPr>
        <w:t> </w:t>
      </w:r>
      <w:r>
        <w:rPr>
          <w:rFonts w:ascii="Arial" w:hAnsi="Arial"/>
          <w:sz w:val="21"/>
        </w:rPr>
        <w:t>in</w:t>
      </w:r>
      <w:r>
        <w:rPr>
          <w:rFonts w:ascii="Arial" w:hAnsi="Arial"/>
          <w:sz w:val="20"/>
        </w:rPr>
        <w:t> </w:t>
      </w:r>
      <w:r>
        <w:rPr>
          <w:rFonts w:ascii="Arial" w:hAnsi="Arial"/>
          <w:sz w:val="21"/>
        </w:rPr>
        <w:t>those</w:t>
      </w:r>
      <w:r>
        <w:rPr>
          <w:rFonts w:ascii="Arial" w:hAnsi="Arial"/>
          <w:sz w:val="20"/>
        </w:rPr>
        <w:t> </w:t>
      </w:r>
      <w:r>
        <w:rPr>
          <w:rFonts w:ascii="Arial" w:hAnsi="Arial"/>
          <w:sz w:val="21"/>
        </w:rPr>
        <w:t>Financial Statements;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(k)</w:t>
      </w:r>
      <w:r>
        <w:rPr>
          <w:rFonts w:ascii="Arial" w:hAnsi="Arial"/>
          <w:b/>
          <w:sz w:val="21"/>
        </w:rPr>
        <w:t>no change in financial position:</w:t>
      </w:r>
      <w:r>
        <w:rPr>
          <w:rFonts w:ascii="Arial" w:hAnsi="Arial"/>
          <w:sz w:val="20"/>
        </w:rPr>
        <w:t> </w:t>
      </w:r>
      <w:r>
        <w:rPr>
          <w:rFonts w:ascii="Arial" w:hAnsi="Arial"/>
          <w:sz w:val="21"/>
        </w:rPr>
        <w:t>there has been no change in the financial</w:t>
      </w:r>
      <w:r>
        <w:rPr>
          <w:rFonts w:ascii="Arial" w:hAnsi="Arial"/>
          <w:sz w:val="20"/>
        </w:rPr>
        <w:t> </w:t>
      </w:r>
      <w:r>
        <w:rPr>
          <w:rFonts w:ascii="Arial" w:hAnsi="Arial"/>
          <w:sz w:val="21"/>
        </w:rPr>
        <w:t>performance</w:t>
      </w:r>
      <w:r>
        <w:rPr>
          <w:rFonts w:ascii="Arial" w:hAnsi="Arial"/>
          <w:sz w:val="20"/>
        </w:rPr>
        <w:t> </w:t>
      </w:r>
      <w:r>
        <w:rPr>
          <w:rFonts w:ascii="Arial" w:hAnsi="Arial"/>
          <w:sz w:val="21"/>
        </w:rPr>
        <w:t>or</w:t>
      </w:r>
      <w:r>
        <w:rPr>
          <w:rFonts w:ascii="Arial" w:hAnsi="Arial"/>
          <w:sz w:val="20"/>
        </w:rPr>
        <w:t> </w:t>
      </w:r>
      <w:r>
        <w:rPr>
          <w:rFonts w:ascii="Arial" w:hAnsi="Arial"/>
          <w:sz w:val="21"/>
        </w:rPr>
        <w:t>position</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since</w:t>
      </w:r>
      <w:r>
        <w:rPr>
          <w:rFonts w:ascii="Arial" w:hAnsi="Arial"/>
          <w:sz w:val="20"/>
        </w:rPr>
        <w:t> </w:t>
      </w:r>
      <w:r>
        <w:rPr>
          <w:rFonts w:ascii="Arial" w:hAnsi="Arial"/>
          <w:sz w:val="21"/>
        </w:rPr>
        <w:t>the</w:t>
      </w:r>
      <w:r>
        <w:rPr>
          <w:rFonts w:ascii="Arial" w:hAnsi="Arial"/>
          <w:sz w:val="20"/>
        </w:rPr>
        <w:t> </w:t>
      </w:r>
      <w:r>
        <w:rPr>
          <w:rFonts w:ascii="Arial" w:hAnsi="Arial"/>
          <w:sz w:val="21"/>
        </w:rPr>
        <w:t>date</w:t>
      </w:r>
      <w:r>
        <w:rPr>
          <w:rFonts w:ascii="Arial" w:hAnsi="Arial"/>
          <w:sz w:val="20"/>
        </w:rPr>
        <w:t> </w:t>
      </w:r>
      <w:r>
        <w:rPr>
          <w:rFonts w:ascii="Arial" w:hAnsi="Arial"/>
          <w:sz w:val="21"/>
        </w:rPr>
        <w:t xml:space="preserve">to which the last Financial Statements given to the Bank under </w:t>
      </w:r>
      <w:r>
        <w:rPr>
          <w:rFonts w:ascii="Arial" w:hAnsi="Arial"/>
          <w:b/>
          <w:sz w:val="21"/>
        </w:rPr>
        <w:t xml:space="preserve">clause 9.3 </w:t>
      </w:r>
      <w:r>
        <w:rPr>
          <w:rFonts w:ascii="Arial" w:hAnsi="Arial"/>
          <w:sz w:val="21"/>
        </w:rPr>
        <w:t>were prepared, which has a Material Adverse Effect;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(l)</w:t>
      </w:r>
      <w:r>
        <w:rPr>
          <w:rFonts w:ascii="Arial" w:hAnsi="Arial"/>
          <w:b/>
          <w:sz w:val="21"/>
        </w:rPr>
        <w:t>no related party transaction:</w:t>
      </w:r>
      <w:r>
        <w:rPr>
          <w:rFonts w:ascii="Arial" w:hAnsi="Arial"/>
          <w:sz w:val="20"/>
        </w:rPr>
        <w:t> </w:t>
      </w:r>
      <w:r>
        <w:rPr>
          <w:rFonts w:ascii="Arial" w:hAnsi="Arial"/>
          <w:sz w:val="21"/>
        </w:rPr>
        <w:t>no person has contravened or will contravene sections 208 or 209 of the Corporations Act due to a Transaction</w:t>
      </w:r>
      <w:r>
        <w:rPr>
          <w:rFonts w:ascii="Arial" w:hAnsi="Arial"/>
          <w:sz w:val="20"/>
        </w:rPr>
        <w:t> </w:t>
      </w:r>
      <w:r>
        <w:rPr>
          <w:rFonts w:ascii="Arial" w:hAnsi="Arial"/>
          <w:sz w:val="21"/>
        </w:rPr>
        <w:t>Party</w:t>
      </w:r>
      <w:r>
        <w:rPr>
          <w:rFonts w:ascii="Arial" w:hAnsi="Arial"/>
          <w:sz w:val="20"/>
        </w:rPr>
        <w:t> </w:t>
      </w:r>
      <w:r>
        <w:rPr>
          <w:rFonts w:ascii="Arial" w:hAnsi="Arial"/>
          <w:sz w:val="21"/>
        </w:rPr>
        <w:t>entering</w:t>
      </w:r>
      <w:r>
        <w:rPr>
          <w:rFonts w:ascii="Arial" w:hAnsi="Arial"/>
          <w:sz w:val="20"/>
        </w:rPr>
        <w:t> </w:t>
      </w:r>
      <w:r>
        <w:rPr>
          <w:rFonts w:ascii="Arial" w:hAnsi="Arial"/>
          <w:sz w:val="21"/>
        </w:rPr>
        <w:t>into</w:t>
      </w:r>
      <w:r>
        <w:rPr>
          <w:rFonts w:ascii="Arial" w:hAnsi="Arial"/>
          <w:sz w:val="20"/>
        </w:rPr>
        <w:t> </w:t>
      </w:r>
      <w:r>
        <w:rPr>
          <w:rFonts w:ascii="Arial" w:hAnsi="Arial"/>
          <w:sz w:val="21"/>
        </w:rPr>
        <w:t>or</w:t>
      </w:r>
      <w:r>
        <w:rPr>
          <w:rFonts w:ascii="Arial" w:hAnsi="Arial"/>
          <w:sz w:val="20"/>
        </w:rPr>
        <w:t> </w:t>
      </w:r>
      <w:r>
        <w:rPr>
          <w:rFonts w:ascii="Arial" w:hAnsi="Arial"/>
          <w:sz w:val="21"/>
        </w:rPr>
        <w:t>performing</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under</w:t>
      </w:r>
      <w:r>
        <w:rPr>
          <w:rFonts w:ascii="Arial" w:hAnsi="Arial"/>
          <w:sz w:val="20"/>
        </w:rPr>
        <w:t> </w:t>
      </w:r>
      <w:r>
        <w:rPr>
          <w:rFonts w:ascii="Arial" w:hAnsi="Arial"/>
          <w:sz w:val="21"/>
        </w:rPr>
        <w:t>a Transaction Document;</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(m)</w:t>
      </w:r>
      <w:r>
        <w:rPr>
          <w:rFonts w:ascii="Arial" w:hAnsi="Arial"/>
          <w:b/>
          <w:sz w:val="21"/>
        </w:rPr>
        <w:t>no</w:t>
      </w:r>
      <w:r>
        <w:rPr>
          <w:rFonts w:ascii="Arial" w:hAnsi="Arial"/>
          <w:sz w:val="20"/>
        </w:rPr>
        <w:t> </w:t>
      </w:r>
      <w:r>
        <w:rPr>
          <w:rFonts w:ascii="Arial" w:hAnsi="Arial"/>
          <w:b/>
          <w:sz w:val="21"/>
        </w:rPr>
        <w:t>proceeding:</w:t>
      </w:r>
      <w:r>
        <w:rPr>
          <w:rFonts w:ascii="Arial" w:hAnsi="Arial"/>
          <w:sz w:val="20"/>
        </w:rPr>
        <w:t> </w:t>
      </w:r>
      <w:r>
        <w:rPr>
          <w:rFonts w:ascii="Arial" w:hAnsi="Arial"/>
          <w:sz w:val="21"/>
        </w:rPr>
        <w:t>except</w:t>
      </w:r>
      <w:r>
        <w:rPr>
          <w:rFonts w:ascii="Arial" w:hAnsi="Arial"/>
          <w:sz w:val="20"/>
        </w:rPr>
        <w:t> </w:t>
      </w:r>
      <w:r>
        <w:rPr>
          <w:rFonts w:ascii="Arial" w:hAnsi="Arial"/>
          <w:sz w:val="21"/>
        </w:rPr>
        <w:t>as</w:t>
      </w:r>
      <w:r>
        <w:rPr>
          <w:rFonts w:ascii="Arial" w:hAnsi="Arial"/>
          <w:sz w:val="20"/>
        </w:rPr>
        <w:t> </w:t>
      </w:r>
      <w:r>
        <w:rPr>
          <w:rFonts w:ascii="Arial" w:hAnsi="Arial"/>
          <w:sz w:val="21"/>
        </w:rPr>
        <w:t>notified</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in</w:t>
      </w:r>
      <w:r>
        <w:rPr>
          <w:rFonts w:ascii="Arial" w:hAnsi="Arial"/>
          <w:sz w:val="20"/>
        </w:rPr>
        <w:t> </w:t>
      </w:r>
      <w:r>
        <w:rPr>
          <w:rFonts w:ascii="Arial" w:hAnsi="Arial"/>
          <w:sz w:val="21"/>
        </w:rPr>
        <w:t>writing</w:t>
      </w:r>
      <w:r>
        <w:rPr>
          <w:rFonts w:ascii="Arial" w:hAnsi="Arial"/>
          <w:sz w:val="20"/>
        </w:rPr>
        <w:t> </w:t>
      </w:r>
      <w:r>
        <w:rPr>
          <w:rFonts w:ascii="Arial" w:hAnsi="Arial"/>
          <w:sz w:val="21"/>
        </w:rPr>
        <w:t>before</w:t>
      </w:r>
      <w:r>
        <w:rPr>
          <w:rFonts w:ascii="Arial" w:hAnsi="Arial"/>
          <w:sz w:val="20"/>
        </w:rPr>
        <w:t> </w:t>
      </w:r>
      <w:r>
        <w:rPr>
          <w:rFonts w:ascii="Arial" w:hAnsi="Arial"/>
          <w:sz w:val="21"/>
        </w:rPr>
        <w:t>the</w:t>
      </w:r>
      <w:r>
        <w:rPr>
          <w:rFonts w:ascii="Arial" w:hAnsi="Arial"/>
          <w:sz w:val="20"/>
        </w:rPr>
        <w:t> </w:t>
      </w:r>
      <w:r>
        <w:rPr>
          <w:rFonts w:ascii="Arial" w:hAnsi="Arial"/>
          <w:sz w:val="21"/>
        </w:rPr>
        <w:t>date of this document, no litigation, arbitration or administrative proceeding is current,</w:t>
      </w:r>
      <w:r>
        <w:rPr>
          <w:rFonts w:ascii="Arial" w:hAnsi="Arial"/>
          <w:sz w:val="20"/>
        </w:rPr>
        <w:t> </w:t>
      </w:r>
      <w:r>
        <w:rPr>
          <w:rFonts w:ascii="Arial" w:hAnsi="Arial"/>
          <w:sz w:val="21"/>
        </w:rPr>
        <w:t>pending</w:t>
      </w:r>
      <w:r>
        <w:rPr>
          <w:rFonts w:ascii="Arial" w:hAnsi="Arial"/>
          <w:sz w:val="20"/>
        </w:rPr>
        <w:t> </w:t>
      </w:r>
      <w:r>
        <w:rPr>
          <w:rFonts w:ascii="Arial" w:hAnsi="Arial"/>
          <w:sz w:val="21"/>
        </w:rPr>
        <w:t>or,</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knowledge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threatened,</w:t>
      </w:r>
      <w:r>
        <w:rPr>
          <w:rFonts w:ascii="Arial" w:hAnsi="Arial"/>
          <w:sz w:val="20"/>
        </w:rPr>
        <w:t> </w:t>
      </w:r>
      <w:r>
        <w:rPr>
          <w:rFonts w:ascii="Arial" w:hAnsi="Arial"/>
          <w:sz w:val="21"/>
        </w:rPr>
        <w:t>which has, or the adverse determination of which would be likely to have, a Material Adverse Effect;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(n)</w:t>
      </w:r>
      <w:r>
        <w:rPr>
          <w:rFonts w:ascii="Arial" w:hAnsi="Arial"/>
          <w:b/>
          <w:sz w:val="21"/>
        </w:rPr>
        <w:t>no</w:t>
      </w:r>
      <w:r>
        <w:rPr>
          <w:rFonts w:ascii="Arial" w:hAnsi="Arial"/>
          <w:sz w:val="20"/>
        </w:rPr>
        <w:t> </w:t>
      </w:r>
      <w:r>
        <w:rPr>
          <w:rFonts w:ascii="Arial" w:hAnsi="Arial"/>
          <w:b/>
          <w:sz w:val="21"/>
        </w:rPr>
        <w:t>trust:</w:t>
      </w:r>
      <w:r>
        <w:rPr>
          <w:rFonts w:ascii="Arial" w:hAnsi="Arial"/>
          <w:sz w:val="20"/>
        </w:rPr>
        <w:t> </w:t>
      </w:r>
      <w:r>
        <w:rPr>
          <w:rFonts w:ascii="Arial" w:hAnsi="Arial"/>
          <w:sz w:val="21"/>
        </w:rPr>
        <w:t>except</w:t>
      </w:r>
      <w:r>
        <w:rPr>
          <w:rFonts w:ascii="Arial" w:hAnsi="Arial"/>
          <w:sz w:val="20"/>
        </w:rPr>
        <w:t> </w:t>
      </w:r>
      <w:r>
        <w:rPr>
          <w:rFonts w:ascii="Arial" w:hAnsi="Arial"/>
          <w:sz w:val="21"/>
        </w:rPr>
        <w:t>as</w:t>
      </w:r>
      <w:r>
        <w:rPr>
          <w:rFonts w:ascii="Arial" w:hAnsi="Arial"/>
          <w:sz w:val="20"/>
        </w:rPr>
        <w:t> </w:t>
      </w:r>
      <w:r>
        <w:rPr>
          <w:rFonts w:ascii="Arial" w:hAnsi="Arial"/>
          <w:sz w:val="21"/>
        </w:rPr>
        <w:t>notified</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in</w:t>
      </w:r>
      <w:r>
        <w:rPr>
          <w:rFonts w:ascii="Arial" w:hAnsi="Arial"/>
          <w:sz w:val="20"/>
        </w:rPr>
        <w:t> </w:t>
      </w:r>
      <w:r>
        <w:rPr>
          <w:rFonts w:ascii="Arial" w:hAnsi="Arial"/>
          <w:sz w:val="21"/>
        </w:rPr>
        <w:t>writing</w:t>
      </w:r>
      <w:r>
        <w:rPr>
          <w:rFonts w:ascii="Arial" w:hAnsi="Arial"/>
          <w:sz w:val="20"/>
        </w:rPr>
        <w:t> </w:t>
      </w:r>
      <w:r>
        <w:rPr>
          <w:rFonts w:ascii="Arial" w:hAnsi="Arial"/>
          <w:sz w:val="21"/>
        </w:rPr>
        <w:t>before</w:t>
      </w:r>
      <w:r>
        <w:rPr>
          <w:rFonts w:ascii="Arial" w:hAnsi="Arial"/>
          <w:sz w:val="20"/>
        </w:rPr>
        <w:t> </w:t>
      </w:r>
      <w:r>
        <w:rPr>
          <w:rFonts w:ascii="Arial" w:hAnsi="Arial"/>
          <w:sz w:val="21"/>
        </w:rPr>
        <w:t>the</w:t>
      </w:r>
      <w:r>
        <w:rPr>
          <w:rFonts w:ascii="Arial" w:hAnsi="Arial"/>
          <w:sz w:val="20"/>
        </w:rPr>
        <w:t> </w:t>
      </w:r>
      <w:r>
        <w:rPr>
          <w:rFonts w:ascii="Arial" w:hAnsi="Arial"/>
          <w:sz w:val="21"/>
        </w:rPr>
        <w:t>date</w:t>
      </w:r>
      <w:r>
        <w:rPr>
          <w:rFonts w:ascii="Arial" w:hAnsi="Arial"/>
          <w:sz w:val="20"/>
        </w:rPr>
        <w:t> </w:t>
      </w:r>
      <w:r>
        <w:rPr>
          <w:rFonts w:ascii="Arial" w:hAnsi="Arial"/>
          <w:sz w:val="21"/>
        </w:rPr>
        <w:t>of</w:t>
      </w:r>
      <w:r>
        <w:rPr>
          <w:rFonts w:ascii="Arial" w:hAnsi="Arial"/>
          <w:sz w:val="20"/>
        </w:rPr>
        <w:t> </w:t>
      </w:r>
      <w:r>
        <w:rPr>
          <w:rFonts w:ascii="Arial" w:hAnsi="Arial"/>
          <w:sz w:val="21"/>
        </w:rPr>
        <w:t>this document, no Transaction Party enters into a Transaction Document as trustee of any trust;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(o)</w:t>
      </w:r>
      <w:r>
        <w:rPr>
          <w:rFonts w:ascii="Arial" w:hAnsi="Arial"/>
          <w:b/>
          <w:sz w:val="21"/>
        </w:rPr>
        <w:t>sole</w:t>
      </w:r>
      <w:r>
        <w:rPr>
          <w:rFonts w:ascii="Arial" w:hAnsi="Arial"/>
          <w:sz w:val="20"/>
        </w:rPr>
        <w:t> </w:t>
      </w:r>
      <w:r>
        <w:rPr>
          <w:rFonts w:ascii="Arial" w:hAnsi="Arial"/>
          <w:b/>
          <w:sz w:val="21"/>
        </w:rPr>
        <w:t>owner</w:t>
      </w:r>
      <w:r>
        <w:rPr>
          <w:rFonts w:ascii="Arial" w:hAnsi="Arial"/>
          <w:sz w:val="20"/>
        </w:rPr>
        <w:t> </w:t>
      </w:r>
      <w:r>
        <w:rPr>
          <w:rFonts w:ascii="Arial" w:hAnsi="Arial"/>
          <w:b/>
          <w:sz w:val="21"/>
        </w:rPr>
        <w:t>and</w:t>
      </w:r>
      <w:r>
        <w:rPr>
          <w:rFonts w:ascii="Arial" w:hAnsi="Arial"/>
          <w:sz w:val="20"/>
        </w:rPr>
        <w:t> </w:t>
      </w:r>
      <w:r>
        <w:rPr>
          <w:rFonts w:ascii="Arial" w:hAnsi="Arial"/>
          <w:b/>
          <w:sz w:val="21"/>
        </w:rPr>
        <w:t>no</w:t>
      </w:r>
      <w:r>
        <w:rPr>
          <w:rFonts w:ascii="Arial" w:hAnsi="Arial"/>
          <w:sz w:val="20"/>
        </w:rPr>
        <w:t> </w:t>
      </w:r>
      <w:r>
        <w:rPr>
          <w:rFonts w:ascii="Arial" w:hAnsi="Arial"/>
          <w:b/>
          <w:sz w:val="21"/>
        </w:rPr>
        <w:t>Encumbrances:</w:t>
      </w:r>
      <w:r>
        <w:rPr>
          <w:rFonts w:ascii="Arial" w:hAnsi="Arial"/>
          <w:sz w:val="20"/>
        </w:rPr>
        <w:t> </w:t>
      </w:r>
      <w:r>
        <w:rPr>
          <w:rFonts w:ascii="Arial" w:hAnsi="Arial"/>
          <w:sz w:val="21"/>
        </w:rPr>
        <w:t>except</w:t>
      </w:r>
      <w:r>
        <w:rPr>
          <w:rFonts w:ascii="Arial" w:hAnsi="Arial"/>
          <w:sz w:val="20"/>
        </w:rPr>
        <w:t> </w:t>
      </w:r>
      <w:r>
        <w:rPr>
          <w:rFonts w:ascii="Arial" w:hAnsi="Arial"/>
          <w:sz w:val="21"/>
        </w:rPr>
        <w:t>as</w:t>
      </w:r>
      <w:r>
        <w:rPr>
          <w:rFonts w:ascii="Arial" w:hAnsi="Arial"/>
          <w:sz w:val="20"/>
        </w:rPr>
        <w:t> </w:t>
      </w:r>
      <w:r>
        <w:rPr>
          <w:rFonts w:ascii="Arial" w:hAnsi="Arial"/>
          <w:sz w:val="21"/>
        </w:rPr>
        <w:t>notified</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in writing before the date of this document:</w:t>
      </w:r>
      <w:r>
        <w:rPr>
          <w:rFonts w:ascii="Arial" w:hAnsi="Arial"/>
          <w:sz w:val="20"/>
        </w:rPr>
        <w:t xml:space="preserve"> </w:t>
      </w:r>
    </w:p>
    <w:p>
      <w:pPr>
        <w:pStyle w:val="TextBody"/>
        <w:bidi w:val="0"/>
        <w:spacing w:lineRule="auto" w:line="266" w:before="0" w:after="0"/>
        <w:ind w:left="4275" w:right="1734" w:hanging="0"/>
        <w:jc w:val="left"/>
        <w:rPr>
          <w:rFonts w:ascii="Arial" w:hAnsi="Arial"/>
          <w:sz w:val="20"/>
        </w:rPr>
      </w:pPr>
      <w:r>
        <w:rPr>
          <w:rFonts w:ascii="Arial" w:hAnsi="Arial"/>
          <w:sz w:val="21"/>
        </w:rPr>
        <w:t>(i)each</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is</w:t>
      </w:r>
      <w:r>
        <w:rPr>
          <w:rFonts w:ascii="Arial" w:hAnsi="Arial"/>
          <w:sz w:val="20"/>
        </w:rPr>
        <w:t> </w:t>
      </w:r>
      <w:r>
        <w:rPr>
          <w:rFonts w:ascii="Arial" w:hAnsi="Arial"/>
          <w:sz w:val="21"/>
        </w:rPr>
        <w:t>the</w:t>
      </w:r>
      <w:r>
        <w:rPr>
          <w:rFonts w:ascii="Arial" w:hAnsi="Arial"/>
          <w:sz w:val="20"/>
        </w:rPr>
        <w:t> </w:t>
      </w:r>
      <w:r>
        <w:rPr>
          <w:rFonts w:ascii="Arial" w:hAnsi="Arial"/>
          <w:sz w:val="21"/>
        </w:rPr>
        <w:t>sole</w:t>
      </w:r>
      <w:r>
        <w:rPr>
          <w:rFonts w:ascii="Arial" w:hAnsi="Arial"/>
          <w:sz w:val="20"/>
        </w:rPr>
        <w:t> </w:t>
      </w:r>
      <w:r>
        <w:rPr>
          <w:rFonts w:ascii="Arial" w:hAnsi="Arial"/>
          <w:sz w:val="21"/>
        </w:rPr>
        <w:t>legal</w:t>
      </w:r>
      <w:r>
        <w:rPr>
          <w:rFonts w:ascii="Arial" w:hAnsi="Arial"/>
          <w:sz w:val="20"/>
        </w:rPr>
        <w:t> </w:t>
      </w:r>
      <w:r>
        <w:rPr>
          <w:rFonts w:ascii="Arial" w:hAnsi="Arial"/>
          <w:sz w:val="21"/>
        </w:rPr>
        <w:t>and</w:t>
      </w:r>
      <w:r>
        <w:rPr>
          <w:rFonts w:ascii="Arial" w:hAnsi="Arial"/>
          <w:sz w:val="20"/>
        </w:rPr>
        <w:t> </w:t>
      </w:r>
      <w:r>
        <w:rPr>
          <w:rFonts w:ascii="Arial" w:hAnsi="Arial"/>
          <w:sz w:val="21"/>
        </w:rPr>
        <w:t>beneficial</w:t>
      </w:r>
      <w:r>
        <w:rPr>
          <w:rFonts w:ascii="Arial" w:hAnsi="Arial"/>
          <w:sz w:val="20"/>
        </w:rPr>
        <w:t> </w:t>
      </w:r>
      <w:r>
        <w:rPr>
          <w:rFonts w:ascii="Arial" w:hAnsi="Arial"/>
          <w:sz w:val="21"/>
        </w:rPr>
        <w:t>owner</w:t>
      </w:r>
      <w:r>
        <w:rPr>
          <w:rFonts w:ascii="Arial" w:hAnsi="Arial"/>
          <w:sz w:val="20"/>
        </w:rPr>
        <w:t> </w:t>
      </w:r>
      <w:r>
        <w:rPr>
          <w:rFonts w:ascii="Arial" w:hAnsi="Arial"/>
          <w:sz w:val="21"/>
        </w:rPr>
        <w:t>of the property it purports to own; and</w:t>
      </w:r>
      <w:r>
        <w:rPr>
          <w:rFonts w:ascii="Arial" w:hAnsi="Arial"/>
          <w:sz w:val="20"/>
        </w:rPr>
        <w:t xml:space="preserve"> </w:t>
      </w:r>
    </w:p>
    <w:p>
      <w:pPr>
        <w:pStyle w:val="TextBody"/>
        <w:bidi w:val="0"/>
        <w:spacing w:lineRule="auto" w:line="266" w:before="0" w:after="0"/>
        <w:ind w:left="4275" w:right="1596" w:hanging="0"/>
        <w:jc w:val="left"/>
        <w:rPr>
          <w:rFonts w:ascii="Arial" w:hAnsi="Arial"/>
          <w:sz w:val="20"/>
        </w:rPr>
      </w:pPr>
      <w:r>
        <w:rPr>
          <w:rFonts w:ascii="Arial" w:hAnsi="Arial"/>
          <w:sz w:val="21"/>
        </w:rPr>
        <w:t>(ii)there</w:t>
      </w:r>
      <w:r>
        <w:rPr>
          <w:rFonts w:ascii="Arial" w:hAnsi="Arial"/>
          <w:sz w:val="20"/>
        </w:rPr>
        <w:t> </w:t>
      </w:r>
      <w:r>
        <w:rPr>
          <w:rFonts w:ascii="Arial" w:hAnsi="Arial"/>
          <w:sz w:val="21"/>
        </w:rPr>
        <w:t>are</w:t>
      </w:r>
      <w:r>
        <w:rPr>
          <w:rFonts w:ascii="Arial" w:hAnsi="Arial"/>
          <w:sz w:val="20"/>
        </w:rPr>
        <w:t> </w:t>
      </w:r>
      <w:r>
        <w:rPr>
          <w:rFonts w:ascii="Arial" w:hAnsi="Arial"/>
          <w:sz w:val="21"/>
        </w:rPr>
        <w:t>no</w:t>
      </w:r>
      <w:r>
        <w:rPr>
          <w:rFonts w:ascii="Arial" w:hAnsi="Arial"/>
          <w:sz w:val="20"/>
        </w:rPr>
        <w:t> </w:t>
      </w:r>
      <w:r>
        <w:rPr>
          <w:rFonts w:ascii="Arial" w:hAnsi="Arial"/>
          <w:sz w:val="21"/>
        </w:rPr>
        <w:t>Encumbrances</w:t>
      </w:r>
      <w:r>
        <w:rPr>
          <w:rFonts w:ascii="Arial" w:hAnsi="Arial"/>
          <w:sz w:val="20"/>
        </w:rPr>
        <w:t> </w:t>
      </w:r>
      <w:r>
        <w:rPr>
          <w:rFonts w:ascii="Arial" w:hAnsi="Arial"/>
          <w:sz w:val="21"/>
        </w:rPr>
        <w:t>over</w:t>
      </w:r>
      <w:r>
        <w:rPr>
          <w:rFonts w:ascii="Arial" w:hAnsi="Arial"/>
          <w:sz w:val="20"/>
        </w:rPr>
        <w:t> </w:t>
      </w:r>
      <w:r>
        <w:rPr>
          <w:rFonts w:ascii="Arial" w:hAnsi="Arial"/>
          <w:sz w:val="21"/>
        </w:rPr>
        <w:t>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Transaction Party other than Permitted Encumbrances;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(p)</w:t>
      </w:r>
      <w:r>
        <w:rPr>
          <w:rFonts w:ascii="Arial" w:hAnsi="Arial"/>
          <w:b/>
          <w:sz w:val="21"/>
        </w:rPr>
        <w:t>no</w:t>
      </w:r>
      <w:r>
        <w:rPr>
          <w:rFonts w:ascii="Arial" w:hAnsi="Arial"/>
          <w:sz w:val="20"/>
        </w:rPr>
        <w:t> </w:t>
      </w:r>
      <w:r>
        <w:rPr>
          <w:rFonts w:ascii="Arial" w:hAnsi="Arial"/>
          <w:b/>
          <w:sz w:val="21"/>
        </w:rPr>
        <w:t>existing</w:t>
      </w:r>
      <w:r>
        <w:rPr>
          <w:rFonts w:ascii="Arial" w:hAnsi="Arial"/>
          <w:sz w:val="20"/>
        </w:rPr>
        <w:t> </w:t>
      </w:r>
      <w:r>
        <w:rPr>
          <w:rFonts w:ascii="Arial" w:hAnsi="Arial"/>
          <w:b/>
          <w:sz w:val="21"/>
        </w:rPr>
        <w:t>default:</w:t>
      </w:r>
      <w:r>
        <w:rPr>
          <w:rFonts w:ascii="Arial" w:hAnsi="Arial"/>
          <w:sz w:val="20"/>
        </w:rPr>
        <w:t> </w:t>
      </w:r>
      <w:r>
        <w:rPr>
          <w:rFonts w:ascii="Arial" w:hAnsi="Arial"/>
          <w:sz w:val="21"/>
        </w:rPr>
        <w:t>no</w:t>
      </w:r>
      <w:r>
        <w:rPr>
          <w:rFonts w:ascii="Arial" w:hAnsi="Arial"/>
          <w:sz w:val="20"/>
        </w:rPr>
        <w:t> </w:t>
      </w:r>
      <w:r>
        <w:rPr>
          <w:rFonts w:ascii="Arial" w:hAnsi="Arial"/>
          <w:sz w:val="21"/>
        </w:rPr>
        <w:t>Event</w:t>
      </w:r>
      <w:r>
        <w:rPr>
          <w:rFonts w:ascii="Arial" w:hAnsi="Arial"/>
          <w:sz w:val="20"/>
        </w:rPr>
        <w:t> </w:t>
      </w:r>
      <w:r>
        <w:rPr>
          <w:rFonts w:ascii="Arial" w:hAnsi="Arial"/>
          <w:sz w:val="21"/>
        </w:rPr>
        <w:t>of</w:t>
      </w:r>
      <w:r>
        <w:rPr>
          <w:rFonts w:ascii="Arial" w:hAnsi="Arial"/>
          <w:sz w:val="20"/>
        </w:rPr>
        <w:t> </w:t>
      </w:r>
      <w:r>
        <w:rPr>
          <w:rFonts w:ascii="Arial" w:hAnsi="Arial"/>
          <w:sz w:val="21"/>
        </w:rPr>
        <w:t>Default,</w:t>
      </w:r>
      <w:r>
        <w:rPr>
          <w:rFonts w:ascii="Arial" w:hAnsi="Arial"/>
          <w:sz w:val="20"/>
        </w:rPr>
        <w:t> </w:t>
      </w:r>
      <w:r>
        <w:rPr>
          <w:rFonts w:ascii="Arial" w:hAnsi="Arial"/>
          <w:sz w:val="21"/>
        </w:rPr>
        <w:t>Review</w:t>
      </w:r>
      <w:r>
        <w:rPr>
          <w:rFonts w:ascii="Arial" w:hAnsi="Arial"/>
          <w:sz w:val="20"/>
        </w:rPr>
        <w:t> </w:t>
      </w:r>
      <w:r>
        <w:rPr>
          <w:rFonts w:ascii="Arial" w:hAnsi="Arial"/>
          <w:sz w:val="21"/>
        </w:rPr>
        <w:t>Event</w:t>
      </w:r>
      <w:r>
        <w:rPr>
          <w:rFonts w:ascii="Arial" w:hAnsi="Arial"/>
          <w:sz w:val="20"/>
        </w:rPr>
        <w:t> </w:t>
      </w:r>
      <w:r>
        <w:rPr>
          <w:rFonts w:ascii="Arial" w:hAnsi="Arial"/>
          <w:sz w:val="21"/>
        </w:rPr>
        <w:t>or</w:t>
      </w:r>
      <w:r>
        <w:rPr>
          <w:rFonts w:ascii="Arial" w:hAnsi="Arial"/>
          <w:sz w:val="20"/>
        </w:rPr>
        <w:t> </w:t>
      </w:r>
      <w:r>
        <w:rPr>
          <w:rFonts w:ascii="Arial" w:hAnsi="Arial"/>
          <w:sz w:val="21"/>
        </w:rPr>
        <w:t>Potential Event of Default subsists;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(q)</w:t>
      </w:r>
      <w:r>
        <w:rPr>
          <w:rFonts w:ascii="Arial" w:hAnsi="Arial"/>
          <w:b/>
          <w:sz w:val="21"/>
        </w:rPr>
        <w:t>ranking</w:t>
      </w:r>
      <w:r>
        <w:rPr>
          <w:rFonts w:ascii="Arial" w:hAnsi="Arial"/>
          <w:sz w:val="20"/>
        </w:rPr>
        <w:t> </w:t>
      </w:r>
      <w:r>
        <w:rPr>
          <w:rFonts w:ascii="Arial" w:hAnsi="Arial"/>
          <w:b/>
          <w:sz w:val="21"/>
        </w:rPr>
        <w:t>of</w:t>
      </w:r>
      <w:r>
        <w:rPr>
          <w:rFonts w:ascii="Arial" w:hAnsi="Arial"/>
          <w:sz w:val="20"/>
        </w:rPr>
        <w:t> </w:t>
      </w:r>
      <w:r>
        <w:rPr>
          <w:rFonts w:ascii="Arial" w:hAnsi="Arial"/>
          <w:b/>
          <w:sz w:val="21"/>
        </w:rPr>
        <w:t>obligations:</w:t>
      </w:r>
      <w:r>
        <w:rPr>
          <w:rFonts w:ascii="Arial" w:hAnsi="Arial"/>
          <w:sz w:val="20"/>
        </w:rPr>
        <w:t> </w:t>
      </w:r>
      <w:r>
        <w:rPr>
          <w:rFonts w:ascii="Arial" w:hAnsi="Arial"/>
          <w:sz w:val="21"/>
        </w:rPr>
        <w:t>each</w:t>
      </w:r>
      <w:r>
        <w:rPr>
          <w:rFonts w:ascii="Arial" w:hAnsi="Arial"/>
          <w:sz w:val="20"/>
        </w:rPr>
        <w:t> </w:t>
      </w:r>
      <w:r>
        <w:rPr>
          <w:rFonts w:ascii="Arial" w:hAnsi="Arial"/>
          <w:sz w:val="21"/>
        </w:rPr>
        <w:t>obligation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under</w:t>
      </w:r>
      <w:r>
        <w:rPr>
          <w:rFonts w:ascii="Arial" w:hAnsi="Arial"/>
          <w:sz w:val="20"/>
        </w:rPr>
        <w:t> </w:t>
      </w:r>
      <w:r>
        <w:rPr>
          <w:rFonts w:ascii="Arial" w:hAnsi="Arial"/>
          <w:sz w:val="21"/>
        </w:rPr>
        <w:t>this document ranks at least pari passu with all unsecured and unsubordinated obligations of the Borrower except obligations mandatorily preferred by law;</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(r)</w:t>
      </w:r>
      <w:r>
        <w:rPr>
          <w:rFonts w:ascii="Arial" w:hAnsi="Arial"/>
          <w:b/>
          <w:sz w:val="21"/>
        </w:rPr>
        <w:t>warranties correct:</w:t>
      </w:r>
      <w:r>
        <w:rPr>
          <w:rFonts w:ascii="Arial" w:hAnsi="Arial"/>
          <w:sz w:val="20"/>
        </w:rPr>
        <w:t> </w:t>
      </w:r>
      <w:r>
        <w:rPr>
          <w:rFonts w:ascii="Arial" w:hAnsi="Arial"/>
          <w:sz w:val="21"/>
        </w:rPr>
        <w:t>the representations and warranties given by any Transaction</w:t>
      </w:r>
      <w:r>
        <w:rPr>
          <w:rFonts w:ascii="Arial" w:hAnsi="Arial"/>
          <w:sz w:val="20"/>
        </w:rPr>
        <w:t> </w:t>
      </w:r>
      <w:r>
        <w:rPr>
          <w:rFonts w:ascii="Arial" w:hAnsi="Arial"/>
          <w:sz w:val="21"/>
        </w:rPr>
        <w:t>Party</w:t>
      </w:r>
      <w:r>
        <w:rPr>
          <w:rFonts w:ascii="Arial" w:hAnsi="Arial"/>
          <w:sz w:val="20"/>
        </w:rPr>
        <w:t> </w:t>
      </w:r>
      <w:r>
        <w:rPr>
          <w:rFonts w:ascii="Arial" w:hAnsi="Arial"/>
          <w:sz w:val="21"/>
        </w:rPr>
        <w:t>in</w:t>
      </w:r>
      <w:r>
        <w:rPr>
          <w:rFonts w:ascii="Arial" w:hAnsi="Arial"/>
          <w:sz w:val="20"/>
        </w:rPr>
        <w:t> </w:t>
      </w:r>
      <w:r>
        <w:rPr>
          <w:rFonts w:ascii="Arial" w:hAnsi="Arial"/>
          <w:sz w:val="21"/>
        </w:rPr>
        <w:t>any</w:t>
      </w:r>
      <w:r>
        <w:rPr>
          <w:rFonts w:ascii="Arial" w:hAnsi="Arial"/>
          <w:sz w:val="20"/>
        </w:rPr>
        <w:t> </w:t>
      </w:r>
      <w:r>
        <w:rPr>
          <w:rFonts w:ascii="Arial" w:hAnsi="Arial"/>
          <w:sz w:val="21"/>
        </w:rPr>
        <w:t>Transaction</w:t>
      </w:r>
      <w:r>
        <w:rPr>
          <w:rFonts w:ascii="Arial" w:hAnsi="Arial"/>
          <w:sz w:val="20"/>
        </w:rPr>
        <w:t> </w:t>
      </w:r>
      <w:r>
        <w:rPr>
          <w:rFonts w:ascii="Arial" w:hAnsi="Arial"/>
          <w:sz w:val="21"/>
        </w:rPr>
        <w:t>Document</w:t>
      </w:r>
      <w:r>
        <w:rPr>
          <w:rFonts w:ascii="Arial" w:hAnsi="Arial"/>
          <w:sz w:val="20"/>
        </w:rPr>
        <w:t> </w:t>
      </w:r>
      <w:r>
        <w:rPr>
          <w:rFonts w:ascii="Arial" w:hAnsi="Arial"/>
          <w:sz w:val="21"/>
        </w:rPr>
        <w:t>are</w:t>
      </w:r>
      <w:r>
        <w:rPr>
          <w:rFonts w:ascii="Arial" w:hAnsi="Arial"/>
          <w:sz w:val="20"/>
        </w:rPr>
        <w:t> </w:t>
      </w:r>
      <w:r>
        <w:rPr>
          <w:rFonts w:ascii="Arial" w:hAnsi="Arial"/>
          <w:sz w:val="21"/>
        </w:rPr>
        <w:t>correct</w:t>
      </w:r>
      <w:r>
        <w:rPr>
          <w:rFonts w:ascii="Arial" w:hAnsi="Arial"/>
          <w:sz w:val="20"/>
        </w:rPr>
        <w:t> </w:t>
      </w:r>
      <w:r>
        <w:rPr>
          <w:rFonts w:ascii="Arial" w:hAnsi="Arial"/>
          <w:sz w:val="21"/>
        </w:rPr>
        <w:t>in</w:t>
      </w:r>
      <w:r>
        <w:rPr>
          <w:rFonts w:ascii="Arial" w:hAnsi="Arial"/>
          <w:sz w:val="20"/>
        </w:rPr>
        <w:t> </w:t>
      </w:r>
      <w:r>
        <w:rPr>
          <w:rFonts w:ascii="Arial" w:hAnsi="Arial"/>
          <w:sz w:val="21"/>
        </w:rPr>
        <w:t>all</w:t>
      </w:r>
      <w:r>
        <w:rPr>
          <w:rFonts w:ascii="Arial" w:hAnsi="Arial"/>
          <w:sz w:val="20"/>
        </w:rPr>
        <w:t> </w:t>
      </w:r>
      <w:r>
        <w:rPr>
          <w:rFonts w:ascii="Arial" w:hAnsi="Arial"/>
          <w:sz w:val="21"/>
        </w:rPr>
        <w:t>material respects and not misleading in any material respect and will be when given or repeated;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(s)</w:t>
      </w:r>
      <w:r>
        <w:rPr>
          <w:rFonts w:ascii="Arial" w:hAnsi="Arial"/>
          <w:b/>
          <w:sz w:val="21"/>
        </w:rPr>
        <w:t>no immunity:</w:t>
      </w:r>
      <w:r>
        <w:rPr>
          <w:rFonts w:ascii="Arial" w:hAnsi="Arial"/>
          <w:sz w:val="20"/>
        </w:rPr>
        <w:t> </w:t>
      </w:r>
      <w:r>
        <w:rPr>
          <w:rFonts w:ascii="Arial" w:hAnsi="Arial"/>
          <w:sz w:val="21"/>
        </w:rPr>
        <w:t>each Transaction Party and its property are free of any right</w:t>
      </w:r>
      <w:r>
        <w:rPr>
          <w:rFonts w:ascii="Arial" w:hAnsi="Arial"/>
          <w:sz w:val="20"/>
        </w:rPr>
        <w:t> </w:t>
      </w:r>
      <w:r>
        <w:rPr>
          <w:rFonts w:ascii="Arial" w:hAnsi="Arial"/>
          <w:sz w:val="21"/>
        </w:rPr>
        <w:t>of</w:t>
      </w:r>
      <w:r>
        <w:rPr>
          <w:rFonts w:ascii="Arial" w:hAnsi="Arial"/>
          <w:sz w:val="20"/>
        </w:rPr>
        <w:t> </w:t>
      </w:r>
      <w:r>
        <w:rPr>
          <w:rFonts w:ascii="Arial" w:hAnsi="Arial"/>
          <w:sz w:val="21"/>
        </w:rPr>
        <w:t>immunity</w:t>
      </w:r>
      <w:r>
        <w:rPr>
          <w:rFonts w:ascii="Arial" w:hAnsi="Arial"/>
          <w:sz w:val="20"/>
        </w:rPr>
        <w:t> </w:t>
      </w:r>
      <w:r>
        <w:rPr>
          <w:rFonts w:ascii="Arial" w:hAnsi="Arial"/>
          <w:sz w:val="21"/>
        </w:rPr>
        <w:t>from</w:t>
      </w:r>
      <w:r>
        <w:rPr>
          <w:rFonts w:ascii="Arial" w:hAnsi="Arial"/>
          <w:sz w:val="20"/>
        </w:rPr>
        <w:t> </w:t>
      </w:r>
      <w:r>
        <w:rPr>
          <w:rFonts w:ascii="Arial" w:hAnsi="Arial"/>
          <w:sz w:val="21"/>
        </w:rPr>
        <w:t>set-off,</w:t>
      </w:r>
      <w:r>
        <w:rPr>
          <w:rFonts w:ascii="Arial" w:hAnsi="Arial"/>
          <w:sz w:val="20"/>
        </w:rPr>
        <w:t> </w:t>
      </w:r>
      <w:r>
        <w:rPr>
          <w:rFonts w:ascii="Arial" w:hAnsi="Arial"/>
          <w:sz w:val="21"/>
        </w:rPr>
        <w:t>proceedings</w:t>
      </w:r>
      <w:r>
        <w:rPr>
          <w:rFonts w:ascii="Arial" w:hAnsi="Arial"/>
          <w:sz w:val="20"/>
        </w:rPr>
        <w:t> </w:t>
      </w:r>
      <w:r>
        <w:rPr>
          <w:rFonts w:ascii="Arial" w:hAnsi="Arial"/>
          <w:sz w:val="21"/>
        </w:rPr>
        <w:t>or</w:t>
      </w:r>
      <w:r>
        <w:rPr>
          <w:rFonts w:ascii="Arial" w:hAnsi="Arial"/>
          <w:sz w:val="20"/>
        </w:rPr>
        <w:t> </w:t>
      </w:r>
      <w:r>
        <w:rPr>
          <w:rFonts w:ascii="Arial" w:hAnsi="Arial"/>
          <w:sz w:val="21"/>
        </w:rPr>
        <w:t>execution</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its obligations under any Transaction Document;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(t)</w:t>
      </w:r>
      <w:r>
        <w:rPr>
          <w:rFonts w:ascii="Arial" w:hAnsi="Arial"/>
          <w:b/>
          <w:sz w:val="21"/>
        </w:rPr>
        <w:t>insurance:</w:t>
      </w:r>
      <w:r>
        <w:rPr>
          <w:rFonts w:ascii="Arial" w:hAnsi="Arial"/>
          <w:sz w:val="20"/>
        </w:rPr>
        <w:t> </w:t>
      </w:r>
      <w:r>
        <w:rPr>
          <w:rFonts w:ascii="Arial" w:hAnsi="Arial"/>
          <w:sz w:val="21"/>
        </w:rPr>
        <w:t>the</w:t>
      </w:r>
      <w:r>
        <w:rPr>
          <w:rFonts w:ascii="Arial" w:hAnsi="Arial"/>
          <w:sz w:val="20"/>
        </w:rPr>
        <w:t> </w:t>
      </w:r>
      <w:r>
        <w:rPr>
          <w:rFonts w:ascii="Arial" w:hAnsi="Arial"/>
          <w:sz w:val="21"/>
        </w:rPr>
        <w:t>Insurances</w:t>
      </w:r>
      <w:r>
        <w:rPr>
          <w:rFonts w:ascii="Arial" w:hAnsi="Arial"/>
          <w:sz w:val="20"/>
        </w:rPr>
        <w:t> </w:t>
      </w:r>
      <w:r>
        <w:rPr>
          <w:rFonts w:ascii="Arial" w:hAnsi="Arial"/>
          <w:sz w:val="21"/>
        </w:rPr>
        <w:t>are</w:t>
      </w:r>
      <w:r>
        <w:rPr>
          <w:rFonts w:ascii="Arial" w:hAnsi="Arial"/>
          <w:sz w:val="20"/>
        </w:rPr>
        <w:t> </w:t>
      </w:r>
      <w:r>
        <w:rPr>
          <w:rFonts w:ascii="Arial" w:hAnsi="Arial"/>
          <w:sz w:val="21"/>
        </w:rPr>
        <w:t>enforceable</w:t>
      </w:r>
      <w:r>
        <w:rPr>
          <w:rFonts w:ascii="Arial" w:hAnsi="Arial"/>
          <w:sz w:val="20"/>
        </w:rPr>
        <w:t> </w:t>
      </w:r>
      <w:r>
        <w:rPr>
          <w:rFonts w:ascii="Arial" w:hAnsi="Arial"/>
          <w:sz w:val="21"/>
        </w:rPr>
        <w:t>against</w:t>
      </w:r>
      <w:r>
        <w:rPr>
          <w:rFonts w:ascii="Arial" w:hAnsi="Arial"/>
          <w:sz w:val="20"/>
        </w:rPr>
        <w:t> </w:t>
      </w:r>
      <w:r>
        <w:rPr>
          <w:rFonts w:ascii="Arial" w:hAnsi="Arial"/>
          <w:sz w:val="21"/>
        </w:rPr>
        <w:t>the</w:t>
      </w:r>
      <w:r>
        <w:rPr>
          <w:rFonts w:ascii="Arial" w:hAnsi="Arial"/>
          <w:sz w:val="20"/>
        </w:rPr>
        <w:t> </w:t>
      </w:r>
      <w:r>
        <w:rPr>
          <w:rFonts w:ascii="Arial" w:hAnsi="Arial"/>
          <w:sz w:val="21"/>
        </w:rPr>
        <w:t>relevant</w:t>
      </w:r>
      <w:r>
        <w:rPr>
          <w:rFonts w:ascii="Arial" w:hAnsi="Arial"/>
          <w:sz w:val="20"/>
        </w:rPr>
        <w:t> </w:t>
      </w:r>
      <w:r>
        <w:rPr>
          <w:rFonts w:ascii="Arial" w:hAnsi="Arial"/>
          <w:sz w:val="21"/>
        </w:rPr>
        <w:t>insurer in accordance with their terms and are not void or voidable;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(u)</w:t>
      </w:r>
      <w:r>
        <w:rPr>
          <w:rFonts w:ascii="Arial" w:hAnsi="Arial"/>
          <w:b/>
          <w:sz w:val="21"/>
        </w:rPr>
        <w:t>trust</w:t>
      </w:r>
      <w:r>
        <w:rPr>
          <w:rFonts w:ascii="Arial" w:hAnsi="Arial"/>
          <w:sz w:val="20"/>
        </w:rPr>
        <w:t> </w:t>
      </w:r>
      <w:r>
        <w:rPr>
          <w:rFonts w:ascii="Arial" w:hAnsi="Arial"/>
          <w:b/>
          <w:sz w:val="21"/>
        </w:rPr>
        <w:t>provisions: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each</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which</w:t>
      </w:r>
      <w:r>
        <w:rPr>
          <w:rFonts w:ascii="Arial" w:hAnsi="Arial"/>
          <w:sz w:val="20"/>
        </w:rPr>
        <w:t> </w:t>
      </w:r>
      <w:r>
        <w:rPr>
          <w:rFonts w:ascii="Arial" w:hAnsi="Arial"/>
          <w:sz w:val="21"/>
        </w:rPr>
        <w:t>enters</w:t>
      </w:r>
      <w:r>
        <w:rPr>
          <w:rFonts w:ascii="Arial" w:hAnsi="Arial"/>
          <w:sz w:val="20"/>
        </w:rPr>
        <w:t> </w:t>
      </w:r>
      <w:r>
        <w:rPr>
          <w:rFonts w:ascii="Arial" w:hAnsi="Arial"/>
          <w:sz w:val="21"/>
        </w:rPr>
        <w:t>into any Transaction Document as trustee of a Trust:</w:t>
      </w:r>
      <w:r>
        <w:rPr>
          <w:rFonts w:ascii="Arial" w:hAnsi="Arial"/>
          <w:sz w:val="20"/>
        </w:rPr>
        <w:t xml:space="preserve"> </w:t>
      </w:r>
    </w:p>
    <w:p>
      <w:pPr>
        <w:pStyle w:val="TextBody"/>
        <w:bidi w:val="0"/>
        <w:spacing w:lineRule="auto" w:line="266" w:before="0" w:after="0"/>
        <w:ind w:left="4275" w:right="1990" w:hanging="0"/>
        <w:jc w:val="left"/>
        <w:rPr>
          <w:rFonts w:ascii="Arial" w:hAnsi="Arial"/>
          <w:sz w:val="20"/>
        </w:rPr>
      </w:pPr>
      <w:r>
        <w:rPr>
          <w:rFonts w:ascii="Arial" w:hAnsi="Arial"/>
          <w:sz w:val="21"/>
        </w:rPr>
        <w:t>(i)the</w:t>
      </w:r>
      <w:r>
        <w:rPr>
          <w:rFonts w:ascii="Arial" w:hAnsi="Arial"/>
          <w:sz w:val="20"/>
        </w:rPr>
        <w:t> </w:t>
      </w:r>
      <w:r>
        <w:rPr>
          <w:rFonts w:ascii="Arial" w:hAnsi="Arial"/>
          <w:sz w:val="21"/>
        </w:rPr>
        <w:t>Trustee</w:t>
      </w:r>
      <w:r>
        <w:rPr>
          <w:rFonts w:ascii="Arial" w:hAnsi="Arial"/>
          <w:sz w:val="20"/>
        </w:rPr>
        <w:t> </w:t>
      </w:r>
      <w:r>
        <w:rPr>
          <w:rFonts w:ascii="Arial" w:hAnsi="Arial"/>
          <w:sz w:val="21"/>
        </w:rPr>
        <w:t>has</w:t>
      </w:r>
      <w:r>
        <w:rPr>
          <w:rFonts w:ascii="Arial" w:hAnsi="Arial"/>
          <w:sz w:val="20"/>
        </w:rPr>
        <w:t> </w:t>
      </w:r>
      <w:r>
        <w:rPr>
          <w:rFonts w:ascii="Arial" w:hAnsi="Arial"/>
          <w:sz w:val="21"/>
        </w:rPr>
        <w:t>power</w:t>
      </w:r>
      <w:r>
        <w:rPr>
          <w:rFonts w:ascii="Arial" w:hAnsi="Arial"/>
          <w:sz w:val="20"/>
        </w:rPr>
        <w:t> </w:t>
      </w:r>
      <w:r>
        <w:rPr>
          <w:rFonts w:ascii="Arial" w:hAnsi="Arial"/>
          <w:sz w:val="21"/>
        </w:rPr>
        <w:t>as</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to</w:t>
      </w:r>
      <w:r>
        <w:rPr>
          <w:rFonts w:ascii="Arial" w:hAnsi="Arial"/>
          <w:sz w:val="20"/>
        </w:rPr>
        <w:t> </w:t>
      </w:r>
      <w:r>
        <w:rPr>
          <w:rFonts w:ascii="Arial" w:hAnsi="Arial"/>
          <w:sz w:val="21"/>
        </w:rPr>
        <w:t>execute</w:t>
      </w:r>
      <w:r>
        <w:rPr>
          <w:rFonts w:ascii="Arial" w:hAnsi="Arial"/>
          <w:sz w:val="20"/>
        </w:rPr>
        <w:t> </w:t>
      </w:r>
      <w:r>
        <w:rPr>
          <w:rFonts w:ascii="Arial" w:hAnsi="Arial"/>
          <w:sz w:val="21"/>
        </w:rPr>
        <w:t>and perform its obligations under the Transaction Documents;</w:t>
      </w:r>
      <w:r>
        <w:rPr>
          <w:rFonts w:ascii="Arial" w:hAnsi="Arial"/>
          <w:sz w:val="20"/>
        </w:rPr>
        <w:t xml:space="preserve"> </w:t>
      </w:r>
    </w:p>
    <w:p>
      <w:pPr>
        <w:pStyle w:val="TextBody"/>
        <w:bidi w:val="0"/>
        <w:spacing w:lineRule="auto" w:line="266" w:before="0" w:after="0"/>
        <w:ind w:left="4275" w:right="1465" w:hanging="0"/>
        <w:jc w:val="left"/>
        <w:rPr>
          <w:rFonts w:ascii="Arial" w:hAnsi="Arial"/>
          <w:sz w:val="20"/>
        </w:rPr>
      </w:pPr>
      <w:r>
        <w:rPr>
          <w:rFonts w:ascii="Arial" w:hAnsi="Arial"/>
          <w:sz w:val="21"/>
        </w:rPr>
        <w:t>(ii)the</w:t>
      </w:r>
      <w:r>
        <w:rPr>
          <w:rFonts w:ascii="Arial" w:hAnsi="Arial"/>
          <w:sz w:val="20"/>
        </w:rPr>
        <w:t> </w:t>
      </w:r>
      <w:r>
        <w:rPr>
          <w:rFonts w:ascii="Arial" w:hAnsi="Arial"/>
          <w:sz w:val="21"/>
        </w:rPr>
        <w:t>Trustee,</w:t>
      </w:r>
      <w:r>
        <w:rPr>
          <w:rFonts w:ascii="Arial" w:hAnsi="Arial"/>
          <w:sz w:val="20"/>
        </w:rPr>
        <w:t> </w:t>
      </w:r>
      <w:r>
        <w:rPr>
          <w:rFonts w:ascii="Arial" w:hAnsi="Arial"/>
          <w:sz w:val="21"/>
        </w:rPr>
        <w:t>in</w:t>
      </w:r>
      <w:r>
        <w:rPr>
          <w:rFonts w:ascii="Arial" w:hAnsi="Arial"/>
          <w:sz w:val="20"/>
        </w:rPr>
        <w:t> </w:t>
      </w:r>
      <w:r>
        <w:rPr>
          <w:rFonts w:ascii="Arial" w:hAnsi="Arial"/>
          <w:sz w:val="21"/>
        </w:rPr>
        <w:t>executing</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Documents</w:t>
      </w:r>
      <w:r>
        <w:rPr>
          <w:rFonts w:ascii="Arial" w:hAnsi="Arial"/>
          <w:sz w:val="20"/>
        </w:rPr>
        <w:t> </w:t>
      </w:r>
      <w:r>
        <w:rPr>
          <w:rFonts w:ascii="Arial" w:hAnsi="Arial"/>
          <w:sz w:val="21"/>
        </w:rPr>
        <w:t>and</w:t>
      </w:r>
      <w:r>
        <w:rPr>
          <w:rFonts w:ascii="Arial" w:hAnsi="Arial"/>
          <w:sz w:val="20"/>
        </w:rPr>
        <w:t> </w:t>
      </w:r>
      <w:r>
        <w:rPr>
          <w:rFonts w:ascii="Arial" w:hAnsi="Arial"/>
          <w:sz w:val="21"/>
        </w:rPr>
        <w:t>entering into those transactions, have properly performed their obligations to the beneficiaries of the Trust;</w:t>
      </w:r>
      <w:r>
        <w:rPr>
          <w:rFonts w:ascii="Arial" w:hAnsi="Arial"/>
          <w:sz w:val="20"/>
        </w:rPr>
        <w:t xml:space="preserve"> </w:t>
      </w:r>
    </w:p>
    <w:p>
      <w:pPr>
        <w:pStyle w:val="TextBody"/>
        <w:bidi w:val="0"/>
        <w:spacing w:lineRule="auto" w:line="266" w:before="118" w:after="0"/>
        <w:ind w:left="4275" w:right="1713" w:hanging="0"/>
        <w:jc w:val="both"/>
        <w:rPr>
          <w:rFonts w:ascii="Arial" w:hAnsi="Arial"/>
          <w:sz w:val="20"/>
        </w:rPr>
      </w:pPr>
      <w:r>
        <w:rPr>
          <w:rFonts w:ascii="Arial" w:hAnsi="Arial"/>
          <w:sz w:val="21"/>
        </w:rPr>
        <w:t>(iii)all</w:t>
      </w:r>
      <w:r>
        <w:rPr>
          <w:rFonts w:ascii="Arial" w:hAnsi="Arial"/>
          <w:sz w:val="20"/>
        </w:rPr>
        <w:t> </w:t>
      </w:r>
      <w:r>
        <w:rPr>
          <w:rFonts w:ascii="Arial" w:hAnsi="Arial"/>
          <w:sz w:val="21"/>
        </w:rPr>
        <w:t>necessary</w:t>
      </w:r>
      <w:r>
        <w:rPr>
          <w:rFonts w:ascii="Arial" w:hAnsi="Arial"/>
          <w:sz w:val="20"/>
        </w:rPr>
        <w:t> </w:t>
      </w:r>
      <w:r>
        <w:rPr>
          <w:rFonts w:ascii="Arial" w:hAnsi="Arial"/>
          <w:sz w:val="21"/>
        </w:rPr>
        <w:t>action</w:t>
      </w:r>
      <w:r>
        <w:rPr>
          <w:rFonts w:ascii="Arial" w:hAnsi="Arial"/>
          <w:sz w:val="20"/>
        </w:rPr>
        <w:t> </w:t>
      </w:r>
      <w:r>
        <w:rPr>
          <w:rFonts w:ascii="Arial" w:hAnsi="Arial"/>
          <w:sz w:val="21"/>
        </w:rPr>
        <w:t>required</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Deed</w:t>
      </w:r>
      <w:r>
        <w:rPr>
          <w:rFonts w:ascii="Arial" w:hAnsi="Arial"/>
          <w:sz w:val="20"/>
        </w:rPr>
        <w:t> </w:t>
      </w:r>
      <w:r>
        <w:rPr>
          <w:rFonts w:ascii="Arial" w:hAnsi="Arial"/>
          <w:sz w:val="21"/>
        </w:rPr>
        <w:t>to</w:t>
      </w:r>
      <w:r>
        <w:rPr>
          <w:rFonts w:ascii="Arial" w:hAnsi="Arial"/>
          <w:sz w:val="20"/>
        </w:rPr>
        <w:t> </w:t>
      </w:r>
      <w:r>
        <w:rPr>
          <w:rFonts w:ascii="Arial" w:hAnsi="Arial"/>
          <w:sz w:val="21"/>
        </w:rPr>
        <w:t>authorise</w:t>
      </w:r>
      <w:r>
        <w:rPr>
          <w:rFonts w:ascii="Arial" w:hAnsi="Arial"/>
          <w:sz w:val="20"/>
        </w:rPr>
        <w:t> </w:t>
      </w:r>
      <w:r>
        <w:rPr>
          <w:rFonts w:ascii="Arial" w:hAnsi="Arial"/>
          <w:sz w:val="21"/>
        </w:rPr>
        <w:t>the unconditional</w:t>
      </w:r>
      <w:r>
        <w:rPr>
          <w:rFonts w:ascii="Arial" w:hAnsi="Arial"/>
          <w:sz w:val="20"/>
        </w:rPr>
        <w:t> </w:t>
      </w:r>
      <w:r>
        <w:rPr>
          <w:rFonts w:ascii="Arial" w:hAnsi="Arial"/>
          <w:sz w:val="21"/>
        </w:rPr>
        <w:t>execution</w:t>
      </w:r>
      <w:r>
        <w:rPr>
          <w:rFonts w:ascii="Arial" w:hAnsi="Arial"/>
          <w:sz w:val="20"/>
        </w:rPr>
        <w:t> </w:t>
      </w:r>
      <w:r>
        <w:rPr>
          <w:rFonts w:ascii="Arial" w:hAnsi="Arial"/>
          <w:sz w:val="21"/>
        </w:rPr>
        <w:t>and</w:t>
      </w:r>
      <w:r>
        <w:rPr>
          <w:rFonts w:ascii="Arial" w:hAnsi="Arial"/>
          <w:sz w:val="20"/>
        </w:rPr>
        <w:t> </w:t>
      </w:r>
      <w:r>
        <w:rPr>
          <w:rFonts w:ascii="Arial" w:hAnsi="Arial"/>
          <w:sz w:val="21"/>
        </w:rPr>
        <w:t>delivery</w:t>
      </w:r>
      <w:r>
        <w:rPr>
          <w:rFonts w:ascii="Arial" w:hAnsi="Arial"/>
          <w:sz w:val="20"/>
        </w:rPr>
        <w:t> </w:t>
      </w:r>
      <w:r>
        <w:rPr>
          <w:rFonts w:ascii="Arial" w:hAnsi="Arial"/>
          <w:sz w:val="21"/>
        </w:rPr>
        <w:t>of,</w:t>
      </w:r>
      <w:r>
        <w:rPr>
          <w:rFonts w:ascii="Arial" w:hAnsi="Arial"/>
          <w:sz w:val="20"/>
        </w:rPr>
        <w:t> </w:t>
      </w:r>
      <w:r>
        <w:rPr>
          <w:rFonts w:ascii="Arial" w:hAnsi="Arial"/>
          <w:sz w:val="21"/>
        </w:rPr>
        <w:t>and</w:t>
      </w:r>
      <w:r>
        <w:rPr>
          <w:rFonts w:ascii="Arial" w:hAnsi="Arial"/>
          <w:sz w:val="20"/>
        </w:rPr>
        <w:t> </w:t>
      </w:r>
      <w:r>
        <w:rPr>
          <w:rFonts w:ascii="Arial" w:hAnsi="Arial"/>
          <w:sz w:val="21"/>
        </w:rPr>
        <w:t>compliance</w:t>
      </w:r>
      <w:r>
        <w:rPr>
          <w:rFonts w:ascii="Arial" w:hAnsi="Arial"/>
          <w:sz w:val="20"/>
        </w:rPr>
        <w:t> </w:t>
      </w:r>
      <w:r>
        <w:rPr>
          <w:rFonts w:ascii="Arial" w:hAnsi="Arial"/>
          <w:sz w:val="21"/>
        </w:rPr>
        <w:t>with</w:t>
      </w:r>
      <w:r>
        <w:rPr>
          <w:rFonts w:ascii="Arial" w:hAnsi="Arial"/>
          <w:sz w:val="20"/>
        </w:rPr>
        <w:t> </w:t>
      </w:r>
      <w:r>
        <w:rPr>
          <w:rFonts w:ascii="Arial" w:hAnsi="Arial"/>
          <w:sz w:val="21"/>
        </w:rPr>
        <w:t>its obligations under, the Transaction Documents has been taken;</w:t>
      </w:r>
      <w:r>
        <w:rPr>
          <w:rFonts w:ascii="Arial" w:hAnsi="Arial"/>
          <w:sz w:val="20"/>
        </w:rPr>
        <w:t xml:space="preserve"> </w:t>
      </w:r>
    </w:p>
    <w:p>
      <w:pPr>
        <w:pStyle w:val="TextBody"/>
        <w:bidi w:val="0"/>
        <w:spacing w:before="120" w:after="0"/>
        <w:ind w:left="4272" w:right="700" w:hanging="0"/>
        <w:jc w:val="both"/>
        <w:rPr>
          <w:rFonts w:ascii="Arial" w:hAnsi="Arial"/>
          <w:sz w:val="20"/>
        </w:rPr>
      </w:pPr>
      <w:r>
        <w:rPr>
          <w:rFonts w:ascii="Arial" w:hAnsi="Arial"/>
          <w:sz w:val="21"/>
        </w:rPr>
        <w:t>(iv)the</w:t>
      </w:r>
      <w:r>
        <w:rPr>
          <w:rFonts w:ascii="Arial" w:hAnsi="Arial"/>
          <w:sz w:val="20"/>
        </w:rPr>
        <w:t> </w:t>
      </w:r>
      <w:r>
        <w:rPr>
          <w:rFonts w:ascii="Arial" w:hAnsi="Arial"/>
          <w:sz w:val="21"/>
        </w:rPr>
        <w:t>Trustee</w:t>
      </w:r>
      <w:r>
        <w:rPr>
          <w:rFonts w:ascii="Arial" w:hAnsi="Arial"/>
          <w:sz w:val="20"/>
        </w:rPr>
        <w:t> </w:t>
      </w:r>
      <w:r>
        <w:rPr>
          <w:rFonts w:ascii="Arial" w:hAnsi="Arial"/>
          <w:sz w:val="21"/>
        </w:rPr>
        <w:t>is</w:t>
      </w:r>
      <w:r>
        <w:rPr>
          <w:rFonts w:ascii="Arial" w:hAnsi="Arial"/>
          <w:sz w:val="20"/>
        </w:rPr>
        <w:t> </w:t>
      </w:r>
      <w:r>
        <w:rPr>
          <w:rFonts w:ascii="Arial" w:hAnsi="Arial"/>
          <w:sz w:val="21"/>
        </w:rPr>
        <w:t>the</w:t>
      </w:r>
      <w:r>
        <w:rPr>
          <w:rFonts w:ascii="Arial" w:hAnsi="Arial"/>
          <w:sz w:val="20"/>
        </w:rPr>
        <w:t> </w:t>
      </w:r>
      <w:r>
        <w:rPr>
          <w:rFonts w:ascii="Arial" w:hAnsi="Arial"/>
          <w:sz w:val="21"/>
        </w:rPr>
        <w:t>only</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xml:space="preserve"> </w:t>
      </w:r>
    </w:p>
    <w:p>
      <w:pPr>
        <w:pStyle w:val="TextBody"/>
        <w:bidi w:val="0"/>
        <w:spacing w:lineRule="auto" w:line="266" w:before="147" w:after="0"/>
        <w:ind w:left="4275" w:right="1501" w:hanging="0"/>
        <w:jc w:val="left"/>
        <w:rPr>
          <w:rFonts w:ascii="Arial" w:hAnsi="Arial"/>
          <w:sz w:val="20"/>
        </w:rPr>
      </w:pPr>
      <w:r>
        <w:rPr>
          <w:rFonts w:ascii="Arial" w:hAnsi="Arial"/>
          <w:sz w:val="21"/>
        </w:rPr>
        <w:t>(v)no effective action has been taken to remove the Trustee as trustee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or</w:t>
      </w:r>
      <w:r>
        <w:rPr>
          <w:rFonts w:ascii="Arial" w:hAnsi="Arial"/>
          <w:sz w:val="20"/>
        </w:rPr>
        <w:t> </w:t>
      </w:r>
      <w:r>
        <w:rPr>
          <w:rFonts w:ascii="Arial" w:hAnsi="Arial"/>
          <w:sz w:val="21"/>
        </w:rPr>
        <w:t>to</w:t>
      </w:r>
      <w:r>
        <w:rPr>
          <w:rFonts w:ascii="Arial" w:hAnsi="Arial"/>
          <w:sz w:val="20"/>
        </w:rPr>
        <w:t> </w:t>
      </w:r>
      <w:r>
        <w:rPr>
          <w:rFonts w:ascii="Arial" w:hAnsi="Arial"/>
          <w:sz w:val="21"/>
        </w:rPr>
        <w:t>appoint</w:t>
      </w:r>
      <w:r>
        <w:rPr>
          <w:rFonts w:ascii="Arial" w:hAnsi="Arial"/>
          <w:sz w:val="20"/>
        </w:rPr>
        <w:t> </w:t>
      </w:r>
      <w:r>
        <w:rPr>
          <w:rFonts w:ascii="Arial" w:hAnsi="Arial"/>
          <w:sz w:val="21"/>
        </w:rPr>
        <w:t>an</w:t>
      </w:r>
      <w:r>
        <w:rPr>
          <w:rFonts w:ascii="Arial" w:hAnsi="Arial"/>
          <w:sz w:val="20"/>
        </w:rPr>
        <w:t> </w:t>
      </w:r>
      <w:r>
        <w:rPr>
          <w:rFonts w:ascii="Arial" w:hAnsi="Arial"/>
          <w:sz w:val="21"/>
        </w:rPr>
        <w:t>additional</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822" w:right="1548" w:hanging="0"/>
        <w:jc w:val="left"/>
        <w:rPr>
          <w:rFonts w:ascii="Arial" w:hAnsi="Arial"/>
          <w:sz w:val="20"/>
        </w:rPr>
      </w:pPr>
      <w:r>
        <w:rPr>
          <w:rFonts w:ascii="Arial" w:hAnsi="Arial"/>
          <w:sz w:val="21"/>
        </w:rPr>
        <w:t>(vi)(A)the Trustee has a right to be fully indemnified out of the 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all</w:t>
      </w:r>
      <w:r>
        <w:rPr>
          <w:rFonts w:ascii="Arial" w:hAnsi="Arial"/>
          <w:sz w:val="20"/>
        </w:rPr>
        <w:t> </w:t>
      </w:r>
      <w:r>
        <w:rPr>
          <w:rFonts w:ascii="Arial" w:hAnsi="Arial"/>
          <w:sz w:val="21"/>
        </w:rPr>
        <w:t>of</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under the Transaction Documents;</w:t>
      </w:r>
      <w:r>
        <w:rPr>
          <w:rFonts w:ascii="Arial" w:hAnsi="Arial"/>
          <w:sz w:val="20"/>
        </w:rPr>
        <w:t xml:space="preserve"> </w:t>
      </w:r>
    </w:p>
    <w:p>
      <w:pPr>
        <w:pStyle w:val="TextBody"/>
        <w:bidi w:val="0"/>
        <w:spacing w:lineRule="auto" w:line="266" w:before="120" w:after="0"/>
        <w:ind w:left="4820" w:right="1458" w:hanging="0"/>
        <w:jc w:val="left"/>
        <w:rPr>
          <w:rFonts w:ascii="Arial" w:hAnsi="Arial"/>
          <w:sz w:val="20"/>
        </w:rPr>
      </w:pPr>
      <w:r>
        <w:rPr>
          <w:rFonts w:ascii="Arial" w:hAnsi="Arial"/>
          <w:sz w:val="21"/>
        </w:rPr>
        <w:t>(B)the</w:t>
      </w:r>
      <w:r>
        <w:rPr>
          <w:rFonts w:ascii="Arial" w:hAnsi="Arial"/>
          <w:sz w:val="20"/>
        </w:rPr>
        <w:t> </w:t>
      </w:r>
      <w:r>
        <w:rPr>
          <w:rFonts w:ascii="Arial" w:hAnsi="Arial"/>
          <w:sz w:val="21"/>
        </w:rPr>
        <w:t>Trustee</w:t>
      </w:r>
      <w:r>
        <w:rPr>
          <w:rFonts w:ascii="Arial" w:hAnsi="Arial"/>
          <w:sz w:val="20"/>
        </w:rPr>
        <w:t> </w:t>
      </w:r>
      <w:r>
        <w:rPr>
          <w:rFonts w:ascii="Arial" w:hAnsi="Arial"/>
          <w:sz w:val="21"/>
        </w:rPr>
        <w:t>has</w:t>
      </w:r>
      <w:r>
        <w:rPr>
          <w:rFonts w:ascii="Arial" w:hAnsi="Arial"/>
          <w:sz w:val="20"/>
        </w:rPr>
        <w:t> </w:t>
      </w:r>
      <w:r>
        <w:rPr>
          <w:rFonts w:ascii="Arial" w:hAnsi="Arial"/>
          <w:sz w:val="21"/>
        </w:rPr>
        <w:t>not</w:t>
      </w:r>
      <w:r>
        <w:rPr>
          <w:rFonts w:ascii="Arial" w:hAnsi="Arial"/>
          <w:sz w:val="20"/>
        </w:rPr>
        <w:t> </w:t>
      </w:r>
      <w:r>
        <w:rPr>
          <w:rFonts w:ascii="Arial" w:hAnsi="Arial"/>
          <w:sz w:val="21"/>
        </w:rPr>
        <w:t>released</w:t>
      </w:r>
      <w:r>
        <w:rPr>
          <w:rFonts w:ascii="Arial" w:hAnsi="Arial"/>
          <w:sz w:val="20"/>
        </w:rPr>
        <w:t> </w:t>
      </w:r>
      <w:r>
        <w:rPr>
          <w:rFonts w:ascii="Arial" w:hAnsi="Arial"/>
          <w:sz w:val="21"/>
        </w:rPr>
        <w:t>or</w:t>
      </w:r>
      <w:r>
        <w:rPr>
          <w:rFonts w:ascii="Arial" w:hAnsi="Arial"/>
          <w:sz w:val="20"/>
        </w:rPr>
        <w:t> </w:t>
      </w:r>
      <w:r>
        <w:rPr>
          <w:rFonts w:ascii="Arial" w:hAnsi="Arial"/>
          <w:sz w:val="21"/>
        </w:rPr>
        <w:t>disposed</w:t>
      </w:r>
      <w:r>
        <w:rPr>
          <w:rFonts w:ascii="Arial" w:hAnsi="Arial"/>
          <w:sz w:val="20"/>
        </w:rPr>
        <w:t> </w:t>
      </w:r>
      <w:r>
        <w:rPr>
          <w:rFonts w:ascii="Arial" w:hAnsi="Arial"/>
          <w:sz w:val="21"/>
        </w:rPr>
        <w:t>of</w:t>
      </w:r>
      <w:r>
        <w:rPr>
          <w:rFonts w:ascii="Arial" w:hAnsi="Arial"/>
          <w:sz w:val="20"/>
        </w:rPr>
        <w:t> </w:t>
      </w:r>
      <w:r>
        <w:rPr>
          <w:rFonts w:ascii="Arial" w:hAnsi="Arial"/>
          <w:sz w:val="21"/>
        </w:rPr>
        <w:t>its</w:t>
      </w:r>
      <w:r>
        <w:rPr>
          <w:rFonts w:ascii="Arial" w:hAnsi="Arial"/>
          <w:sz w:val="20"/>
        </w:rPr>
        <w:t> </w:t>
      </w:r>
      <w:r>
        <w:rPr>
          <w:rFonts w:ascii="Arial" w:hAnsi="Arial"/>
          <w:sz w:val="21"/>
        </w:rPr>
        <w:t>equitable</w:t>
      </w:r>
      <w:r>
        <w:rPr>
          <w:rFonts w:ascii="Arial" w:hAnsi="Arial"/>
          <w:sz w:val="20"/>
        </w:rPr>
        <w:t> </w:t>
      </w:r>
      <w:r>
        <w:rPr>
          <w:rFonts w:ascii="Arial" w:hAnsi="Arial"/>
          <w:sz w:val="21"/>
        </w:rPr>
        <w:t>lien over the property of the Trust which secures that indemnity; and</w:t>
      </w:r>
      <w:r>
        <w:rPr>
          <w:rFonts w:ascii="Arial" w:hAnsi="Arial"/>
          <w:sz w:val="20"/>
        </w:rPr>
        <w:t xml:space="preserve"> </w:t>
      </w:r>
    </w:p>
    <w:p>
      <w:pPr>
        <w:pStyle w:val="TextBody"/>
        <w:bidi w:val="0"/>
        <w:spacing w:before="120" w:after="0"/>
        <w:ind w:left="4820" w:right="700" w:hanging="0"/>
        <w:jc w:val="left"/>
        <w:rPr>
          <w:rFonts w:ascii="Arial" w:hAnsi="Arial"/>
          <w:sz w:val="20"/>
        </w:rPr>
      </w:pPr>
      <w:r>
        <w:rPr>
          <w:rFonts w:ascii="Arial" w:hAnsi="Arial"/>
          <w:sz w:val="21"/>
        </w:rPr>
        <w:t>(C)the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is</w:t>
      </w:r>
      <w:r>
        <w:rPr>
          <w:rFonts w:ascii="Arial" w:hAnsi="Arial"/>
          <w:sz w:val="20"/>
        </w:rPr>
        <w:t> </w:t>
      </w:r>
      <w:r>
        <w:rPr>
          <w:rFonts w:ascii="Arial" w:hAnsi="Arial"/>
          <w:sz w:val="21"/>
        </w:rPr>
        <w:t>sufficient</w:t>
      </w:r>
      <w:r>
        <w:rPr>
          <w:rFonts w:ascii="Arial" w:hAnsi="Arial"/>
          <w:sz w:val="20"/>
        </w:rPr>
        <w:t> </w:t>
      </w:r>
      <w:r>
        <w:rPr>
          <w:rFonts w:ascii="Arial" w:hAnsi="Arial"/>
          <w:sz w:val="21"/>
        </w:rPr>
        <w:t>to</w:t>
      </w:r>
      <w:r>
        <w:rPr>
          <w:rFonts w:ascii="Arial" w:hAnsi="Arial"/>
          <w:sz w:val="20"/>
        </w:rPr>
        <w:t> </w:t>
      </w:r>
      <w:r>
        <w:rPr>
          <w:rFonts w:ascii="Arial" w:hAnsi="Arial"/>
          <w:sz w:val="21"/>
        </w:rPr>
        <w:t>satisfy</w:t>
      </w:r>
      <w:r>
        <w:rPr>
          <w:rFonts w:ascii="Arial" w:hAnsi="Arial"/>
          <w:sz w:val="20"/>
        </w:rPr>
        <w:t> </w:t>
      </w:r>
      <w:r>
        <w:rPr>
          <w:rFonts w:ascii="Arial" w:hAnsi="Arial"/>
          <w:sz w:val="21"/>
        </w:rPr>
        <w:t>that</w:t>
      </w:r>
      <w:r>
        <w:rPr>
          <w:rFonts w:ascii="Arial" w:hAnsi="Arial"/>
          <w:sz w:val="20"/>
        </w:rPr>
        <w:t> </w:t>
      </w:r>
      <w:r>
        <w:rPr>
          <w:rFonts w:ascii="Arial" w:hAnsi="Arial"/>
          <w:sz w:val="21"/>
        </w:rPr>
        <w:t>indemnity;</w:t>
      </w:r>
      <w:r>
        <w:rPr>
          <w:rFonts w:ascii="Arial" w:hAnsi="Arial"/>
          <w:sz w:val="20"/>
        </w:rPr>
        <w:t xml:space="preserve"> </w:t>
      </w:r>
    </w:p>
    <w:p>
      <w:pPr>
        <w:pStyle w:val="TextBody"/>
        <w:bidi w:val="0"/>
        <w:spacing w:lineRule="auto" w:line="266" w:before="148" w:after="0"/>
        <w:ind w:left="4275" w:right="1434" w:hanging="0"/>
        <w:jc w:val="left"/>
        <w:rPr>
          <w:rFonts w:ascii="Arial" w:hAnsi="Arial"/>
          <w:sz w:val="20"/>
        </w:rPr>
      </w:pPr>
      <w:r>
        <w:rPr>
          <w:rFonts w:ascii="Arial" w:hAnsi="Arial"/>
          <w:sz w:val="21"/>
        </w:rPr>
        <w:t>(vii)the</w:t>
      </w:r>
      <w:r>
        <w:rPr>
          <w:rFonts w:ascii="Arial" w:hAnsi="Arial"/>
          <w:sz w:val="20"/>
        </w:rPr>
        <w:t> </w:t>
      </w:r>
      <w:r>
        <w:rPr>
          <w:rFonts w:ascii="Arial" w:hAnsi="Arial"/>
          <w:sz w:val="21"/>
        </w:rPr>
        <w:t>Trustee</w:t>
      </w:r>
      <w:r>
        <w:rPr>
          <w:rFonts w:ascii="Arial" w:hAnsi="Arial"/>
          <w:sz w:val="20"/>
        </w:rPr>
        <w:t> </w:t>
      </w:r>
      <w:r>
        <w:rPr>
          <w:rFonts w:ascii="Arial" w:hAnsi="Arial"/>
          <w:sz w:val="21"/>
        </w:rPr>
        <w:t>has</w:t>
      </w:r>
      <w:r>
        <w:rPr>
          <w:rFonts w:ascii="Arial" w:hAnsi="Arial"/>
          <w:sz w:val="20"/>
        </w:rPr>
        <w:t> </w:t>
      </w:r>
      <w:r>
        <w:rPr>
          <w:rFonts w:ascii="Arial" w:hAnsi="Arial"/>
          <w:sz w:val="21"/>
        </w:rPr>
        <w:t>complied</w:t>
      </w:r>
      <w:r>
        <w:rPr>
          <w:rFonts w:ascii="Arial" w:hAnsi="Arial"/>
          <w:sz w:val="20"/>
        </w:rPr>
        <w:t> </w:t>
      </w:r>
      <w:r>
        <w:rPr>
          <w:rFonts w:ascii="Arial" w:hAnsi="Arial"/>
          <w:sz w:val="21"/>
        </w:rPr>
        <w:t>with</w:t>
      </w:r>
      <w:r>
        <w:rPr>
          <w:rFonts w:ascii="Arial" w:hAnsi="Arial"/>
          <w:sz w:val="20"/>
        </w:rPr>
        <w:t> </w:t>
      </w:r>
      <w:r>
        <w:rPr>
          <w:rFonts w:ascii="Arial" w:hAnsi="Arial"/>
          <w:sz w:val="21"/>
        </w:rPr>
        <w:t>all</w:t>
      </w:r>
      <w:r>
        <w:rPr>
          <w:rFonts w:ascii="Arial" w:hAnsi="Arial"/>
          <w:sz w:val="20"/>
        </w:rPr>
        <w:t> </w:t>
      </w:r>
      <w:r>
        <w:rPr>
          <w:rFonts w:ascii="Arial" w:hAnsi="Arial"/>
          <w:sz w:val="21"/>
        </w:rPr>
        <w:t>of</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as</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the Trust in relation to execution of the Transaction Documents;</w:t>
      </w:r>
      <w:r>
        <w:rPr>
          <w:rFonts w:ascii="Arial" w:hAnsi="Arial"/>
          <w:sz w:val="20"/>
        </w:rPr>
        <w:t xml:space="preserve"> </w:t>
      </w:r>
    </w:p>
    <w:p>
      <w:pPr>
        <w:pStyle w:val="TextBody"/>
        <w:bidi w:val="0"/>
        <w:spacing w:lineRule="auto" w:line="266" w:before="0" w:after="0"/>
        <w:ind w:left="4275" w:right="1935" w:hanging="0"/>
        <w:jc w:val="left"/>
        <w:rPr>
          <w:rFonts w:ascii="Arial" w:hAnsi="Arial"/>
          <w:sz w:val="20"/>
        </w:rPr>
      </w:pPr>
      <w:r>
        <w:rPr>
          <w:rFonts w:ascii="Arial" w:hAnsi="Arial"/>
          <w:sz w:val="21"/>
        </w:rPr>
        <w:t>(viii)no</w:t>
      </w:r>
      <w:r>
        <w:rPr>
          <w:rFonts w:ascii="Arial" w:hAnsi="Arial"/>
          <w:sz w:val="20"/>
        </w:rPr>
        <w:t> </w:t>
      </w:r>
      <w:r>
        <w:rPr>
          <w:rFonts w:ascii="Arial" w:hAnsi="Arial"/>
          <w:sz w:val="21"/>
        </w:rPr>
        <w:t>effective</w:t>
      </w:r>
      <w:r>
        <w:rPr>
          <w:rFonts w:ascii="Arial" w:hAnsi="Arial"/>
          <w:sz w:val="20"/>
        </w:rPr>
        <w:t> </w:t>
      </w:r>
      <w:r>
        <w:rPr>
          <w:rFonts w:ascii="Arial" w:hAnsi="Arial"/>
          <w:sz w:val="21"/>
        </w:rPr>
        <w:t>action</w:t>
      </w:r>
      <w:r>
        <w:rPr>
          <w:rFonts w:ascii="Arial" w:hAnsi="Arial"/>
          <w:sz w:val="20"/>
        </w:rPr>
        <w:t> </w:t>
      </w:r>
      <w:r>
        <w:rPr>
          <w:rFonts w:ascii="Arial" w:hAnsi="Arial"/>
          <w:sz w:val="21"/>
        </w:rPr>
        <w:t>has</w:t>
      </w:r>
      <w:r>
        <w:rPr>
          <w:rFonts w:ascii="Arial" w:hAnsi="Arial"/>
          <w:sz w:val="20"/>
        </w:rPr>
        <w:t> </w:t>
      </w:r>
      <w:r>
        <w:rPr>
          <w:rFonts w:ascii="Arial" w:hAnsi="Arial"/>
          <w:sz w:val="21"/>
        </w:rPr>
        <w:t>been</w:t>
      </w:r>
      <w:r>
        <w:rPr>
          <w:rFonts w:ascii="Arial" w:hAnsi="Arial"/>
          <w:sz w:val="20"/>
        </w:rPr>
        <w:t> </w:t>
      </w:r>
      <w:r>
        <w:rPr>
          <w:rFonts w:ascii="Arial" w:hAnsi="Arial"/>
          <w:sz w:val="21"/>
        </w:rPr>
        <w:t>taken</w:t>
      </w:r>
      <w:r>
        <w:rPr>
          <w:rFonts w:ascii="Arial" w:hAnsi="Arial"/>
          <w:sz w:val="20"/>
        </w:rPr>
        <w:t> </w:t>
      </w:r>
      <w:r>
        <w:rPr>
          <w:rFonts w:ascii="Arial" w:hAnsi="Arial"/>
          <w:sz w:val="21"/>
        </w:rPr>
        <w:t>or,</w:t>
      </w:r>
      <w:r>
        <w:rPr>
          <w:rFonts w:ascii="Arial" w:hAnsi="Arial"/>
          <w:sz w:val="20"/>
        </w:rPr>
        <w:t> </w:t>
      </w:r>
      <w:r>
        <w:rPr>
          <w:rFonts w:ascii="Arial" w:hAnsi="Arial"/>
          <w:sz w:val="21"/>
        </w:rPr>
        <w:t>so</w:t>
      </w:r>
      <w:r>
        <w:rPr>
          <w:rFonts w:ascii="Arial" w:hAnsi="Arial"/>
          <w:sz w:val="20"/>
        </w:rPr>
        <w:t> </w:t>
      </w:r>
      <w:r>
        <w:rPr>
          <w:rFonts w:ascii="Arial" w:hAnsi="Arial"/>
          <w:sz w:val="21"/>
        </w:rPr>
        <w:t>far</w:t>
      </w:r>
      <w:r>
        <w:rPr>
          <w:rFonts w:ascii="Arial" w:hAnsi="Arial"/>
          <w:sz w:val="20"/>
        </w:rPr>
        <w:t> </w:t>
      </w:r>
      <w:r>
        <w:rPr>
          <w:rFonts w:ascii="Arial" w:hAnsi="Arial"/>
          <w:sz w:val="21"/>
        </w:rPr>
        <w:t>as</w:t>
      </w:r>
      <w:r>
        <w:rPr>
          <w:rFonts w:ascii="Arial" w:hAnsi="Arial"/>
          <w:sz w:val="20"/>
        </w:rPr>
        <w:t> </w:t>
      </w:r>
      <w:r>
        <w:rPr>
          <w:rFonts w:ascii="Arial" w:hAnsi="Arial"/>
          <w:sz w:val="21"/>
        </w:rPr>
        <w:t>the</w:t>
      </w:r>
      <w:r>
        <w:rPr>
          <w:rFonts w:ascii="Arial" w:hAnsi="Arial"/>
          <w:sz w:val="20"/>
        </w:rPr>
        <w:t> </w:t>
      </w:r>
      <w:r>
        <w:rPr>
          <w:rFonts w:ascii="Arial" w:hAnsi="Arial"/>
          <w:sz w:val="21"/>
        </w:rPr>
        <w:t>Trustee</w:t>
      </w:r>
      <w:r>
        <w:rPr>
          <w:rFonts w:ascii="Arial" w:hAnsi="Arial"/>
          <w:sz w:val="20"/>
        </w:rPr>
        <w:t> </w:t>
      </w:r>
      <w:r>
        <w:rPr>
          <w:rFonts w:ascii="Arial" w:hAnsi="Arial"/>
          <w:sz w:val="21"/>
        </w:rPr>
        <w:t>is aware, is contemplated by the beneficiaries of the Trust to terminate the Trust;</w:t>
      </w:r>
      <w:r>
        <w:rPr>
          <w:rFonts w:ascii="Arial" w:hAnsi="Arial"/>
          <w:sz w:val="20"/>
        </w:rPr>
        <w:t xml:space="preserve"> </w:t>
      </w:r>
    </w:p>
    <w:p>
      <w:pPr>
        <w:pStyle w:val="TextBody"/>
        <w:bidi w:val="0"/>
        <w:spacing w:before="120" w:after="0"/>
        <w:ind w:left="4275" w:right="700" w:hanging="0"/>
        <w:jc w:val="left"/>
        <w:rPr>
          <w:rFonts w:ascii="Arial" w:hAnsi="Arial"/>
          <w:sz w:val="20"/>
        </w:rPr>
      </w:pPr>
      <w:r>
        <w:rPr>
          <w:rFonts w:ascii="Arial" w:hAnsi="Arial"/>
          <w:sz w:val="21"/>
        </w:rPr>
        <w:t>(ix)the</w:t>
      </w:r>
      <w:r>
        <w:rPr>
          <w:rFonts w:ascii="Arial" w:hAnsi="Arial"/>
          <w:sz w:val="20"/>
        </w:rPr>
        <w:t> </w:t>
      </w:r>
      <w:r>
        <w:rPr>
          <w:rFonts w:ascii="Arial" w:hAnsi="Arial"/>
          <w:sz w:val="21"/>
        </w:rPr>
        <w:t>Trustee</w:t>
      </w:r>
      <w:r>
        <w:rPr>
          <w:rFonts w:ascii="Arial" w:hAnsi="Arial"/>
          <w:sz w:val="20"/>
        </w:rPr>
        <w:t> </w:t>
      </w:r>
      <w:r>
        <w:rPr>
          <w:rFonts w:ascii="Arial" w:hAnsi="Arial"/>
          <w:sz w:val="21"/>
        </w:rPr>
        <w:t>has</w:t>
      </w:r>
      <w:r>
        <w:rPr>
          <w:rFonts w:ascii="Arial" w:hAnsi="Arial"/>
          <w:sz w:val="20"/>
        </w:rPr>
        <w:t> </w:t>
      </w:r>
      <w:r>
        <w:rPr>
          <w:rFonts w:ascii="Arial" w:hAnsi="Arial"/>
          <w:sz w:val="21"/>
        </w:rPr>
        <w:t>disclosed</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full</w:t>
      </w:r>
      <w:r>
        <w:rPr>
          <w:rFonts w:ascii="Arial" w:hAnsi="Arial"/>
          <w:sz w:val="20"/>
        </w:rPr>
        <w:t> </w:t>
      </w:r>
      <w:r>
        <w:rPr>
          <w:rFonts w:ascii="Arial" w:hAnsi="Arial"/>
          <w:sz w:val="21"/>
        </w:rPr>
        <w:t>details</w:t>
      </w:r>
      <w:r>
        <w:rPr>
          <w:rFonts w:ascii="Arial" w:hAnsi="Arial"/>
          <w:sz w:val="20"/>
        </w:rPr>
        <w:t> </w:t>
      </w:r>
      <w:r>
        <w:rPr>
          <w:rFonts w:ascii="Arial" w:hAnsi="Arial"/>
          <w:sz w:val="21"/>
        </w:rPr>
        <w:t>of:</w:t>
      </w:r>
      <w:r>
        <w:rPr>
          <w:rFonts w:ascii="Arial" w:hAnsi="Arial"/>
          <w:sz w:val="20"/>
        </w:rPr>
        <w:t xml:space="preserve"> </w:t>
      </w:r>
    </w:p>
    <w:p>
      <w:pPr>
        <w:pStyle w:val="TextBody"/>
        <w:bidi w:val="0"/>
        <w:spacing w:lineRule="auto" w:line="266" w:before="147" w:after="0"/>
        <w:ind w:left="4820" w:right="1448" w:hanging="0"/>
        <w:jc w:val="left"/>
        <w:rPr>
          <w:rFonts w:ascii="Arial" w:hAnsi="Arial"/>
          <w:sz w:val="20"/>
        </w:rPr>
      </w:pPr>
      <w:r>
        <w:rPr>
          <w:rFonts w:ascii="Arial" w:hAnsi="Arial"/>
          <w:sz w:val="21"/>
        </w:rPr>
        <w:t>(A)the Trust and any other trust or fiduciary relationship affecting</w:t>
      </w:r>
      <w:r>
        <w:rPr>
          <w:rFonts w:ascii="Arial" w:hAnsi="Arial"/>
          <w:sz w:val="20"/>
        </w:rPr>
        <w:t> </w:t>
      </w:r>
      <w:r>
        <w:rPr>
          <w:rFonts w:ascii="Arial" w:hAnsi="Arial"/>
          <w:sz w:val="21"/>
        </w:rPr>
        <w:t>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and,</w:t>
      </w:r>
      <w:r>
        <w:rPr>
          <w:rFonts w:ascii="Arial" w:hAnsi="Arial"/>
          <w:sz w:val="20"/>
        </w:rPr>
        <w:t> </w:t>
      </w:r>
      <w:r>
        <w:rPr>
          <w:rFonts w:ascii="Arial" w:hAnsi="Arial"/>
          <w:sz w:val="21"/>
        </w:rPr>
        <w:t>without</w:t>
      </w:r>
      <w:r>
        <w:rPr>
          <w:rFonts w:ascii="Arial" w:hAnsi="Arial"/>
          <w:sz w:val="20"/>
        </w:rPr>
        <w:t> </w:t>
      </w:r>
      <w:r>
        <w:rPr>
          <w:rFonts w:ascii="Arial" w:hAnsi="Arial"/>
          <w:sz w:val="21"/>
        </w:rPr>
        <w:t>limitation,</w:t>
      </w:r>
      <w:r>
        <w:rPr>
          <w:rFonts w:ascii="Arial" w:hAnsi="Arial"/>
          <w:sz w:val="20"/>
        </w:rPr>
        <w:t> </w:t>
      </w:r>
      <w:r>
        <w:rPr>
          <w:rFonts w:ascii="Arial" w:hAnsi="Arial"/>
          <w:sz w:val="21"/>
        </w:rPr>
        <w:t>has given to the Bank copies of any instruments creating or evidencing the Trust; and</w:t>
      </w:r>
      <w:r>
        <w:rPr>
          <w:rFonts w:ascii="Arial" w:hAnsi="Arial"/>
          <w:sz w:val="20"/>
        </w:rPr>
        <w:t xml:space="preserve"> </w:t>
      </w:r>
    </w:p>
    <w:p>
      <w:pPr>
        <w:pStyle w:val="TextBody"/>
        <w:bidi w:val="0"/>
        <w:spacing w:before="0" w:after="0"/>
        <w:ind w:left="4820" w:right="700" w:hanging="0"/>
        <w:jc w:val="left"/>
        <w:rPr>
          <w:rFonts w:ascii="Arial" w:hAnsi="Arial"/>
          <w:sz w:val="20"/>
        </w:rPr>
      </w:pPr>
      <w:r>
        <w:rPr>
          <w:rFonts w:ascii="Arial" w:hAnsi="Arial"/>
          <w:sz w:val="21"/>
        </w:rPr>
        <w:t>(B)the</w:t>
      </w:r>
      <w:r>
        <w:rPr>
          <w:rFonts w:ascii="Arial" w:hAnsi="Arial"/>
          <w:sz w:val="20"/>
        </w:rPr>
        <w:t> </w:t>
      </w:r>
      <w:r>
        <w:rPr>
          <w:rFonts w:ascii="Arial" w:hAnsi="Arial"/>
          <w:sz w:val="21"/>
        </w:rPr>
        <w:t>Trustee’s</w:t>
      </w:r>
      <w:r>
        <w:rPr>
          <w:rFonts w:ascii="Arial" w:hAnsi="Arial"/>
          <w:sz w:val="20"/>
        </w:rPr>
        <w:t> </w:t>
      </w:r>
      <w:r>
        <w:rPr>
          <w:rFonts w:ascii="Arial" w:hAnsi="Arial"/>
          <w:sz w:val="21"/>
        </w:rPr>
        <w:t>other</w:t>
      </w:r>
      <w:r>
        <w:rPr>
          <w:rFonts w:ascii="Arial" w:hAnsi="Arial"/>
          <w:sz w:val="20"/>
        </w:rPr>
        <w:t> </w:t>
      </w:r>
      <w:r>
        <w:rPr>
          <w:rFonts w:ascii="Arial" w:hAnsi="Arial"/>
          <w:sz w:val="21"/>
        </w:rPr>
        <w:t>trusteeships</w:t>
      </w:r>
      <w:r>
        <w:rPr>
          <w:rFonts w:ascii="Arial" w:hAnsi="Arial"/>
          <w:sz w:val="20"/>
        </w:rPr>
        <w:t> </w:t>
      </w:r>
      <w:r>
        <w:rPr>
          <w:rFonts w:ascii="Arial" w:hAnsi="Arial"/>
          <w:sz w:val="21"/>
        </w:rPr>
        <w:t>(if</w:t>
      </w:r>
      <w:r>
        <w:rPr>
          <w:rFonts w:ascii="Arial" w:hAnsi="Arial"/>
          <w:sz w:val="20"/>
        </w:rPr>
        <w:t> </w:t>
      </w:r>
      <w:r>
        <w:rPr>
          <w:rFonts w:ascii="Arial" w:hAnsi="Arial"/>
          <w:sz w:val="21"/>
        </w:rPr>
        <w:t>any);</w:t>
      </w:r>
      <w:r>
        <w:rPr>
          <w:rFonts w:ascii="Arial" w:hAnsi="Arial"/>
          <w:sz w:val="20"/>
        </w:rPr>
        <w:t xml:space="preserve"> </w:t>
      </w:r>
    </w:p>
    <w:p>
      <w:pPr>
        <w:pStyle w:val="TextBody"/>
        <w:bidi w:val="0"/>
        <w:spacing w:lineRule="auto" w:line="266" w:before="147" w:after="0"/>
        <w:ind w:left="4275" w:right="1769" w:hanging="0"/>
        <w:jc w:val="left"/>
        <w:rPr>
          <w:rFonts w:ascii="Arial" w:hAnsi="Arial"/>
          <w:sz w:val="20"/>
        </w:rPr>
      </w:pPr>
      <w:r>
        <w:rPr>
          <w:rFonts w:ascii="Arial" w:hAnsi="Arial"/>
          <w:sz w:val="21"/>
        </w:rPr>
        <w:t>(x)the</w:t>
      </w:r>
      <w:r>
        <w:rPr>
          <w:rFonts w:ascii="Arial" w:hAnsi="Arial"/>
          <w:sz w:val="20"/>
        </w:rPr>
        <w:t> </w:t>
      </w:r>
      <w:r>
        <w:rPr>
          <w:rFonts w:ascii="Arial" w:hAnsi="Arial"/>
          <w:sz w:val="21"/>
        </w:rPr>
        <w:t>Trust</w:t>
      </w:r>
      <w:r>
        <w:rPr>
          <w:rFonts w:ascii="Arial" w:hAnsi="Arial"/>
          <w:sz w:val="20"/>
        </w:rPr>
        <w:t> </w:t>
      </w:r>
      <w:r>
        <w:rPr>
          <w:rFonts w:ascii="Arial" w:hAnsi="Arial"/>
          <w:sz w:val="21"/>
        </w:rPr>
        <w:t>is</w:t>
      </w:r>
      <w:r>
        <w:rPr>
          <w:rFonts w:ascii="Arial" w:hAnsi="Arial"/>
          <w:sz w:val="20"/>
        </w:rPr>
        <w:t> </w:t>
      </w:r>
      <w:r>
        <w:rPr>
          <w:rFonts w:ascii="Arial" w:hAnsi="Arial"/>
          <w:sz w:val="21"/>
        </w:rPr>
        <w:t>properly</w:t>
      </w:r>
      <w:r>
        <w:rPr>
          <w:rFonts w:ascii="Arial" w:hAnsi="Arial"/>
          <w:sz w:val="20"/>
        </w:rPr>
        <w:t> </w:t>
      </w:r>
      <w:r>
        <w:rPr>
          <w:rFonts w:ascii="Arial" w:hAnsi="Arial"/>
          <w:sz w:val="21"/>
        </w:rPr>
        <w:t>constituted</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Deed</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void, voidable or otherwise unenforceable;</w:t>
      </w:r>
      <w:r>
        <w:rPr>
          <w:rFonts w:ascii="Arial" w:hAnsi="Arial"/>
          <w:sz w:val="20"/>
        </w:rPr>
        <w:t xml:space="preserve"> </w:t>
      </w:r>
    </w:p>
    <w:p>
      <w:pPr>
        <w:pStyle w:val="TextBody"/>
        <w:bidi w:val="0"/>
        <w:spacing w:lineRule="auto" w:line="266" w:before="0" w:after="0"/>
        <w:ind w:left="4275" w:right="1675" w:hanging="0"/>
        <w:jc w:val="left"/>
        <w:rPr>
          <w:rFonts w:ascii="Arial" w:hAnsi="Arial"/>
          <w:sz w:val="20"/>
        </w:rPr>
      </w:pPr>
      <w:r>
        <w:rPr>
          <w:rFonts w:ascii="Arial" w:hAnsi="Arial"/>
          <w:sz w:val="21"/>
        </w:rPr>
        <w:t>(xi)the</w:t>
      </w:r>
      <w:r>
        <w:rPr>
          <w:rFonts w:ascii="Arial" w:hAnsi="Arial"/>
          <w:sz w:val="20"/>
        </w:rPr>
        <w:t> </w:t>
      </w:r>
      <w:r>
        <w:rPr>
          <w:rFonts w:ascii="Arial" w:hAnsi="Arial"/>
          <w:sz w:val="21"/>
        </w:rPr>
        <w:t>rights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beneficiaries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and</w:t>
      </w:r>
      <w:r>
        <w:rPr>
          <w:rFonts w:ascii="Arial" w:hAnsi="Arial"/>
          <w:sz w:val="20"/>
        </w:rPr>
        <w:t> </w:t>
      </w:r>
      <w:r>
        <w:rPr>
          <w:rFonts w:ascii="Arial" w:hAnsi="Arial"/>
          <w:sz w:val="21"/>
        </w:rPr>
        <w:t>their interest in, the property of the Trust are subject to:</w:t>
      </w:r>
      <w:r>
        <w:rPr>
          <w:rFonts w:ascii="Arial" w:hAnsi="Arial"/>
          <w:sz w:val="20"/>
        </w:rPr>
        <w:t xml:space="preserve"> </w:t>
      </w:r>
    </w:p>
    <w:p>
      <w:pPr>
        <w:pStyle w:val="TextBody"/>
        <w:bidi w:val="0"/>
        <w:spacing w:lineRule="auto" w:line="266" w:before="0" w:after="0"/>
        <w:ind w:left="4820" w:right="1937" w:hanging="0"/>
        <w:jc w:val="left"/>
        <w:rPr>
          <w:rFonts w:ascii="Arial" w:hAnsi="Arial"/>
          <w:sz w:val="20"/>
        </w:rPr>
      </w:pPr>
      <w:r>
        <w:rPr>
          <w:rFonts w:ascii="Arial" w:hAnsi="Arial"/>
          <w:sz w:val="21"/>
        </w:rPr>
        <w:t>(A)the</w:t>
      </w:r>
      <w:r>
        <w:rPr>
          <w:rFonts w:ascii="Arial" w:hAnsi="Arial"/>
          <w:sz w:val="20"/>
        </w:rPr>
        <w:t> </w:t>
      </w:r>
      <w:r>
        <w:rPr>
          <w:rFonts w:ascii="Arial" w:hAnsi="Arial"/>
          <w:sz w:val="21"/>
        </w:rPr>
        <w:t>rights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and</w:t>
      </w:r>
      <w:r>
        <w:rPr>
          <w:rFonts w:ascii="Arial" w:hAnsi="Arial"/>
          <w:sz w:val="20"/>
        </w:rPr>
        <w:t> </w:t>
      </w:r>
      <w:r>
        <w:rPr>
          <w:rFonts w:ascii="Arial" w:hAnsi="Arial"/>
          <w:sz w:val="21"/>
        </w:rPr>
        <w:t>their</w:t>
      </w:r>
      <w:r>
        <w:rPr>
          <w:rFonts w:ascii="Arial" w:hAnsi="Arial"/>
          <w:sz w:val="20"/>
        </w:rPr>
        <w:t> </w:t>
      </w:r>
      <w:r>
        <w:rPr>
          <w:rFonts w:ascii="Arial" w:hAnsi="Arial"/>
          <w:sz w:val="21"/>
        </w:rPr>
        <w:t>respective interests in, the property of the Trust; and</w:t>
      </w:r>
      <w:r>
        <w:rPr>
          <w:rFonts w:ascii="Arial" w:hAnsi="Arial"/>
          <w:sz w:val="20"/>
        </w:rPr>
        <w:t xml:space="preserve"> </w:t>
      </w:r>
    </w:p>
    <w:p>
      <w:pPr>
        <w:pStyle w:val="TextBody"/>
        <w:bidi w:val="0"/>
        <w:spacing w:lineRule="auto" w:line="268" w:before="0" w:after="0"/>
        <w:ind w:left="4820" w:right="1714" w:hanging="0"/>
        <w:jc w:val="left"/>
        <w:rPr>
          <w:rFonts w:ascii="Arial" w:hAnsi="Arial"/>
          <w:sz w:val="20"/>
        </w:rPr>
      </w:pPr>
      <w:r>
        <w:rPr>
          <w:rFonts w:ascii="Arial" w:hAnsi="Arial"/>
          <w:sz w:val="21"/>
        </w:rPr>
        <w:t>(B)any</w:t>
      </w:r>
      <w:r>
        <w:rPr>
          <w:rFonts w:ascii="Arial" w:hAnsi="Arial"/>
          <w:sz w:val="20"/>
        </w:rPr>
        <w:t> </w:t>
      </w:r>
      <w:r>
        <w:rPr>
          <w:rFonts w:ascii="Arial" w:hAnsi="Arial"/>
          <w:sz w:val="21"/>
        </w:rPr>
        <w:t>rights</w:t>
      </w:r>
      <w:r>
        <w:rPr>
          <w:rFonts w:ascii="Arial" w:hAnsi="Arial"/>
          <w:sz w:val="20"/>
        </w:rPr>
        <w:t> </w:t>
      </w:r>
      <w:r>
        <w:rPr>
          <w:rFonts w:ascii="Arial" w:hAnsi="Arial"/>
          <w:sz w:val="21"/>
        </w:rPr>
        <w:t>or</w:t>
      </w:r>
      <w:r>
        <w:rPr>
          <w:rFonts w:ascii="Arial" w:hAnsi="Arial"/>
          <w:sz w:val="20"/>
        </w:rPr>
        <w:t> </w:t>
      </w:r>
      <w:r>
        <w:rPr>
          <w:rFonts w:ascii="Arial" w:hAnsi="Arial"/>
          <w:sz w:val="21"/>
        </w:rPr>
        <w:t>interests</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to</w:t>
      </w:r>
      <w:r>
        <w:rPr>
          <w:rFonts w:ascii="Arial" w:hAnsi="Arial"/>
          <w:sz w:val="20"/>
        </w:rPr>
        <w:t> </w:t>
      </w:r>
      <w:r>
        <w:rPr>
          <w:rFonts w:ascii="Arial" w:hAnsi="Arial"/>
          <w:sz w:val="21"/>
        </w:rPr>
        <w:t>which the Bank may from time to time be subrogated; and</w:t>
      </w:r>
      <w:r>
        <w:rPr>
          <w:rFonts w:ascii="Arial" w:hAnsi="Arial"/>
          <w:sz w:val="20"/>
        </w:rPr>
        <w:t xml:space="preserve"> </w:t>
      </w:r>
    </w:p>
    <w:p>
      <w:pPr>
        <w:pStyle w:val="TextBody"/>
        <w:bidi w:val="0"/>
        <w:spacing w:before="117" w:after="0"/>
        <w:ind w:left="4275" w:right="700" w:hanging="0"/>
        <w:jc w:val="left"/>
        <w:rPr>
          <w:rFonts w:ascii="Arial" w:hAnsi="Arial"/>
          <w:sz w:val="20"/>
        </w:rPr>
      </w:pPr>
      <w:r>
        <w:rPr>
          <w:rFonts w:ascii="Arial" w:hAnsi="Arial"/>
          <w:sz w:val="21"/>
        </w:rPr>
        <w:t>(xii)the</w:t>
      </w:r>
      <w:r>
        <w:rPr>
          <w:rFonts w:ascii="Arial" w:hAnsi="Arial"/>
          <w:sz w:val="20"/>
        </w:rPr>
        <w:t> </w:t>
      </w:r>
      <w:r>
        <w:rPr>
          <w:rFonts w:ascii="Arial" w:hAnsi="Arial"/>
          <w:sz w:val="21"/>
        </w:rPr>
        <w:t>Trustee:</w:t>
      </w:r>
      <w:r>
        <w:rPr>
          <w:rFonts w:ascii="Arial" w:hAnsi="Arial"/>
          <w:sz w:val="20"/>
        </w:rPr>
        <w:t xml:space="preserve"> </w:t>
      </w:r>
    </w:p>
    <w:p>
      <w:pPr>
        <w:pStyle w:val="TextBody"/>
        <w:bidi w:val="0"/>
        <w:spacing w:lineRule="auto" w:line="266" w:before="148" w:after="0"/>
        <w:ind w:left="4820" w:right="1576" w:hanging="0"/>
        <w:jc w:val="left"/>
        <w:rPr>
          <w:rFonts w:ascii="Arial" w:hAnsi="Arial"/>
          <w:sz w:val="20"/>
        </w:rPr>
      </w:pPr>
      <w:r>
        <w:rPr>
          <w:rFonts w:ascii="Arial" w:hAnsi="Arial"/>
          <w:sz w:val="21"/>
        </w:rPr>
        <w:t>(A)if</w:t>
      </w:r>
      <w:r>
        <w:rPr>
          <w:rFonts w:ascii="Arial" w:hAnsi="Arial"/>
          <w:sz w:val="20"/>
        </w:rPr>
        <w:t> </w:t>
      </w:r>
      <w:r>
        <w:rPr>
          <w:rFonts w:ascii="Arial" w:hAnsi="Arial"/>
          <w:sz w:val="21"/>
        </w:rPr>
        <w:t>it</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corporation,</w:t>
      </w:r>
      <w:r>
        <w:rPr>
          <w:rFonts w:ascii="Arial" w:hAnsi="Arial"/>
          <w:sz w:val="20"/>
        </w:rPr>
        <w:t> </w:t>
      </w:r>
      <w:r>
        <w:rPr>
          <w:rFonts w:ascii="Arial" w:hAnsi="Arial"/>
          <w:sz w:val="21"/>
        </w:rPr>
        <w:t>is</w:t>
      </w:r>
      <w:r>
        <w:rPr>
          <w:rFonts w:ascii="Arial" w:hAnsi="Arial"/>
          <w:sz w:val="20"/>
        </w:rPr>
        <w:t> </w:t>
      </w:r>
      <w:r>
        <w:rPr>
          <w:rFonts w:ascii="Arial" w:hAnsi="Arial"/>
          <w:sz w:val="21"/>
        </w:rPr>
        <w:t>duly</w:t>
      </w:r>
      <w:r>
        <w:rPr>
          <w:rFonts w:ascii="Arial" w:hAnsi="Arial"/>
          <w:sz w:val="20"/>
        </w:rPr>
        <w:t> </w:t>
      </w:r>
      <w:r>
        <w:rPr>
          <w:rFonts w:ascii="Arial" w:hAnsi="Arial"/>
          <w:sz w:val="21"/>
        </w:rPr>
        <w:t>incorporated</w:t>
      </w:r>
      <w:r>
        <w:rPr>
          <w:rFonts w:ascii="Arial" w:hAnsi="Arial"/>
          <w:sz w:val="20"/>
        </w:rPr>
        <w:t> </w:t>
      </w:r>
      <w:r>
        <w:rPr>
          <w:rFonts w:ascii="Arial" w:hAnsi="Arial"/>
          <w:sz w:val="21"/>
        </w:rPr>
        <w:t>in</w:t>
      </w:r>
      <w:r>
        <w:rPr>
          <w:rFonts w:ascii="Arial" w:hAnsi="Arial"/>
          <w:sz w:val="20"/>
        </w:rPr>
        <w:t> </w:t>
      </w:r>
      <w:r>
        <w:rPr>
          <w:rFonts w:ascii="Arial" w:hAnsi="Arial"/>
          <w:sz w:val="21"/>
        </w:rPr>
        <w:t>accordance</w:t>
      </w:r>
      <w:r>
        <w:rPr>
          <w:rFonts w:ascii="Arial" w:hAnsi="Arial"/>
          <w:sz w:val="20"/>
        </w:rPr>
        <w:t> </w:t>
      </w:r>
      <w:r>
        <w:rPr>
          <w:rFonts w:ascii="Arial" w:hAnsi="Arial"/>
          <w:sz w:val="21"/>
        </w:rPr>
        <w:t>with the laws of its place of incorporation, validly exists under those laws and has the capacity to sue and be sued in its own name, to own property and to act as trustee of the Trust;</w:t>
      </w:r>
      <w:r>
        <w:rPr>
          <w:rFonts w:ascii="Arial" w:hAnsi="Arial"/>
          <w:sz w:val="20"/>
        </w:rPr>
        <w:t xml:space="preserve"> </w:t>
      </w:r>
    </w:p>
    <w:p>
      <w:pPr>
        <w:pStyle w:val="TextBody"/>
        <w:bidi w:val="0"/>
        <w:spacing w:lineRule="auto" w:line="266" w:before="116" w:after="0"/>
        <w:ind w:left="4820" w:right="1753" w:hanging="0"/>
        <w:jc w:val="left"/>
        <w:rPr>
          <w:rFonts w:ascii="Arial" w:hAnsi="Arial"/>
          <w:sz w:val="20"/>
        </w:rPr>
      </w:pPr>
      <w:r>
        <w:rPr>
          <w:rFonts w:ascii="Arial" w:hAnsi="Arial"/>
          <w:sz w:val="21"/>
        </w:rPr>
        <w:t>(B)if</w:t>
      </w:r>
      <w:r>
        <w:rPr>
          <w:rFonts w:ascii="Arial" w:hAnsi="Arial"/>
          <w:sz w:val="20"/>
        </w:rPr>
        <w:t> </w:t>
      </w:r>
      <w:r>
        <w:rPr>
          <w:rFonts w:ascii="Arial" w:hAnsi="Arial"/>
          <w:sz w:val="21"/>
        </w:rPr>
        <w:t>it</w:t>
      </w:r>
      <w:r>
        <w:rPr>
          <w:rFonts w:ascii="Arial" w:hAnsi="Arial"/>
          <w:sz w:val="20"/>
        </w:rPr>
        <w:t> </w:t>
      </w:r>
      <w:r>
        <w:rPr>
          <w:rFonts w:ascii="Arial" w:hAnsi="Arial"/>
          <w:sz w:val="21"/>
        </w:rPr>
        <w:t>is</w:t>
      </w:r>
      <w:r>
        <w:rPr>
          <w:rFonts w:ascii="Arial" w:hAnsi="Arial"/>
          <w:sz w:val="20"/>
        </w:rPr>
        <w:t> </w:t>
      </w:r>
      <w:r>
        <w:rPr>
          <w:rFonts w:ascii="Arial" w:hAnsi="Arial"/>
          <w:sz w:val="21"/>
        </w:rPr>
        <w:t>natural</w:t>
      </w:r>
      <w:r>
        <w:rPr>
          <w:rFonts w:ascii="Arial" w:hAnsi="Arial"/>
          <w:sz w:val="20"/>
        </w:rPr>
        <w:t> </w:t>
      </w:r>
      <w:r>
        <w:rPr>
          <w:rFonts w:ascii="Arial" w:hAnsi="Arial"/>
          <w:sz w:val="21"/>
        </w:rPr>
        <w:t>person,</w:t>
      </w:r>
      <w:r>
        <w:rPr>
          <w:rFonts w:ascii="Arial" w:hAnsi="Arial"/>
          <w:sz w:val="20"/>
        </w:rPr>
        <w:t> </w:t>
      </w:r>
      <w:r>
        <w:rPr>
          <w:rFonts w:ascii="Arial" w:hAnsi="Arial"/>
          <w:sz w:val="21"/>
        </w:rPr>
        <w:t>has</w:t>
      </w:r>
      <w:r>
        <w:rPr>
          <w:rFonts w:ascii="Arial" w:hAnsi="Arial"/>
          <w:sz w:val="20"/>
        </w:rPr>
        <w:t> </w:t>
      </w:r>
      <w:r>
        <w:rPr>
          <w:rFonts w:ascii="Arial" w:hAnsi="Arial"/>
          <w:sz w:val="21"/>
        </w:rPr>
        <w:t>the</w:t>
      </w:r>
      <w:r>
        <w:rPr>
          <w:rFonts w:ascii="Arial" w:hAnsi="Arial"/>
          <w:sz w:val="20"/>
        </w:rPr>
        <w:t> </w:t>
      </w:r>
      <w:r>
        <w:rPr>
          <w:rFonts w:ascii="Arial" w:hAnsi="Arial"/>
          <w:sz w:val="21"/>
        </w:rPr>
        <w:t>capacity</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the Trust;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(v)</w:t>
      </w:r>
      <w:r>
        <w:rPr>
          <w:rFonts w:ascii="Arial" w:hAnsi="Arial"/>
          <w:b/>
          <w:sz w:val="21"/>
        </w:rPr>
        <w:t>solvency:</w:t>
      </w:r>
      <w:r>
        <w:rPr>
          <w:rFonts w:ascii="Arial" w:hAnsi="Arial"/>
          <w:sz w:val="20"/>
        </w:rPr>
        <w:t> </w:t>
      </w:r>
      <w:r>
        <w:rPr>
          <w:rFonts w:ascii="Arial" w:hAnsi="Arial"/>
          <w:sz w:val="21"/>
        </w:rPr>
        <w:t>each</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insolvent;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(w)</w:t>
      </w:r>
      <w:r>
        <w:rPr>
          <w:rFonts w:ascii="Arial" w:hAnsi="Arial"/>
          <w:b/>
          <w:sz w:val="21"/>
        </w:rPr>
        <w:t>corporate</w:t>
      </w:r>
      <w:r>
        <w:rPr>
          <w:rFonts w:ascii="Arial" w:hAnsi="Arial"/>
          <w:sz w:val="20"/>
        </w:rPr>
        <w:t> </w:t>
      </w:r>
      <w:r>
        <w:rPr>
          <w:rFonts w:ascii="Arial" w:hAnsi="Arial"/>
          <w:b/>
          <w:sz w:val="21"/>
        </w:rPr>
        <w:t>benefit:</w:t>
      </w:r>
      <w:r>
        <w:rPr>
          <w:rFonts w:ascii="Arial" w:hAnsi="Arial"/>
          <w:sz w:val="20"/>
        </w:rPr>
        <w:t> </w:t>
      </w:r>
      <w:r>
        <w:rPr>
          <w:rFonts w:ascii="Arial" w:hAnsi="Arial"/>
          <w:sz w:val="21"/>
        </w:rPr>
        <w:t>each</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Parties</w:t>
      </w:r>
      <w:r>
        <w:rPr>
          <w:rFonts w:ascii="Arial" w:hAnsi="Arial"/>
          <w:sz w:val="20"/>
        </w:rPr>
        <w:t> </w:t>
      </w:r>
      <w:r>
        <w:rPr>
          <w:rFonts w:ascii="Arial" w:hAnsi="Arial"/>
          <w:sz w:val="21"/>
        </w:rPr>
        <w:t>will</w:t>
      </w:r>
      <w:r>
        <w:rPr>
          <w:rFonts w:ascii="Arial" w:hAnsi="Arial"/>
          <w:sz w:val="20"/>
        </w:rPr>
        <w:t> </w:t>
      </w:r>
      <w:r>
        <w:rPr>
          <w:rFonts w:ascii="Arial" w:hAnsi="Arial"/>
          <w:sz w:val="21"/>
        </w:rPr>
        <w:t>receive</w:t>
      </w:r>
      <w:r>
        <w:rPr>
          <w:rFonts w:ascii="Arial" w:hAnsi="Arial"/>
          <w:sz w:val="20"/>
        </w:rPr>
        <w:t> </w:t>
      </w:r>
      <w:r>
        <w:rPr>
          <w:rFonts w:ascii="Arial" w:hAnsi="Arial"/>
          <w:sz w:val="21"/>
        </w:rPr>
        <w:t>corporate benefit by entering into the Transaction Documents to which they are a party.</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bookmarkStart w:id="448" w:name="General821"/>
      <w:bookmarkEnd w:id="448"/>
      <w:r>
        <w:rPr>
          <w:rFonts w:ascii="Arial" w:hAnsi="Arial"/>
          <w:b/>
          <w:color w:val="000000"/>
          <w:sz w:val="24"/>
        </w:rPr>
        <w:t>8.2General</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 interpretation of any statement contained in any representation or warranty</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restricted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reference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inference</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 statement contained in any other representation or warranty.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acknowledges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enters</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 Documents in reliance on each representation and warranty.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(c)Each representation and warranty survives the execution of the Transaction Documents and is deemed to be repeated with reference to the facts and circumstances then existing on the date each Funding Notice is</w:t>
      </w:r>
      <w:r>
        <w:rPr>
          <w:rFonts w:ascii="Arial" w:hAnsi="Arial"/>
          <w:color w:val="000000"/>
          <w:sz w:val="20"/>
        </w:rPr>
        <w:t> </w:t>
      </w:r>
      <w:r>
        <w:rPr>
          <w:rFonts w:ascii="Arial" w:hAnsi="Arial"/>
          <w:color w:val="000000"/>
          <w:sz w:val="21"/>
        </w:rPr>
        <w:t>issued, on each</w:t>
      </w:r>
      <w:r>
        <w:rPr>
          <w:rFonts w:ascii="Arial" w:hAnsi="Arial"/>
          <w:color w:val="000000"/>
          <w:sz w:val="20"/>
        </w:rPr>
        <w:t> </w:t>
      </w:r>
      <w:r>
        <w:rPr>
          <w:rFonts w:ascii="Arial" w:hAnsi="Arial"/>
          <w:color w:val="000000"/>
          <w:sz w:val="21"/>
        </w:rPr>
        <w:t>Funding Date, on the last day of each Funding Period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Annual</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Certificate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Interim Compliance Certificate is given.</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8"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49" w:name="General_obligations91"/>
      <w:bookmarkEnd w:id="449"/>
      <w:r>
        <w:rPr>
          <w:rFonts w:ascii="Arial" w:hAnsi="Arial"/>
          <w:color w:val="000000"/>
          <w:sz w:val="32"/>
        </w:rPr>
        <w:t>9General obligations</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50" w:name="Fees911"/>
      <w:bookmarkEnd w:id="450"/>
      <w:r>
        <w:rPr>
          <w:rFonts w:ascii="Arial" w:hAnsi="Arial"/>
          <w:b/>
          <w:color w:val="000000"/>
          <w:sz w:val="24"/>
        </w:rPr>
        <w:t>9.1Fees</w:t>
      </w:r>
      <w:r>
        <w:rPr>
          <w:rFonts w:ascii="Arial" w:hAnsi="Arial"/>
          <w:b/>
          <w:sz w:val="24"/>
        </w:rPr>
        <w:t xml:space="preserve"> </w:t>
      </w:r>
    </w:p>
    <w:p>
      <w:pPr>
        <w:pStyle w:val="TextBody"/>
        <w:bidi w:val="0"/>
        <w:spacing w:before="92" w:after="0"/>
        <w:ind w:left="3120" w:right="700" w:hanging="0"/>
        <w:jc w:val="left"/>
        <w:rPr>
          <w:rFonts w:ascii="Arial" w:hAnsi="Arial"/>
          <w:sz w:val="22"/>
        </w:rPr>
      </w:pPr>
      <w:r>
        <w:rPr>
          <w:rFonts w:ascii="Arial" w:hAnsi="Arial"/>
          <w:color w:val="000000"/>
          <w:sz w:val="22"/>
        </w:rPr>
        <w:t>The Borrower must pay to the Bank:</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t>
      </w:r>
      <w:r>
        <w:rPr>
          <w:rFonts w:ascii="Arial" w:hAnsi="Arial"/>
          <w:b/>
          <w:color w:val="000000"/>
          <w:sz w:val="21"/>
        </w:rPr>
        <w:t>restructure</w:t>
      </w:r>
      <w:r>
        <w:rPr>
          <w:rFonts w:ascii="Arial" w:hAnsi="Arial"/>
          <w:color w:val="000000"/>
          <w:sz w:val="20"/>
        </w:rPr>
        <w:t> </w:t>
      </w:r>
      <w:r>
        <w:rPr>
          <w:rFonts w:ascii="Arial" w:hAnsi="Arial"/>
          <w:b/>
          <w:color w:val="000000"/>
          <w:sz w:val="21"/>
        </w:rPr>
        <w:t>fee</w:t>
      </w:r>
      <w:r>
        <w:rPr>
          <w:rFonts w:ascii="Arial" w:hAnsi="Arial"/>
          <w:color w:val="000000"/>
          <w:sz w:val="21"/>
        </w:rPr>
        <w: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Restatement</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non- refundable Restructure Fee of $30,000 (which fee has been paid);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w:t>
      </w:r>
      <w:r>
        <w:rPr>
          <w:rFonts w:ascii="Arial" w:hAnsi="Arial"/>
          <w:b/>
          <w:color w:val="000000"/>
          <w:sz w:val="21"/>
        </w:rPr>
        <w:t>restructure fee</w:t>
      </w:r>
      <w:r>
        <w:rPr>
          <w:rFonts w:ascii="Arial" w:hAnsi="Arial"/>
          <w:color w:val="000000"/>
          <w:sz w:val="21"/>
        </w:rPr>
        <w:t>:</w:t>
      </w:r>
      <w:r>
        <w:rPr>
          <w:rFonts w:ascii="Arial" w:hAnsi="Arial"/>
          <w:color w:val="000000"/>
          <w:sz w:val="20"/>
        </w:rPr>
        <w:t> </w:t>
      </w:r>
      <w:r>
        <w:rPr>
          <w:rFonts w:ascii="Arial" w:hAnsi="Arial"/>
          <w:color w:val="000000"/>
          <w:sz w:val="21"/>
        </w:rPr>
        <w:t>on or</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the ‘Amendment</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referred to in the Amendment</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non-refundable</w:t>
      </w:r>
      <w:r>
        <w:rPr>
          <w:rFonts w:ascii="Arial" w:hAnsi="Arial"/>
          <w:color w:val="000000"/>
          <w:sz w:val="20"/>
        </w:rPr>
        <w:t> </w:t>
      </w:r>
      <w:r>
        <w:rPr>
          <w:rFonts w:ascii="Arial" w:hAnsi="Arial"/>
          <w:color w:val="000000"/>
          <w:sz w:val="21"/>
        </w:rPr>
        <w:t>Restructure</w:t>
      </w:r>
      <w:r>
        <w:rPr>
          <w:rFonts w:ascii="Arial" w:hAnsi="Arial"/>
          <w:color w:val="000000"/>
          <w:sz w:val="20"/>
        </w:rPr>
        <w:t> </w:t>
      </w:r>
      <w:r>
        <w:rPr>
          <w:rFonts w:ascii="Arial" w:hAnsi="Arial"/>
          <w:color w:val="000000"/>
          <w:sz w:val="21"/>
        </w:rPr>
        <w:t>&amp;</w:t>
      </w:r>
      <w:r>
        <w:rPr>
          <w:rFonts w:ascii="Arial" w:hAnsi="Arial"/>
          <w:color w:val="000000"/>
          <w:sz w:val="20"/>
        </w:rPr>
        <w:t> </w:t>
      </w:r>
      <w:r>
        <w:rPr>
          <w:rFonts w:ascii="Arial" w:hAnsi="Arial"/>
          <w:color w:val="000000"/>
          <w:sz w:val="21"/>
        </w:rPr>
        <w:t>Application</w:t>
      </w:r>
      <w:r>
        <w:rPr>
          <w:rFonts w:ascii="Arial" w:hAnsi="Arial"/>
          <w:color w:val="000000"/>
          <w:sz w:val="20"/>
        </w:rPr>
        <w:t> </w:t>
      </w:r>
      <w:r>
        <w:rPr>
          <w:rFonts w:ascii="Arial" w:hAnsi="Arial"/>
          <w:color w:val="000000"/>
          <w:sz w:val="21"/>
        </w:rPr>
        <w:t>Fee</w:t>
      </w:r>
      <w:r>
        <w:rPr>
          <w:rFonts w:ascii="Arial" w:hAnsi="Arial"/>
          <w:color w:val="000000"/>
          <w:sz w:val="20"/>
        </w:rPr>
        <w:t> </w:t>
      </w:r>
      <w:r>
        <w:rPr>
          <w:rFonts w:ascii="Arial" w:hAnsi="Arial"/>
          <w:color w:val="000000"/>
          <w:sz w:val="21"/>
        </w:rPr>
        <w:t>of</w:t>
      </w:r>
      <w:r>
        <w:rPr>
          <w:rFonts w:ascii="Arial" w:hAnsi="Arial"/>
          <w:sz w:val="20"/>
        </w:rPr>
        <w:t xml:space="preserve"> </w:t>
      </w:r>
    </w:p>
    <w:p>
      <w:pPr>
        <w:pStyle w:val="TextBody"/>
        <w:bidi w:val="0"/>
        <w:spacing w:lineRule="auto" w:line="266" w:before="0" w:after="0"/>
        <w:ind w:left="3686" w:right="1471" w:hanging="0"/>
        <w:jc w:val="left"/>
        <w:rPr>
          <w:rFonts w:ascii="Arial" w:hAnsi="Arial"/>
          <w:sz w:val="22"/>
        </w:rPr>
      </w:pPr>
      <w:r>
        <w:rPr>
          <w:rFonts w:ascii="Arial" w:hAnsi="Arial"/>
          <w:color w:val="000000"/>
          <w:sz w:val="22"/>
        </w:rPr>
        <w:t>$300,000 (less the $20,000 work fee referred to in the term sheet dated 17 December 2018 if the Borrower has paid that work fee to the Bank);</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w:t>
      </w:r>
      <w:r>
        <w:rPr>
          <w:rFonts w:ascii="Arial" w:hAnsi="Arial"/>
          <w:b/>
          <w:color w:val="000000"/>
          <w:sz w:val="21"/>
        </w:rPr>
        <w:t xml:space="preserve">Corporate Markets Loan Facility fee: </w:t>
      </w:r>
      <w:r>
        <w:rPr>
          <w:rFonts w:ascii="Arial" w:hAnsi="Arial"/>
          <w:color w:val="000000"/>
          <w:sz w:val="21"/>
        </w:rPr>
        <w:t>a non-refundable facility fee on the Facility Limit in respect of the Corporate Markets Loan Facility calculated at 1.00% per annum from the date of the ‘Amendment Date’ 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Amendment</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1.25%</w:t>
      </w:r>
      <w:r>
        <w:rPr>
          <w:rFonts w:ascii="Arial" w:hAnsi="Arial"/>
          <w:color w:val="000000"/>
          <w:sz w:val="20"/>
        </w:rPr>
        <w:t> </w:t>
      </w:r>
      <w:r>
        <w:rPr>
          <w:rFonts w:ascii="Arial" w:hAnsi="Arial"/>
          <w:color w:val="000000"/>
          <w:sz w:val="21"/>
        </w:rPr>
        <w:t>per</w:t>
      </w:r>
      <w:r>
        <w:rPr>
          <w:rFonts w:ascii="Arial" w:hAnsi="Arial"/>
          <w:color w:val="000000"/>
          <w:sz w:val="20"/>
        </w:rPr>
        <w:t> </w:t>
      </w:r>
      <w:r>
        <w:rPr>
          <w:rFonts w:ascii="Arial" w:hAnsi="Arial"/>
          <w:color w:val="000000"/>
          <w:sz w:val="21"/>
        </w:rPr>
        <w:t>annum</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April 2024 Amendment Date, which will:</w:t>
      </w:r>
      <w:r>
        <w:rPr>
          <w:rFonts w:ascii="Arial" w:hAnsi="Arial"/>
          <w:sz w:val="20"/>
        </w:rPr>
        <w:t xml:space="preserve"> </w:t>
      </w:r>
    </w:p>
    <w:p>
      <w:pPr>
        <w:pStyle w:val="TextBody"/>
        <w:bidi w:val="0"/>
        <w:spacing w:lineRule="auto" w:line="266" w:before="120" w:after="0"/>
        <w:ind w:left="4275" w:right="1654" w:hanging="0"/>
        <w:jc w:val="left"/>
        <w:rPr>
          <w:rFonts w:ascii="Arial" w:hAnsi="Arial"/>
          <w:sz w:val="20"/>
        </w:rPr>
      </w:pPr>
      <w:r>
        <w:rPr>
          <w:rFonts w:ascii="Arial" w:hAnsi="Arial"/>
          <w:color w:val="000000"/>
          <w:sz w:val="21"/>
        </w:rPr>
        <w:t>(i)accrue</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up</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and including the Termination Date;</w:t>
      </w:r>
      <w:r>
        <w:rPr>
          <w:rFonts w:ascii="Arial" w:hAnsi="Arial"/>
          <w:sz w:val="20"/>
        </w:rPr>
        <w:t xml:space="preserve"> </w:t>
      </w:r>
    </w:p>
    <w:p>
      <w:pPr>
        <w:pStyle w:val="TextBody"/>
        <w:bidi w:val="0"/>
        <w:spacing w:lineRule="auto" w:line="266" w:before="0" w:after="0"/>
        <w:ind w:left="4275" w:right="1584" w:hanging="0"/>
        <w:jc w:val="left"/>
        <w:rPr>
          <w:rFonts w:ascii="Arial" w:hAnsi="Arial"/>
          <w:sz w:val="20"/>
        </w:rPr>
      </w:pPr>
      <w:r>
        <w:rPr>
          <w:rFonts w:ascii="Arial" w:hAnsi="Arial"/>
          <w:color w:val="000000"/>
          <w:sz w:val="21"/>
        </w:rPr>
        <w:t>(ii)be</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quarterly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arrears,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 Quarter;</w:t>
      </w:r>
      <w:r>
        <w:rPr>
          <w:rFonts w:ascii="Arial" w:hAnsi="Arial"/>
          <w:sz w:val="20"/>
        </w:rPr>
        <w:t xml:space="preserve"> </w:t>
      </w:r>
    </w:p>
    <w:p>
      <w:pPr>
        <w:pStyle w:val="TextBody"/>
        <w:bidi w:val="0"/>
        <w:spacing w:lineRule="auto" w:line="266" w:before="0" w:after="0"/>
        <w:ind w:left="4275" w:right="1766" w:hanging="0"/>
        <w:jc w:val="left"/>
        <w:rPr>
          <w:rFonts w:ascii="Arial" w:hAnsi="Arial"/>
          <w:sz w:val="20"/>
        </w:rPr>
      </w:pPr>
      <w:r>
        <w:rPr>
          <w:rFonts w:ascii="Arial" w:hAnsi="Arial"/>
          <w:color w:val="000000"/>
          <w:sz w:val="21"/>
        </w:rPr>
        <w:t>(iii)be</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actual</w:t>
      </w:r>
      <w:r>
        <w:rPr>
          <w:rFonts w:ascii="Arial" w:hAnsi="Arial"/>
          <w:color w:val="000000"/>
          <w:sz w:val="20"/>
        </w:rPr>
        <w:t> </w:t>
      </w:r>
      <w:r>
        <w:rPr>
          <w:rFonts w:ascii="Arial" w:hAnsi="Arial"/>
          <w:color w:val="000000"/>
          <w:sz w:val="21"/>
        </w:rPr>
        <w:t>number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elapsed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 basis of a 365 day year;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w:t>
      </w:r>
      <w:r>
        <w:rPr>
          <w:rFonts w:ascii="Arial" w:hAnsi="Arial"/>
          <w:b/>
          <w:color w:val="000000"/>
          <w:sz w:val="21"/>
        </w:rPr>
        <w:t>Reset</w:t>
      </w:r>
      <w:r>
        <w:rPr>
          <w:rFonts w:ascii="Arial" w:hAnsi="Arial"/>
          <w:color w:val="000000"/>
          <w:sz w:val="20"/>
        </w:rPr>
        <w:t> </w:t>
      </w:r>
      <w:r>
        <w:rPr>
          <w:rFonts w:ascii="Arial" w:hAnsi="Arial"/>
          <w:b/>
          <w:color w:val="000000"/>
          <w:sz w:val="21"/>
        </w:rPr>
        <w:t>Fee</w:t>
      </w:r>
      <w:r>
        <w:rPr>
          <w:rFonts w:ascii="Arial" w:hAnsi="Arial"/>
          <w:color w:val="000000"/>
          <w:sz w:val="21"/>
        </w:rPr>
        <w: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 the first Pricing Period) a non-refundable fee of $150.00;</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w:t>
      </w:r>
      <w:r>
        <w:rPr>
          <w:rFonts w:ascii="Arial" w:hAnsi="Arial"/>
          <w:b/>
          <w:color w:val="000000"/>
          <w:sz w:val="21"/>
        </w:rPr>
        <w:t>Bank Guarantee service fee</w:t>
      </w:r>
      <w:r>
        <w:rPr>
          <w:rFonts w:ascii="Arial" w:hAnsi="Arial"/>
          <w:color w:val="000000"/>
          <w:sz w:val="21"/>
        </w:rPr>
        <w:t>:</w:t>
      </w:r>
      <w:r>
        <w:rPr>
          <w:rFonts w:ascii="Arial" w:hAnsi="Arial"/>
          <w:color w:val="000000"/>
          <w:sz w:val="20"/>
        </w:rPr>
        <w:t> </w:t>
      </w:r>
      <w:r>
        <w:rPr>
          <w:rFonts w:ascii="Arial" w:hAnsi="Arial"/>
          <w:color w:val="000000"/>
          <w:sz w:val="21"/>
        </w:rPr>
        <w:t>on and from the first services fee charge date following the August 2023 Amendment Date, a non-refundable fee of 1.90% per annum, calculated on the Face Value of the Bank Guarantee, payable on a pro-rata basis half yearly in arrears, with the first</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six</w:t>
      </w:r>
      <w:r>
        <w:rPr>
          <w:rFonts w:ascii="Arial" w:hAnsi="Arial"/>
          <w:color w:val="000000"/>
          <w:sz w:val="20"/>
        </w:rPr>
        <w:t> </w:t>
      </w:r>
      <w:r>
        <w:rPr>
          <w:rFonts w:ascii="Arial" w:hAnsi="Arial"/>
          <w:color w:val="000000"/>
          <w:sz w:val="21"/>
        </w:rPr>
        <w:t>months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Guarantee, and subsequent payments due every six months thereafter</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86" w:right="1448" w:hanging="0"/>
        <w:jc w:val="left"/>
        <w:rPr>
          <w:rFonts w:ascii="Arial" w:hAnsi="Arial"/>
          <w:sz w:val="22"/>
        </w:rPr>
      </w:pPr>
      <w:r>
        <w:rPr>
          <w:rFonts w:ascii="Arial" w:hAnsi="Arial"/>
          <w:sz w:val="22"/>
        </w:rPr>
        <w:t xml:space="preserve">until the Bank Guarantee Matures or Expires or is cancelled. This fee will be calculated on the actual number of days elapsed and on the basis of a 365 day year; </w:t>
      </w:r>
    </w:p>
    <w:p>
      <w:pPr>
        <w:pStyle w:val="TextBody"/>
        <w:bidi w:val="0"/>
        <w:spacing w:lineRule="auto" w:line="266" w:before="118" w:after="0"/>
        <w:ind w:left="3687" w:right="854" w:hanging="0"/>
        <w:jc w:val="left"/>
        <w:rPr>
          <w:rFonts w:ascii="Arial" w:hAnsi="Arial"/>
          <w:sz w:val="20"/>
        </w:rPr>
      </w:pPr>
      <w:r>
        <w:rPr>
          <w:rFonts w:ascii="Arial" w:hAnsi="Arial"/>
          <w:sz w:val="21"/>
        </w:rPr>
        <w:t>(f)</w:t>
      </w:r>
      <w:r>
        <w:rPr>
          <w:rFonts w:ascii="Arial" w:hAnsi="Arial"/>
          <w:b/>
          <w:sz w:val="21"/>
        </w:rPr>
        <w:t>Bank</w:t>
      </w:r>
      <w:r>
        <w:rPr>
          <w:rFonts w:ascii="Arial" w:hAnsi="Arial"/>
          <w:sz w:val="20"/>
        </w:rPr>
        <w:t> </w:t>
      </w:r>
      <w:r>
        <w:rPr>
          <w:rFonts w:ascii="Arial" w:hAnsi="Arial"/>
          <w:b/>
          <w:sz w:val="21"/>
        </w:rPr>
        <w:t>Guarantee</w:t>
      </w:r>
      <w:r>
        <w:rPr>
          <w:rFonts w:ascii="Arial" w:hAnsi="Arial"/>
          <w:sz w:val="20"/>
        </w:rPr>
        <w:t> </w:t>
      </w:r>
      <w:r>
        <w:rPr>
          <w:rFonts w:ascii="Arial" w:hAnsi="Arial"/>
          <w:b/>
          <w:sz w:val="21"/>
        </w:rPr>
        <w:t>issuance</w:t>
      </w:r>
      <w:r>
        <w:rPr>
          <w:rFonts w:ascii="Arial" w:hAnsi="Arial"/>
          <w:sz w:val="20"/>
        </w:rPr>
        <w:t> </w:t>
      </w:r>
      <w:r>
        <w:rPr>
          <w:rFonts w:ascii="Arial" w:hAnsi="Arial"/>
          <w:b/>
          <w:sz w:val="21"/>
        </w:rPr>
        <w:t>fee:</w:t>
      </w:r>
      <w:r>
        <w:rPr>
          <w:rFonts w:ascii="Arial" w:hAnsi="Arial"/>
          <w:sz w:val="20"/>
        </w:rPr>
        <w:t> </w:t>
      </w:r>
      <w:r>
        <w:rPr>
          <w:rFonts w:ascii="Arial" w:hAnsi="Arial"/>
          <w:sz w:val="21"/>
        </w:rPr>
        <w:t>a</w:t>
      </w:r>
      <w:r>
        <w:rPr>
          <w:rFonts w:ascii="Arial" w:hAnsi="Arial"/>
          <w:sz w:val="20"/>
        </w:rPr>
        <w:t> </w:t>
      </w:r>
      <w:r>
        <w:rPr>
          <w:rFonts w:ascii="Arial" w:hAnsi="Arial"/>
          <w:sz w:val="21"/>
        </w:rPr>
        <w:t>non-refundable</w:t>
      </w:r>
      <w:r>
        <w:rPr>
          <w:rFonts w:ascii="Arial" w:hAnsi="Arial"/>
          <w:sz w:val="20"/>
        </w:rPr>
        <w:t> </w:t>
      </w:r>
      <w:r>
        <w:rPr>
          <w:rFonts w:ascii="Arial" w:hAnsi="Arial"/>
          <w:sz w:val="21"/>
        </w:rPr>
        <w:t>fee</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each Bank Guarantee of 0.95% calculated on the Face Value of the Bank Guarantee (or $125 whichever is greater), payable on the relevant Funding Date of the Bank Guarantee;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(g)</w:t>
      </w:r>
      <w:r>
        <w:rPr>
          <w:rFonts w:ascii="Arial" w:hAnsi="Arial"/>
          <w:b/>
          <w:sz w:val="21"/>
        </w:rPr>
        <w:t xml:space="preserve">Bridge Facility fee: </w:t>
      </w:r>
      <w:r>
        <w:rPr>
          <w:rFonts w:ascii="Arial" w:hAnsi="Arial"/>
          <w:sz w:val="21"/>
        </w:rPr>
        <w:t>a non-refundable facility fee on the Facility Limit in respect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Bridge</w:t>
      </w:r>
      <w:r>
        <w:rPr>
          <w:rFonts w:ascii="Arial" w:hAnsi="Arial"/>
          <w:sz w:val="20"/>
        </w:rPr>
        <w:t> </w:t>
      </w:r>
      <w:r>
        <w:rPr>
          <w:rFonts w:ascii="Arial" w:hAnsi="Arial"/>
          <w:sz w:val="21"/>
        </w:rPr>
        <w:t>Facility</w:t>
      </w:r>
      <w:r>
        <w:rPr>
          <w:rFonts w:ascii="Arial" w:hAnsi="Arial"/>
          <w:sz w:val="20"/>
        </w:rPr>
        <w:t> </w:t>
      </w:r>
      <w:r>
        <w:rPr>
          <w:rFonts w:ascii="Arial" w:hAnsi="Arial"/>
          <w:sz w:val="21"/>
        </w:rPr>
        <w:t>calculated</w:t>
      </w:r>
      <w:r>
        <w:rPr>
          <w:rFonts w:ascii="Arial" w:hAnsi="Arial"/>
          <w:sz w:val="20"/>
        </w:rPr>
        <w:t> </w:t>
      </w:r>
      <w:r>
        <w:rPr>
          <w:rFonts w:ascii="Arial" w:hAnsi="Arial"/>
          <w:sz w:val="21"/>
        </w:rPr>
        <w:t>at</w:t>
      </w:r>
      <w:r>
        <w:rPr>
          <w:rFonts w:ascii="Arial" w:hAnsi="Arial"/>
          <w:sz w:val="20"/>
        </w:rPr>
        <w:t> </w:t>
      </w:r>
      <w:r>
        <w:rPr>
          <w:rFonts w:ascii="Arial" w:hAnsi="Arial"/>
          <w:sz w:val="21"/>
        </w:rPr>
        <w:t>1.25%</w:t>
      </w:r>
      <w:r>
        <w:rPr>
          <w:rFonts w:ascii="Arial" w:hAnsi="Arial"/>
          <w:sz w:val="20"/>
        </w:rPr>
        <w:t> </w:t>
      </w:r>
      <w:r>
        <w:rPr>
          <w:rFonts w:ascii="Arial" w:hAnsi="Arial"/>
          <w:sz w:val="21"/>
        </w:rPr>
        <w:t>per</w:t>
      </w:r>
      <w:r>
        <w:rPr>
          <w:rFonts w:ascii="Arial" w:hAnsi="Arial"/>
          <w:sz w:val="20"/>
        </w:rPr>
        <w:t> </w:t>
      </w:r>
      <w:r>
        <w:rPr>
          <w:rFonts w:ascii="Arial" w:hAnsi="Arial"/>
          <w:sz w:val="21"/>
        </w:rPr>
        <w:t>annum,</w:t>
      </w:r>
      <w:r>
        <w:rPr>
          <w:rFonts w:ascii="Arial" w:hAnsi="Arial"/>
          <w:sz w:val="20"/>
        </w:rPr>
        <w:t> </w:t>
      </w:r>
      <w:r>
        <w:rPr>
          <w:rFonts w:ascii="Arial" w:hAnsi="Arial"/>
          <w:sz w:val="21"/>
        </w:rPr>
        <w:t>which</w:t>
      </w:r>
      <w:r>
        <w:rPr>
          <w:rFonts w:ascii="Arial" w:hAnsi="Arial"/>
          <w:sz w:val="20"/>
        </w:rPr>
        <w:t> </w:t>
      </w:r>
      <w:r>
        <w:rPr>
          <w:rFonts w:ascii="Arial" w:hAnsi="Arial"/>
          <w:sz w:val="21"/>
        </w:rPr>
        <w:t>will:</w:t>
      </w:r>
      <w:r>
        <w:rPr>
          <w:rFonts w:ascii="Arial" w:hAnsi="Arial"/>
          <w:sz w:val="20"/>
        </w:rPr>
        <w:t xml:space="preserve"> </w:t>
      </w:r>
    </w:p>
    <w:p>
      <w:pPr>
        <w:pStyle w:val="TextBody"/>
        <w:bidi w:val="0"/>
        <w:spacing w:lineRule="auto" w:line="266" w:before="0" w:after="0"/>
        <w:ind w:left="4275" w:right="1432" w:hanging="0"/>
        <w:jc w:val="left"/>
        <w:rPr>
          <w:rFonts w:ascii="Arial" w:hAnsi="Arial"/>
          <w:sz w:val="20"/>
        </w:rPr>
      </w:pPr>
      <w:r>
        <w:rPr>
          <w:rFonts w:ascii="Arial" w:hAnsi="Arial"/>
          <w:sz w:val="21"/>
        </w:rPr>
        <w:t>(i)accrue</w:t>
      </w:r>
      <w:r>
        <w:rPr>
          <w:rFonts w:ascii="Arial" w:hAnsi="Arial"/>
          <w:sz w:val="20"/>
        </w:rPr>
        <w:t> </w:t>
      </w:r>
      <w:r>
        <w:rPr>
          <w:rFonts w:ascii="Arial" w:hAnsi="Arial"/>
          <w:sz w:val="21"/>
        </w:rPr>
        <w:t>from</w:t>
      </w:r>
      <w:r>
        <w:rPr>
          <w:rFonts w:ascii="Arial" w:hAnsi="Arial"/>
          <w:sz w:val="20"/>
        </w:rPr>
        <w:t> </w:t>
      </w:r>
      <w:r>
        <w:rPr>
          <w:rFonts w:ascii="Arial" w:hAnsi="Arial"/>
          <w:sz w:val="21"/>
        </w:rPr>
        <w:t>day</w:t>
      </w:r>
      <w:r>
        <w:rPr>
          <w:rFonts w:ascii="Arial" w:hAnsi="Arial"/>
          <w:sz w:val="20"/>
        </w:rPr>
        <w:t> </w:t>
      </w:r>
      <w:r>
        <w:rPr>
          <w:rFonts w:ascii="Arial" w:hAnsi="Arial"/>
          <w:sz w:val="21"/>
        </w:rPr>
        <w:t>to</w:t>
      </w:r>
      <w:r>
        <w:rPr>
          <w:rFonts w:ascii="Arial" w:hAnsi="Arial"/>
          <w:sz w:val="20"/>
        </w:rPr>
        <w:t> </w:t>
      </w:r>
      <w:r>
        <w:rPr>
          <w:rFonts w:ascii="Arial" w:hAnsi="Arial"/>
          <w:sz w:val="21"/>
        </w:rPr>
        <w:t>day</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April</w:t>
      </w:r>
      <w:r>
        <w:rPr>
          <w:rFonts w:ascii="Arial" w:hAnsi="Arial"/>
          <w:sz w:val="20"/>
        </w:rPr>
        <w:t> </w:t>
      </w:r>
      <w:r>
        <w:rPr>
          <w:rFonts w:ascii="Arial" w:hAnsi="Arial"/>
          <w:sz w:val="21"/>
        </w:rPr>
        <w:t>2024</w:t>
      </w:r>
      <w:r>
        <w:rPr>
          <w:rFonts w:ascii="Arial" w:hAnsi="Arial"/>
          <w:sz w:val="20"/>
        </w:rPr>
        <w:t> </w:t>
      </w:r>
      <w:r>
        <w:rPr>
          <w:rFonts w:ascii="Arial" w:hAnsi="Arial"/>
          <w:sz w:val="21"/>
        </w:rPr>
        <w:t>Amendment</w:t>
      </w:r>
      <w:r>
        <w:rPr>
          <w:rFonts w:ascii="Arial" w:hAnsi="Arial"/>
          <w:sz w:val="20"/>
        </w:rPr>
        <w:t> </w:t>
      </w:r>
      <w:r>
        <w:rPr>
          <w:rFonts w:ascii="Arial" w:hAnsi="Arial"/>
          <w:sz w:val="21"/>
        </w:rPr>
        <w:t>Date</w:t>
      </w:r>
      <w:r>
        <w:rPr>
          <w:rFonts w:ascii="Arial" w:hAnsi="Arial"/>
          <w:sz w:val="20"/>
        </w:rPr>
        <w:t> </w:t>
      </w:r>
      <w:r>
        <w:rPr>
          <w:rFonts w:ascii="Arial" w:hAnsi="Arial"/>
          <w:sz w:val="21"/>
        </w:rPr>
        <w:t>up</w:t>
      </w:r>
      <w:r>
        <w:rPr>
          <w:rFonts w:ascii="Arial" w:hAnsi="Arial"/>
          <w:sz w:val="20"/>
        </w:rPr>
        <w:t> </w:t>
      </w:r>
      <w:r>
        <w:rPr>
          <w:rFonts w:ascii="Arial" w:hAnsi="Arial"/>
          <w:sz w:val="21"/>
        </w:rPr>
        <w:t>to and including the Termination Date;</w:t>
      </w:r>
      <w:r>
        <w:rPr>
          <w:rFonts w:ascii="Arial" w:hAnsi="Arial"/>
          <w:sz w:val="20"/>
        </w:rPr>
        <w:t xml:space="preserve"> </w:t>
      </w:r>
    </w:p>
    <w:p>
      <w:pPr>
        <w:pStyle w:val="TextBody"/>
        <w:bidi w:val="0"/>
        <w:spacing w:lineRule="auto" w:line="266" w:before="0" w:after="0"/>
        <w:ind w:left="4275" w:right="1584" w:hanging="0"/>
        <w:jc w:val="left"/>
        <w:rPr>
          <w:rFonts w:ascii="Arial" w:hAnsi="Arial"/>
          <w:sz w:val="20"/>
        </w:rPr>
      </w:pPr>
      <w:r>
        <w:rPr>
          <w:rFonts w:ascii="Arial" w:hAnsi="Arial"/>
          <w:sz w:val="21"/>
        </w:rPr>
        <w:t>(ii)be</w:t>
      </w:r>
      <w:r>
        <w:rPr>
          <w:rFonts w:ascii="Arial" w:hAnsi="Arial"/>
          <w:sz w:val="20"/>
        </w:rPr>
        <w:t> </w:t>
      </w:r>
      <w:r>
        <w:rPr>
          <w:rFonts w:ascii="Arial" w:hAnsi="Arial"/>
          <w:sz w:val="21"/>
        </w:rPr>
        <w:t>payable</w:t>
      </w:r>
      <w:r>
        <w:rPr>
          <w:rFonts w:ascii="Arial" w:hAnsi="Arial"/>
          <w:sz w:val="20"/>
        </w:rPr>
        <w:t> </w:t>
      </w:r>
      <w:r>
        <w:rPr>
          <w:rFonts w:ascii="Arial" w:hAnsi="Arial"/>
          <w:sz w:val="21"/>
        </w:rPr>
        <w:t>quarterly</w:t>
      </w:r>
      <w:r>
        <w:rPr>
          <w:rFonts w:ascii="Arial" w:hAnsi="Arial"/>
          <w:sz w:val="20"/>
        </w:rPr>
        <w:t> </w:t>
      </w:r>
      <w:r>
        <w:rPr>
          <w:rFonts w:ascii="Arial" w:hAnsi="Arial"/>
          <w:sz w:val="21"/>
        </w:rPr>
        <w:t>in</w:t>
      </w:r>
      <w:r>
        <w:rPr>
          <w:rFonts w:ascii="Arial" w:hAnsi="Arial"/>
          <w:sz w:val="20"/>
        </w:rPr>
        <w:t> </w:t>
      </w:r>
      <w:r>
        <w:rPr>
          <w:rFonts w:ascii="Arial" w:hAnsi="Arial"/>
          <w:sz w:val="21"/>
        </w:rPr>
        <w:t>arrears,</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first</w:t>
      </w:r>
      <w:r>
        <w:rPr>
          <w:rFonts w:ascii="Arial" w:hAnsi="Arial"/>
          <w:sz w:val="20"/>
        </w:rPr>
        <w:t> </w:t>
      </w:r>
      <w:r>
        <w:rPr>
          <w:rFonts w:ascii="Arial" w:hAnsi="Arial"/>
          <w:sz w:val="21"/>
        </w:rPr>
        <w:t>Business</w:t>
      </w:r>
      <w:r>
        <w:rPr>
          <w:rFonts w:ascii="Arial" w:hAnsi="Arial"/>
          <w:sz w:val="20"/>
        </w:rPr>
        <w:t> </w:t>
      </w:r>
      <w:r>
        <w:rPr>
          <w:rFonts w:ascii="Arial" w:hAnsi="Arial"/>
          <w:sz w:val="21"/>
        </w:rPr>
        <w:t>Day</w:t>
      </w:r>
      <w:r>
        <w:rPr>
          <w:rFonts w:ascii="Arial" w:hAnsi="Arial"/>
          <w:sz w:val="20"/>
        </w:rPr>
        <w:t> </w:t>
      </w:r>
      <w:r>
        <w:rPr>
          <w:rFonts w:ascii="Arial" w:hAnsi="Arial"/>
          <w:sz w:val="21"/>
        </w:rPr>
        <w:t>of</w:t>
      </w:r>
      <w:r>
        <w:rPr>
          <w:rFonts w:ascii="Arial" w:hAnsi="Arial"/>
          <w:sz w:val="20"/>
        </w:rPr>
        <w:t> </w:t>
      </w:r>
      <w:r>
        <w:rPr>
          <w:rFonts w:ascii="Arial" w:hAnsi="Arial"/>
          <w:sz w:val="21"/>
        </w:rPr>
        <w:t>each Quarter;</w:t>
      </w:r>
      <w:r>
        <w:rPr>
          <w:rFonts w:ascii="Arial" w:hAnsi="Arial"/>
          <w:sz w:val="20"/>
        </w:rPr>
        <w:t xml:space="preserve"> </w:t>
      </w:r>
    </w:p>
    <w:p>
      <w:pPr>
        <w:pStyle w:val="TextBody"/>
        <w:bidi w:val="0"/>
        <w:spacing w:lineRule="auto" w:line="266" w:before="0" w:after="0"/>
        <w:ind w:left="4275" w:right="1768" w:hanging="0"/>
        <w:jc w:val="left"/>
        <w:rPr>
          <w:rFonts w:ascii="Arial" w:hAnsi="Arial"/>
          <w:sz w:val="20"/>
        </w:rPr>
      </w:pPr>
      <w:r>
        <w:rPr>
          <w:rFonts w:ascii="Arial" w:hAnsi="Arial"/>
          <w:sz w:val="21"/>
        </w:rPr>
        <w:t>(iii)be</w:t>
      </w:r>
      <w:r>
        <w:rPr>
          <w:rFonts w:ascii="Arial" w:hAnsi="Arial"/>
          <w:sz w:val="20"/>
        </w:rPr>
        <w:t> </w:t>
      </w:r>
      <w:r>
        <w:rPr>
          <w:rFonts w:ascii="Arial" w:hAnsi="Arial"/>
          <w:sz w:val="21"/>
        </w:rPr>
        <w:t>calculated</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actual</w:t>
      </w:r>
      <w:r>
        <w:rPr>
          <w:rFonts w:ascii="Arial" w:hAnsi="Arial"/>
          <w:sz w:val="20"/>
        </w:rPr>
        <w:t> </w:t>
      </w:r>
      <w:r>
        <w:rPr>
          <w:rFonts w:ascii="Arial" w:hAnsi="Arial"/>
          <w:sz w:val="21"/>
        </w:rPr>
        <w:t>number</w:t>
      </w:r>
      <w:r>
        <w:rPr>
          <w:rFonts w:ascii="Arial" w:hAnsi="Arial"/>
          <w:sz w:val="20"/>
        </w:rPr>
        <w:t> </w:t>
      </w:r>
      <w:r>
        <w:rPr>
          <w:rFonts w:ascii="Arial" w:hAnsi="Arial"/>
          <w:sz w:val="21"/>
        </w:rPr>
        <w:t>of</w:t>
      </w:r>
      <w:r>
        <w:rPr>
          <w:rFonts w:ascii="Arial" w:hAnsi="Arial"/>
          <w:sz w:val="20"/>
        </w:rPr>
        <w:t> </w:t>
      </w:r>
      <w:r>
        <w:rPr>
          <w:rFonts w:ascii="Arial" w:hAnsi="Arial"/>
          <w:sz w:val="21"/>
        </w:rPr>
        <w:t>days</w:t>
      </w:r>
      <w:r>
        <w:rPr>
          <w:rFonts w:ascii="Arial" w:hAnsi="Arial"/>
          <w:sz w:val="20"/>
        </w:rPr>
        <w:t> </w:t>
      </w:r>
      <w:r>
        <w:rPr>
          <w:rFonts w:ascii="Arial" w:hAnsi="Arial"/>
          <w:sz w:val="21"/>
        </w:rPr>
        <w:t>elapsed</w:t>
      </w:r>
      <w:r>
        <w:rPr>
          <w:rFonts w:ascii="Arial" w:hAnsi="Arial"/>
          <w:sz w:val="20"/>
        </w:rPr>
        <w:t> </w:t>
      </w:r>
      <w:r>
        <w:rPr>
          <w:rFonts w:ascii="Arial" w:hAnsi="Arial"/>
          <w:sz w:val="21"/>
        </w:rPr>
        <w:t>and</w:t>
      </w:r>
      <w:r>
        <w:rPr>
          <w:rFonts w:ascii="Arial" w:hAnsi="Arial"/>
          <w:sz w:val="20"/>
        </w:rPr>
        <w:t> </w:t>
      </w:r>
      <w:r>
        <w:rPr>
          <w:rFonts w:ascii="Arial" w:hAnsi="Arial"/>
          <w:sz w:val="21"/>
        </w:rPr>
        <w:t>on</w:t>
      </w:r>
      <w:r>
        <w:rPr>
          <w:rFonts w:ascii="Arial" w:hAnsi="Arial"/>
          <w:sz w:val="20"/>
        </w:rPr>
        <w:t> </w:t>
      </w:r>
      <w:r>
        <w:rPr>
          <w:rFonts w:ascii="Arial" w:hAnsi="Arial"/>
          <w:sz w:val="21"/>
        </w:rPr>
        <w:t>the basis of a 365 day year.</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51" w:name="Records921"/>
      <w:bookmarkEnd w:id="451"/>
      <w:r>
        <w:rPr>
          <w:rFonts w:ascii="Arial" w:hAnsi="Arial"/>
          <w:b/>
          <w:color w:val="000000"/>
          <w:sz w:val="24"/>
        </w:rPr>
        <w:t>9.2Records</w:t>
      </w:r>
      <w:r>
        <w:rPr>
          <w:rFonts w:ascii="Arial" w:hAnsi="Arial"/>
          <w:b/>
          <w:sz w:val="24"/>
        </w:rPr>
        <w:t xml:space="preserve"> </w:t>
      </w:r>
    </w:p>
    <w:p>
      <w:pPr>
        <w:pStyle w:val="TextBody"/>
        <w:bidi w:val="0"/>
        <w:spacing w:before="96" w:after="0"/>
        <w:ind w:left="3120" w:right="700" w:hanging="0"/>
        <w:jc w:val="left"/>
        <w:rPr>
          <w:rFonts w:ascii="Arial" w:hAnsi="Arial"/>
          <w:sz w:val="22"/>
        </w:rPr>
      </w:pPr>
      <w:r>
        <w:rPr>
          <w:rFonts w:ascii="Arial" w:hAnsi="Arial"/>
          <w:color w:val="000000"/>
          <w:sz w:val="22"/>
        </w:rPr>
        <w:t>The Borrower must ensure that each Transaction Party:</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(a)prepares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keeps</w:t>
      </w:r>
      <w:r>
        <w:rPr>
          <w:rFonts w:ascii="Arial" w:hAnsi="Arial"/>
          <w:color w:val="000000"/>
          <w:sz w:val="20"/>
        </w:rPr>
        <w:t> </w:t>
      </w:r>
      <w:r>
        <w:rPr>
          <w:rFonts w:ascii="Arial" w:hAnsi="Arial"/>
          <w:color w:val="000000"/>
          <w:sz w:val="21"/>
        </w:rPr>
        <w:t>books,</w:t>
      </w:r>
      <w:r>
        <w:rPr>
          <w:rFonts w:ascii="Arial" w:hAnsi="Arial"/>
          <w:color w:val="000000"/>
          <w:sz w:val="20"/>
        </w:rPr>
        <w:t> </w:t>
      </w:r>
      <w:r>
        <w:rPr>
          <w:rFonts w:ascii="Arial" w:hAnsi="Arial"/>
          <w:color w:val="000000"/>
          <w:sz w:val="21"/>
        </w:rPr>
        <w:t>accounts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records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 with the law and Accounting Standards;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(b)on</w:t>
      </w:r>
      <w:r>
        <w:rPr>
          <w:rFonts w:ascii="Arial" w:hAnsi="Arial"/>
          <w:color w:val="000000"/>
          <w:sz w:val="20"/>
        </w:rPr>
        <w:t> </w:t>
      </w:r>
      <w:r>
        <w:rPr>
          <w:rFonts w:ascii="Arial" w:hAnsi="Arial"/>
          <w:color w:val="000000"/>
          <w:sz w:val="21"/>
        </w:rPr>
        <w:t>demand,</w:t>
      </w:r>
      <w:r>
        <w:rPr>
          <w:rFonts w:ascii="Arial" w:hAnsi="Arial"/>
          <w:color w:val="000000"/>
          <w:sz w:val="20"/>
        </w:rPr>
        <w:t> </w:t>
      </w:r>
      <w:r>
        <w:rPr>
          <w:rFonts w:ascii="Arial" w:hAnsi="Arial"/>
          <w:color w:val="000000"/>
          <w:sz w:val="21"/>
        </w:rPr>
        <w:t>makes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available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inspection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copying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Bank.</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52" w:name="Financial_Statements931"/>
      <w:bookmarkEnd w:id="452"/>
      <w:r>
        <w:rPr>
          <w:rFonts w:ascii="Arial" w:hAnsi="Arial"/>
          <w:b/>
          <w:color w:val="000000"/>
          <w:sz w:val="24"/>
        </w:rPr>
        <w:t>9.3Financial Statements and other financial information</w:t>
      </w:r>
      <w:r>
        <w:rPr>
          <w:rFonts w:ascii="Arial" w:hAnsi="Arial"/>
          <w:b/>
          <w:sz w:val="24"/>
        </w:rPr>
        <w:t xml:space="preserve"> </w:t>
      </w:r>
    </w:p>
    <w:p>
      <w:pPr>
        <w:pStyle w:val="TextBody"/>
        <w:bidi w:val="0"/>
        <w:spacing w:before="95" w:after="0"/>
        <w:ind w:left="3120" w:right="700" w:hanging="0"/>
        <w:jc w:val="left"/>
        <w:rPr>
          <w:rFonts w:ascii="Arial" w:hAnsi="Arial"/>
          <w:sz w:val="22"/>
        </w:rPr>
      </w:pPr>
      <w:r>
        <w:rPr>
          <w:rFonts w:ascii="Arial" w:hAnsi="Arial"/>
          <w:color w:val="000000"/>
          <w:sz w:val="22"/>
        </w:rPr>
        <w:t>The Borrower must give to the Bank:</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t>
      </w:r>
      <w:r>
        <w:rPr>
          <w:rFonts w:ascii="Arial" w:hAnsi="Arial"/>
          <w:b/>
          <w:color w:val="000000"/>
          <w:sz w:val="21"/>
        </w:rPr>
        <w:t>Annual</w:t>
      </w:r>
      <w:r>
        <w:rPr>
          <w:rFonts w:ascii="Arial" w:hAnsi="Arial"/>
          <w:color w:val="000000"/>
          <w:sz w:val="20"/>
        </w:rPr>
        <w:t> </w:t>
      </w:r>
      <w:r>
        <w:rPr>
          <w:rFonts w:ascii="Arial" w:hAnsi="Arial"/>
          <w:b/>
          <w:color w:val="000000"/>
          <w:sz w:val="21"/>
        </w:rPr>
        <w:t>Financial</w:t>
      </w:r>
      <w:r>
        <w:rPr>
          <w:rFonts w:ascii="Arial" w:hAnsi="Arial"/>
          <w:color w:val="000000"/>
          <w:sz w:val="20"/>
        </w:rPr>
        <w:t> </w:t>
      </w:r>
      <w:r>
        <w:rPr>
          <w:rFonts w:ascii="Arial" w:hAnsi="Arial"/>
          <w:b/>
          <w:color w:val="000000"/>
          <w:sz w:val="21"/>
        </w:rPr>
        <w:t>Statements: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soon</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practicable,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event within 120 days after the end of each Financial Year the consolidated audited Financial Statements of the Reading Entertainment Australia Group for that Financial Year;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w:t>
      </w:r>
      <w:r>
        <w:rPr>
          <w:rFonts w:ascii="Arial" w:hAnsi="Arial"/>
          <w:b/>
          <w:color w:val="000000"/>
          <w:sz w:val="21"/>
        </w:rPr>
        <w:t>Quarterly</w:t>
      </w:r>
      <w:r>
        <w:rPr>
          <w:rFonts w:ascii="Arial" w:hAnsi="Arial"/>
          <w:color w:val="000000"/>
          <w:sz w:val="20"/>
        </w:rPr>
        <w:t> </w:t>
      </w:r>
      <w:r>
        <w:rPr>
          <w:rFonts w:ascii="Arial" w:hAnsi="Arial"/>
          <w:b/>
          <w:color w:val="000000"/>
          <w:sz w:val="21"/>
        </w:rPr>
        <w:t>Financial</w:t>
      </w:r>
      <w:r>
        <w:rPr>
          <w:rFonts w:ascii="Arial" w:hAnsi="Arial"/>
          <w:color w:val="000000"/>
          <w:sz w:val="20"/>
        </w:rPr>
        <w:t> </w:t>
      </w:r>
      <w:r>
        <w:rPr>
          <w:rFonts w:ascii="Arial" w:hAnsi="Arial"/>
          <w:b/>
          <w:color w:val="000000"/>
          <w:sz w:val="21"/>
        </w:rPr>
        <w:t>Statements: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soon</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practicable,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 event within 45 days after the end of each Quarter (other than the Quarter ending 31 December) the consolidated unaudited Financial Statements of the Reading Entertainment Australia Group for that Quarter (showing both actual and budget figures and any information regarding the effect of AASB 16 on EBITDA, including but limited to, AASB 16 interest expense and AASB 16 depreciation);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w:t>
      </w:r>
      <w:r>
        <w:rPr>
          <w:rFonts w:ascii="Arial" w:hAnsi="Arial"/>
          <w:b/>
          <w:color w:val="000000"/>
          <w:sz w:val="21"/>
        </w:rPr>
        <w:t>group structure diagram</w:t>
      </w:r>
      <w:r>
        <w:rPr>
          <w:rFonts w:ascii="Arial" w:hAnsi="Arial"/>
          <w:color w:val="000000"/>
          <w:sz w:val="21"/>
        </w:rPr>
        <w:t>: within 120 days after the end of each Financial Year, a group structure diagram in relation to Reading International</w:t>
      </w:r>
      <w:r>
        <w:rPr>
          <w:rFonts w:ascii="Arial" w:hAnsi="Arial"/>
          <w:color w:val="000000"/>
          <w:sz w:val="20"/>
        </w:rPr>
        <w:t> </w:t>
      </w:r>
      <w:r>
        <w:rPr>
          <w:rFonts w:ascii="Arial" w:hAnsi="Arial"/>
          <w:color w:val="000000"/>
          <w:sz w:val="21"/>
        </w:rPr>
        <w:t>Inc.</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Entertainment</w:t>
      </w:r>
      <w:r>
        <w:rPr>
          <w:rFonts w:ascii="Arial" w:hAnsi="Arial"/>
          <w:color w:val="000000"/>
          <w:sz w:val="20"/>
        </w:rPr>
        <w:t> </w:t>
      </w:r>
      <w:r>
        <w:rPr>
          <w:rFonts w:ascii="Arial" w:hAnsi="Arial"/>
          <w:color w:val="000000"/>
          <w:sz w:val="21"/>
        </w:rPr>
        <w:t>Australia</w:t>
      </w:r>
      <w:r>
        <w:rPr>
          <w:rFonts w:ascii="Arial" w:hAnsi="Arial"/>
          <w:color w:val="000000"/>
          <w:sz w:val="20"/>
        </w:rPr>
        <w:t> </w:t>
      </w:r>
      <w:r>
        <w:rPr>
          <w:rFonts w:ascii="Arial" w:hAnsi="Arial"/>
          <w:color w:val="000000"/>
          <w:sz w:val="21"/>
        </w:rPr>
        <w:t>Group</w:t>
      </w:r>
      <w:r>
        <w:rPr>
          <w:rFonts w:ascii="Arial" w:hAnsi="Arial"/>
          <w:color w:val="000000"/>
          <w:sz w:val="20"/>
        </w:rPr>
        <w:t> </w:t>
      </w:r>
      <w:r>
        <w:rPr>
          <w:rFonts w:ascii="Arial" w:hAnsi="Arial"/>
          <w:color w:val="000000"/>
          <w:sz w:val="21"/>
        </w:rPr>
        <w:t>which lists all the then Group Members and which contains such other information in relation to the legal relationship between Reading International Inc. and the Reading Entertainment Australia Group Members as the Bank reasonably requires;</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(d)</w:t>
      </w:r>
      <w:r>
        <w:rPr>
          <w:rFonts w:ascii="Arial" w:hAnsi="Arial"/>
          <w:b/>
          <w:sz w:val="21"/>
        </w:rPr>
        <w:t>budget</w:t>
      </w:r>
      <w:r>
        <w:rPr>
          <w:rFonts w:ascii="Arial" w:hAnsi="Arial"/>
          <w:sz w:val="21"/>
        </w:rPr>
        <w:t>: as soon as practicable, and in any event before 31 March for each Financial Year, a consolidated budget for the Reading Entertainment</w:t>
      </w:r>
      <w:r>
        <w:rPr>
          <w:rFonts w:ascii="Arial" w:hAnsi="Arial"/>
          <w:sz w:val="20"/>
        </w:rPr>
        <w:t> </w:t>
      </w:r>
      <w:r>
        <w:rPr>
          <w:rFonts w:ascii="Arial" w:hAnsi="Arial"/>
          <w:sz w:val="21"/>
        </w:rPr>
        <w:t>Australia</w:t>
      </w:r>
      <w:r>
        <w:rPr>
          <w:rFonts w:ascii="Arial" w:hAnsi="Arial"/>
          <w:sz w:val="20"/>
        </w:rPr>
        <w:t> </w:t>
      </w:r>
      <w:r>
        <w:rPr>
          <w:rFonts w:ascii="Arial" w:hAnsi="Arial"/>
          <w:sz w:val="21"/>
        </w:rPr>
        <w:t>Group</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current</w:t>
      </w:r>
      <w:r>
        <w:rPr>
          <w:rFonts w:ascii="Arial" w:hAnsi="Arial"/>
          <w:sz w:val="20"/>
        </w:rPr>
        <w:t> </w:t>
      </w:r>
      <w:r>
        <w:rPr>
          <w:rFonts w:ascii="Arial" w:hAnsi="Arial"/>
          <w:sz w:val="21"/>
        </w:rPr>
        <w:t>Financial</w:t>
      </w:r>
      <w:r>
        <w:rPr>
          <w:rFonts w:ascii="Arial" w:hAnsi="Arial"/>
          <w:sz w:val="20"/>
        </w:rPr>
        <w:t> </w:t>
      </w:r>
      <w:r>
        <w:rPr>
          <w:rFonts w:ascii="Arial" w:hAnsi="Arial"/>
          <w:sz w:val="21"/>
        </w:rPr>
        <w:t>Year</w:t>
      </w:r>
      <w:r>
        <w:rPr>
          <w:rFonts w:ascii="Arial" w:hAnsi="Arial"/>
          <w:sz w:val="20"/>
        </w:rPr>
        <w:t> </w:t>
      </w:r>
      <w:r>
        <w:rPr>
          <w:rFonts w:ascii="Arial" w:hAnsi="Arial"/>
          <w:sz w:val="21"/>
        </w:rPr>
        <w:t>showing</w:t>
      </w:r>
      <w:r>
        <w:rPr>
          <w:rFonts w:ascii="Arial" w:hAnsi="Arial"/>
          <w:sz w:val="20"/>
        </w:rPr>
        <w:t> </w:t>
      </w:r>
      <w:r>
        <w:rPr>
          <w:rFonts w:ascii="Arial" w:hAnsi="Arial"/>
          <w:sz w:val="21"/>
        </w:rPr>
        <w:t>the budgeted profit and loss, balance sheet and cash flow for the Reading Entertainment Australia Group and such other matters customarily dealt with in such budgets;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(e)</w:t>
      </w:r>
      <w:r>
        <w:rPr>
          <w:rFonts w:ascii="Arial" w:hAnsi="Arial"/>
          <w:b/>
          <w:sz w:val="21"/>
        </w:rPr>
        <w:t>Parent Subordination</w:t>
      </w:r>
      <w:r>
        <w:rPr>
          <w:rFonts w:ascii="Arial" w:hAnsi="Arial"/>
          <w:sz w:val="20"/>
        </w:rPr>
        <w:t> </w:t>
      </w:r>
      <w:r>
        <w:rPr>
          <w:rFonts w:ascii="Arial" w:hAnsi="Arial"/>
          <w:b/>
          <w:sz w:val="21"/>
        </w:rPr>
        <w:t>Agreement</w:t>
      </w:r>
      <w:r>
        <w:rPr>
          <w:rFonts w:ascii="Arial" w:hAnsi="Arial"/>
          <w:sz w:val="21"/>
        </w:rPr>
        <w:t>:</w:t>
      </w:r>
      <w:r>
        <w:rPr>
          <w:rFonts w:ascii="Arial" w:hAnsi="Arial"/>
          <w:sz w:val="20"/>
        </w:rPr>
        <w:t> </w:t>
      </w:r>
      <w:r>
        <w:rPr>
          <w:rFonts w:ascii="Arial" w:hAnsi="Arial"/>
          <w:sz w:val="21"/>
        </w:rPr>
        <w:t>as soon as practicable,</w:t>
      </w:r>
      <w:r>
        <w:rPr>
          <w:rFonts w:ascii="Arial" w:hAnsi="Arial"/>
          <w:sz w:val="20"/>
        </w:rPr>
        <w:t> </w:t>
      </w:r>
      <w:r>
        <w:rPr>
          <w:rFonts w:ascii="Arial" w:hAnsi="Arial"/>
          <w:sz w:val="21"/>
        </w:rPr>
        <w:t>and in any event</w:t>
      </w:r>
      <w:r>
        <w:rPr>
          <w:rFonts w:ascii="Arial" w:hAnsi="Arial"/>
          <w:sz w:val="20"/>
        </w:rPr>
        <w:t> </w:t>
      </w:r>
      <w:r>
        <w:rPr>
          <w:rFonts w:ascii="Arial" w:hAnsi="Arial"/>
          <w:sz w:val="21"/>
        </w:rPr>
        <w:t>by</w:t>
      </w:r>
      <w:r>
        <w:rPr>
          <w:rFonts w:ascii="Arial" w:hAnsi="Arial"/>
          <w:sz w:val="20"/>
        </w:rPr>
        <w:t> </w:t>
      </w:r>
      <w:r>
        <w:rPr>
          <w:rFonts w:ascii="Arial" w:hAnsi="Arial"/>
          <w:sz w:val="21"/>
        </w:rPr>
        <w:t>no</w:t>
      </w:r>
      <w:r>
        <w:rPr>
          <w:rFonts w:ascii="Arial" w:hAnsi="Arial"/>
          <w:sz w:val="20"/>
        </w:rPr>
        <w:t> </w:t>
      </w:r>
      <w:r>
        <w:rPr>
          <w:rFonts w:ascii="Arial" w:hAnsi="Arial"/>
          <w:sz w:val="21"/>
        </w:rPr>
        <w:t>later</w:t>
      </w:r>
      <w:r>
        <w:rPr>
          <w:rFonts w:ascii="Arial" w:hAnsi="Arial"/>
          <w:sz w:val="20"/>
        </w:rPr>
        <w:t> </w:t>
      </w:r>
      <w:r>
        <w:rPr>
          <w:rFonts w:ascii="Arial" w:hAnsi="Arial"/>
          <w:sz w:val="21"/>
        </w:rPr>
        <w:t>than</w:t>
      </w:r>
      <w:r>
        <w:rPr>
          <w:rFonts w:ascii="Arial" w:hAnsi="Arial"/>
          <w:sz w:val="20"/>
        </w:rPr>
        <w:t> </w:t>
      </w:r>
      <w:r>
        <w:rPr>
          <w:rFonts w:ascii="Arial" w:hAnsi="Arial"/>
          <w:sz w:val="21"/>
        </w:rPr>
        <w:t>30</w:t>
      </w:r>
      <w:r>
        <w:rPr>
          <w:rFonts w:ascii="Arial" w:hAnsi="Arial"/>
          <w:sz w:val="20"/>
        </w:rPr>
        <w:t> </w:t>
      </w:r>
      <w:r>
        <w:rPr>
          <w:rFonts w:ascii="Arial" w:hAnsi="Arial"/>
          <w:sz w:val="21"/>
        </w:rPr>
        <w:t>November</w:t>
      </w:r>
      <w:r>
        <w:rPr>
          <w:rFonts w:ascii="Arial" w:hAnsi="Arial"/>
          <w:sz w:val="20"/>
        </w:rPr>
        <w:t> </w:t>
      </w:r>
      <w:r>
        <w:rPr>
          <w:rFonts w:ascii="Arial" w:hAnsi="Arial"/>
          <w:sz w:val="21"/>
        </w:rPr>
        <w:t>2023</w:t>
      </w:r>
      <w:r>
        <w:rPr>
          <w:rFonts w:ascii="Arial" w:hAnsi="Arial"/>
          <w:sz w:val="20"/>
        </w:rPr>
        <w:t> </w:t>
      </w:r>
      <w:r>
        <w:rPr>
          <w:rFonts w:ascii="Arial" w:hAnsi="Arial"/>
          <w:sz w:val="21"/>
        </w:rPr>
        <w:t>(or</w:t>
      </w:r>
      <w:r>
        <w:rPr>
          <w:rFonts w:ascii="Arial" w:hAnsi="Arial"/>
          <w:sz w:val="20"/>
        </w:rPr>
        <w:t> </w:t>
      </w:r>
      <w:r>
        <w:rPr>
          <w:rFonts w:ascii="Arial" w:hAnsi="Arial"/>
          <w:sz w:val="21"/>
        </w:rPr>
        <w:t>such</w:t>
      </w:r>
      <w:r>
        <w:rPr>
          <w:rFonts w:ascii="Arial" w:hAnsi="Arial"/>
          <w:sz w:val="20"/>
        </w:rPr>
        <w:t> </w:t>
      </w:r>
      <w:r>
        <w:rPr>
          <w:rFonts w:ascii="Arial" w:hAnsi="Arial"/>
          <w:sz w:val="21"/>
        </w:rPr>
        <w:t>later</w:t>
      </w:r>
      <w:r>
        <w:rPr>
          <w:rFonts w:ascii="Arial" w:hAnsi="Arial"/>
          <w:sz w:val="20"/>
        </w:rPr>
        <w:t> </w:t>
      </w:r>
      <w:r>
        <w:rPr>
          <w:rFonts w:ascii="Arial" w:hAnsi="Arial"/>
          <w:sz w:val="21"/>
        </w:rPr>
        <w:t>date</w:t>
      </w:r>
      <w:r>
        <w:rPr>
          <w:rFonts w:ascii="Arial" w:hAnsi="Arial"/>
          <w:sz w:val="20"/>
        </w:rPr>
        <w:t> </w:t>
      </w:r>
      <w:r>
        <w:rPr>
          <w:rFonts w:ascii="Arial" w:hAnsi="Arial"/>
          <w:sz w:val="21"/>
        </w:rPr>
        <w:t>as</w:t>
      </w:r>
      <w:r>
        <w:rPr>
          <w:rFonts w:ascii="Arial" w:hAnsi="Arial"/>
          <w:sz w:val="20"/>
        </w:rPr>
        <w:t> </w:t>
      </w:r>
      <w:r>
        <w:rPr>
          <w:rFonts w:ascii="Arial" w:hAnsi="Arial"/>
          <w:sz w:val="21"/>
        </w:rPr>
        <w:t>agreed by the Bank in writing in its absolute discretion):</w:t>
      </w:r>
      <w:r>
        <w:rPr>
          <w:rFonts w:ascii="Arial" w:hAnsi="Arial"/>
          <w:sz w:val="20"/>
        </w:rPr>
        <w:t xml:space="preserve"> </w:t>
      </w:r>
    </w:p>
    <w:p>
      <w:pPr>
        <w:pStyle w:val="TextBody"/>
        <w:bidi w:val="0"/>
        <w:spacing w:lineRule="auto" w:line="266" w:before="121" w:after="0"/>
        <w:ind w:left="4275" w:right="1735" w:hanging="0"/>
        <w:jc w:val="left"/>
        <w:rPr>
          <w:rFonts w:ascii="Arial" w:hAnsi="Arial"/>
          <w:sz w:val="20"/>
        </w:rPr>
      </w:pPr>
      <w:r>
        <w:rPr>
          <w:rFonts w:ascii="Arial" w:hAnsi="Arial"/>
          <w:sz w:val="21"/>
        </w:rPr>
        <w:t>(i)a fully executed original copy of the Parent Subordination Agreement,</w:t>
      </w:r>
      <w:r>
        <w:rPr>
          <w:rFonts w:ascii="Arial" w:hAnsi="Arial"/>
          <w:sz w:val="20"/>
        </w:rPr>
        <w:t> </w:t>
      </w:r>
      <w:r>
        <w:rPr>
          <w:rFonts w:ascii="Arial" w:hAnsi="Arial"/>
          <w:sz w:val="21"/>
        </w:rPr>
        <w:t>duly</w:t>
      </w:r>
      <w:r>
        <w:rPr>
          <w:rFonts w:ascii="Arial" w:hAnsi="Arial"/>
          <w:sz w:val="20"/>
        </w:rPr>
        <w:t> </w:t>
      </w:r>
      <w:r>
        <w:rPr>
          <w:rFonts w:ascii="Arial" w:hAnsi="Arial"/>
          <w:sz w:val="21"/>
        </w:rPr>
        <w:t>executed</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Parent;</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0" w:after="0"/>
        <w:ind w:left="4275" w:right="1560" w:hanging="0"/>
        <w:jc w:val="left"/>
        <w:rPr>
          <w:rFonts w:ascii="Arial" w:hAnsi="Arial"/>
          <w:sz w:val="20"/>
        </w:rPr>
      </w:pPr>
      <w:r>
        <w:rPr>
          <w:rFonts w:ascii="Arial" w:hAnsi="Arial"/>
          <w:sz w:val="21"/>
        </w:rPr>
        <w:t>(ii)a</w:t>
      </w:r>
      <w:r>
        <w:rPr>
          <w:rFonts w:ascii="Arial" w:hAnsi="Arial"/>
          <w:sz w:val="20"/>
        </w:rPr>
        <w:t> </w:t>
      </w:r>
      <w:r>
        <w:rPr>
          <w:rFonts w:ascii="Arial" w:hAnsi="Arial"/>
          <w:sz w:val="21"/>
        </w:rPr>
        <w:t>legal</w:t>
      </w:r>
      <w:r>
        <w:rPr>
          <w:rFonts w:ascii="Arial" w:hAnsi="Arial"/>
          <w:sz w:val="20"/>
        </w:rPr>
        <w:t> </w:t>
      </w:r>
      <w:r>
        <w:rPr>
          <w:rFonts w:ascii="Arial" w:hAnsi="Arial"/>
          <w:sz w:val="21"/>
        </w:rPr>
        <w:t>opinion</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Borrower’s</w:t>
      </w:r>
      <w:r>
        <w:rPr>
          <w:rFonts w:ascii="Arial" w:hAnsi="Arial"/>
          <w:sz w:val="20"/>
        </w:rPr>
        <w:t> </w:t>
      </w:r>
      <w:r>
        <w:rPr>
          <w:rFonts w:ascii="Arial" w:hAnsi="Arial"/>
          <w:sz w:val="21"/>
        </w:rPr>
        <w:t>US</w:t>
      </w:r>
      <w:r>
        <w:rPr>
          <w:rFonts w:ascii="Arial" w:hAnsi="Arial"/>
          <w:sz w:val="20"/>
        </w:rPr>
        <w:t> </w:t>
      </w:r>
      <w:r>
        <w:rPr>
          <w:rFonts w:ascii="Arial" w:hAnsi="Arial"/>
          <w:sz w:val="21"/>
        </w:rPr>
        <w:t>counsel,</w:t>
      </w:r>
      <w:r>
        <w:rPr>
          <w:rFonts w:ascii="Arial" w:hAnsi="Arial"/>
          <w:sz w:val="20"/>
        </w:rPr>
        <w:t> </w:t>
      </w:r>
      <w:r>
        <w:rPr>
          <w:rFonts w:ascii="Arial" w:hAnsi="Arial"/>
          <w:sz w:val="21"/>
        </w:rPr>
        <w:t>addressed</w:t>
      </w:r>
      <w:r>
        <w:rPr>
          <w:rFonts w:ascii="Arial" w:hAnsi="Arial"/>
          <w:sz w:val="20"/>
        </w:rPr>
        <w:t> </w:t>
      </w:r>
      <w:r>
        <w:rPr>
          <w:rFonts w:ascii="Arial" w:hAnsi="Arial"/>
          <w:sz w:val="21"/>
        </w:rPr>
        <w:t>to</w:t>
      </w:r>
      <w:r>
        <w:rPr>
          <w:rFonts w:ascii="Arial" w:hAnsi="Arial"/>
          <w:sz w:val="20"/>
        </w:rPr>
        <w:t> </w:t>
      </w:r>
      <w:r>
        <w:rPr>
          <w:rFonts w:ascii="Arial" w:hAnsi="Arial"/>
          <w:sz w:val="21"/>
        </w:rPr>
        <w:t>the Lender, in relation to the due execution of the Parent Subordination Agreement by the Parent,</w:t>
      </w:r>
      <w:r>
        <w:rPr>
          <w:rFonts w:ascii="Arial" w:hAnsi="Arial"/>
          <w:sz w:val="20"/>
        </w:rPr>
        <w:t xml:space="preserve"> </w:t>
      </w:r>
    </w:p>
    <w:p>
      <w:pPr>
        <w:pStyle w:val="TextBody"/>
        <w:bidi w:val="0"/>
        <w:spacing w:lineRule="auto" w:line="266" w:before="117" w:after="0"/>
        <w:ind w:left="3686" w:right="1471" w:hanging="0"/>
        <w:jc w:val="left"/>
        <w:rPr>
          <w:rFonts w:ascii="Arial" w:hAnsi="Arial"/>
          <w:sz w:val="22"/>
        </w:rPr>
      </w:pPr>
      <w:r>
        <w:rPr>
          <w:rFonts w:ascii="Arial" w:hAnsi="Arial"/>
          <w:sz w:val="22"/>
        </w:rPr>
        <w:t xml:space="preserve">each in a form and substance which is acceptable to the Lender in its absolute discretion. </w:t>
      </w:r>
    </w:p>
    <w:p>
      <w:pPr>
        <w:pStyle w:val="TextBody"/>
        <w:bidi w:val="0"/>
        <w:spacing w:lineRule="auto" w:line="266" w:before="118" w:after="0"/>
        <w:ind w:left="3687" w:right="854" w:hanging="0"/>
        <w:jc w:val="left"/>
        <w:rPr>
          <w:rFonts w:ascii="Arial" w:hAnsi="Arial"/>
          <w:sz w:val="20"/>
        </w:rPr>
      </w:pPr>
      <w:r>
        <w:rPr>
          <w:rFonts w:ascii="Arial" w:hAnsi="Arial"/>
          <w:sz w:val="21"/>
        </w:rPr>
        <w:t>(f)</w:t>
      </w:r>
      <w:r>
        <w:rPr>
          <w:rFonts w:ascii="Arial" w:hAnsi="Arial"/>
          <w:b/>
          <w:sz w:val="21"/>
        </w:rPr>
        <w:t>other financial information:</w:t>
      </w:r>
      <w:r>
        <w:rPr>
          <w:rFonts w:ascii="Arial" w:hAnsi="Arial"/>
          <w:sz w:val="20"/>
        </w:rPr>
        <w:t> </w:t>
      </w:r>
      <w:r>
        <w:rPr>
          <w:rFonts w:ascii="Arial" w:hAnsi="Arial"/>
          <w:sz w:val="21"/>
        </w:rPr>
        <w:t>promptly on reasonable notice from the Bank,</w:t>
      </w:r>
      <w:r>
        <w:rPr>
          <w:rFonts w:ascii="Arial" w:hAnsi="Arial"/>
          <w:sz w:val="20"/>
        </w:rPr>
        <w:t> </w:t>
      </w:r>
      <w:r>
        <w:rPr>
          <w:rFonts w:ascii="Arial" w:hAnsi="Arial"/>
          <w:sz w:val="21"/>
        </w:rPr>
        <w:t>such</w:t>
      </w:r>
      <w:r>
        <w:rPr>
          <w:rFonts w:ascii="Arial" w:hAnsi="Arial"/>
          <w:sz w:val="20"/>
        </w:rPr>
        <w:t> </w:t>
      </w:r>
      <w:r>
        <w:rPr>
          <w:rFonts w:ascii="Arial" w:hAnsi="Arial"/>
          <w:sz w:val="21"/>
        </w:rPr>
        <w:t>additional</w:t>
      </w:r>
      <w:r>
        <w:rPr>
          <w:rFonts w:ascii="Arial" w:hAnsi="Arial"/>
          <w:sz w:val="20"/>
        </w:rPr>
        <w:t> </w:t>
      </w:r>
      <w:r>
        <w:rPr>
          <w:rFonts w:ascii="Arial" w:hAnsi="Arial"/>
          <w:sz w:val="21"/>
        </w:rPr>
        <w:t>information</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financial</w:t>
      </w:r>
      <w:r>
        <w:rPr>
          <w:rFonts w:ascii="Arial" w:hAnsi="Arial"/>
          <w:sz w:val="20"/>
        </w:rPr>
        <w:t> </w:t>
      </w:r>
      <w:r>
        <w:rPr>
          <w:rFonts w:ascii="Arial" w:hAnsi="Arial"/>
          <w:sz w:val="21"/>
        </w:rPr>
        <w:t>condition</w:t>
      </w:r>
      <w:r>
        <w:rPr>
          <w:rFonts w:ascii="Arial" w:hAnsi="Arial"/>
          <w:sz w:val="20"/>
        </w:rPr>
        <w:t> </w:t>
      </w:r>
      <w:r>
        <w:rPr>
          <w:rFonts w:ascii="Arial" w:hAnsi="Arial"/>
          <w:sz w:val="21"/>
        </w:rPr>
        <w:t>and the operations of the Borrower and each other Transaction Party as the Bank reasonably requests from time to time.</w:t>
      </w:r>
      <w:r>
        <w:rPr>
          <w:rFonts w:ascii="Arial" w:hAnsi="Arial"/>
          <w:sz w:val="20"/>
        </w:rPr>
        <w:t xml:space="preserve"> </w:t>
      </w:r>
    </w:p>
    <w:p>
      <w:pPr>
        <w:pStyle w:val="TextBody"/>
        <w:pBdr/>
        <w:bidi w:val="0"/>
        <w:spacing w:lineRule="auto" w:line="266" w:before="119" w:after="0"/>
        <w:ind w:left="3120" w:right="1471" w:hanging="0"/>
        <w:jc w:val="left"/>
        <w:rPr>
          <w:rFonts w:ascii="Arial" w:hAnsi="Arial"/>
          <w:sz w:val="22"/>
        </w:rPr>
      </w:pPr>
      <w:r>
        <w:rPr>
          <w:rFonts w:ascii="Arial" w:hAnsi="Arial"/>
          <w:sz w:val="22"/>
        </w:rPr>
        <w:t xml:space="preserve">The Borrower must ensure that all Financial Statements given to the Bank under the Transaction Documents are prepared in accordance with the Corporations Act and the Accounting Standards. </w:t>
      </w:r>
    </w:p>
    <w:p>
      <w:pPr>
        <w:pStyle w:val="TextBody"/>
        <w:pBdr/>
        <w:bidi w:val="0"/>
        <w:spacing w:lineRule="auto" w:line="266" w:before="120" w:after="0"/>
        <w:ind w:left="3120" w:right="1471" w:hanging="0"/>
        <w:jc w:val="left"/>
        <w:rPr/>
      </w:pPr>
      <w:r>
        <w:rPr>
          <w:rFonts w:ascii="Arial" w:hAnsi="Arial"/>
          <w:sz w:val="22"/>
        </w:rPr>
        <w:t xml:space="preserve">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w:t>
      </w:r>
      <w:r>
        <w:rPr>
          <w:rFonts w:ascii="Arial" w:hAnsi="Arial"/>
          <w:b/>
          <w:sz w:val="22"/>
        </w:rPr>
        <w:t>clause</w:t>
      </w:r>
      <w:r>
        <w:rPr>
          <w:rFonts w:ascii="Arial" w:hAnsi="Arial"/>
          <w:sz w:val="22"/>
        </w:rPr>
        <w:t> </w:t>
      </w:r>
      <w:hyperlink w:anchor="_bookmark97">
        <w:r>
          <w:rPr>
            <w:rStyle w:val="InternetLink"/>
            <w:rFonts w:ascii="Arial" w:hAnsi="Arial"/>
            <w:b/>
            <w:sz w:val="22"/>
          </w:rPr>
          <w:t>9.8</w:t>
        </w:r>
      </w:hyperlink>
      <w:r>
        <w:rPr>
          <w:rFonts w:ascii="Arial" w:hAnsi="Arial"/>
          <w:sz w:val="22"/>
        </w:rPr>
        <w:t xml:space="preserve">, the Bank and the Borrower shall endeavour to agree mutually acceptable changes to this document so that the accounting change can be adopted for the purposes of this document. </w:t>
      </w:r>
    </w:p>
    <w:p>
      <w:pPr>
        <w:pStyle w:val="TextBody"/>
        <w:bidi w:val="0"/>
        <w:spacing w:before="214" w:after="0"/>
        <w:ind w:left="3725" w:right="700" w:hanging="0"/>
        <w:jc w:val="left"/>
        <w:rPr>
          <w:rFonts w:ascii="Arial" w:hAnsi="Arial"/>
          <w:b/>
          <w:sz w:val="24"/>
        </w:rPr>
      </w:pPr>
      <w:bookmarkStart w:id="453" w:name="Adjustments941"/>
      <w:bookmarkEnd w:id="453"/>
      <w:r>
        <w:rPr>
          <w:rFonts w:ascii="Arial" w:hAnsi="Arial"/>
          <w:b/>
          <w:color w:val="000000"/>
          <w:sz w:val="24"/>
        </w:rPr>
        <w:t>9.4Adjustments for AASB 16</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acknowledge</w:t>
      </w:r>
      <w:r>
        <w:rPr>
          <w:rFonts w:ascii="Arial" w:hAnsi="Arial"/>
          <w:color w:val="000000"/>
          <w:sz w:val="20"/>
        </w:rPr>
        <w:t> </w:t>
      </w:r>
      <w:r>
        <w:rPr>
          <w:rFonts w:ascii="Arial" w:hAnsi="Arial"/>
          <w:color w:val="000000"/>
          <w:sz w:val="21"/>
        </w:rPr>
        <w:t>that:</w:t>
      </w:r>
      <w:r>
        <w:rPr>
          <w:rFonts w:ascii="Arial" w:hAnsi="Arial"/>
          <w:sz w:val="20"/>
        </w:rPr>
        <w:t xml:space="preserve"> </w:t>
      </w:r>
    </w:p>
    <w:p>
      <w:pPr>
        <w:pStyle w:val="TextBody"/>
        <w:bidi w:val="0"/>
        <w:spacing w:lineRule="auto" w:line="266" w:before="148" w:after="0"/>
        <w:ind w:left="4275" w:right="1477" w:hanging="0"/>
        <w:jc w:val="both"/>
        <w:rPr>
          <w:rFonts w:ascii="Arial" w:hAnsi="Arial"/>
          <w:sz w:val="20"/>
        </w:rPr>
      </w:pPr>
      <w:r>
        <w:rPr>
          <w:rFonts w:ascii="Arial" w:hAnsi="Arial"/>
          <w:color w:val="000000"/>
          <w:sz w:val="21"/>
        </w:rPr>
        <w:t>(i)AASB 16 took effect on and from 1 January 2019, which changed or</w:t>
      </w:r>
      <w:r>
        <w:rPr>
          <w:rFonts w:ascii="Arial" w:hAnsi="Arial"/>
          <w:color w:val="000000"/>
          <w:sz w:val="20"/>
        </w:rPr>
        <w:t> </w:t>
      </w:r>
      <w:r>
        <w:rPr>
          <w:rFonts w:ascii="Arial" w:hAnsi="Arial"/>
          <w:color w:val="000000"/>
          <w:sz w:val="21"/>
        </w:rPr>
        <w:t>eliminated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distinction</w:t>
      </w:r>
      <w:r>
        <w:rPr>
          <w:rFonts w:ascii="Arial" w:hAnsi="Arial"/>
          <w:color w:val="000000"/>
          <w:sz w:val="20"/>
        </w:rPr>
        <w:t> </w:t>
      </w:r>
      <w:r>
        <w:rPr>
          <w:rFonts w:ascii="Arial" w:hAnsi="Arial"/>
          <w:color w:val="000000"/>
          <w:sz w:val="21"/>
        </w:rPr>
        <w:t>between</w:t>
      </w:r>
      <w:r>
        <w:rPr>
          <w:rFonts w:ascii="Arial" w:hAnsi="Arial"/>
          <w:color w:val="000000"/>
          <w:sz w:val="20"/>
        </w:rPr>
        <w:t> </w:t>
      </w:r>
      <w:r>
        <w:rPr>
          <w:rFonts w:ascii="Arial" w:hAnsi="Arial"/>
          <w:color w:val="000000"/>
          <w:sz w:val="21"/>
        </w:rPr>
        <w:t>operating</w:t>
      </w:r>
      <w:r>
        <w:rPr>
          <w:rFonts w:ascii="Arial" w:hAnsi="Arial"/>
          <w:color w:val="000000"/>
          <w:sz w:val="20"/>
        </w:rPr>
        <w:t> </w:t>
      </w:r>
      <w:r>
        <w:rPr>
          <w:rFonts w:ascii="Arial" w:hAnsi="Arial"/>
          <w:color w:val="000000"/>
          <w:sz w:val="21"/>
        </w:rPr>
        <w:t>leases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finance leases; and</w:t>
      </w:r>
      <w:r>
        <w:rPr>
          <w:rFonts w:ascii="Arial" w:hAnsi="Arial"/>
          <w:sz w:val="20"/>
        </w:rPr>
        <w:t xml:space="preserve"> </w:t>
      </w:r>
    </w:p>
    <w:p>
      <w:pPr>
        <w:pStyle w:val="TextBody"/>
        <w:bidi w:val="0"/>
        <w:spacing w:lineRule="auto" w:line="266" w:before="117" w:after="0"/>
        <w:ind w:left="4275" w:right="1688" w:hanging="0"/>
        <w:jc w:val="both"/>
        <w:rPr>
          <w:rFonts w:ascii="Arial" w:hAnsi="Arial"/>
          <w:sz w:val="20"/>
        </w:rPr>
      </w:pPr>
      <w:r>
        <w:rPr>
          <w:rFonts w:ascii="Arial" w:hAnsi="Arial"/>
          <w:color w:val="000000"/>
          <w:sz w:val="21"/>
        </w:rPr>
        <w:t>(ii)the</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continuing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assess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 xml:space="preserve">AASB 16 on the calculation of the financial ratios referred to in </w:t>
      </w:r>
      <w:r>
        <w:rPr>
          <w:rFonts w:ascii="Arial" w:hAnsi="Arial"/>
          <w:b/>
          <w:color w:val="000000"/>
          <w:sz w:val="21"/>
        </w:rPr>
        <w:t>clause</w:t>
      </w:r>
      <w:r>
        <w:rPr>
          <w:rFonts w:ascii="Arial" w:hAnsi="Arial"/>
          <w:sz w:val="20"/>
        </w:rPr>
        <w:t xml:space="preserve"> </w:t>
      </w:r>
    </w:p>
    <w:p>
      <w:pPr>
        <w:pStyle w:val="TextBody"/>
        <w:bidi w:val="0"/>
        <w:spacing w:lineRule="atLeast" w:line="241" w:before="0" w:after="0"/>
        <w:ind w:left="4275" w:right="700" w:hanging="0"/>
        <w:jc w:val="both"/>
        <w:rPr/>
      </w:pPr>
      <w:hyperlink w:anchor="_bookmark97">
        <w:r>
          <w:rPr>
            <w:rStyle w:val="InternetLink"/>
            <w:rFonts w:ascii="Arial" w:hAnsi="Arial"/>
            <w:b/>
            <w:color w:val="000000"/>
            <w:sz w:val="22"/>
          </w:rPr>
          <w:t>9.8</w:t>
        </w:r>
      </w:hyperlink>
      <w:r>
        <w:rPr>
          <w:rFonts w:ascii="Arial" w:hAnsi="Arial"/>
          <w:color w:val="000000"/>
          <w:sz w:val="22"/>
        </w:rPr>
        <w:t> and the related definitions.</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(b)For</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occurring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prior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December</w:t>
      </w:r>
      <w:r>
        <w:rPr>
          <w:rFonts w:ascii="Arial" w:hAnsi="Arial"/>
          <w:color w:val="000000"/>
          <w:sz w:val="20"/>
        </w:rPr>
        <w:t> </w:t>
      </w:r>
      <w:r>
        <w:rPr>
          <w:rFonts w:ascii="Arial" w:hAnsi="Arial"/>
          <w:color w:val="000000"/>
          <w:sz w:val="21"/>
        </w:rPr>
        <w:t>2021:</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39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5" w:after="0"/>
        <w:ind w:left="1700" w:right="700" w:hanging="0"/>
        <w:jc w:val="left"/>
        <w:rPr>
          <w:rFonts w:cs="Arial"/>
          <w:szCs w:val="22"/>
        </w:rPr>
      </w:pPr>
      <w:r>
        <w:rPr>
          <w:rFonts w:cs="Arial"/>
          <w:szCs w:val="22"/>
        </w:rPr>
        <w:t xml:space="preserve">﻿ </w:t>
      </w:r>
    </w:p>
    <w:p>
      <w:pPr>
        <w:pStyle w:val="TextBody"/>
        <w:bidi w:val="0"/>
        <w:spacing w:lineRule="auto" w:line="268" w:before="0" w:after="0"/>
        <w:ind w:left="4275" w:right="1476" w:hanging="0"/>
        <w:jc w:val="left"/>
        <w:rPr/>
      </w:pPr>
      <w:r>
        <w:rPr>
          <w:rFonts w:ascii="Arial" w:hAnsi="Arial"/>
          <w:sz w:val="21"/>
        </w:rPr>
        <w:t xml:space="preserve">(i)the financial ratios referred to in </w:t>
      </w:r>
      <w:r>
        <w:rPr>
          <w:rFonts w:ascii="Arial" w:hAnsi="Arial"/>
          <w:b/>
          <w:sz w:val="21"/>
        </w:rPr>
        <w:t xml:space="preserve">clause </w:t>
      </w:r>
      <w:hyperlink w:anchor="_bookmark97">
        <w:r>
          <w:rPr>
            <w:rStyle w:val="InternetLink"/>
            <w:rFonts w:ascii="Arial" w:hAnsi="Arial"/>
            <w:b/>
            <w:sz w:val="21"/>
          </w:rPr>
          <w:t>9.8</w:t>
        </w:r>
      </w:hyperlink>
      <w:r>
        <w:rPr>
          <w:rFonts w:ascii="Arial" w:hAnsi="Arial"/>
          <w:sz w:val="20"/>
        </w:rPr>
        <w:t> </w:t>
      </w:r>
      <w:r>
        <w:rPr>
          <w:rFonts w:ascii="Arial" w:hAnsi="Arial"/>
          <w:sz w:val="21"/>
        </w:rPr>
        <w:t>and the related definitions</w:t>
      </w:r>
      <w:r>
        <w:rPr>
          <w:rFonts w:ascii="Arial" w:hAnsi="Arial"/>
          <w:sz w:val="20"/>
        </w:rPr>
        <w:t> </w:t>
      </w:r>
      <w:r>
        <w:rPr>
          <w:rFonts w:ascii="Arial" w:hAnsi="Arial"/>
          <w:sz w:val="21"/>
        </w:rPr>
        <w:t>will</w:t>
      </w:r>
      <w:r>
        <w:rPr>
          <w:rFonts w:ascii="Arial" w:hAnsi="Arial"/>
          <w:sz w:val="20"/>
        </w:rPr>
        <w:t> </w:t>
      </w:r>
      <w:r>
        <w:rPr>
          <w:rFonts w:ascii="Arial" w:hAnsi="Arial"/>
          <w:sz w:val="21"/>
        </w:rPr>
        <w:t>be</w:t>
      </w:r>
      <w:r>
        <w:rPr>
          <w:rFonts w:ascii="Arial" w:hAnsi="Arial"/>
          <w:sz w:val="20"/>
        </w:rPr>
        <w:t> </w:t>
      </w:r>
      <w:r>
        <w:rPr>
          <w:rFonts w:ascii="Arial" w:hAnsi="Arial"/>
          <w:sz w:val="21"/>
        </w:rPr>
        <w:t>calculated</w:t>
      </w:r>
      <w:r>
        <w:rPr>
          <w:rFonts w:ascii="Arial" w:hAnsi="Arial"/>
          <w:sz w:val="20"/>
        </w:rPr>
        <w:t> </w:t>
      </w:r>
      <w:r>
        <w:rPr>
          <w:rFonts w:ascii="Arial" w:hAnsi="Arial"/>
          <w:sz w:val="21"/>
        </w:rPr>
        <w:t>ignoring</w:t>
      </w:r>
      <w:r>
        <w:rPr>
          <w:rFonts w:ascii="Arial" w:hAnsi="Arial"/>
          <w:sz w:val="20"/>
        </w:rPr>
        <w:t> </w:t>
      </w:r>
      <w:r>
        <w:rPr>
          <w:rFonts w:ascii="Arial" w:hAnsi="Arial"/>
          <w:sz w:val="21"/>
        </w:rPr>
        <w:t>any</w:t>
      </w:r>
      <w:r>
        <w:rPr>
          <w:rFonts w:ascii="Arial" w:hAnsi="Arial"/>
          <w:sz w:val="20"/>
        </w:rPr>
        <w:t> </w:t>
      </w:r>
      <w:r>
        <w:rPr>
          <w:rFonts w:ascii="Arial" w:hAnsi="Arial"/>
          <w:sz w:val="21"/>
        </w:rPr>
        <w:t>changes</w:t>
      </w:r>
      <w:r>
        <w:rPr>
          <w:rFonts w:ascii="Arial" w:hAnsi="Arial"/>
          <w:sz w:val="20"/>
        </w:rPr>
        <w:t> </w:t>
      </w:r>
      <w:r>
        <w:rPr>
          <w:rFonts w:ascii="Arial" w:hAnsi="Arial"/>
          <w:sz w:val="21"/>
        </w:rPr>
        <w:t>following</w:t>
      </w:r>
      <w:r>
        <w:rPr>
          <w:rFonts w:ascii="Arial" w:hAnsi="Arial"/>
          <w:sz w:val="20"/>
        </w:rPr>
        <w:t> </w:t>
      </w:r>
      <w:r>
        <w:rPr>
          <w:rFonts w:ascii="Arial" w:hAnsi="Arial"/>
          <w:sz w:val="21"/>
        </w:rPr>
        <w:t>AASB 16 taking effect on 1 January 2019; and</w:t>
      </w:r>
      <w:r>
        <w:rPr>
          <w:rFonts w:ascii="Arial" w:hAnsi="Arial"/>
          <w:sz w:val="20"/>
        </w:rPr>
        <w:t xml:space="preserve"> </w:t>
      </w:r>
    </w:p>
    <w:p>
      <w:pPr>
        <w:pStyle w:val="TextBody"/>
        <w:bidi w:val="0"/>
        <w:spacing w:lineRule="auto" w:line="266" w:before="115" w:after="0"/>
        <w:ind w:left="4275" w:right="1446" w:hanging="0"/>
        <w:jc w:val="left"/>
        <w:rPr/>
      </w:pPr>
      <w:r>
        <w:rPr>
          <w:rFonts w:ascii="Arial" w:hAnsi="Arial"/>
          <w:sz w:val="21"/>
        </w:rPr>
        <w:t>(ii)the</w:t>
      </w:r>
      <w:r>
        <w:rPr>
          <w:rFonts w:ascii="Arial" w:hAnsi="Arial"/>
          <w:sz w:val="20"/>
        </w:rPr>
        <w:t> </w:t>
      </w:r>
      <w:r>
        <w:rPr>
          <w:rFonts w:ascii="Arial" w:hAnsi="Arial"/>
          <w:sz w:val="21"/>
        </w:rPr>
        <w:t>Company</w:t>
      </w:r>
      <w:r>
        <w:rPr>
          <w:rFonts w:ascii="Arial" w:hAnsi="Arial"/>
          <w:sz w:val="20"/>
        </w:rPr>
        <w:t> </w:t>
      </w:r>
      <w:r>
        <w:rPr>
          <w:rFonts w:ascii="Arial" w:hAnsi="Arial"/>
          <w:sz w:val="21"/>
        </w:rPr>
        <w:t>must</w:t>
      </w:r>
      <w:r>
        <w:rPr>
          <w:rFonts w:ascii="Arial" w:hAnsi="Arial"/>
          <w:sz w:val="20"/>
        </w:rPr>
        <w:t> </w:t>
      </w:r>
      <w:r>
        <w:rPr>
          <w:rFonts w:ascii="Arial" w:hAnsi="Arial"/>
          <w:sz w:val="21"/>
        </w:rPr>
        <w:t>provide</w:t>
      </w:r>
      <w:r>
        <w:rPr>
          <w:rFonts w:ascii="Arial" w:hAnsi="Arial"/>
          <w:sz w:val="20"/>
        </w:rPr>
        <w:t> </w:t>
      </w:r>
      <w:r>
        <w:rPr>
          <w:rFonts w:ascii="Arial" w:hAnsi="Arial"/>
          <w:sz w:val="21"/>
        </w:rPr>
        <w:t>with</w:t>
      </w:r>
      <w:r>
        <w:rPr>
          <w:rFonts w:ascii="Arial" w:hAnsi="Arial"/>
          <w:sz w:val="20"/>
        </w:rPr>
        <w:t> </w:t>
      </w:r>
      <w:r>
        <w:rPr>
          <w:rFonts w:ascii="Arial" w:hAnsi="Arial"/>
          <w:sz w:val="21"/>
        </w:rPr>
        <w:t>its</w:t>
      </w:r>
      <w:r>
        <w:rPr>
          <w:rFonts w:ascii="Arial" w:hAnsi="Arial"/>
          <w:sz w:val="20"/>
        </w:rPr>
        <w:t> </w:t>
      </w:r>
      <w:r>
        <w:rPr>
          <w:rFonts w:ascii="Arial" w:hAnsi="Arial"/>
          <w:sz w:val="21"/>
        </w:rPr>
        <w:t>Financial</w:t>
      </w:r>
      <w:r>
        <w:rPr>
          <w:rFonts w:ascii="Arial" w:hAnsi="Arial"/>
          <w:sz w:val="20"/>
        </w:rPr>
        <w:t> </w:t>
      </w:r>
      <w:r>
        <w:rPr>
          <w:rFonts w:ascii="Arial" w:hAnsi="Arial"/>
          <w:sz w:val="21"/>
        </w:rPr>
        <w:t>Statements</w:t>
      </w:r>
      <w:r>
        <w:rPr>
          <w:rFonts w:ascii="Arial" w:hAnsi="Arial"/>
          <w:sz w:val="20"/>
        </w:rPr>
        <w:t> </w:t>
      </w:r>
      <w:r>
        <w:rPr>
          <w:rFonts w:ascii="Arial" w:hAnsi="Arial"/>
          <w:sz w:val="21"/>
        </w:rPr>
        <w:t>and</w:t>
      </w:r>
      <w:r>
        <w:rPr>
          <w:rFonts w:ascii="Arial" w:hAnsi="Arial"/>
          <w:sz w:val="20"/>
        </w:rPr>
        <w:t> </w:t>
      </w:r>
      <w:r>
        <w:rPr>
          <w:rFonts w:ascii="Arial" w:hAnsi="Arial"/>
          <w:sz w:val="21"/>
        </w:rPr>
        <w:t>other financial information any reconciliation statements (audited,</w:t>
      </w:r>
      <w:r>
        <w:rPr>
          <w:rFonts w:ascii="Arial" w:hAnsi="Arial"/>
          <w:sz w:val="20"/>
        </w:rPr>
        <w:t> </w:t>
      </w:r>
      <w:r>
        <w:rPr>
          <w:rFonts w:ascii="Arial" w:hAnsi="Arial"/>
          <w:sz w:val="21"/>
        </w:rPr>
        <w:t xml:space="preserve">where applicable) necessary to enable the financial ratios in </w:t>
      </w:r>
      <w:r>
        <w:rPr>
          <w:rFonts w:ascii="Arial" w:hAnsi="Arial"/>
          <w:b/>
          <w:sz w:val="21"/>
        </w:rPr>
        <w:t xml:space="preserve">clause </w:t>
      </w:r>
      <w:hyperlink w:anchor="_bookmark97">
        <w:r>
          <w:rPr>
            <w:rStyle w:val="InternetLink"/>
            <w:rFonts w:ascii="Arial" w:hAnsi="Arial"/>
            <w:b/>
            <w:sz w:val="21"/>
          </w:rPr>
          <w:t>9.8</w:t>
        </w:r>
      </w:hyperlink>
      <w:r>
        <w:rPr>
          <w:rFonts w:ascii="Arial" w:hAnsi="Arial"/>
          <w:sz w:val="20"/>
        </w:rPr>
        <w:t> </w:t>
      </w:r>
      <w:r>
        <w:rPr>
          <w:rFonts w:ascii="Arial" w:hAnsi="Arial"/>
          <w:sz w:val="21"/>
        </w:rPr>
        <w:t xml:space="preserve">and the related definitions to be calculated in accordance with </w:t>
      </w:r>
      <w:r>
        <w:rPr>
          <w:rFonts w:ascii="Arial" w:hAnsi="Arial"/>
          <w:b/>
          <w:sz w:val="21"/>
        </w:rPr>
        <w:t xml:space="preserve">clause </w:t>
      </w:r>
      <w:hyperlink w:anchor="_bookmark91">
        <w:r>
          <w:rPr>
            <w:rStyle w:val="InternetLink"/>
            <w:rFonts w:ascii="Arial" w:hAnsi="Arial"/>
            <w:b/>
            <w:sz w:val="21"/>
          </w:rPr>
          <w:t>9.4(b)(i)</w:t>
        </w:r>
      </w:hyperlink>
      <w:r>
        <w:rPr>
          <w:rFonts w:ascii="Arial" w:hAnsi="Arial"/>
          <w:sz w:val="21"/>
        </w:rPr>
        <w: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(c)If,</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reasonable</w:t>
      </w:r>
      <w:r>
        <w:rPr>
          <w:rFonts w:ascii="Arial" w:hAnsi="Arial"/>
          <w:sz w:val="20"/>
        </w:rPr>
        <w:t> </w:t>
      </w:r>
      <w:r>
        <w:rPr>
          <w:rFonts w:ascii="Arial" w:hAnsi="Arial"/>
          <w:sz w:val="21"/>
        </w:rPr>
        <w:t>opinion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time</w:t>
      </w:r>
      <w:r>
        <w:rPr>
          <w:rFonts w:ascii="Arial" w:hAnsi="Arial"/>
          <w:sz w:val="20"/>
        </w:rPr>
        <w:t> </w:t>
      </w:r>
      <w:r>
        <w:rPr>
          <w:rFonts w:ascii="Arial" w:hAnsi="Arial"/>
          <w:sz w:val="21"/>
        </w:rPr>
        <w:t xml:space="preserve">after 31 December 2021, taking into account the AASB 16 changes when calculating the financial ratios referred to in </w:t>
      </w:r>
      <w:r>
        <w:rPr>
          <w:rFonts w:ascii="Arial" w:hAnsi="Arial"/>
          <w:b/>
          <w:sz w:val="21"/>
        </w:rPr>
        <w:t xml:space="preserve">clause </w:t>
      </w:r>
      <w:hyperlink w:anchor="_bookmark97">
        <w:r>
          <w:rPr>
            <w:rStyle w:val="InternetLink"/>
            <w:rFonts w:ascii="Arial" w:hAnsi="Arial"/>
            <w:b/>
            <w:sz w:val="21"/>
          </w:rPr>
          <w:t>9.8</w:t>
        </w:r>
      </w:hyperlink>
      <w:r>
        <w:rPr>
          <w:rFonts w:ascii="Arial" w:hAnsi="Arial"/>
          <w:sz w:val="20"/>
        </w:rPr>
        <w:t> </w:t>
      </w:r>
      <w:r>
        <w:rPr>
          <w:rFonts w:ascii="Arial" w:hAnsi="Arial"/>
          <w:sz w:val="21"/>
        </w:rPr>
        <w:t>and the related definitions would materially alter the effect of, or the calculation of, those financial ratios or related definitions, the Borrower and the Bank will negotiate</w:t>
      </w:r>
      <w:r>
        <w:rPr>
          <w:rFonts w:ascii="Arial" w:hAnsi="Arial"/>
          <w:sz w:val="20"/>
        </w:rPr>
        <w:t> </w:t>
      </w:r>
      <w:r>
        <w:rPr>
          <w:rFonts w:ascii="Arial" w:hAnsi="Arial"/>
          <w:sz w:val="21"/>
        </w:rPr>
        <w:t>in</w:t>
      </w:r>
      <w:r>
        <w:rPr>
          <w:rFonts w:ascii="Arial" w:hAnsi="Arial"/>
          <w:sz w:val="20"/>
        </w:rPr>
        <w:t> </w:t>
      </w:r>
      <w:r>
        <w:rPr>
          <w:rFonts w:ascii="Arial" w:hAnsi="Arial"/>
          <w:sz w:val="21"/>
        </w:rPr>
        <w:t>good</w:t>
      </w:r>
      <w:r>
        <w:rPr>
          <w:rFonts w:ascii="Arial" w:hAnsi="Arial"/>
          <w:sz w:val="20"/>
        </w:rPr>
        <w:t> </w:t>
      </w:r>
      <w:r>
        <w:rPr>
          <w:rFonts w:ascii="Arial" w:hAnsi="Arial"/>
          <w:sz w:val="21"/>
        </w:rPr>
        <w:t>faith</w:t>
      </w:r>
      <w:r>
        <w:rPr>
          <w:rFonts w:ascii="Arial" w:hAnsi="Arial"/>
          <w:sz w:val="20"/>
        </w:rPr>
        <w:t> </w:t>
      </w:r>
      <w:r>
        <w:rPr>
          <w:rFonts w:ascii="Arial" w:hAnsi="Arial"/>
          <w:sz w:val="21"/>
        </w:rPr>
        <w:t>to</w:t>
      </w:r>
      <w:r>
        <w:rPr>
          <w:rFonts w:ascii="Arial" w:hAnsi="Arial"/>
          <w:sz w:val="20"/>
        </w:rPr>
        <w:t> </w:t>
      </w:r>
      <w:r>
        <w:rPr>
          <w:rFonts w:ascii="Arial" w:hAnsi="Arial"/>
          <w:sz w:val="21"/>
        </w:rPr>
        <w:t>amend</w:t>
      </w:r>
      <w:r>
        <w:rPr>
          <w:rFonts w:ascii="Arial" w:hAnsi="Arial"/>
          <w:sz w:val="20"/>
        </w:rPr>
        <w:t> </w:t>
      </w:r>
      <w:r>
        <w:rPr>
          <w:rFonts w:ascii="Arial" w:hAnsi="Arial"/>
          <w:sz w:val="21"/>
        </w:rPr>
        <w:t>the</w:t>
      </w:r>
      <w:r>
        <w:rPr>
          <w:rFonts w:ascii="Arial" w:hAnsi="Arial"/>
          <w:sz w:val="20"/>
        </w:rPr>
        <w:t> </w:t>
      </w:r>
      <w:r>
        <w:rPr>
          <w:rFonts w:ascii="Arial" w:hAnsi="Arial"/>
          <w:sz w:val="21"/>
        </w:rPr>
        <w:t>relevant</w:t>
      </w:r>
      <w:r>
        <w:rPr>
          <w:rFonts w:ascii="Arial" w:hAnsi="Arial"/>
          <w:sz w:val="20"/>
        </w:rPr>
        <w:t> </w:t>
      </w:r>
      <w:r>
        <w:rPr>
          <w:rFonts w:ascii="Arial" w:hAnsi="Arial"/>
          <w:sz w:val="21"/>
        </w:rPr>
        <w:t>undertakings</w:t>
      </w:r>
      <w:r>
        <w:rPr>
          <w:rFonts w:ascii="Arial" w:hAnsi="Arial"/>
          <w:sz w:val="20"/>
        </w:rPr>
        <w:t> </w:t>
      </w:r>
      <w:r>
        <w:rPr>
          <w:rFonts w:ascii="Arial" w:hAnsi="Arial"/>
          <w:sz w:val="21"/>
        </w:rPr>
        <w:t>and</w:t>
      </w:r>
      <w:r>
        <w:rPr>
          <w:rFonts w:ascii="Arial" w:hAnsi="Arial"/>
          <w:sz w:val="20"/>
        </w:rPr>
        <w:t> </w:t>
      </w:r>
      <w:r>
        <w:rPr>
          <w:rFonts w:ascii="Arial" w:hAnsi="Arial"/>
          <w:sz w:val="21"/>
        </w:rPr>
        <w:t>definitions so</w:t>
      </w:r>
      <w:r>
        <w:rPr>
          <w:rFonts w:ascii="Arial" w:hAnsi="Arial"/>
          <w:sz w:val="20"/>
        </w:rPr>
        <w:t> </w:t>
      </w:r>
      <w:r>
        <w:rPr>
          <w:rFonts w:ascii="Arial" w:hAnsi="Arial"/>
          <w:sz w:val="21"/>
        </w:rPr>
        <w:t>that</w:t>
      </w:r>
      <w:r>
        <w:rPr>
          <w:rFonts w:ascii="Arial" w:hAnsi="Arial"/>
          <w:sz w:val="20"/>
        </w:rPr>
        <w:t> </w:t>
      </w:r>
      <w:r>
        <w:rPr>
          <w:rFonts w:ascii="Arial" w:hAnsi="Arial"/>
          <w:sz w:val="21"/>
        </w:rPr>
        <w:t>they</w:t>
      </w:r>
      <w:r>
        <w:rPr>
          <w:rFonts w:ascii="Arial" w:hAnsi="Arial"/>
          <w:sz w:val="20"/>
        </w:rPr>
        <w:t> </w:t>
      </w:r>
      <w:r>
        <w:rPr>
          <w:rFonts w:ascii="Arial" w:hAnsi="Arial"/>
          <w:sz w:val="21"/>
        </w:rPr>
        <w:t>have</w:t>
      </w:r>
      <w:r>
        <w:rPr>
          <w:rFonts w:ascii="Arial" w:hAnsi="Arial"/>
          <w:sz w:val="20"/>
        </w:rPr>
        <w:t> </w:t>
      </w:r>
      <w:r>
        <w:rPr>
          <w:rFonts w:ascii="Arial" w:hAnsi="Arial"/>
          <w:sz w:val="21"/>
        </w:rPr>
        <w:t>an</w:t>
      </w:r>
      <w:r>
        <w:rPr>
          <w:rFonts w:ascii="Arial" w:hAnsi="Arial"/>
          <w:sz w:val="20"/>
        </w:rPr>
        <w:t> </w:t>
      </w:r>
      <w:r>
        <w:rPr>
          <w:rFonts w:ascii="Arial" w:hAnsi="Arial"/>
          <w:sz w:val="21"/>
        </w:rPr>
        <w:t>effect</w:t>
      </w:r>
      <w:r>
        <w:rPr>
          <w:rFonts w:ascii="Arial" w:hAnsi="Arial"/>
          <w:sz w:val="20"/>
        </w:rPr>
        <w:t> </w:t>
      </w:r>
      <w:r>
        <w:rPr>
          <w:rFonts w:ascii="Arial" w:hAnsi="Arial"/>
          <w:sz w:val="21"/>
        </w:rPr>
        <w:t>comparable</w:t>
      </w:r>
      <w:r>
        <w:rPr>
          <w:rFonts w:ascii="Arial" w:hAnsi="Arial"/>
          <w:sz w:val="20"/>
        </w:rPr>
        <w:t> </w:t>
      </w:r>
      <w:r>
        <w:rPr>
          <w:rFonts w:ascii="Arial" w:hAnsi="Arial"/>
          <w:sz w:val="21"/>
        </w:rPr>
        <w:t>to</w:t>
      </w:r>
      <w:r>
        <w:rPr>
          <w:rFonts w:ascii="Arial" w:hAnsi="Arial"/>
          <w:sz w:val="20"/>
        </w:rPr>
        <w:t> </w:t>
      </w:r>
      <w:r>
        <w:rPr>
          <w:rFonts w:ascii="Arial" w:hAnsi="Arial"/>
          <w:sz w:val="21"/>
        </w:rPr>
        <w:t>that</w:t>
      </w:r>
      <w:r>
        <w:rPr>
          <w:rFonts w:ascii="Arial" w:hAnsi="Arial"/>
          <w:sz w:val="20"/>
        </w:rPr>
        <w:t> </w:t>
      </w:r>
      <w:r>
        <w:rPr>
          <w:rFonts w:ascii="Arial" w:hAnsi="Arial"/>
          <w:sz w:val="21"/>
        </w:rPr>
        <w:t>as</w:t>
      </w:r>
      <w:r>
        <w:rPr>
          <w:rFonts w:ascii="Arial" w:hAnsi="Arial"/>
          <w:sz w:val="20"/>
        </w:rPr>
        <w:t> </w:t>
      </w:r>
      <w:r>
        <w:rPr>
          <w:rFonts w:ascii="Arial" w:hAnsi="Arial"/>
          <w:sz w:val="21"/>
        </w:rPr>
        <w:t>if</w:t>
      </w:r>
      <w:r>
        <w:rPr>
          <w:rFonts w:ascii="Arial" w:hAnsi="Arial"/>
          <w:sz w:val="20"/>
        </w:rPr>
        <w:t> </w:t>
      </w:r>
      <w:r>
        <w:rPr>
          <w:rFonts w:ascii="Arial" w:hAnsi="Arial"/>
          <w:sz w:val="21"/>
        </w:rPr>
        <w:t>the</w:t>
      </w:r>
      <w:r>
        <w:rPr>
          <w:rFonts w:ascii="Arial" w:hAnsi="Arial"/>
          <w:sz w:val="20"/>
        </w:rPr>
        <w:t> </w:t>
      </w:r>
      <w:r>
        <w:rPr>
          <w:rFonts w:ascii="Arial" w:hAnsi="Arial"/>
          <w:sz w:val="21"/>
        </w:rPr>
        <w:t>AASB</w:t>
      </w:r>
      <w:r>
        <w:rPr>
          <w:rFonts w:ascii="Arial" w:hAnsi="Arial"/>
          <w:sz w:val="20"/>
        </w:rPr>
        <w:t> </w:t>
      </w:r>
      <w:r>
        <w:rPr>
          <w:rFonts w:ascii="Arial" w:hAnsi="Arial"/>
          <w:sz w:val="21"/>
        </w:rPr>
        <w:t>16</w:t>
      </w:r>
      <w:r>
        <w:rPr>
          <w:rFonts w:ascii="Arial" w:hAnsi="Arial"/>
          <w:sz w:val="20"/>
        </w:rPr>
        <w:t> </w:t>
      </w:r>
      <w:r>
        <w:rPr>
          <w:rFonts w:ascii="Arial" w:hAnsi="Arial"/>
          <w:sz w:val="21"/>
        </w:rPr>
        <w:t>changes did not apply.</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54" w:name="Other_information951"/>
      <w:bookmarkEnd w:id="454"/>
      <w:r>
        <w:rPr>
          <w:rFonts w:ascii="Arial" w:hAnsi="Arial"/>
          <w:b/>
          <w:color w:val="000000"/>
          <w:sz w:val="24"/>
        </w:rPr>
        <w:t>9.5Other information</w:t>
      </w:r>
      <w:r>
        <w:rPr>
          <w:rFonts w:ascii="Arial" w:hAnsi="Arial"/>
          <w:b/>
          <w:sz w:val="24"/>
        </w:rPr>
        <w:t xml:space="preserve"> </w:t>
      </w:r>
    </w:p>
    <w:p>
      <w:pPr>
        <w:pStyle w:val="TextBody"/>
        <w:bidi w:val="0"/>
        <w:spacing w:before="93" w:after="0"/>
        <w:ind w:left="3118" w:right="700" w:hanging="0"/>
        <w:jc w:val="left"/>
        <w:rPr>
          <w:rFonts w:ascii="Arial" w:hAnsi="Arial"/>
          <w:sz w:val="22"/>
        </w:rPr>
      </w:pPr>
      <w:r>
        <w:rPr>
          <w:rFonts w:ascii="Arial" w:hAnsi="Arial"/>
          <w:color w:val="000000"/>
          <w:sz w:val="22"/>
        </w:rPr>
        <w:t>The Borrower must give to the Bank:</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t>
      </w:r>
      <w:r>
        <w:rPr>
          <w:rFonts w:ascii="Arial" w:hAnsi="Arial"/>
          <w:b/>
          <w:color w:val="000000"/>
          <w:sz w:val="21"/>
        </w:rPr>
        <w:t>other information:</w:t>
      </w:r>
      <w:r>
        <w:rPr>
          <w:rFonts w:ascii="Arial" w:hAnsi="Arial"/>
          <w:color w:val="000000"/>
          <w:sz w:val="20"/>
        </w:rPr>
        <w:t> </w:t>
      </w:r>
      <w:r>
        <w:rPr>
          <w:rFonts w:ascii="Arial" w:hAnsi="Arial"/>
          <w:color w:val="000000"/>
          <w:sz w:val="21"/>
        </w:rPr>
        <w:t>on reasonable notice from the Bank, any other information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possession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control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 which in the Bank’s reasonable opinion is necessary to verify the Borrower’s compliance with any Transaction Document;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w:t>
      </w:r>
      <w:r>
        <w:rPr>
          <w:rFonts w:ascii="Arial" w:hAnsi="Arial"/>
          <w:b/>
          <w:color w:val="000000"/>
          <w:sz w:val="21"/>
        </w:rPr>
        <w:t>Annual Compliance Certificate</w:t>
      </w:r>
      <w:r>
        <w:rPr>
          <w:rFonts w:ascii="Arial" w:hAnsi="Arial"/>
          <w:color w:val="000000"/>
          <w:sz w:val="21"/>
        </w:rPr>
        <w:t>: as soon as practicable, and in any event</w:t>
      </w:r>
      <w:r>
        <w:rPr>
          <w:rFonts w:ascii="Arial" w:hAnsi="Arial"/>
          <w:color w:val="000000"/>
          <w:sz w:val="20"/>
        </w:rPr>
        <w:t> </w:t>
      </w:r>
      <w:r>
        <w:rPr>
          <w:rFonts w:ascii="Arial" w:hAnsi="Arial"/>
          <w:color w:val="000000"/>
          <w:sz w:val="21"/>
        </w:rPr>
        <w:t>within</w:t>
      </w:r>
      <w:r>
        <w:rPr>
          <w:rFonts w:ascii="Arial" w:hAnsi="Arial"/>
          <w:color w:val="000000"/>
          <w:sz w:val="20"/>
        </w:rPr>
        <w:t> </w:t>
      </w:r>
      <w:r>
        <w:rPr>
          <w:rFonts w:ascii="Arial" w:hAnsi="Arial"/>
          <w:color w:val="000000"/>
          <w:sz w:val="21"/>
        </w:rPr>
        <w:t>120</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Year,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Annual Compliance Certificate for that Financial Year signed by at least one director of the Borrower;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w:t>
      </w:r>
      <w:r>
        <w:rPr>
          <w:rFonts w:ascii="Arial" w:hAnsi="Arial"/>
          <w:b/>
          <w:color w:val="000000"/>
          <w:sz w:val="21"/>
        </w:rPr>
        <w:t>Interim Compliance Certificate:</w:t>
      </w:r>
      <w:r>
        <w:rPr>
          <w:rFonts w:ascii="Arial" w:hAnsi="Arial"/>
          <w:color w:val="000000"/>
          <w:sz w:val="20"/>
        </w:rPr>
        <w:t> </w:t>
      </w:r>
      <w:r>
        <w:rPr>
          <w:rFonts w:ascii="Arial" w:hAnsi="Arial"/>
          <w:color w:val="000000"/>
          <w:sz w:val="21"/>
        </w:rPr>
        <w:t>as soon as practicable, and in any event within 45 days after the end of each Quarter (other than the Quarter</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December)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Interim</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Certificate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 previous 12 months signed by at least one director of the Borrower;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w:t>
      </w:r>
      <w:r>
        <w:rPr>
          <w:rFonts w:ascii="Arial" w:hAnsi="Arial"/>
          <w:b/>
          <w:color w:val="000000"/>
          <w:sz w:val="21"/>
        </w:rPr>
        <w:t>tenancy schedule</w:t>
      </w:r>
      <w:r>
        <w:rPr>
          <w:rFonts w:ascii="Arial" w:hAnsi="Arial"/>
          <w:color w:val="000000"/>
          <w:sz w:val="21"/>
        </w:rPr>
        <w:t>: as soon as practicable, and in any event within 120 days of the end of each Financial Year an updated tenancy schedule for each</w:t>
      </w:r>
      <w:r>
        <w:rPr>
          <w:rFonts w:ascii="Arial" w:hAnsi="Arial"/>
          <w:color w:val="000000"/>
          <w:sz w:val="20"/>
        </w:rPr>
        <w:t> </w:t>
      </w:r>
      <w:r>
        <w:rPr>
          <w:rFonts w:ascii="Arial" w:hAnsi="Arial"/>
          <w:color w:val="000000"/>
          <w:sz w:val="21"/>
        </w:rPr>
        <w:t>Freehold</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limitation)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details:</w:t>
      </w:r>
      <w:r>
        <w:rPr>
          <w:rFonts w:ascii="Arial" w:hAnsi="Arial"/>
          <w:sz w:val="20"/>
        </w:rPr>
        <w:t xml:space="preserve"> </w:t>
      </w:r>
    </w:p>
    <w:p>
      <w:pPr>
        <w:pStyle w:val="TextBody"/>
        <w:bidi w:val="0"/>
        <w:spacing w:before="120" w:after="0"/>
        <w:ind w:left="4275" w:right="700" w:hanging="0"/>
        <w:jc w:val="left"/>
        <w:rPr>
          <w:rFonts w:ascii="Arial" w:hAnsi="Arial"/>
          <w:sz w:val="20"/>
        </w:rPr>
      </w:pPr>
      <w:r>
        <w:rPr>
          <w:rFonts w:ascii="Arial" w:hAnsi="Arial"/>
          <w:color w:val="000000"/>
          <w:sz w:val="21"/>
        </w:rPr>
        <w:t>(i)the</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tenant;</w:t>
      </w:r>
      <w:r>
        <w:rPr>
          <w:rFonts w:ascii="Arial" w:hAnsi="Arial"/>
          <w:sz w:val="20"/>
        </w:rPr>
        <w:t xml:space="preserve"> </w:t>
      </w:r>
    </w:p>
    <w:p>
      <w:pPr>
        <w:pStyle w:val="TextBody"/>
        <w:bidi w:val="0"/>
        <w:spacing w:before="150" w:after="0"/>
        <w:ind w:left="4275" w:right="700" w:hanging="0"/>
        <w:jc w:val="left"/>
        <w:rPr>
          <w:rFonts w:ascii="Arial" w:hAnsi="Arial"/>
          <w:sz w:val="20"/>
        </w:rPr>
      </w:pPr>
      <w:r>
        <w:rPr>
          <w:rFonts w:ascii="Arial" w:hAnsi="Arial"/>
          <w:color w:val="000000"/>
          <w:sz w:val="21"/>
        </w:rPr>
        <w:t>(ii)area</w:t>
      </w:r>
      <w:r>
        <w:rPr>
          <w:rFonts w:ascii="Arial" w:hAnsi="Arial"/>
          <w:color w:val="000000"/>
          <w:sz w:val="20"/>
        </w:rPr>
        <w:t> </w:t>
      </w:r>
      <w:r>
        <w:rPr>
          <w:rFonts w:ascii="Arial" w:hAnsi="Arial"/>
          <w:color w:val="000000"/>
          <w:sz w:val="21"/>
        </w:rPr>
        <w:t>let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tenant;</w:t>
      </w:r>
      <w:r>
        <w:rPr>
          <w:rFonts w:ascii="Arial" w:hAnsi="Arial"/>
          <w:sz w:val="20"/>
        </w:rPr>
        <w:t xml:space="preserve"> </w:t>
      </w:r>
    </w:p>
    <w:p>
      <w:pPr>
        <w:pStyle w:val="TextBody"/>
        <w:bidi w:val="0"/>
        <w:spacing w:before="147" w:after="0"/>
        <w:ind w:left="4275" w:right="700" w:hanging="0"/>
        <w:jc w:val="left"/>
        <w:rPr>
          <w:rFonts w:ascii="Arial" w:hAnsi="Arial"/>
          <w:sz w:val="20"/>
        </w:rPr>
      </w:pPr>
      <w:r>
        <w:rPr>
          <w:rFonts w:ascii="Arial" w:hAnsi="Arial"/>
          <w:color w:val="000000"/>
          <w:sz w:val="21"/>
        </w:rPr>
        <w:t>(iii)current</w:t>
      </w:r>
      <w:r>
        <w:rPr>
          <w:rFonts w:ascii="Arial" w:hAnsi="Arial"/>
          <w:color w:val="000000"/>
          <w:sz w:val="20"/>
        </w:rPr>
        <w:t> </w:t>
      </w:r>
      <w:r>
        <w:rPr>
          <w:rFonts w:ascii="Arial" w:hAnsi="Arial"/>
          <w:color w:val="000000"/>
          <w:sz w:val="21"/>
        </w:rPr>
        <w:t>passing</w:t>
      </w:r>
      <w:r>
        <w:rPr>
          <w:rFonts w:ascii="Arial" w:hAnsi="Arial"/>
          <w:color w:val="000000"/>
          <w:sz w:val="20"/>
        </w:rPr>
        <w:t> </w:t>
      </w:r>
      <w:r>
        <w:rPr>
          <w:rFonts w:ascii="Arial" w:hAnsi="Arial"/>
          <w:color w:val="000000"/>
          <w:sz w:val="21"/>
        </w:rPr>
        <w:t>rent</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tenant;</w:t>
      </w:r>
      <w:r>
        <w:rPr>
          <w:rFonts w:ascii="Arial" w:hAnsi="Arial"/>
          <w:sz w:val="20"/>
        </w:rPr>
        <w:t xml:space="preserve"> </w:t>
      </w:r>
    </w:p>
    <w:p>
      <w:pPr>
        <w:pStyle w:val="TextBody"/>
        <w:bidi w:val="0"/>
        <w:spacing w:before="150" w:after="0"/>
        <w:ind w:left="4275" w:right="700" w:hanging="0"/>
        <w:jc w:val="left"/>
        <w:rPr>
          <w:rFonts w:ascii="Arial" w:hAnsi="Arial"/>
          <w:sz w:val="20"/>
        </w:rPr>
      </w:pPr>
      <w:r>
        <w:rPr>
          <w:rFonts w:ascii="Arial" w:hAnsi="Arial"/>
          <w:color w:val="000000"/>
          <w:sz w:val="21"/>
        </w:rPr>
        <w:t>(iv)the</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start</w:t>
      </w:r>
      <w:r>
        <w:rPr>
          <w:rFonts w:ascii="Arial" w:hAnsi="Arial"/>
          <w:color w:val="000000"/>
          <w:sz w:val="20"/>
        </w:rPr>
        <w:t> </w:t>
      </w:r>
      <w:r>
        <w:rPr>
          <w:rFonts w:ascii="Arial" w:hAnsi="Arial"/>
          <w:color w:val="000000"/>
          <w:sz w:val="21"/>
        </w:rPr>
        <w:t>date;</w:t>
      </w:r>
      <w:r>
        <w:rPr>
          <w:rFonts w:ascii="Arial" w:hAnsi="Arial"/>
          <w:sz w:val="20"/>
        </w:rPr>
        <w:t xml:space="preserve"> </w:t>
      </w:r>
    </w:p>
    <w:p>
      <w:pPr>
        <w:pStyle w:val="TextBody"/>
        <w:bidi w:val="0"/>
        <w:spacing w:before="148" w:after="0"/>
        <w:ind w:left="4275" w:right="700" w:hanging="0"/>
        <w:jc w:val="left"/>
        <w:rPr>
          <w:rFonts w:ascii="Arial" w:hAnsi="Arial"/>
          <w:sz w:val="20"/>
        </w:rPr>
      </w:pPr>
      <w:r>
        <w:rPr>
          <w:rFonts w:ascii="Arial" w:hAnsi="Arial"/>
          <w:color w:val="000000"/>
          <w:sz w:val="21"/>
        </w:rPr>
        <w:t>(v)the</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term;</w:t>
      </w:r>
      <w:r>
        <w:rPr>
          <w:rFonts w:ascii="Arial" w:hAnsi="Arial"/>
          <w:sz w:val="20"/>
        </w:rPr>
        <w:t xml:space="preserve"> </w:t>
      </w:r>
    </w:p>
    <w:p>
      <w:pPr>
        <w:pStyle w:val="TextBody"/>
        <w:bidi w:val="0"/>
        <w:spacing w:before="150" w:after="0"/>
        <w:ind w:left="4275" w:right="700" w:hanging="0"/>
        <w:jc w:val="left"/>
        <w:rPr>
          <w:rFonts w:ascii="Arial" w:hAnsi="Arial"/>
          <w:sz w:val="20"/>
        </w:rPr>
      </w:pPr>
      <w:r>
        <w:rPr>
          <w:rFonts w:ascii="Arial" w:hAnsi="Arial"/>
          <w:color w:val="000000"/>
          <w:sz w:val="21"/>
        </w:rPr>
        <w:t>(vi)the</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maturity</w:t>
      </w:r>
      <w:r>
        <w:rPr>
          <w:rFonts w:ascii="Arial" w:hAnsi="Arial"/>
          <w:color w:val="000000"/>
          <w:sz w:val="20"/>
        </w:rPr>
        <w:t xml:space="preserve"> </w:t>
      </w:r>
      <w:r>
        <w:rPr>
          <w:rFonts w:ascii="Arial" w:hAnsi="Arial"/>
          <w:color w:val="000000"/>
          <w:sz w:val="21"/>
        </w:rPr>
        <w:t>date;</w:t>
      </w:r>
      <w:r>
        <w:rPr>
          <w:rFonts w:ascii="Arial" w:hAnsi="Arial"/>
          <w:sz w:val="20"/>
        </w:rPr>
        <w:t xml:space="preserve"> </w:t>
      </w:r>
    </w:p>
    <w:p>
      <w:pPr>
        <w:pStyle w:val="TextBody"/>
        <w:bidi w:val="0"/>
        <w:spacing w:before="147" w:after="0"/>
        <w:ind w:left="4275" w:right="700" w:hanging="0"/>
        <w:jc w:val="left"/>
        <w:rPr>
          <w:rFonts w:ascii="Arial" w:hAnsi="Arial"/>
          <w:sz w:val="20"/>
        </w:rPr>
      </w:pPr>
      <w:r>
        <w:rPr>
          <w:rFonts w:ascii="Arial" w:hAnsi="Arial"/>
          <w:color w:val="000000"/>
          <w:sz w:val="21"/>
        </w:rPr>
        <w:t>(vii)the</w:t>
      </w:r>
      <w:r>
        <w:rPr>
          <w:rFonts w:ascii="Arial" w:hAnsi="Arial"/>
          <w:color w:val="000000"/>
          <w:sz w:val="20"/>
        </w:rPr>
        <w:t> </w:t>
      </w:r>
      <w:r>
        <w:rPr>
          <w:rFonts w:ascii="Arial" w:hAnsi="Arial"/>
          <w:color w:val="000000"/>
          <w:sz w:val="21"/>
        </w:rPr>
        <w:t>option</w:t>
      </w:r>
      <w:r>
        <w:rPr>
          <w:rFonts w:ascii="Arial" w:hAnsi="Arial"/>
          <w:color w:val="000000"/>
          <w:sz w:val="20"/>
        </w:rPr>
        <w:t> </w:t>
      </w:r>
      <w:r>
        <w:rPr>
          <w:rFonts w:ascii="Arial" w:hAnsi="Arial"/>
          <w:color w:val="000000"/>
          <w:sz w:val="21"/>
        </w:rPr>
        <w:t>term</w:t>
      </w:r>
      <w:r>
        <w:rPr>
          <w:rFonts w:ascii="Arial" w:hAnsi="Arial"/>
          <w:color w:val="000000"/>
          <w:sz w:val="20"/>
        </w:rPr>
        <w:t> </w:t>
      </w:r>
      <w:r>
        <w:rPr>
          <w:rFonts w:ascii="Arial" w:hAnsi="Arial"/>
          <w:color w:val="000000"/>
          <w:sz w:val="21"/>
        </w:rPr>
        <w:t>(if</w:t>
      </w:r>
      <w:r>
        <w:rPr>
          <w:rFonts w:ascii="Arial" w:hAnsi="Arial"/>
          <w:color w:val="000000"/>
          <w:sz w:val="20"/>
        </w:rPr>
        <w:t xml:space="preserve"> </w:t>
      </w:r>
      <w:r>
        <w:rPr>
          <w:rFonts w:ascii="Arial" w:hAnsi="Arial"/>
          <w:color w:val="000000"/>
          <w:sz w:val="21"/>
        </w:rPr>
        <w:t>any);</w:t>
      </w:r>
      <w:r>
        <w:rPr>
          <w:rFonts w:ascii="Arial" w:hAnsi="Arial"/>
          <w:sz w:val="20"/>
        </w:rPr>
        <w:t xml:space="preserve"> </w:t>
      </w:r>
    </w:p>
    <w:p>
      <w:pPr>
        <w:pStyle w:val="TextBody"/>
        <w:bidi w:val="0"/>
        <w:spacing w:before="150" w:after="0"/>
        <w:ind w:left="4275" w:right="700" w:hanging="0"/>
        <w:jc w:val="left"/>
        <w:rPr>
          <w:rFonts w:ascii="Arial" w:hAnsi="Arial"/>
          <w:sz w:val="20"/>
        </w:rPr>
      </w:pPr>
      <w:r>
        <w:rPr>
          <w:rFonts w:ascii="Arial" w:hAnsi="Arial"/>
          <w:color w:val="000000"/>
          <w:sz w:val="21"/>
        </w:rPr>
        <w:t>(viii)rent</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details;</w:t>
      </w:r>
      <w:r>
        <w:rPr>
          <w:rFonts w:ascii="Arial" w:hAnsi="Arial"/>
          <w:color w:val="000000"/>
          <w:sz w:val="20"/>
        </w:rPr>
        <w:t xml:space="preserve"> </w:t>
      </w:r>
      <w:r>
        <w:rPr>
          <w:rFonts w:ascii="Arial" w:hAnsi="Arial"/>
          <w:color w:val="000000"/>
          <w:sz w:val="21"/>
        </w:rPr>
        <w:t>and</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p>
      <w:pPr>
        <w:pStyle w:val="TextBody"/>
        <w:bidi w:val="0"/>
        <w:spacing w:before="1" w:after="0"/>
        <w:ind w:left="4275" w:right="700" w:hanging="0"/>
        <w:jc w:val="left"/>
        <w:rPr>
          <w:rFonts w:ascii="Arial" w:hAnsi="Arial"/>
          <w:sz w:val="20"/>
        </w:rPr>
      </w:pPr>
      <w:r>
        <w:rPr>
          <w:rFonts w:ascii="Arial" w:hAnsi="Arial"/>
          <w:sz w:val="21"/>
        </w:rPr>
        <w:t>(ix)any</w:t>
      </w:r>
      <w:r>
        <w:rPr>
          <w:rFonts w:ascii="Arial" w:hAnsi="Arial"/>
          <w:sz w:val="20"/>
        </w:rPr>
        <w:t> </w:t>
      </w:r>
      <w:r>
        <w:rPr>
          <w:rFonts w:ascii="Arial" w:hAnsi="Arial"/>
          <w:sz w:val="21"/>
        </w:rPr>
        <w:t>other</w:t>
      </w:r>
      <w:r>
        <w:rPr>
          <w:rFonts w:ascii="Arial" w:hAnsi="Arial"/>
          <w:sz w:val="20"/>
        </w:rPr>
        <w:t> </w:t>
      </w:r>
      <w:r>
        <w:rPr>
          <w:rFonts w:ascii="Arial" w:hAnsi="Arial"/>
          <w:sz w:val="21"/>
        </w:rPr>
        <w:t>material</w:t>
      </w:r>
      <w:r>
        <w:rPr>
          <w:rFonts w:ascii="Arial" w:hAnsi="Arial"/>
          <w:sz w:val="20"/>
        </w:rPr>
        <w:t> </w:t>
      </w:r>
      <w:r>
        <w:rPr>
          <w:rFonts w:ascii="Arial" w:hAnsi="Arial"/>
          <w:sz w:val="21"/>
        </w:rPr>
        <w:t>or</w:t>
      </w:r>
      <w:r>
        <w:rPr>
          <w:rFonts w:ascii="Arial" w:hAnsi="Arial"/>
          <w:sz w:val="20"/>
        </w:rPr>
        <w:t> </w:t>
      </w:r>
      <w:r>
        <w:rPr>
          <w:rFonts w:ascii="Arial" w:hAnsi="Arial"/>
          <w:sz w:val="21"/>
        </w:rPr>
        <w:t>special</w:t>
      </w:r>
      <w:r>
        <w:rPr>
          <w:rFonts w:ascii="Arial" w:hAnsi="Arial"/>
          <w:sz w:val="20"/>
        </w:rPr>
        <w:t> </w:t>
      </w:r>
      <w:r>
        <w:rPr>
          <w:rFonts w:ascii="Arial" w:hAnsi="Arial"/>
          <w:sz w:val="21"/>
        </w:rPr>
        <w:t>clauses</w:t>
      </w:r>
      <w:r>
        <w:rPr>
          <w:rFonts w:ascii="Arial" w:hAnsi="Arial"/>
          <w:sz w:val="20"/>
        </w:rPr>
        <w:t> </w:t>
      </w:r>
      <w:r>
        <w:rPr>
          <w:rFonts w:ascii="Arial" w:hAnsi="Arial"/>
          <w:sz w:val="21"/>
        </w:rPr>
        <w:t>or</w:t>
      </w:r>
      <w:r>
        <w:rPr>
          <w:rFonts w:ascii="Arial" w:hAnsi="Arial"/>
          <w:sz w:val="20"/>
        </w:rPr>
        <w:t> </w:t>
      </w:r>
      <w:r>
        <w:rPr>
          <w:rFonts w:ascii="Arial" w:hAnsi="Arial"/>
          <w:sz w:val="21"/>
        </w:rPr>
        <w:t>conditions;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(e)</w:t>
      </w:r>
      <w:r>
        <w:rPr>
          <w:rFonts w:ascii="Arial" w:hAnsi="Arial"/>
          <w:b/>
          <w:sz w:val="21"/>
        </w:rPr>
        <w:t xml:space="preserve">Valuations: </w:t>
      </w:r>
      <w:r>
        <w:rPr>
          <w:rFonts w:ascii="Arial" w:hAnsi="Arial"/>
          <w:sz w:val="21"/>
        </w:rPr>
        <w:t>on demand (provided that no more than one demand is made in a Financial Year and the Bank reasonably considers that there has been a material devaluation of the freehold and leasehold interests subject to the Collateral Security), , a Valuation in respect of each Freehold</w:t>
      </w:r>
      <w:r>
        <w:rPr>
          <w:rFonts w:ascii="Arial" w:hAnsi="Arial"/>
          <w:sz w:val="20"/>
        </w:rPr>
        <w:t> </w:t>
      </w:r>
      <w:r>
        <w:rPr>
          <w:rFonts w:ascii="Arial" w:hAnsi="Arial"/>
          <w:sz w:val="21"/>
        </w:rPr>
        <w:t>Property</w:t>
      </w:r>
      <w:r>
        <w:rPr>
          <w:rFonts w:ascii="Arial" w:hAnsi="Arial"/>
          <w:sz w:val="20"/>
        </w:rPr>
        <w:t> </w:t>
      </w:r>
      <w:r>
        <w:rPr>
          <w:rFonts w:ascii="Arial" w:hAnsi="Arial"/>
          <w:sz w:val="21"/>
        </w:rPr>
        <w:t>and</w:t>
      </w:r>
      <w:r>
        <w:rPr>
          <w:rFonts w:ascii="Arial" w:hAnsi="Arial"/>
          <w:sz w:val="20"/>
        </w:rPr>
        <w:t> </w:t>
      </w:r>
      <w:r>
        <w:rPr>
          <w:rFonts w:ascii="Arial" w:hAnsi="Arial"/>
          <w:sz w:val="21"/>
        </w:rPr>
        <w:t>leasehold</w:t>
      </w:r>
      <w:r>
        <w:rPr>
          <w:rFonts w:ascii="Arial" w:hAnsi="Arial"/>
          <w:sz w:val="20"/>
        </w:rPr>
        <w:t> </w:t>
      </w:r>
      <w:r>
        <w:rPr>
          <w:rFonts w:ascii="Arial" w:hAnsi="Arial"/>
          <w:sz w:val="21"/>
        </w:rPr>
        <w:t>interest</w:t>
      </w:r>
      <w:r>
        <w:rPr>
          <w:rFonts w:ascii="Arial" w:hAnsi="Arial"/>
          <w:sz w:val="20"/>
        </w:rPr>
        <w:t> </w:t>
      </w:r>
      <w:r>
        <w:rPr>
          <w:rFonts w:ascii="Arial" w:hAnsi="Arial"/>
          <w:sz w:val="21"/>
        </w:rPr>
        <w:t>that</w:t>
      </w:r>
      <w:r>
        <w:rPr>
          <w:rFonts w:ascii="Arial" w:hAnsi="Arial"/>
          <w:sz w:val="20"/>
        </w:rPr>
        <w:t> </w:t>
      </w:r>
      <w:r>
        <w:rPr>
          <w:rFonts w:ascii="Arial" w:hAnsi="Arial"/>
          <w:sz w:val="21"/>
        </w:rPr>
        <w:t>is</w:t>
      </w:r>
      <w:r>
        <w:rPr>
          <w:rFonts w:ascii="Arial" w:hAnsi="Arial"/>
          <w:sz w:val="20"/>
        </w:rPr>
        <w:t> </w:t>
      </w:r>
      <w:r>
        <w:rPr>
          <w:rFonts w:ascii="Arial" w:hAnsi="Arial"/>
          <w:sz w:val="21"/>
        </w:rPr>
        <w:t>subject</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Collateral Security. Each Valuation is to be at the Borrower’s expense, addressed to the Bank, conducted by an Approved Valuer and in a form and substance (other than as to value) reasonably satisfactory to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(f)</w:t>
      </w:r>
      <w:r>
        <w:rPr>
          <w:rFonts w:ascii="Arial" w:hAnsi="Arial"/>
          <w:b/>
          <w:sz w:val="21"/>
        </w:rPr>
        <w:t>details of any proceeding:</w:t>
      </w:r>
      <w:r>
        <w:rPr>
          <w:rFonts w:ascii="Arial" w:hAnsi="Arial"/>
          <w:sz w:val="20"/>
        </w:rPr>
        <w:t> </w:t>
      </w:r>
      <w:r>
        <w:rPr>
          <w:rFonts w:ascii="Arial" w:hAnsi="Arial"/>
          <w:sz w:val="21"/>
        </w:rPr>
        <w:t>full details of any litigation, arbitration, administrative</w:t>
      </w:r>
      <w:r>
        <w:rPr>
          <w:rFonts w:ascii="Arial" w:hAnsi="Arial"/>
          <w:sz w:val="20"/>
        </w:rPr>
        <w:t> </w:t>
      </w:r>
      <w:r>
        <w:rPr>
          <w:rFonts w:ascii="Arial" w:hAnsi="Arial"/>
          <w:sz w:val="21"/>
        </w:rPr>
        <w:t>proceeding</w:t>
      </w:r>
      <w:r>
        <w:rPr>
          <w:rFonts w:ascii="Arial" w:hAnsi="Arial"/>
          <w:sz w:val="20"/>
        </w:rPr>
        <w:t> </w:t>
      </w:r>
      <w:r>
        <w:rPr>
          <w:rFonts w:ascii="Arial" w:hAnsi="Arial"/>
          <w:sz w:val="21"/>
        </w:rPr>
        <w:t>or</w:t>
      </w:r>
      <w:r>
        <w:rPr>
          <w:rFonts w:ascii="Arial" w:hAnsi="Arial"/>
          <w:sz w:val="20"/>
        </w:rPr>
        <w:t> </w:t>
      </w:r>
      <w:r>
        <w:rPr>
          <w:rFonts w:ascii="Arial" w:hAnsi="Arial"/>
          <w:sz w:val="21"/>
        </w:rPr>
        <w:t>native</w:t>
      </w:r>
      <w:r>
        <w:rPr>
          <w:rFonts w:ascii="Arial" w:hAnsi="Arial"/>
          <w:sz w:val="20"/>
        </w:rPr>
        <w:t> </w:t>
      </w:r>
      <w:r>
        <w:rPr>
          <w:rFonts w:ascii="Arial" w:hAnsi="Arial"/>
          <w:sz w:val="21"/>
        </w:rPr>
        <w:t>title</w:t>
      </w:r>
      <w:r>
        <w:rPr>
          <w:rFonts w:ascii="Arial" w:hAnsi="Arial"/>
          <w:sz w:val="20"/>
        </w:rPr>
        <w:t> </w:t>
      </w:r>
      <w:r>
        <w:rPr>
          <w:rFonts w:ascii="Arial" w:hAnsi="Arial"/>
          <w:sz w:val="21"/>
        </w:rPr>
        <w:t>claim</w:t>
      </w:r>
      <w:r>
        <w:rPr>
          <w:rFonts w:ascii="Arial" w:hAnsi="Arial"/>
          <w:sz w:val="20"/>
        </w:rPr>
        <w:t> </w:t>
      </w:r>
      <w:r>
        <w:rPr>
          <w:rFonts w:ascii="Arial" w:hAnsi="Arial"/>
          <w:sz w:val="21"/>
        </w:rPr>
        <w:t>which</w:t>
      </w:r>
      <w:r>
        <w:rPr>
          <w:rFonts w:ascii="Arial" w:hAnsi="Arial"/>
          <w:sz w:val="20"/>
        </w:rPr>
        <w:t> </w:t>
      </w:r>
      <w:r>
        <w:rPr>
          <w:rFonts w:ascii="Arial" w:hAnsi="Arial"/>
          <w:sz w:val="21"/>
        </w:rPr>
        <w:t>affects</w:t>
      </w:r>
      <w:r>
        <w:rPr>
          <w:rFonts w:ascii="Arial" w:hAnsi="Arial"/>
          <w:sz w:val="20"/>
        </w:rPr>
        <w:t> </w:t>
      </w:r>
      <w:r>
        <w:rPr>
          <w:rFonts w:ascii="Arial" w:hAnsi="Arial"/>
          <w:sz w:val="21"/>
        </w:rPr>
        <w:t>a</w:t>
      </w:r>
      <w:r>
        <w:rPr>
          <w:rFonts w:ascii="Arial" w:hAnsi="Arial"/>
          <w:sz w:val="20"/>
        </w:rPr>
        <w:t> </w:t>
      </w:r>
      <w:r>
        <w:rPr>
          <w:rFonts w:ascii="Arial" w:hAnsi="Arial"/>
          <w:sz w:val="21"/>
        </w:rPr>
        <w:t>Transaction Party and which has or the adverse determination of which would be likely</w:t>
      </w:r>
      <w:r>
        <w:rPr>
          <w:rFonts w:ascii="Arial" w:hAnsi="Arial"/>
          <w:sz w:val="20"/>
        </w:rPr>
        <w:t> </w:t>
      </w:r>
      <w:r>
        <w:rPr>
          <w:rFonts w:ascii="Arial" w:hAnsi="Arial"/>
          <w:sz w:val="21"/>
        </w:rPr>
        <w:t>to</w:t>
      </w:r>
      <w:r>
        <w:rPr>
          <w:rFonts w:ascii="Arial" w:hAnsi="Arial"/>
          <w:sz w:val="20"/>
        </w:rPr>
        <w:t> </w:t>
      </w:r>
      <w:r>
        <w:rPr>
          <w:rFonts w:ascii="Arial" w:hAnsi="Arial"/>
          <w:sz w:val="21"/>
        </w:rPr>
        <w:t>have</w:t>
      </w:r>
      <w:r>
        <w:rPr>
          <w:rFonts w:ascii="Arial" w:hAnsi="Arial"/>
          <w:sz w:val="20"/>
        </w:rPr>
        <w:t> </w:t>
      </w:r>
      <w:r>
        <w:rPr>
          <w:rFonts w:ascii="Arial" w:hAnsi="Arial"/>
          <w:sz w:val="21"/>
        </w:rPr>
        <w:t>a</w:t>
      </w:r>
      <w:r>
        <w:rPr>
          <w:rFonts w:ascii="Arial" w:hAnsi="Arial"/>
          <w:sz w:val="20"/>
        </w:rPr>
        <w:t> </w:t>
      </w:r>
      <w:r>
        <w:rPr>
          <w:rFonts w:ascii="Arial" w:hAnsi="Arial"/>
          <w:sz w:val="21"/>
        </w:rPr>
        <w:t>Material</w:t>
      </w:r>
      <w:r>
        <w:rPr>
          <w:rFonts w:ascii="Arial" w:hAnsi="Arial"/>
          <w:sz w:val="20"/>
        </w:rPr>
        <w:t> </w:t>
      </w:r>
      <w:r>
        <w:rPr>
          <w:rFonts w:ascii="Arial" w:hAnsi="Arial"/>
          <w:sz w:val="21"/>
        </w:rPr>
        <w:t>Adverse</w:t>
      </w:r>
      <w:r>
        <w:rPr>
          <w:rFonts w:ascii="Arial" w:hAnsi="Arial"/>
          <w:sz w:val="20"/>
        </w:rPr>
        <w:t> </w:t>
      </w:r>
      <w:r>
        <w:rPr>
          <w:rFonts w:ascii="Arial" w:hAnsi="Arial"/>
          <w:sz w:val="21"/>
        </w:rPr>
        <w:t>Effect,</w:t>
      </w:r>
      <w:r>
        <w:rPr>
          <w:rFonts w:ascii="Arial" w:hAnsi="Arial"/>
          <w:sz w:val="20"/>
        </w:rPr>
        <w:t> </w:t>
      </w:r>
      <w:r>
        <w:rPr>
          <w:rFonts w:ascii="Arial" w:hAnsi="Arial"/>
          <w:sz w:val="21"/>
        </w:rPr>
        <w:t>as</w:t>
      </w:r>
      <w:r>
        <w:rPr>
          <w:rFonts w:ascii="Arial" w:hAnsi="Arial"/>
          <w:sz w:val="20"/>
        </w:rPr>
        <w:t> </w:t>
      </w:r>
      <w:r>
        <w:rPr>
          <w:rFonts w:ascii="Arial" w:hAnsi="Arial"/>
          <w:sz w:val="21"/>
        </w:rPr>
        <w:t>soon</w:t>
      </w:r>
      <w:r>
        <w:rPr>
          <w:rFonts w:ascii="Arial" w:hAnsi="Arial"/>
          <w:sz w:val="20"/>
        </w:rPr>
        <w:t> </w:t>
      </w:r>
      <w:r>
        <w:rPr>
          <w:rFonts w:ascii="Arial" w:hAnsi="Arial"/>
          <w:sz w:val="21"/>
        </w:rPr>
        <w:t>as</w:t>
      </w:r>
      <w:r>
        <w:rPr>
          <w:rFonts w:ascii="Arial" w:hAnsi="Arial"/>
          <w:sz w:val="20"/>
        </w:rPr>
        <w:t> </w:t>
      </w:r>
      <w:r>
        <w:rPr>
          <w:rFonts w:ascii="Arial" w:hAnsi="Arial"/>
          <w:sz w:val="21"/>
        </w:rPr>
        <w:t>it</w:t>
      </w:r>
      <w:r>
        <w:rPr>
          <w:rFonts w:ascii="Arial" w:hAnsi="Arial"/>
          <w:sz w:val="20"/>
        </w:rPr>
        <w:t> </w:t>
      </w:r>
      <w:r>
        <w:rPr>
          <w:rFonts w:ascii="Arial" w:hAnsi="Arial"/>
          <w:sz w:val="21"/>
        </w:rPr>
        <w:t>is</w:t>
      </w:r>
      <w:r>
        <w:rPr>
          <w:rFonts w:ascii="Arial" w:hAnsi="Arial"/>
          <w:sz w:val="20"/>
        </w:rPr>
        <w:t> </w:t>
      </w:r>
      <w:r>
        <w:rPr>
          <w:rFonts w:ascii="Arial" w:hAnsi="Arial"/>
          <w:sz w:val="21"/>
        </w:rPr>
        <w:t>commenced</w:t>
      </w:r>
      <w:r>
        <w:rPr>
          <w:rFonts w:ascii="Arial" w:hAnsi="Arial"/>
          <w:sz w:val="20"/>
        </w:rPr>
        <w:t> </w:t>
      </w:r>
      <w:r>
        <w:rPr>
          <w:rFonts w:ascii="Arial" w:hAnsi="Arial"/>
          <w:sz w:val="21"/>
        </w:rPr>
        <w:t>or</w:t>
      </w:r>
      <w:r>
        <w:rPr>
          <w:rFonts w:ascii="Arial" w:hAnsi="Arial"/>
          <w:sz w:val="20"/>
        </w:rPr>
        <w:t> </w:t>
      </w:r>
      <w:r>
        <w:rPr>
          <w:rFonts w:ascii="Arial" w:hAnsi="Arial"/>
          <w:sz w:val="21"/>
        </w:rPr>
        <w:t>to the knowledge of the Borrower is threatened;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(g)</w:t>
      </w:r>
      <w:r>
        <w:rPr>
          <w:rFonts w:ascii="Arial" w:hAnsi="Arial"/>
          <w:b/>
          <w:sz w:val="21"/>
        </w:rPr>
        <w:t>claims:</w:t>
      </w:r>
      <w:r>
        <w:rPr>
          <w:rFonts w:ascii="Arial" w:hAnsi="Arial"/>
          <w:sz w:val="20"/>
        </w:rPr>
        <w:t> </w:t>
      </w:r>
      <w:r>
        <w:rPr>
          <w:rFonts w:ascii="Arial" w:hAnsi="Arial"/>
          <w:sz w:val="21"/>
        </w:rPr>
        <w:t>on</w:t>
      </w:r>
      <w:r>
        <w:rPr>
          <w:rFonts w:ascii="Arial" w:hAnsi="Arial"/>
          <w:sz w:val="20"/>
        </w:rPr>
        <w:t> </w:t>
      </w:r>
      <w:r>
        <w:rPr>
          <w:rFonts w:ascii="Arial" w:hAnsi="Arial"/>
          <w:sz w:val="21"/>
        </w:rPr>
        <w:t>being</w:t>
      </w:r>
      <w:r>
        <w:rPr>
          <w:rFonts w:ascii="Arial" w:hAnsi="Arial"/>
          <w:sz w:val="20"/>
        </w:rPr>
        <w:t> </w:t>
      </w:r>
      <w:r>
        <w:rPr>
          <w:rFonts w:ascii="Arial" w:hAnsi="Arial"/>
          <w:sz w:val="21"/>
        </w:rPr>
        <w:t>notified</w:t>
      </w:r>
      <w:r>
        <w:rPr>
          <w:rFonts w:ascii="Arial" w:hAnsi="Arial"/>
          <w:sz w:val="20"/>
        </w:rPr>
        <w:t> </w:t>
      </w:r>
      <w:r>
        <w:rPr>
          <w:rFonts w:ascii="Arial" w:hAnsi="Arial"/>
          <w:sz w:val="21"/>
        </w:rPr>
        <w:t>of</w:t>
      </w:r>
      <w:r>
        <w:rPr>
          <w:rFonts w:ascii="Arial" w:hAnsi="Arial"/>
          <w:sz w:val="20"/>
        </w:rPr>
        <w:t> </w:t>
      </w:r>
      <w:r>
        <w:rPr>
          <w:rFonts w:ascii="Arial" w:hAnsi="Arial"/>
          <w:sz w:val="21"/>
        </w:rPr>
        <w:t>it,</w:t>
      </w:r>
      <w:r>
        <w:rPr>
          <w:rFonts w:ascii="Arial" w:hAnsi="Arial"/>
          <w:sz w:val="20"/>
        </w:rPr>
        <w:t> </w:t>
      </w:r>
      <w:r>
        <w:rPr>
          <w:rFonts w:ascii="Arial" w:hAnsi="Arial"/>
          <w:sz w:val="21"/>
        </w:rPr>
        <w:t>full</w:t>
      </w:r>
      <w:r>
        <w:rPr>
          <w:rFonts w:ascii="Arial" w:hAnsi="Arial"/>
          <w:sz w:val="20"/>
        </w:rPr>
        <w:t> </w:t>
      </w:r>
      <w:r>
        <w:rPr>
          <w:rFonts w:ascii="Arial" w:hAnsi="Arial"/>
          <w:sz w:val="21"/>
        </w:rPr>
        <w:t>details</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event</w:t>
      </w:r>
      <w:r>
        <w:rPr>
          <w:rFonts w:ascii="Arial" w:hAnsi="Arial"/>
          <w:sz w:val="20"/>
        </w:rPr>
        <w:t> </w:t>
      </w:r>
      <w:r>
        <w:rPr>
          <w:rFonts w:ascii="Arial" w:hAnsi="Arial"/>
          <w:sz w:val="21"/>
        </w:rPr>
        <w:t>which</w:t>
      </w:r>
      <w:r>
        <w:rPr>
          <w:rFonts w:ascii="Arial" w:hAnsi="Arial"/>
          <w:sz w:val="20"/>
        </w:rPr>
        <w:t> </w:t>
      </w:r>
      <w:r>
        <w:rPr>
          <w:rFonts w:ascii="Arial" w:hAnsi="Arial"/>
          <w:sz w:val="21"/>
        </w:rPr>
        <w:t>entitles</w:t>
      </w:r>
      <w:r>
        <w:rPr>
          <w:rFonts w:ascii="Arial" w:hAnsi="Arial"/>
          <w:sz w:val="20"/>
        </w:rPr>
        <w:t> </w:t>
      </w:r>
      <w:r>
        <w:rPr>
          <w:rFonts w:ascii="Arial" w:hAnsi="Arial"/>
          <w:sz w:val="21"/>
        </w:rPr>
        <w:t>the Borrower or the Bank to claim more than $1,000,000 under the Insurances;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(h)</w:t>
      </w:r>
      <w:r>
        <w:rPr>
          <w:rFonts w:ascii="Arial" w:hAnsi="Arial"/>
          <w:b/>
          <w:sz w:val="21"/>
        </w:rPr>
        <w:t>Cannon Park Property</w:t>
      </w:r>
      <w:r>
        <w:rPr>
          <w:rFonts w:ascii="Arial" w:hAnsi="Arial"/>
          <w:sz w:val="21"/>
        </w:rPr>
        <w:t>: as soon as practicable, but in any event by 15 March</w:t>
      </w:r>
      <w:r>
        <w:rPr>
          <w:rFonts w:ascii="Arial" w:hAnsi="Arial"/>
          <w:sz w:val="20"/>
        </w:rPr>
        <w:t> </w:t>
      </w:r>
      <w:r>
        <w:rPr>
          <w:rFonts w:ascii="Arial" w:hAnsi="Arial"/>
          <w:sz w:val="21"/>
        </w:rPr>
        <w:t>2025</w:t>
      </w:r>
      <w:r>
        <w:rPr>
          <w:rFonts w:ascii="Arial" w:hAnsi="Arial"/>
          <w:sz w:val="20"/>
        </w:rPr>
        <w:t> </w:t>
      </w:r>
      <w:r>
        <w:rPr>
          <w:rFonts w:ascii="Arial" w:hAnsi="Arial"/>
          <w:sz w:val="21"/>
        </w:rPr>
        <w:t>(or,</w:t>
      </w:r>
      <w:r>
        <w:rPr>
          <w:rFonts w:ascii="Arial" w:hAnsi="Arial"/>
          <w:sz w:val="20"/>
        </w:rPr>
        <w:t> </w:t>
      </w:r>
      <w:r>
        <w:rPr>
          <w:rFonts w:ascii="Arial" w:hAnsi="Arial"/>
          <w:sz w:val="21"/>
        </w:rPr>
        <w:t>if</w:t>
      </w:r>
      <w:r>
        <w:rPr>
          <w:rFonts w:ascii="Arial" w:hAnsi="Arial"/>
          <w:sz w:val="20"/>
        </w:rPr>
        <w:t> </w:t>
      </w:r>
      <w:r>
        <w:rPr>
          <w:rFonts w:ascii="Arial" w:hAnsi="Arial"/>
          <w:sz w:val="21"/>
        </w:rPr>
        <w:t>a</w:t>
      </w:r>
      <w:r>
        <w:rPr>
          <w:rFonts w:ascii="Arial" w:hAnsi="Arial"/>
          <w:sz w:val="20"/>
        </w:rPr>
        <w:t> </w:t>
      </w:r>
      <w:r>
        <w:rPr>
          <w:rFonts w:ascii="Arial" w:hAnsi="Arial"/>
          <w:sz w:val="21"/>
        </w:rPr>
        <w:t>Delay</w:t>
      </w:r>
      <w:r>
        <w:rPr>
          <w:rFonts w:ascii="Arial" w:hAnsi="Arial"/>
          <w:sz w:val="20"/>
        </w:rPr>
        <w:t> </w:t>
      </w:r>
      <w:r>
        <w:rPr>
          <w:rFonts w:ascii="Arial" w:hAnsi="Arial"/>
          <w:sz w:val="21"/>
        </w:rPr>
        <w:t>Event</w:t>
      </w:r>
      <w:r>
        <w:rPr>
          <w:rFonts w:ascii="Arial" w:hAnsi="Arial"/>
          <w:sz w:val="20"/>
        </w:rPr>
        <w:t> </w:t>
      </w:r>
      <w:r>
        <w:rPr>
          <w:rFonts w:ascii="Arial" w:hAnsi="Arial"/>
          <w:sz w:val="21"/>
        </w:rPr>
        <w:t>occurs,</w:t>
      </w:r>
      <w:r>
        <w:rPr>
          <w:rFonts w:ascii="Arial" w:hAnsi="Arial"/>
          <w:sz w:val="20"/>
        </w:rPr>
        <w:t> </w:t>
      </w:r>
      <w:r>
        <w:rPr>
          <w:rFonts w:ascii="Arial" w:hAnsi="Arial"/>
          <w:sz w:val="21"/>
        </w:rPr>
        <w:t>such</w:t>
      </w:r>
      <w:r>
        <w:rPr>
          <w:rFonts w:ascii="Arial" w:hAnsi="Arial"/>
          <w:sz w:val="20"/>
        </w:rPr>
        <w:t> </w:t>
      </w:r>
      <w:r>
        <w:rPr>
          <w:rFonts w:ascii="Arial" w:hAnsi="Arial"/>
          <w:sz w:val="21"/>
        </w:rPr>
        <w:t>later</w:t>
      </w:r>
      <w:r>
        <w:rPr>
          <w:rFonts w:ascii="Arial" w:hAnsi="Arial"/>
          <w:sz w:val="20"/>
        </w:rPr>
        <w:t> </w:t>
      </w:r>
      <w:r>
        <w:rPr>
          <w:rFonts w:ascii="Arial" w:hAnsi="Arial"/>
          <w:sz w:val="21"/>
        </w:rPr>
        <w:t>date</w:t>
      </w:r>
      <w:r>
        <w:rPr>
          <w:rFonts w:ascii="Arial" w:hAnsi="Arial"/>
          <w:sz w:val="20"/>
        </w:rPr>
        <w:t> </w:t>
      </w:r>
      <w:r>
        <w:rPr>
          <w:rFonts w:ascii="Arial" w:hAnsi="Arial"/>
          <w:sz w:val="21"/>
        </w:rPr>
        <w:t>as</w:t>
      </w:r>
      <w:r>
        <w:rPr>
          <w:rFonts w:ascii="Arial" w:hAnsi="Arial"/>
          <w:sz w:val="20"/>
        </w:rPr>
        <w:t> </w:t>
      </w:r>
      <w:r>
        <w:rPr>
          <w:rFonts w:ascii="Arial" w:hAnsi="Arial"/>
          <w:sz w:val="21"/>
        </w:rPr>
        <w:t>agreed</w:t>
      </w:r>
      <w:r>
        <w:rPr>
          <w:rFonts w:ascii="Arial" w:hAnsi="Arial"/>
          <w:sz w:val="20"/>
        </w:rPr>
        <w:t> </w:t>
      </w:r>
      <w:r>
        <w:rPr>
          <w:rFonts w:ascii="Arial" w:hAnsi="Arial"/>
          <w:sz w:val="21"/>
        </w:rPr>
        <w:t>by</w:t>
      </w:r>
      <w:r>
        <w:rPr>
          <w:rFonts w:ascii="Arial" w:hAnsi="Arial"/>
          <w:sz w:val="20"/>
        </w:rPr>
        <w:t> </w:t>
      </w:r>
      <w:r>
        <w:rPr>
          <w:rFonts w:ascii="Arial" w:hAnsi="Arial"/>
          <w:sz w:val="21"/>
        </w:rPr>
        <w:t>the Borrower and the Bank in writing), a duly executed contract of sale in respect of the Cannon Park Property confirming a purchase price of no less than $28,400,000 and a settlement term of no longer than 75 days.</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55" w:name="Other_financial_undertakings961"/>
      <w:bookmarkEnd w:id="455"/>
      <w:r>
        <w:rPr>
          <w:rFonts w:ascii="Arial" w:hAnsi="Arial"/>
          <w:b/>
          <w:color w:val="000000"/>
          <w:sz w:val="24"/>
        </w:rPr>
        <w:t>9.6Other financial undertakings</w:t>
      </w:r>
      <w:r>
        <w:rPr>
          <w:rFonts w:ascii="Arial" w:hAnsi="Arial"/>
          <w:b/>
          <w:sz w:val="24"/>
        </w:rPr>
        <w:t xml:space="preserve"> </w:t>
      </w:r>
    </w:p>
    <w:p>
      <w:pPr>
        <w:pStyle w:val="TextBody"/>
        <w:bidi w:val="0"/>
        <w:spacing w:before="93" w:after="0"/>
        <w:ind w:left="3118" w:right="700" w:hanging="0"/>
        <w:jc w:val="left"/>
        <w:rPr>
          <w:rFonts w:ascii="Arial" w:hAnsi="Arial"/>
          <w:sz w:val="22"/>
        </w:rPr>
      </w:pPr>
      <w:r>
        <w:rPr>
          <w:rFonts w:ascii="Arial" w:hAnsi="Arial"/>
          <w:color w:val="000000"/>
          <w:sz w:val="22"/>
        </w:rPr>
        <w:t>Each Transaction Party must ensure that:</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t>
      </w:r>
      <w:r>
        <w:rPr>
          <w:rFonts w:ascii="Arial" w:hAnsi="Arial"/>
          <w:b/>
          <w:color w:val="000000"/>
          <w:sz w:val="21"/>
        </w:rPr>
        <w:t>negative</w:t>
      </w:r>
      <w:r>
        <w:rPr>
          <w:rFonts w:ascii="Arial" w:hAnsi="Arial"/>
          <w:color w:val="000000"/>
          <w:sz w:val="20"/>
        </w:rPr>
        <w:t> </w:t>
      </w:r>
      <w:r>
        <w:rPr>
          <w:rFonts w:ascii="Arial" w:hAnsi="Arial"/>
          <w:b/>
          <w:color w:val="000000"/>
          <w:sz w:val="21"/>
        </w:rPr>
        <w:t>pledge:</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Encumbrances</w:t>
      </w:r>
      <w:r>
        <w:rPr>
          <w:rFonts w:ascii="Arial" w:hAnsi="Arial"/>
          <w:color w:val="000000"/>
          <w:sz w:val="20"/>
        </w:rPr>
        <w:t> </w:t>
      </w:r>
      <w:r>
        <w:rPr>
          <w:rFonts w:ascii="Arial" w:hAnsi="Arial"/>
          <w:color w:val="000000"/>
          <w:sz w:val="21"/>
        </w:rPr>
        <w:t>exist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except Permitted Encumbrances;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w:t>
      </w:r>
      <w:r>
        <w:rPr>
          <w:rFonts w:ascii="Arial" w:hAnsi="Arial"/>
          <w:b/>
          <w:color w:val="000000"/>
          <w:sz w:val="21"/>
        </w:rPr>
        <w:t>permitted</w:t>
      </w:r>
      <w:r>
        <w:rPr>
          <w:rFonts w:ascii="Arial" w:hAnsi="Arial"/>
          <w:color w:val="000000"/>
          <w:sz w:val="20"/>
        </w:rPr>
        <w:t> </w:t>
      </w:r>
      <w:r>
        <w:rPr>
          <w:rFonts w:ascii="Arial" w:hAnsi="Arial"/>
          <w:b/>
          <w:color w:val="000000"/>
          <w:sz w:val="21"/>
        </w:rPr>
        <w:t>financial</w:t>
      </w:r>
      <w:r>
        <w:rPr>
          <w:rFonts w:ascii="Arial" w:hAnsi="Arial"/>
          <w:color w:val="000000"/>
          <w:sz w:val="20"/>
        </w:rPr>
        <w:t> </w:t>
      </w:r>
      <w:r>
        <w:rPr>
          <w:rFonts w:ascii="Arial" w:hAnsi="Arial"/>
          <w:b/>
          <w:color w:val="000000"/>
          <w:sz w:val="21"/>
        </w:rPr>
        <w:t>transactions: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w:t>
      </w:r>
      <w:r>
        <w:rPr>
          <w:rFonts w:ascii="Arial" w:hAnsi="Arial"/>
          <w:color w:val="000000"/>
          <w:sz w:val="20"/>
        </w:rPr>
        <w:t> </w:t>
      </w:r>
      <w:r>
        <w:rPr>
          <w:rFonts w:ascii="Arial" w:hAnsi="Arial"/>
          <w:color w:val="000000"/>
          <w:sz w:val="21"/>
        </w:rPr>
        <w:t>written consent of the Bank:</w:t>
      </w:r>
      <w:r>
        <w:rPr>
          <w:rFonts w:ascii="Arial" w:hAnsi="Arial"/>
          <w:sz w:val="20"/>
        </w:rPr>
        <w:t xml:space="preserve"> </w:t>
      </w:r>
    </w:p>
    <w:p>
      <w:pPr>
        <w:pStyle w:val="TextBody"/>
        <w:bidi w:val="0"/>
        <w:spacing w:lineRule="auto" w:line="266" w:before="115" w:after="0"/>
        <w:ind w:left="4275" w:right="2019" w:hanging="0"/>
        <w:jc w:val="left"/>
        <w:rPr>
          <w:rFonts w:ascii="Arial" w:hAnsi="Arial"/>
          <w:sz w:val="20"/>
        </w:rPr>
      </w:pPr>
      <w:r>
        <w:rPr>
          <w:rFonts w:ascii="Arial" w:hAnsi="Arial"/>
          <w:color w:val="000000"/>
          <w:sz w:val="21"/>
        </w:rPr>
        <w:t>(i)incur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Indebtedness</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Financial Indebtedness;</w:t>
      </w:r>
      <w:r>
        <w:rPr>
          <w:rFonts w:ascii="Arial" w:hAnsi="Arial"/>
          <w:sz w:val="20"/>
        </w:rPr>
        <w:t xml:space="preserve"> </w:t>
      </w:r>
    </w:p>
    <w:p>
      <w:pPr>
        <w:pStyle w:val="TextBody"/>
        <w:bidi w:val="0"/>
        <w:spacing w:lineRule="auto" w:line="266" w:before="0" w:after="0"/>
        <w:ind w:left="4275" w:right="1469" w:hanging="0"/>
        <w:jc w:val="left"/>
        <w:rPr>
          <w:rFonts w:ascii="Arial" w:hAnsi="Arial"/>
          <w:sz w:val="20"/>
        </w:rPr>
      </w:pPr>
      <w:r>
        <w:rPr>
          <w:rFonts w:ascii="Arial" w:hAnsi="Arial"/>
          <w:color w:val="000000"/>
          <w:sz w:val="21"/>
        </w:rPr>
        <w:t>(ii)provide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(excluding</w:t>
      </w:r>
      <w:r>
        <w:rPr>
          <w:rFonts w:ascii="Arial" w:hAnsi="Arial"/>
          <w:color w:val="000000"/>
          <w:sz w:val="20"/>
        </w:rPr>
        <w:t> </w:t>
      </w:r>
      <w:r>
        <w:rPr>
          <w:rFonts w:ascii="Arial" w:hAnsi="Arial"/>
          <w:color w:val="000000"/>
          <w:sz w:val="21"/>
        </w:rPr>
        <w:t>trade</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ordinary course of business) except Permitted Financial Accommodation;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w:t>
      </w:r>
      <w:r>
        <w:rPr>
          <w:rFonts w:ascii="Arial" w:hAnsi="Arial"/>
          <w:b/>
          <w:color w:val="000000"/>
          <w:sz w:val="21"/>
        </w:rPr>
        <w:t>disposals:</w:t>
      </w:r>
      <w:r>
        <w:rPr>
          <w:rFonts w:ascii="Arial" w:hAnsi="Arial"/>
          <w:color w:val="000000"/>
          <w:sz w:val="20"/>
        </w:rPr>
        <w:t> </w:t>
      </w:r>
      <w:r>
        <w:rPr>
          <w:rFonts w:ascii="Arial" w:hAnsi="Arial"/>
          <w:color w:val="000000"/>
          <w:sz w:val="21"/>
        </w:rPr>
        <w:t>must not dispose of any of its assets, either in a single transaction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series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transactions</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related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and whether voluntary or involuntary, except Permitted Disposals;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w:t>
      </w:r>
      <w:r>
        <w:rPr>
          <w:rFonts w:ascii="Arial" w:hAnsi="Arial"/>
          <w:b/>
          <w:color w:val="000000"/>
          <w:sz w:val="21"/>
        </w:rPr>
        <w:t>mergers: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does</w:t>
      </w:r>
      <w:r>
        <w:rPr>
          <w:rFonts w:ascii="Arial" w:hAnsi="Arial"/>
          <w:color w:val="000000"/>
          <w:sz w:val="20"/>
        </w:rPr>
        <w:t xml:space="preserve"> </w:t>
      </w:r>
      <w:r>
        <w:rPr>
          <w:rFonts w:ascii="Arial" w:hAnsi="Arial"/>
          <w:color w:val="000000"/>
          <w:sz w:val="21"/>
        </w:rPr>
        <w:t>not:</w:t>
      </w:r>
      <w:r>
        <w:rPr>
          <w:rFonts w:ascii="Arial" w:hAnsi="Arial"/>
          <w:sz w:val="20"/>
        </w:rPr>
        <w:t xml:space="preserve"> </w:t>
      </w:r>
    </w:p>
    <w:p>
      <w:pPr>
        <w:pStyle w:val="TextBody"/>
        <w:bidi w:val="0"/>
        <w:spacing w:before="147" w:after="0"/>
        <w:ind w:left="4275" w:right="700" w:hanging="0"/>
        <w:jc w:val="left"/>
        <w:rPr>
          <w:rFonts w:ascii="Arial" w:hAnsi="Arial"/>
          <w:sz w:val="20"/>
        </w:rPr>
      </w:pPr>
      <w:r>
        <w:rPr>
          <w:rFonts w:ascii="Arial" w:hAnsi="Arial"/>
          <w:color w:val="000000"/>
          <w:sz w:val="21"/>
        </w:rPr>
        <w:t>(i)enter</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merger,</w:t>
      </w:r>
      <w:r>
        <w:rPr>
          <w:rFonts w:ascii="Arial" w:hAnsi="Arial"/>
          <w:color w:val="000000"/>
          <w:sz w:val="20"/>
        </w:rPr>
        <w:t> </w:t>
      </w:r>
      <w:r>
        <w:rPr>
          <w:rFonts w:ascii="Arial" w:hAnsi="Arial"/>
          <w:color w:val="000000"/>
          <w:sz w:val="21"/>
        </w:rPr>
        <w:t>reconstruction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amalgamation;</w:t>
      </w:r>
      <w:r>
        <w:rPr>
          <w:rFonts w:ascii="Arial" w:hAnsi="Arial"/>
          <w:color w:val="000000"/>
          <w:sz w:val="20"/>
        </w:rPr>
        <w:t> </w:t>
      </w:r>
      <w:r>
        <w:rPr>
          <w:rFonts w:ascii="Arial" w:hAnsi="Arial"/>
          <w:color w:val="000000"/>
          <w:sz w:val="21"/>
        </w:rPr>
        <w:t>or</w:t>
      </w:r>
      <w:r>
        <w:rPr>
          <w:rFonts w:ascii="Arial" w:hAnsi="Arial"/>
          <w:sz w:val="20"/>
        </w:rPr>
        <w:t xml:space="preserve"> </w:t>
      </w:r>
    </w:p>
    <w:p>
      <w:pPr>
        <w:pStyle w:val="TextBody"/>
        <w:bidi w:val="0"/>
        <w:spacing w:lineRule="auto" w:line="266" w:before="148" w:after="0"/>
        <w:ind w:left="4275" w:right="1758" w:hanging="0"/>
        <w:jc w:val="both"/>
        <w:rPr>
          <w:rFonts w:ascii="Arial" w:hAnsi="Arial"/>
          <w:sz w:val="20"/>
        </w:rPr>
      </w:pPr>
      <w:r>
        <w:rPr>
          <w:rFonts w:ascii="Arial" w:hAnsi="Arial"/>
          <w:color w:val="000000"/>
          <w:sz w:val="21"/>
        </w:rPr>
        <w:t>(ii)acquire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investment</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 property,</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investment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substantial</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relevant Transaction Party,</w:t>
      </w:r>
      <w:r>
        <w:rPr>
          <w:rFonts w:ascii="Arial" w:hAnsi="Arial"/>
          <w:sz w:val="20"/>
        </w:rPr>
        <w:t xml:space="preserve"> </w:t>
      </w:r>
    </w:p>
    <w:p>
      <w:pPr>
        <w:pStyle w:val="TextBody"/>
        <w:bidi w:val="0"/>
        <w:spacing w:lineRule="auto" w:line="266" w:before="119" w:after="0"/>
        <w:ind w:left="3646" w:right="700" w:hanging="567"/>
        <w:jc w:val="both"/>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p>
      <w:pPr>
        <w:pStyle w:val="TextBody"/>
        <w:pBdr/>
        <w:bidi w:val="0"/>
        <w:spacing w:before="1" w:after="0"/>
        <w:ind w:left="1836" w:right="700" w:hanging="0"/>
        <w:jc w:val="center"/>
        <w:rPr>
          <w:rFonts w:ascii="Arial" w:hAnsi="Arial"/>
          <w:sz w:val="22"/>
        </w:rPr>
      </w:pPr>
      <w:r>
        <w:rPr>
          <w:rFonts w:ascii="Arial" w:hAnsi="Arial"/>
          <w:sz w:val="22"/>
        </w:rPr>
        <w:t xml:space="preserve">if it would have or be likely to have a Material Adverse Effect; </w:t>
      </w:r>
    </w:p>
    <w:p>
      <w:pPr>
        <w:pStyle w:val="TextBody"/>
        <w:bidi w:val="0"/>
        <w:spacing w:lineRule="auto" w:line="266" w:before="118" w:after="0"/>
        <w:ind w:left="3687" w:right="854" w:hanging="0"/>
        <w:jc w:val="left"/>
        <w:rPr>
          <w:rFonts w:ascii="Arial" w:hAnsi="Arial"/>
          <w:sz w:val="20"/>
        </w:rPr>
      </w:pPr>
      <w:r>
        <w:rPr>
          <w:rFonts w:ascii="Arial" w:hAnsi="Arial"/>
          <w:sz w:val="21"/>
        </w:rPr>
        <w:t>(e)</w:t>
      </w:r>
      <w:r>
        <w:rPr>
          <w:rFonts w:ascii="Arial" w:hAnsi="Arial"/>
          <w:b/>
          <w:sz w:val="21"/>
        </w:rPr>
        <w:t>maintain</w:t>
      </w:r>
      <w:r>
        <w:rPr>
          <w:rFonts w:ascii="Arial" w:hAnsi="Arial"/>
          <w:sz w:val="20"/>
        </w:rPr>
        <w:t> </w:t>
      </w:r>
      <w:r>
        <w:rPr>
          <w:rFonts w:ascii="Arial" w:hAnsi="Arial"/>
          <w:b/>
          <w:sz w:val="21"/>
        </w:rPr>
        <w:t>status:</w:t>
      </w:r>
      <w:r>
        <w:rPr>
          <w:rFonts w:ascii="Arial" w:hAnsi="Arial"/>
          <w:sz w:val="20"/>
        </w:rPr>
        <w:t> </w:t>
      </w:r>
      <w:r>
        <w:rPr>
          <w:rFonts w:ascii="Arial" w:hAnsi="Arial"/>
          <w:sz w:val="21"/>
        </w:rPr>
        <w:t>it</w:t>
      </w:r>
      <w:r>
        <w:rPr>
          <w:rFonts w:ascii="Arial" w:hAnsi="Arial"/>
          <w:sz w:val="20"/>
        </w:rPr>
        <w:t> </w:t>
      </w:r>
      <w:r>
        <w:rPr>
          <w:rFonts w:ascii="Arial" w:hAnsi="Arial"/>
          <w:sz w:val="21"/>
        </w:rPr>
        <w:t>does</w:t>
      </w:r>
      <w:r>
        <w:rPr>
          <w:rFonts w:ascii="Arial" w:hAnsi="Arial"/>
          <w:sz w:val="20"/>
        </w:rPr>
        <w:t> </w:t>
      </w:r>
      <w:r>
        <w:rPr>
          <w:rFonts w:ascii="Arial" w:hAnsi="Arial"/>
          <w:sz w:val="21"/>
        </w:rPr>
        <w:t>everything</w:t>
      </w:r>
      <w:r>
        <w:rPr>
          <w:rFonts w:ascii="Arial" w:hAnsi="Arial"/>
          <w:sz w:val="20"/>
        </w:rPr>
        <w:t> </w:t>
      </w:r>
      <w:r>
        <w:rPr>
          <w:rFonts w:ascii="Arial" w:hAnsi="Arial"/>
          <w:sz w:val="21"/>
        </w:rPr>
        <w:t>necessary</w:t>
      </w:r>
      <w:r>
        <w:rPr>
          <w:rFonts w:ascii="Arial" w:hAnsi="Arial"/>
          <w:sz w:val="20"/>
        </w:rPr>
        <w:t> </w:t>
      </w:r>
      <w:r>
        <w:rPr>
          <w:rFonts w:ascii="Arial" w:hAnsi="Arial"/>
          <w:sz w:val="21"/>
        </w:rPr>
        <w:t>to</w:t>
      </w:r>
      <w:r>
        <w:rPr>
          <w:rFonts w:ascii="Arial" w:hAnsi="Arial"/>
          <w:sz w:val="20"/>
        </w:rPr>
        <w:t> </w:t>
      </w:r>
      <w:r>
        <w:rPr>
          <w:rFonts w:ascii="Arial" w:hAnsi="Arial"/>
          <w:sz w:val="21"/>
        </w:rPr>
        <w:t>maintain</w:t>
      </w:r>
      <w:r>
        <w:rPr>
          <w:rFonts w:ascii="Arial" w:hAnsi="Arial"/>
          <w:sz w:val="20"/>
        </w:rPr>
        <w:t> </w:t>
      </w:r>
      <w:r>
        <w:rPr>
          <w:rFonts w:ascii="Arial" w:hAnsi="Arial"/>
          <w:sz w:val="21"/>
        </w:rPr>
        <w:t>its</w:t>
      </w:r>
      <w:r>
        <w:rPr>
          <w:rFonts w:ascii="Arial" w:hAnsi="Arial"/>
          <w:sz w:val="20"/>
        </w:rPr>
        <w:t> </w:t>
      </w:r>
      <w:r>
        <w:rPr>
          <w:rFonts w:ascii="Arial" w:hAnsi="Arial"/>
          <w:sz w:val="21"/>
        </w:rPr>
        <w:t>corporate existence in good standing and:</w:t>
      </w:r>
      <w:r>
        <w:rPr>
          <w:rFonts w:ascii="Arial" w:hAnsi="Arial"/>
          <w:sz w:val="20"/>
        </w:rPr>
        <w:t xml:space="preserve"> </w:t>
      </w:r>
    </w:p>
    <w:p>
      <w:pPr>
        <w:pStyle w:val="TextBody"/>
        <w:bidi w:val="0"/>
        <w:spacing w:lineRule="auto" w:line="266" w:before="0" w:after="0"/>
        <w:ind w:left="4275" w:right="1511" w:hanging="0"/>
        <w:jc w:val="left"/>
        <w:rPr>
          <w:rFonts w:ascii="Arial" w:hAnsi="Arial"/>
          <w:sz w:val="20"/>
        </w:rPr>
      </w:pPr>
      <w:r>
        <w:rPr>
          <w:rFonts w:ascii="Arial" w:hAnsi="Arial"/>
          <w:sz w:val="21"/>
        </w:rPr>
        <w:t>(i)ensures</w:t>
      </w:r>
      <w:r>
        <w:rPr>
          <w:rFonts w:ascii="Arial" w:hAnsi="Arial"/>
          <w:sz w:val="20"/>
        </w:rPr>
        <w:t> </w:t>
      </w:r>
      <w:r>
        <w:rPr>
          <w:rFonts w:ascii="Arial" w:hAnsi="Arial"/>
          <w:sz w:val="21"/>
        </w:rPr>
        <w:t>that</w:t>
      </w:r>
      <w:r>
        <w:rPr>
          <w:rFonts w:ascii="Arial" w:hAnsi="Arial"/>
          <w:sz w:val="20"/>
        </w:rPr>
        <w:t> </w:t>
      </w:r>
      <w:r>
        <w:rPr>
          <w:rFonts w:ascii="Arial" w:hAnsi="Arial"/>
          <w:sz w:val="21"/>
        </w:rPr>
        <w:t>it</w:t>
      </w:r>
      <w:r>
        <w:rPr>
          <w:rFonts w:ascii="Arial" w:hAnsi="Arial"/>
          <w:sz w:val="20"/>
        </w:rPr>
        <w:t> </w:t>
      </w:r>
      <w:r>
        <w:rPr>
          <w:rFonts w:ascii="Arial" w:hAnsi="Arial"/>
          <w:sz w:val="21"/>
        </w:rPr>
        <w:t>has</w:t>
      </w:r>
      <w:r>
        <w:rPr>
          <w:rFonts w:ascii="Arial" w:hAnsi="Arial"/>
          <w:sz w:val="20"/>
        </w:rPr>
        <w:t> </w:t>
      </w:r>
      <w:r>
        <w:rPr>
          <w:rFonts w:ascii="Arial" w:hAnsi="Arial"/>
          <w:sz w:val="21"/>
        </w:rPr>
        <w:t>the</w:t>
      </w:r>
      <w:r>
        <w:rPr>
          <w:rFonts w:ascii="Arial" w:hAnsi="Arial"/>
          <w:sz w:val="20"/>
        </w:rPr>
        <w:t> </w:t>
      </w:r>
      <w:r>
        <w:rPr>
          <w:rFonts w:ascii="Arial" w:hAnsi="Arial"/>
          <w:sz w:val="21"/>
        </w:rPr>
        <w:t>right</w:t>
      </w:r>
      <w:r>
        <w:rPr>
          <w:rFonts w:ascii="Arial" w:hAnsi="Arial"/>
          <w:sz w:val="20"/>
        </w:rPr>
        <w:t> </w:t>
      </w:r>
      <w:r>
        <w:rPr>
          <w:rFonts w:ascii="Arial" w:hAnsi="Arial"/>
          <w:sz w:val="21"/>
        </w:rPr>
        <w:t>and</w:t>
      </w:r>
      <w:r>
        <w:rPr>
          <w:rFonts w:ascii="Arial" w:hAnsi="Arial"/>
          <w:sz w:val="20"/>
        </w:rPr>
        <w:t> </w:t>
      </w:r>
      <w:r>
        <w:rPr>
          <w:rFonts w:ascii="Arial" w:hAnsi="Arial"/>
          <w:sz w:val="21"/>
        </w:rPr>
        <w:t>is</w:t>
      </w:r>
      <w:r>
        <w:rPr>
          <w:rFonts w:ascii="Arial" w:hAnsi="Arial"/>
          <w:sz w:val="20"/>
        </w:rPr>
        <w:t> </w:t>
      </w:r>
      <w:r>
        <w:rPr>
          <w:rFonts w:ascii="Arial" w:hAnsi="Arial"/>
          <w:sz w:val="21"/>
        </w:rPr>
        <w:t>properly</w:t>
      </w:r>
      <w:r>
        <w:rPr>
          <w:rFonts w:ascii="Arial" w:hAnsi="Arial"/>
          <w:sz w:val="20"/>
        </w:rPr>
        <w:t> </w:t>
      </w:r>
      <w:r>
        <w:rPr>
          <w:rFonts w:ascii="Arial" w:hAnsi="Arial"/>
          <w:sz w:val="21"/>
        </w:rPr>
        <w:t>qualified</w:t>
      </w:r>
      <w:r>
        <w:rPr>
          <w:rFonts w:ascii="Arial" w:hAnsi="Arial"/>
          <w:sz w:val="20"/>
        </w:rPr>
        <w:t> </w:t>
      </w:r>
      <w:r>
        <w:rPr>
          <w:rFonts w:ascii="Arial" w:hAnsi="Arial"/>
          <w:sz w:val="21"/>
        </w:rPr>
        <w:t>to</w:t>
      </w:r>
      <w:r>
        <w:rPr>
          <w:rFonts w:ascii="Arial" w:hAnsi="Arial"/>
          <w:sz w:val="20"/>
        </w:rPr>
        <w:t> </w:t>
      </w:r>
      <w:r>
        <w:rPr>
          <w:rFonts w:ascii="Arial" w:hAnsi="Arial"/>
          <w:sz w:val="21"/>
        </w:rPr>
        <w:t>conduct</w:t>
      </w:r>
      <w:r>
        <w:rPr>
          <w:rFonts w:ascii="Arial" w:hAnsi="Arial"/>
          <w:sz w:val="20"/>
        </w:rPr>
        <w:t> </w:t>
      </w:r>
      <w:r>
        <w:rPr>
          <w:rFonts w:ascii="Arial" w:hAnsi="Arial"/>
          <w:sz w:val="21"/>
        </w:rPr>
        <w:t>its business in all relevant jurisdictions; and</w:t>
      </w:r>
      <w:r>
        <w:rPr>
          <w:rFonts w:ascii="Arial" w:hAnsi="Arial"/>
          <w:sz w:val="20"/>
        </w:rPr>
        <w:t xml:space="preserve"> </w:t>
      </w:r>
    </w:p>
    <w:p>
      <w:pPr>
        <w:pStyle w:val="TextBody"/>
        <w:bidi w:val="0"/>
        <w:spacing w:lineRule="auto" w:line="268" w:before="0" w:after="0"/>
        <w:ind w:left="4275" w:right="1454" w:hanging="0"/>
        <w:jc w:val="left"/>
        <w:rPr>
          <w:rFonts w:ascii="Arial" w:hAnsi="Arial"/>
          <w:sz w:val="20"/>
        </w:rPr>
      </w:pPr>
      <w:r>
        <w:rPr>
          <w:rFonts w:ascii="Arial" w:hAnsi="Arial"/>
          <w:sz w:val="21"/>
        </w:rPr>
        <w:t>(ii)obtains</w:t>
      </w:r>
      <w:r>
        <w:rPr>
          <w:rFonts w:ascii="Arial" w:hAnsi="Arial"/>
          <w:sz w:val="20"/>
        </w:rPr>
        <w:t> </w:t>
      </w:r>
      <w:r>
        <w:rPr>
          <w:rFonts w:ascii="Arial" w:hAnsi="Arial"/>
          <w:sz w:val="21"/>
        </w:rPr>
        <w:t>and</w:t>
      </w:r>
      <w:r>
        <w:rPr>
          <w:rFonts w:ascii="Arial" w:hAnsi="Arial"/>
          <w:sz w:val="20"/>
        </w:rPr>
        <w:t> </w:t>
      </w:r>
      <w:r>
        <w:rPr>
          <w:rFonts w:ascii="Arial" w:hAnsi="Arial"/>
          <w:sz w:val="21"/>
        </w:rPr>
        <w:t>maintains</w:t>
      </w:r>
      <w:r>
        <w:rPr>
          <w:rFonts w:ascii="Arial" w:hAnsi="Arial"/>
          <w:sz w:val="20"/>
        </w:rPr>
        <w:t> </w:t>
      </w:r>
      <w:r>
        <w:rPr>
          <w:rFonts w:ascii="Arial" w:hAnsi="Arial"/>
          <w:sz w:val="21"/>
        </w:rPr>
        <w:t>all</w:t>
      </w:r>
      <w:r>
        <w:rPr>
          <w:rFonts w:ascii="Arial" w:hAnsi="Arial"/>
          <w:sz w:val="20"/>
        </w:rPr>
        <w:t> </w:t>
      </w:r>
      <w:r>
        <w:rPr>
          <w:rFonts w:ascii="Arial" w:hAnsi="Arial"/>
          <w:sz w:val="21"/>
        </w:rPr>
        <w:t>Authorisations</w:t>
      </w:r>
      <w:r>
        <w:rPr>
          <w:rFonts w:ascii="Arial" w:hAnsi="Arial"/>
          <w:sz w:val="20"/>
        </w:rPr>
        <w:t> </w:t>
      </w:r>
      <w:r>
        <w:rPr>
          <w:rFonts w:ascii="Arial" w:hAnsi="Arial"/>
          <w:sz w:val="21"/>
        </w:rPr>
        <w:t>necessary</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conduct of its business;</w:t>
      </w:r>
      <w:r>
        <w:rPr>
          <w:rFonts w:ascii="Arial" w:hAnsi="Arial"/>
          <w:sz w:val="20"/>
        </w:rPr>
        <w:t xml:space="preserve"> </w:t>
      </w:r>
    </w:p>
    <w:p>
      <w:pPr>
        <w:pStyle w:val="TextBody"/>
        <w:bidi w:val="0"/>
        <w:spacing w:lineRule="auto" w:line="266" w:before="115" w:after="0"/>
        <w:ind w:left="4275" w:right="2062" w:hanging="0"/>
        <w:jc w:val="left"/>
        <w:rPr>
          <w:rFonts w:ascii="Arial" w:hAnsi="Arial"/>
          <w:sz w:val="20"/>
        </w:rPr>
      </w:pPr>
      <w:r>
        <w:rPr>
          <w:rFonts w:ascii="Arial" w:hAnsi="Arial"/>
          <w:sz w:val="21"/>
        </w:rPr>
        <w:t>(iii)comply</w:t>
      </w:r>
      <w:r>
        <w:rPr>
          <w:rFonts w:ascii="Arial" w:hAnsi="Arial"/>
          <w:sz w:val="20"/>
        </w:rPr>
        <w:t> </w:t>
      </w:r>
      <w:r>
        <w:rPr>
          <w:rFonts w:ascii="Arial" w:hAnsi="Arial"/>
          <w:sz w:val="21"/>
        </w:rPr>
        <w:t>with</w:t>
      </w:r>
      <w:r>
        <w:rPr>
          <w:rFonts w:ascii="Arial" w:hAnsi="Arial"/>
          <w:sz w:val="20"/>
        </w:rPr>
        <w:t> </w:t>
      </w:r>
      <w:r>
        <w:rPr>
          <w:rFonts w:ascii="Arial" w:hAnsi="Arial"/>
          <w:sz w:val="21"/>
        </w:rPr>
        <w:t>all</w:t>
      </w:r>
      <w:r>
        <w:rPr>
          <w:rFonts w:ascii="Arial" w:hAnsi="Arial"/>
          <w:sz w:val="20"/>
        </w:rPr>
        <w:t> </w:t>
      </w:r>
      <w:r>
        <w:rPr>
          <w:rFonts w:ascii="Arial" w:hAnsi="Arial"/>
          <w:sz w:val="21"/>
        </w:rPr>
        <w:t>laws</w:t>
      </w:r>
      <w:r>
        <w:rPr>
          <w:rFonts w:ascii="Arial" w:hAnsi="Arial"/>
          <w:sz w:val="20"/>
        </w:rPr>
        <w:t> </w:t>
      </w:r>
      <w:r>
        <w:rPr>
          <w:rFonts w:ascii="Arial" w:hAnsi="Arial"/>
          <w:sz w:val="21"/>
        </w:rPr>
        <w:t>affecting</w:t>
      </w:r>
      <w:r>
        <w:rPr>
          <w:rFonts w:ascii="Arial" w:hAnsi="Arial"/>
          <w:sz w:val="20"/>
        </w:rPr>
        <w:t> </w:t>
      </w:r>
      <w:r>
        <w:rPr>
          <w:rFonts w:ascii="Arial" w:hAnsi="Arial"/>
          <w:sz w:val="21"/>
        </w:rPr>
        <w:t>it</w:t>
      </w:r>
      <w:r>
        <w:rPr>
          <w:rFonts w:ascii="Arial" w:hAnsi="Arial"/>
          <w:sz w:val="20"/>
        </w:rPr>
        <w:t> </w:t>
      </w:r>
      <w:r>
        <w:rPr>
          <w:rFonts w:ascii="Arial" w:hAnsi="Arial"/>
          <w:sz w:val="21"/>
        </w:rPr>
        <w:t>or</w:t>
      </w:r>
      <w:r>
        <w:rPr>
          <w:rFonts w:ascii="Arial" w:hAnsi="Arial"/>
          <w:sz w:val="20"/>
        </w:rPr>
        <w:t> </w:t>
      </w:r>
      <w:r>
        <w:rPr>
          <w:rFonts w:ascii="Arial" w:hAnsi="Arial"/>
          <w:sz w:val="21"/>
        </w:rPr>
        <w:t>its</w:t>
      </w:r>
      <w:r>
        <w:rPr>
          <w:rFonts w:ascii="Arial" w:hAnsi="Arial"/>
          <w:sz w:val="20"/>
        </w:rPr>
        <w:t> </w:t>
      </w:r>
      <w:r>
        <w:rPr>
          <w:rFonts w:ascii="Arial" w:hAnsi="Arial"/>
          <w:sz w:val="21"/>
        </w:rPr>
        <w:t>business</w:t>
      </w:r>
      <w:r>
        <w:rPr>
          <w:rFonts w:ascii="Arial" w:hAnsi="Arial"/>
          <w:sz w:val="20"/>
        </w:rPr>
        <w:t> </w:t>
      </w:r>
      <w:r>
        <w:rPr>
          <w:rFonts w:ascii="Arial" w:hAnsi="Arial"/>
          <w:sz w:val="21"/>
        </w:rPr>
        <w:t>in</w:t>
      </w:r>
      <w:r>
        <w:rPr>
          <w:rFonts w:ascii="Arial" w:hAnsi="Arial"/>
          <w:sz w:val="20"/>
        </w:rPr>
        <w:t> </w:t>
      </w:r>
      <w:r>
        <w:rPr>
          <w:rFonts w:ascii="Arial" w:hAnsi="Arial"/>
          <w:sz w:val="21"/>
        </w:rPr>
        <w:t>all</w:t>
      </w:r>
      <w:r>
        <w:rPr>
          <w:rFonts w:ascii="Arial" w:hAnsi="Arial"/>
          <w:sz w:val="20"/>
        </w:rPr>
        <w:t> </w:t>
      </w:r>
      <w:r>
        <w:rPr>
          <w:rFonts w:ascii="Arial" w:hAnsi="Arial"/>
          <w:sz w:val="21"/>
        </w:rPr>
        <w:t>relevant jurisdictions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(f)</w:t>
      </w:r>
      <w:r>
        <w:rPr>
          <w:rFonts w:ascii="Arial" w:hAnsi="Arial"/>
          <w:b/>
          <w:sz w:val="21"/>
        </w:rPr>
        <w:t>Distributions:</w:t>
      </w:r>
      <w:r>
        <w:rPr>
          <w:rFonts w:ascii="Arial" w:hAnsi="Arial"/>
          <w:sz w:val="20"/>
        </w:rPr>
        <w:t> </w:t>
      </w:r>
      <w:r>
        <w:rPr>
          <w:rFonts w:ascii="Arial" w:hAnsi="Arial"/>
          <w:sz w:val="21"/>
        </w:rPr>
        <w:t>it</w:t>
      </w:r>
      <w:r>
        <w:rPr>
          <w:rFonts w:ascii="Arial" w:hAnsi="Arial"/>
          <w:sz w:val="20"/>
        </w:rPr>
        <w:t> </w:t>
      </w:r>
      <w:r>
        <w:rPr>
          <w:rFonts w:ascii="Arial" w:hAnsi="Arial"/>
          <w:sz w:val="21"/>
        </w:rPr>
        <w:t>must</w:t>
      </w:r>
      <w:r>
        <w:rPr>
          <w:rFonts w:ascii="Arial" w:hAnsi="Arial"/>
          <w:sz w:val="20"/>
        </w:rPr>
        <w:t> </w:t>
      </w:r>
      <w:r>
        <w:rPr>
          <w:rFonts w:ascii="Arial" w:hAnsi="Arial"/>
          <w:sz w:val="21"/>
        </w:rPr>
        <w:t>not</w:t>
      </w:r>
      <w:r>
        <w:rPr>
          <w:rFonts w:ascii="Arial" w:hAnsi="Arial"/>
          <w:sz w:val="20"/>
        </w:rPr>
        <w:t> </w:t>
      </w:r>
      <w:r>
        <w:rPr>
          <w:rFonts w:ascii="Arial" w:hAnsi="Arial"/>
          <w:sz w:val="21"/>
        </w:rPr>
        <w:t>make</w:t>
      </w:r>
      <w:r>
        <w:rPr>
          <w:rFonts w:ascii="Arial" w:hAnsi="Arial"/>
          <w:sz w:val="20"/>
        </w:rPr>
        <w:t> </w:t>
      </w:r>
      <w:r>
        <w:rPr>
          <w:rFonts w:ascii="Arial" w:hAnsi="Arial"/>
          <w:sz w:val="21"/>
        </w:rPr>
        <w:t>any</w:t>
      </w:r>
      <w:r>
        <w:rPr>
          <w:rFonts w:ascii="Arial" w:hAnsi="Arial"/>
          <w:sz w:val="20"/>
        </w:rPr>
        <w:t> </w:t>
      </w:r>
      <w:r>
        <w:rPr>
          <w:rFonts w:ascii="Arial" w:hAnsi="Arial"/>
          <w:sz w:val="21"/>
        </w:rPr>
        <w:t>Distribution</w:t>
      </w:r>
      <w:r>
        <w:rPr>
          <w:rFonts w:ascii="Arial" w:hAnsi="Arial"/>
          <w:sz w:val="20"/>
        </w:rPr>
        <w:t> </w:t>
      </w:r>
      <w:r>
        <w:rPr>
          <w:rFonts w:ascii="Arial" w:hAnsi="Arial"/>
          <w:sz w:val="21"/>
        </w:rPr>
        <w:t>except</w:t>
      </w:r>
      <w:r>
        <w:rPr>
          <w:rFonts w:ascii="Arial" w:hAnsi="Arial"/>
          <w:sz w:val="20"/>
        </w:rPr>
        <w:t> </w:t>
      </w:r>
      <w:r>
        <w:rPr>
          <w:rFonts w:ascii="Arial" w:hAnsi="Arial"/>
          <w:sz w:val="21"/>
        </w:rPr>
        <w:t>a</w:t>
      </w:r>
      <w:r>
        <w:rPr>
          <w:rFonts w:ascii="Arial" w:hAnsi="Arial"/>
          <w:sz w:val="20"/>
        </w:rPr>
        <w:t> </w:t>
      </w:r>
      <w:r>
        <w:rPr>
          <w:rFonts w:ascii="Arial" w:hAnsi="Arial"/>
          <w:sz w:val="21"/>
        </w:rPr>
        <w:t>Permitted Distribution;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(g)</w:t>
      </w:r>
      <w:r>
        <w:rPr>
          <w:rFonts w:ascii="Arial" w:hAnsi="Arial"/>
          <w:b/>
          <w:sz w:val="21"/>
        </w:rPr>
        <w:t>Taxes:</w:t>
      </w:r>
      <w:r>
        <w:rPr>
          <w:rFonts w:ascii="Arial" w:hAnsi="Arial"/>
          <w:sz w:val="20"/>
        </w:rPr>
        <w:t> </w:t>
      </w:r>
      <w:r>
        <w:rPr>
          <w:rFonts w:ascii="Arial" w:hAnsi="Arial"/>
          <w:sz w:val="21"/>
        </w:rPr>
        <w:t>must</w:t>
      </w:r>
      <w:r>
        <w:rPr>
          <w:rFonts w:ascii="Arial" w:hAnsi="Arial"/>
          <w:sz w:val="20"/>
        </w:rPr>
        <w:t xml:space="preserve"> </w:t>
      </w:r>
    </w:p>
    <w:p>
      <w:pPr>
        <w:pStyle w:val="TextBody"/>
        <w:bidi w:val="0"/>
        <w:spacing w:lineRule="auto" w:line="266" w:before="147" w:after="0"/>
        <w:ind w:left="4275" w:right="1524" w:hanging="0"/>
        <w:jc w:val="left"/>
        <w:rPr>
          <w:rFonts w:ascii="Arial" w:hAnsi="Arial"/>
          <w:sz w:val="20"/>
        </w:rPr>
      </w:pPr>
      <w:r>
        <w:rPr>
          <w:rFonts w:ascii="Arial" w:hAnsi="Arial"/>
          <w:sz w:val="21"/>
        </w:rPr>
        <w:t>(i)promptly pay when they become due for payment (or reimburse the Bank on demand for)</w:t>
      </w:r>
      <w:r>
        <w:rPr>
          <w:rFonts w:ascii="Arial" w:hAnsi="Arial"/>
          <w:sz w:val="20"/>
        </w:rPr>
        <w:t> </w:t>
      </w:r>
      <w:r>
        <w:rPr>
          <w:rFonts w:ascii="Arial" w:hAnsi="Arial"/>
          <w:sz w:val="21"/>
        </w:rPr>
        <w:t>all</w:t>
      </w:r>
      <w:r>
        <w:rPr>
          <w:rFonts w:ascii="Arial" w:hAnsi="Arial"/>
          <w:sz w:val="20"/>
        </w:rPr>
        <w:t> </w:t>
      </w:r>
      <w:r>
        <w:rPr>
          <w:rFonts w:ascii="Arial" w:hAnsi="Arial"/>
          <w:sz w:val="21"/>
        </w:rPr>
        <w:t>Taxes payable by</w:t>
      </w:r>
      <w:r>
        <w:rPr>
          <w:rFonts w:ascii="Arial" w:hAnsi="Arial"/>
          <w:sz w:val="20"/>
        </w:rPr>
        <w:t> </w:t>
      </w:r>
      <w:r>
        <w:rPr>
          <w:rFonts w:ascii="Arial" w:hAnsi="Arial"/>
          <w:sz w:val="21"/>
        </w:rPr>
        <w:t>it</w:t>
      </w:r>
      <w:r>
        <w:rPr>
          <w:rFonts w:ascii="Arial" w:hAnsi="Arial"/>
          <w:sz w:val="20"/>
        </w:rPr>
        <w:t> </w:t>
      </w:r>
      <w:r>
        <w:rPr>
          <w:rFonts w:ascii="Arial" w:hAnsi="Arial"/>
          <w:sz w:val="21"/>
        </w:rPr>
        <w:t>from time to time other</w:t>
      </w:r>
      <w:r>
        <w:rPr>
          <w:rFonts w:ascii="Arial" w:hAnsi="Arial"/>
          <w:sz w:val="20"/>
        </w:rPr>
        <w:t> </w:t>
      </w:r>
      <w:r>
        <w:rPr>
          <w:rFonts w:ascii="Arial" w:hAnsi="Arial"/>
          <w:sz w:val="21"/>
        </w:rPr>
        <w:t>than</w:t>
      </w:r>
      <w:r>
        <w:rPr>
          <w:rFonts w:ascii="Arial" w:hAnsi="Arial"/>
          <w:sz w:val="20"/>
        </w:rPr>
        <w:t> </w:t>
      </w:r>
      <w:r>
        <w:rPr>
          <w:rFonts w:ascii="Arial" w:hAnsi="Arial"/>
          <w:sz w:val="21"/>
        </w:rPr>
        <w:t>Taxes</w:t>
      </w:r>
      <w:r>
        <w:rPr>
          <w:rFonts w:ascii="Arial" w:hAnsi="Arial"/>
          <w:sz w:val="20"/>
        </w:rPr>
        <w:t> </w:t>
      </w:r>
      <w:r>
        <w:rPr>
          <w:rFonts w:ascii="Arial" w:hAnsi="Arial"/>
          <w:sz w:val="21"/>
        </w:rPr>
        <w:t>being</w:t>
      </w:r>
      <w:r>
        <w:rPr>
          <w:rFonts w:ascii="Arial" w:hAnsi="Arial"/>
          <w:sz w:val="20"/>
        </w:rPr>
        <w:t> </w:t>
      </w:r>
      <w:r>
        <w:rPr>
          <w:rFonts w:ascii="Arial" w:hAnsi="Arial"/>
          <w:sz w:val="21"/>
        </w:rPr>
        <w:t>contested</w:t>
      </w:r>
      <w:r>
        <w:rPr>
          <w:rFonts w:ascii="Arial" w:hAnsi="Arial"/>
          <w:sz w:val="20"/>
        </w:rPr>
        <w:t> </w:t>
      </w:r>
      <w:r>
        <w:rPr>
          <w:rFonts w:ascii="Arial" w:hAnsi="Arial"/>
          <w:sz w:val="21"/>
        </w:rPr>
        <w:t>in</w:t>
      </w:r>
      <w:r>
        <w:rPr>
          <w:rFonts w:ascii="Arial" w:hAnsi="Arial"/>
          <w:sz w:val="20"/>
        </w:rPr>
        <w:t> </w:t>
      </w:r>
      <w:r>
        <w:rPr>
          <w:rFonts w:ascii="Arial" w:hAnsi="Arial"/>
          <w:sz w:val="21"/>
        </w:rPr>
        <w:t>good</w:t>
      </w:r>
      <w:r>
        <w:rPr>
          <w:rFonts w:ascii="Arial" w:hAnsi="Arial"/>
          <w:sz w:val="20"/>
        </w:rPr>
        <w:t> </w:t>
      </w:r>
      <w:r>
        <w:rPr>
          <w:rFonts w:ascii="Arial" w:hAnsi="Arial"/>
          <w:sz w:val="21"/>
        </w:rPr>
        <w:t>faith</w:t>
      </w:r>
      <w:r>
        <w:rPr>
          <w:rFonts w:ascii="Arial" w:hAnsi="Arial"/>
          <w:sz w:val="20"/>
        </w:rPr>
        <w:t> </w:t>
      </w:r>
      <w:r>
        <w:rPr>
          <w:rFonts w:ascii="Arial" w:hAnsi="Arial"/>
          <w:sz w:val="21"/>
        </w:rPr>
        <w:t>where</w:t>
      </w:r>
      <w:r>
        <w:rPr>
          <w:rFonts w:ascii="Arial" w:hAnsi="Arial"/>
          <w:sz w:val="20"/>
        </w:rPr>
        <w:t> </w:t>
      </w:r>
      <w:r>
        <w:rPr>
          <w:rFonts w:ascii="Arial" w:hAnsi="Arial"/>
          <w:sz w:val="21"/>
        </w:rPr>
        <w:t>it</w:t>
      </w:r>
      <w:r>
        <w:rPr>
          <w:rFonts w:ascii="Arial" w:hAnsi="Arial"/>
          <w:sz w:val="20"/>
        </w:rPr>
        <w:t> </w:t>
      </w:r>
      <w:r>
        <w:rPr>
          <w:rFonts w:ascii="Arial" w:hAnsi="Arial"/>
          <w:sz w:val="21"/>
        </w:rPr>
        <w:t>has</w:t>
      </w:r>
      <w:r>
        <w:rPr>
          <w:rFonts w:ascii="Arial" w:hAnsi="Arial"/>
          <w:sz w:val="20"/>
        </w:rPr>
        <w:t> </w:t>
      </w:r>
      <w:r>
        <w:rPr>
          <w:rFonts w:ascii="Arial" w:hAnsi="Arial"/>
          <w:sz w:val="21"/>
        </w:rPr>
        <w:t>made adequate provisioning;</w:t>
      </w:r>
      <w:r>
        <w:rPr>
          <w:rFonts w:ascii="Arial" w:hAnsi="Arial"/>
          <w:sz w:val="20"/>
        </w:rPr>
        <w:t xml:space="preserve"> </w:t>
      </w:r>
    </w:p>
    <w:p>
      <w:pPr>
        <w:pStyle w:val="TextBody"/>
        <w:bidi w:val="0"/>
        <w:spacing w:lineRule="auto" w:line="266" w:before="0" w:after="0"/>
        <w:ind w:left="4275" w:right="1408" w:hanging="0"/>
        <w:jc w:val="left"/>
        <w:rPr>
          <w:rFonts w:ascii="Arial" w:hAnsi="Arial"/>
          <w:sz w:val="20"/>
        </w:rPr>
      </w:pPr>
      <w:r>
        <w:rPr>
          <w:rFonts w:ascii="Arial" w:hAnsi="Arial"/>
          <w:sz w:val="21"/>
        </w:rPr>
        <w:t>(ii)not transfer any Tax losses to any person other than to the Borrower</w:t>
      </w:r>
      <w:r>
        <w:rPr>
          <w:rFonts w:ascii="Arial" w:hAnsi="Arial"/>
          <w:sz w:val="20"/>
        </w:rPr>
        <w:t> </w:t>
      </w:r>
      <w:r>
        <w:rPr>
          <w:rFonts w:ascii="Arial" w:hAnsi="Arial"/>
          <w:sz w:val="21"/>
        </w:rPr>
        <w:t>in</w:t>
      </w:r>
      <w:r>
        <w:rPr>
          <w:rFonts w:ascii="Arial" w:hAnsi="Arial"/>
          <w:sz w:val="20"/>
        </w:rPr>
        <w:t> </w:t>
      </w:r>
      <w:r>
        <w:rPr>
          <w:rFonts w:ascii="Arial" w:hAnsi="Arial"/>
          <w:sz w:val="21"/>
        </w:rPr>
        <w:t>connection</w:t>
      </w:r>
      <w:r>
        <w:rPr>
          <w:rFonts w:ascii="Arial" w:hAnsi="Arial"/>
          <w:sz w:val="20"/>
        </w:rPr>
        <w:t> </w:t>
      </w:r>
      <w:r>
        <w:rPr>
          <w:rFonts w:ascii="Arial" w:hAnsi="Arial"/>
          <w:sz w:val="21"/>
        </w:rPr>
        <w:t>with</w:t>
      </w:r>
      <w:r>
        <w:rPr>
          <w:rFonts w:ascii="Arial" w:hAnsi="Arial"/>
          <w:sz w:val="20"/>
        </w:rPr>
        <w:t> </w:t>
      </w:r>
      <w:r>
        <w:rPr>
          <w:rFonts w:ascii="Arial" w:hAnsi="Arial"/>
          <w:sz w:val="21"/>
        </w:rPr>
        <w:t>the</w:t>
      </w:r>
      <w:r>
        <w:rPr>
          <w:rFonts w:ascii="Arial" w:hAnsi="Arial"/>
          <w:sz w:val="20"/>
        </w:rPr>
        <w:t> </w:t>
      </w:r>
      <w:r>
        <w:rPr>
          <w:rFonts w:ascii="Arial" w:hAnsi="Arial"/>
          <w:sz w:val="21"/>
        </w:rPr>
        <w:t>preparation</w:t>
      </w:r>
      <w:r>
        <w:rPr>
          <w:rFonts w:ascii="Arial" w:hAnsi="Arial"/>
          <w:sz w:val="20"/>
        </w:rPr>
        <w:t> </w:t>
      </w:r>
      <w:r>
        <w:rPr>
          <w:rFonts w:ascii="Arial" w:hAnsi="Arial"/>
          <w:sz w:val="21"/>
        </w:rPr>
        <w:t>of</w:t>
      </w:r>
      <w:r>
        <w:rPr>
          <w:rFonts w:ascii="Arial" w:hAnsi="Arial"/>
          <w:sz w:val="20"/>
        </w:rPr>
        <w:t> </w:t>
      </w:r>
      <w:r>
        <w:rPr>
          <w:rFonts w:ascii="Arial" w:hAnsi="Arial"/>
          <w:sz w:val="21"/>
        </w:rPr>
        <w:t>consolidated</w:t>
      </w:r>
      <w:r>
        <w:rPr>
          <w:rFonts w:ascii="Arial" w:hAnsi="Arial"/>
          <w:sz w:val="20"/>
        </w:rPr>
        <w:t> </w:t>
      </w:r>
      <w:r>
        <w:rPr>
          <w:rFonts w:ascii="Arial" w:hAnsi="Arial"/>
          <w:sz w:val="21"/>
        </w:rPr>
        <w:t>annual Financial Statements or in connection with the Reading Entertainment Australia Group's tax consolidation arrangements; and</w:t>
      </w:r>
      <w:r>
        <w:rPr>
          <w:rFonts w:ascii="Arial" w:hAnsi="Arial"/>
          <w:sz w:val="20"/>
        </w:rPr>
        <w:t xml:space="preserve"> </w:t>
      </w:r>
    </w:p>
    <w:p>
      <w:pPr>
        <w:pStyle w:val="TextBody"/>
        <w:bidi w:val="0"/>
        <w:spacing w:lineRule="auto" w:line="266" w:before="0" w:after="0"/>
        <w:ind w:left="4275" w:right="1420" w:hanging="0"/>
        <w:jc w:val="left"/>
        <w:rPr>
          <w:rFonts w:ascii="Arial" w:hAnsi="Arial"/>
          <w:sz w:val="20"/>
        </w:rPr>
      </w:pPr>
      <w:r>
        <w:rPr>
          <w:rFonts w:ascii="Arial" w:hAnsi="Arial"/>
          <w:sz w:val="21"/>
        </w:rPr>
        <w:t>(iii)not become a</w:t>
      </w:r>
      <w:r>
        <w:rPr>
          <w:rFonts w:ascii="Arial" w:hAnsi="Arial"/>
          <w:sz w:val="20"/>
        </w:rPr>
        <w:t> </w:t>
      </w:r>
      <w:r>
        <w:rPr>
          <w:rFonts w:ascii="Arial" w:hAnsi="Arial"/>
          <w:sz w:val="21"/>
        </w:rPr>
        <w:t>member of a consolidated group for the purposes of Part</w:t>
      </w:r>
      <w:r>
        <w:rPr>
          <w:rFonts w:ascii="Arial" w:hAnsi="Arial"/>
          <w:sz w:val="20"/>
        </w:rPr>
        <w:t> </w:t>
      </w:r>
      <w:r>
        <w:rPr>
          <w:rFonts w:ascii="Arial" w:hAnsi="Arial"/>
          <w:sz w:val="21"/>
        </w:rPr>
        <w:t>3-90</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Income</w:t>
      </w:r>
      <w:r>
        <w:rPr>
          <w:rFonts w:ascii="Arial" w:hAnsi="Arial"/>
          <w:sz w:val="20"/>
        </w:rPr>
        <w:t> </w:t>
      </w:r>
      <w:r>
        <w:rPr>
          <w:rFonts w:ascii="Arial" w:hAnsi="Arial"/>
          <w:i/>
          <w:sz w:val="21"/>
        </w:rPr>
        <w:t>Tax</w:t>
      </w:r>
      <w:r>
        <w:rPr>
          <w:rFonts w:ascii="Arial" w:hAnsi="Arial"/>
          <w:sz w:val="20"/>
        </w:rPr>
        <w:t> </w:t>
      </w:r>
      <w:r>
        <w:rPr>
          <w:rFonts w:ascii="Arial" w:hAnsi="Arial"/>
          <w:i/>
          <w:sz w:val="21"/>
        </w:rPr>
        <w:t>Assessment</w:t>
      </w:r>
      <w:r>
        <w:rPr>
          <w:rFonts w:ascii="Arial" w:hAnsi="Arial"/>
          <w:sz w:val="20"/>
        </w:rPr>
        <w:t> </w:t>
      </w:r>
      <w:r>
        <w:rPr>
          <w:rFonts w:ascii="Arial" w:hAnsi="Arial"/>
          <w:i/>
          <w:sz w:val="21"/>
        </w:rPr>
        <w:t>Act</w:t>
      </w:r>
      <w:r>
        <w:rPr>
          <w:rFonts w:ascii="Arial" w:hAnsi="Arial"/>
          <w:sz w:val="20"/>
        </w:rPr>
        <w:t> </w:t>
      </w:r>
      <w:r>
        <w:rPr>
          <w:rFonts w:ascii="Arial" w:hAnsi="Arial"/>
          <w:i/>
          <w:sz w:val="21"/>
        </w:rPr>
        <w:t>1936</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i/>
          <w:sz w:val="21"/>
        </w:rPr>
        <w:t xml:space="preserve">Income Tax Act 1997 </w:t>
      </w:r>
      <w:r>
        <w:rPr>
          <w:rFonts w:ascii="Arial" w:hAnsi="Arial"/>
          <w:sz w:val="21"/>
        </w:rPr>
        <w:t xml:space="preserve">including any amendments thereto (including any amendments made by the </w:t>
      </w:r>
      <w:r>
        <w:rPr>
          <w:rFonts w:ascii="Arial" w:hAnsi="Arial"/>
          <w:i/>
          <w:sz w:val="21"/>
        </w:rPr>
        <w:t xml:space="preserve">New Business Tax (Consolidation Act (No. 1)) 2002 </w:t>
      </w:r>
      <w:r>
        <w:rPr>
          <w:rFonts w:ascii="Arial" w:hAnsi="Arial"/>
          <w:sz w:val="21"/>
        </w:rPr>
        <w:t xml:space="preserve">and the </w:t>
      </w:r>
      <w:r>
        <w:rPr>
          <w:rFonts w:ascii="Arial" w:hAnsi="Arial"/>
          <w:i/>
          <w:sz w:val="21"/>
        </w:rPr>
        <w:t xml:space="preserve">New Business Tax System (Consolidation, Value Shifting, Damages and other Measures) Act 2002) </w:t>
      </w:r>
      <w:r>
        <w:rPr>
          <w:rFonts w:ascii="Arial" w:hAnsi="Arial"/>
          <w:sz w:val="21"/>
        </w:rPr>
        <w:t>other than in accordance with a Tax Sharing</w:t>
      </w:r>
      <w:r>
        <w:rPr>
          <w:rFonts w:ascii="Arial" w:hAnsi="Arial"/>
          <w:sz w:val="20"/>
        </w:rPr>
        <w:t> </w:t>
      </w:r>
      <w:r>
        <w:rPr>
          <w:rFonts w:ascii="Arial" w:hAnsi="Arial"/>
          <w:sz w:val="21"/>
        </w:rPr>
        <w:t>Agreement or otherwise on terms approved by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2"/>
        </w:rPr>
      </w:pPr>
      <w:r>
        <w:rPr>
          <w:rFonts w:ascii="Arial" w:hAnsi="Arial"/>
          <w:sz w:val="22"/>
        </w:rPr>
        <w:t>(h)</w:t>
      </w:r>
      <w:r>
        <w:rPr>
          <w:rFonts w:ascii="Arial" w:hAnsi="Arial"/>
          <w:b/>
          <w:sz w:val="22"/>
        </w:rPr>
        <w:t>Guarantor</w:t>
      </w:r>
      <w:r>
        <w:rPr>
          <w:rFonts w:ascii="Arial" w:hAnsi="Arial"/>
          <w:sz w:val="22"/>
        </w:rPr>
        <w:t> </w:t>
      </w:r>
      <w:r>
        <w:rPr>
          <w:rFonts w:ascii="Arial" w:hAnsi="Arial"/>
          <w:b/>
          <w:sz w:val="22"/>
        </w:rPr>
        <w:t>coverage:</w:t>
      </w:r>
      <w:r>
        <w:rPr>
          <w:rFonts w:ascii="Arial" w:hAnsi="Arial"/>
          <w:sz w:val="22"/>
        </w:rPr>
        <w:t xml:space="preserve"> </w:t>
      </w:r>
    </w:p>
    <w:p>
      <w:pPr>
        <w:pStyle w:val="TextBody"/>
        <w:bidi w:val="0"/>
        <w:spacing w:lineRule="auto" w:line="266" w:before="147" w:after="0"/>
        <w:ind w:left="4253" w:right="1980" w:hanging="0"/>
        <w:jc w:val="left"/>
        <w:rPr>
          <w:rFonts w:ascii="Arial" w:hAnsi="Arial"/>
          <w:sz w:val="20"/>
        </w:rPr>
      </w:pPr>
      <w:r>
        <w:rPr>
          <w:rFonts w:ascii="Arial" w:hAnsi="Arial"/>
          <w:sz w:val="21"/>
        </w:rPr>
        <w:t>(i)Subject</w:t>
      </w:r>
      <w:r>
        <w:rPr>
          <w:rFonts w:ascii="Arial" w:hAnsi="Arial"/>
          <w:sz w:val="20"/>
        </w:rPr>
        <w:t> </w:t>
      </w:r>
      <w:r>
        <w:rPr>
          <w:rFonts w:ascii="Arial" w:hAnsi="Arial"/>
          <w:sz w:val="21"/>
        </w:rPr>
        <w:t>to</w:t>
      </w:r>
      <w:r>
        <w:rPr>
          <w:rFonts w:ascii="Arial" w:hAnsi="Arial"/>
          <w:sz w:val="20"/>
        </w:rPr>
        <w:t> </w:t>
      </w:r>
      <w:r>
        <w:rPr>
          <w:rFonts w:ascii="Arial" w:hAnsi="Arial"/>
          <w:sz w:val="21"/>
        </w:rPr>
        <w:t>paragraph</w:t>
      </w:r>
      <w:r>
        <w:rPr>
          <w:rFonts w:ascii="Arial" w:hAnsi="Arial"/>
          <w:sz w:val="20"/>
        </w:rPr>
        <w:t> </w:t>
      </w:r>
      <w:r>
        <w:rPr>
          <w:rFonts w:ascii="Arial" w:hAnsi="Arial"/>
          <w:sz w:val="21"/>
        </w:rPr>
        <w:t>(ii),</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shall</w:t>
      </w:r>
      <w:r>
        <w:rPr>
          <w:rFonts w:ascii="Arial" w:hAnsi="Arial"/>
          <w:sz w:val="20"/>
        </w:rPr>
        <w:t> </w:t>
      </w:r>
      <w:r>
        <w:rPr>
          <w:rFonts w:ascii="Arial" w:hAnsi="Arial"/>
          <w:sz w:val="21"/>
        </w:rPr>
        <w:t>ensure</w:t>
      </w:r>
      <w:r>
        <w:rPr>
          <w:rFonts w:ascii="Arial" w:hAnsi="Arial"/>
          <w:sz w:val="20"/>
        </w:rPr>
        <w:t> </w:t>
      </w:r>
      <w:r>
        <w:rPr>
          <w:rFonts w:ascii="Arial" w:hAnsi="Arial"/>
          <w:sz w:val="21"/>
        </w:rPr>
        <w:t>that</w:t>
      </w:r>
      <w:r>
        <w:rPr>
          <w:rFonts w:ascii="Arial" w:hAnsi="Arial"/>
          <w:sz w:val="20"/>
        </w:rPr>
        <w:t> </w:t>
      </w:r>
      <w:r>
        <w:rPr>
          <w:rFonts w:ascii="Arial" w:hAnsi="Arial"/>
          <w:sz w:val="21"/>
        </w:rPr>
        <w:t>at</w:t>
      </w:r>
      <w:r>
        <w:rPr>
          <w:rFonts w:ascii="Arial" w:hAnsi="Arial"/>
          <w:sz w:val="20"/>
        </w:rPr>
        <w:t> </w:t>
      </w:r>
      <w:r>
        <w:rPr>
          <w:rFonts w:ascii="Arial" w:hAnsi="Arial"/>
          <w:sz w:val="21"/>
        </w:rPr>
        <w:t>all times:</w:t>
      </w:r>
      <w:r>
        <w:rPr>
          <w:rFonts w:ascii="Arial" w:hAnsi="Arial"/>
          <w:sz w:val="20"/>
        </w:rPr>
        <w:t xml:space="preserve"> </w:t>
      </w:r>
    </w:p>
    <w:p>
      <w:pPr>
        <w:pStyle w:val="TextBody"/>
        <w:bidi w:val="0"/>
        <w:spacing w:lineRule="auto" w:line="266" w:before="0" w:after="0"/>
        <w:ind w:left="4820" w:right="1587" w:hanging="0"/>
        <w:jc w:val="left"/>
        <w:rPr>
          <w:rFonts w:ascii="Arial" w:hAnsi="Arial"/>
          <w:sz w:val="20"/>
        </w:rPr>
      </w:pPr>
      <w:r>
        <w:rPr>
          <w:rFonts w:ascii="Arial" w:hAnsi="Arial"/>
          <w:sz w:val="21"/>
        </w:rPr>
        <w:t>(A)the</w:t>
      </w:r>
      <w:r>
        <w:rPr>
          <w:rFonts w:ascii="Arial" w:hAnsi="Arial"/>
          <w:sz w:val="20"/>
        </w:rPr>
        <w:t> </w:t>
      </w:r>
      <w:r>
        <w:rPr>
          <w:rFonts w:ascii="Arial" w:hAnsi="Arial"/>
          <w:sz w:val="21"/>
        </w:rPr>
        <w:t>aggregate</w:t>
      </w:r>
      <w:r>
        <w:rPr>
          <w:rFonts w:ascii="Arial" w:hAnsi="Arial"/>
          <w:sz w:val="20"/>
        </w:rPr>
        <w:t> </w:t>
      </w:r>
      <w:r>
        <w:rPr>
          <w:rFonts w:ascii="Arial" w:hAnsi="Arial"/>
          <w:sz w:val="21"/>
        </w:rPr>
        <w:t>of</w:t>
      </w:r>
      <w:r>
        <w:rPr>
          <w:rFonts w:ascii="Arial" w:hAnsi="Arial"/>
          <w:sz w:val="20"/>
        </w:rPr>
        <w:t> </w:t>
      </w:r>
      <w:r>
        <w:rPr>
          <w:rFonts w:ascii="Arial" w:hAnsi="Arial"/>
          <w:sz w:val="21"/>
        </w:rPr>
        <w:t>total</w:t>
      </w:r>
      <w:r>
        <w:rPr>
          <w:rFonts w:ascii="Arial" w:hAnsi="Arial"/>
          <w:sz w:val="20"/>
        </w:rPr>
        <w:t> </w:t>
      </w:r>
      <w:r>
        <w:rPr>
          <w:rFonts w:ascii="Arial" w:hAnsi="Arial"/>
          <w:sz w:val="21"/>
        </w:rPr>
        <w:t>assets</w:t>
      </w:r>
      <w:r>
        <w:rPr>
          <w:rFonts w:ascii="Arial" w:hAnsi="Arial"/>
          <w:sz w:val="20"/>
        </w:rPr>
        <w:t> </w:t>
      </w:r>
      <w:r>
        <w:rPr>
          <w:rFonts w:ascii="Arial" w:hAnsi="Arial"/>
          <w:sz w:val="21"/>
        </w:rPr>
        <w:t>(calculated</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same</w:t>
      </w:r>
      <w:r>
        <w:rPr>
          <w:rFonts w:ascii="Arial" w:hAnsi="Arial"/>
          <w:sz w:val="20"/>
        </w:rPr>
        <w:t> </w:t>
      </w:r>
      <w:r>
        <w:rPr>
          <w:rFonts w:ascii="Arial" w:hAnsi="Arial"/>
          <w:sz w:val="21"/>
        </w:rPr>
        <w:t>basis as total assets of the Reading Entertainment Australia Group)</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Guarantors</w:t>
      </w:r>
      <w:r>
        <w:rPr>
          <w:rFonts w:ascii="Arial" w:hAnsi="Arial"/>
          <w:sz w:val="20"/>
        </w:rPr>
        <w:t> </w:t>
      </w:r>
      <w:r>
        <w:rPr>
          <w:rFonts w:ascii="Arial" w:hAnsi="Arial"/>
          <w:sz w:val="21"/>
        </w:rPr>
        <w:t>represents</w:t>
      </w:r>
      <w:r>
        <w:rPr>
          <w:rFonts w:ascii="Arial" w:hAnsi="Arial"/>
          <w:sz w:val="20"/>
        </w:rPr>
        <w:t> </w:t>
      </w:r>
      <w:r>
        <w:rPr>
          <w:rFonts w:ascii="Arial" w:hAnsi="Arial"/>
          <w:sz w:val="21"/>
        </w:rPr>
        <w:t>at</w:t>
      </w:r>
      <w:r>
        <w:rPr>
          <w:rFonts w:ascii="Arial" w:hAnsi="Arial"/>
          <w:sz w:val="20"/>
        </w:rPr>
        <w:t> </w:t>
      </w:r>
      <w:r>
        <w:rPr>
          <w:rFonts w:ascii="Arial" w:hAnsi="Arial"/>
          <w:sz w:val="21"/>
        </w:rPr>
        <w:t>least</w:t>
      </w:r>
      <w:r>
        <w:rPr>
          <w:rFonts w:ascii="Arial" w:hAnsi="Arial"/>
          <w:sz w:val="20"/>
        </w:rPr>
        <w:t> </w:t>
      </w:r>
      <w:r>
        <w:rPr>
          <w:rFonts w:ascii="Arial" w:hAnsi="Arial"/>
          <w:sz w:val="21"/>
        </w:rPr>
        <w:t>90</w:t>
      </w:r>
      <w:r>
        <w:rPr>
          <w:rFonts w:ascii="Arial" w:hAnsi="Arial"/>
          <w:sz w:val="20"/>
        </w:rPr>
        <w:t> </w:t>
      </w:r>
      <w:r>
        <w:rPr>
          <w:rFonts w:ascii="Arial" w:hAnsi="Arial"/>
          <w:sz w:val="21"/>
        </w:rPr>
        <w:t>per</w:t>
      </w:r>
      <w:r>
        <w:rPr>
          <w:rFonts w:ascii="Arial" w:hAnsi="Arial"/>
          <w:sz w:val="20"/>
        </w:rPr>
        <w:t> </w:t>
      </w:r>
      <w:r>
        <w:rPr>
          <w:rFonts w:ascii="Arial" w:hAnsi="Arial"/>
          <w:sz w:val="21"/>
        </w:rPr>
        <w:t>cent</w:t>
      </w:r>
      <w:r>
        <w:rPr>
          <w:rFonts w:ascii="Arial" w:hAnsi="Arial"/>
          <w:sz w:val="20"/>
        </w:rPr>
        <w:t> </w:t>
      </w:r>
      <w:r>
        <w:rPr>
          <w:rFonts w:ascii="Arial" w:hAnsi="Arial"/>
          <w:sz w:val="21"/>
        </w:rPr>
        <w:t>of total assets of the Reading Entertainment Australia Group; and</w:t>
      </w:r>
      <w:r>
        <w:rPr>
          <w:rFonts w:ascii="Arial" w:hAnsi="Arial"/>
          <w:sz w:val="20"/>
        </w:rPr>
        <w:t xml:space="preserve"> </w:t>
      </w:r>
    </w:p>
    <w:p>
      <w:pPr>
        <w:pStyle w:val="TextBody"/>
        <w:bidi w:val="0"/>
        <w:spacing w:lineRule="auto" w:line="266" w:before="120" w:after="0"/>
        <w:ind w:left="4820" w:right="1551" w:hanging="0"/>
        <w:jc w:val="left"/>
        <w:rPr>
          <w:rFonts w:ascii="Arial" w:hAnsi="Arial"/>
          <w:sz w:val="20"/>
        </w:rPr>
      </w:pPr>
      <w:r>
        <w:rPr>
          <w:rFonts w:ascii="Arial" w:hAnsi="Arial"/>
          <w:sz w:val="21"/>
        </w:rPr>
        <w:t>(B)the</w:t>
      </w:r>
      <w:r>
        <w:rPr>
          <w:rFonts w:ascii="Arial" w:hAnsi="Arial"/>
          <w:sz w:val="20"/>
        </w:rPr>
        <w:t> </w:t>
      </w:r>
      <w:r>
        <w:rPr>
          <w:rFonts w:ascii="Arial" w:hAnsi="Arial"/>
          <w:sz w:val="21"/>
        </w:rPr>
        <w:t>aggregate</w:t>
      </w:r>
      <w:r>
        <w:rPr>
          <w:rFonts w:ascii="Arial" w:hAnsi="Arial"/>
          <w:sz w:val="20"/>
        </w:rPr>
        <w:t> </w:t>
      </w:r>
      <w:r>
        <w:rPr>
          <w:rFonts w:ascii="Arial" w:hAnsi="Arial"/>
          <w:sz w:val="21"/>
        </w:rPr>
        <w:t>EBITDA</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Guarantors</w:t>
      </w:r>
      <w:r>
        <w:rPr>
          <w:rFonts w:ascii="Arial" w:hAnsi="Arial"/>
          <w:sz w:val="20"/>
        </w:rPr>
        <w:t> </w:t>
      </w:r>
      <w:r>
        <w:rPr>
          <w:rFonts w:ascii="Arial" w:hAnsi="Arial"/>
          <w:sz w:val="21"/>
        </w:rPr>
        <w:t>(calculated</w:t>
      </w:r>
      <w:r>
        <w:rPr>
          <w:rFonts w:ascii="Arial" w:hAnsi="Arial"/>
          <w:sz w:val="20"/>
        </w:rPr>
        <w:t> </w:t>
      </w:r>
      <w:r>
        <w:rPr>
          <w:rFonts w:ascii="Arial" w:hAnsi="Arial"/>
          <w:sz w:val="21"/>
        </w:rPr>
        <w:t>on</w:t>
      </w:r>
      <w:r>
        <w:rPr>
          <w:rFonts w:ascii="Arial" w:hAnsi="Arial"/>
          <w:sz w:val="20"/>
        </w:rPr>
        <w:t> </w:t>
      </w:r>
      <w:r>
        <w:rPr>
          <w:rFonts w:ascii="Arial" w:hAnsi="Arial"/>
          <w:sz w:val="21"/>
        </w:rPr>
        <w:t>the same basis as EBITDA of the Reading Entertainment Australia Group) represents at least 90 per cent of EBITDA of the Reading Entertainment Australia Group;</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820" w:right="1551" w:hanging="0"/>
        <w:jc w:val="left"/>
        <w:rPr>
          <w:rFonts w:ascii="Arial" w:hAnsi="Arial"/>
          <w:sz w:val="20"/>
        </w:rPr>
      </w:pPr>
      <w:r>
        <w:rPr>
          <w:rFonts w:ascii="Arial" w:hAnsi="Arial"/>
          <w:sz w:val="21"/>
        </w:rPr>
        <w:t>(C)any member of the Reading Entertainment Australia Group which contributes 5 per cent of more of EBITDA of the Reading</w:t>
      </w:r>
      <w:r>
        <w:rPr>
          <w:rFonts w:ascii="Arial" w:hAnsi="Arial"/>
          <w:sz w:val="20"/>
        </w:rPr>
        <w:t> </w:t>
      </w:r>
      <w:r>
        <w:rPr>
          <w:rFonts w:ascii="Arial" w:hAnsi="Arial"/>
          <w:sz w:val="21"/>
        </w:rPr>
        <w:t>Entertainment</w:t>
      </w:r>
      <w:r>
        <w:rPr>
          <w:rFonts w:ascii="Arial" w:hAnsi="Arial"/>
          <w:sz w:val="20"/>
        </w:rPr>
        <w:t> </w:t>
      </w:r>
      <w:r>
        <w:rPr>
          <w:rFonts w:ascii="Arial" w:hAnsi="Arial"/>
          <w:sz w:val="21"/>
        </w:rPr>
        <w:t>Australia</w:t>
      </w:r>
      <w:r>
        <w:rPr>
          <w:rFonts w:ascii="Arial" w:hAnsi="Arial"/>
          <w:sz w:val="20"/>
        </w:rPr>
        <w:t> </w:t>
      </w:r>
      <w:r>
        <w:rPr>
          <w:rFonts w:ascii="Arial" w:hAnsi="Arial"/>
          <w:sz w:val="21"/>
        </w:rPr>
        <w:t>Group</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Guarantor;</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120" w:after="0"/>
        <w:ind w:left="4820" w:right="1425" w:hanging="0"/>
        <w:jc w:val="left"/>
        <w:rPr>
          <w:rFonts w:ascii="Arial" w:hAnsi="Arial"/>
          <w:sz w:val="20"/>
        </w:rPr>
      </w:pPr>
      <w:r>
        <w:rPr>
          <w:rFonts w:ascii="Arial" w:hAnsi="Arial"/>
          <w:sz w:val="21"/>
        </w:rPr>
        <w:t>(D)any member of the Reading Entertainment Australia Group which</w:t>
      </w:r>
      <w:r>
        <w:rPr>
          <w:rFonts w:ascii="Arial" w:hAnsi="Arial"/>
          <w:sz w:val="20"/>
        </w:rPr>
        <w:t> </w:t>
      </w:r>
      <w:r>
        <w:rPr>
          <w:rFonts w:ascii="Arial" w:hAnsi="Arial"/>
          <w:sz w:val="21"/>
        </w:rPr>
        <w:t>holds</w:t>
      </w:r>
      <w:r>
        <w:rPr>
          <w:rFonts w:ascii="Arial" w:hAnsi="Arial"/>
          <w:sz w:val="20"/>
        </w:rPr>
        <w:t> </w:t>
      </w:r>
      <w:r>
        <w:rPr>
          <w:rFonts w:ascii="Arial" w:hAnsi="Arial"/>
          <w:sz w:val="21"/>
        </w:rPr>
        <w:t>intellectual</w:t>
      </w:r>
      <w:r>
        <w:rPr>
          <w:rFonts w:ascii="Arial" w:hAnsi="Arial"/>
          <w:sz w:val="20"/>
        </w:rPr>
        <w:t> </w:t>
      </w:r>
      <w:r>
        <w:rPr>
          <w:rFonts w:ascii="Arial" w:hAnsi="Arial"/>
          <w:sz w:val="21"/>
        </w:rPr>
        <w:t>property</w:t>
      </w:r>
      <w:r>
        <w:rPr>
          <w:rFonts w:ascii="Arial" w:hAnsi="Arial"/>
          <w:sz w:val="20"/>
        </w:rPr>
        <w:t> </w:t>
      </w:r>
      <w:r>
        <w:rPr>
          <w:rFonts w:ascii="Arial" w:hAnsi="Arial"/>
          <w:sz w:val="21"/>
        </w:rPr>
        <w:t>which</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considers</w:t>
      </w:r>
      <w:r>
        <w:rPr>
          <w:rFonts w:ascii="Arial" w:hAnsi="Arial"/>
          <w:sz w:val="20"/>
        </w:rPr>
        <w:t> </w:t>
      </w:r>
      <w:r>
        <w:rPr>
          <w:rFonts w:ascii="Arial" w:hAnsi="Arial"/>
          <w:sz w:val="21"/>
        </w:rPr>
        <w:t>to be material to the operations of the Reading Entertainment Australia Group is a Guarantor</w:t>
      </w:r>
      <w:r>
        <w:rPr>
          <w:rFonts w:ascii="Arial" w:hAnsi="Arial"/>
          <w:sz w:val="20"/>
        </w:rPr>
        <w:t xml:space="preserve"> </w:t>
      </w:r>
    </w:p>
    <w:p>
      <w:pPr>
        <w:pStyle w:val="TextBody"/>
        <w:bidi w:val="0"/>
        <w:spacing w:lineRule="auto" w:line="266" w:before="119" w:after="0"/>
        <w:ind w:left="4253" w:right="1486" w:hanging="0"/>
        <w:jc w:val="left"/>
        <w:rPr>
          <w:rFonts w:ascii="Arial" w:hAnsi="Arial"/>
          <w:sz w:val="22"/>
        </w:rPr>
      </w:pPr>
      <w:r>
        <w:rPr>
          <w:rFonts w:ascii="Arial" w:hAnsi="Arial"/>
          <w:sz w:val="22"/>
        </w:rPr>
        <w:t xml:space="preserve">(and in each case the figures for the Guarantors will be calculated on an unconsolidated basis and excluding all intra-Reading Entertainment Australia Group items and investments in Subsidiaries); and </w:t>
      </w:r>
    </w:p>
    <w:p>
      <w:pPr>
        <w:pStyle w:val="TextBody"/>
        <w:bidi w:val="0"/>
        <w:spacing w:lineRule="auto" w:line="266" w:before="118" w:after="0"/>
        <w:ind w:left="4275" w:right="1492" w:hanging="0"/>
        <w:jc w:val="left"/>
        <w:rPr>
          <w:rFonts w:ascii="Arial" w:hAnsi="Arial"/>
          <w:sz w:val="20"/>
        </w:rPr>
      </w:pPr>
      <w:r>
        <w:rPr>
          <w:rFonts w:ascii="Arial" w:hAnsi="Arial"/>
          <w:sz w:val="21"/>
        </w:rPr>
        <w:t>(ii)where</w:t>
      </w:r>
      <w:r>
        <w:rPr>
          <w:rFonts w:ascii="Arial" w:hAnsi="Arial"/>
          <w:sz w:val="20"/>
        </w:rPr>
        <w:t> </w:t>
      </w:r>
      <w:r>
        <w:rPr>
          <w:rFonts w:ascii="Arial" w:hAnsi="Arial"/>
          <w:sz w:val="21"/>
        </w:rPr>
        <w:t>an</w:t>
      </w:r>
      <w:r>
        <w:rPr>
          <w:rFonts w:ascii="Arial" w:hAnsi="Arial"/>
          <w:sz w:val="20"/>
        </w:rPr>
        <w:t> </w:t>
      </w:r>
      <w:r>
        <w:rPr>
          <w:rFonts w:ascii="Arial" w:hAnsi="Arial"/>
          <w:sz w:val="21"/>
        </w:rPr>
        <w:t>entity</w:t>
      </w:r>
      <w:r>
        <w:rPr>
          <w:rFonts w:ascii="Arial" w:hAnsi="Arial"/>
          <w:sz w:val="20"/>
        </w:rPr>
        <w:t> </w:t>
      </w:r>
      <w:r>
        <w:rPr>
          <w:rFonts w:ascii="Arial" w:hAnsi="Arial"/>
          <w:sz w:val="21"/>
        </w:rPr>
        <w:t>becomes</w:t>
      </w:r>
      <w:r>
        <w:rPr>
          <w:rFonts w:ascii="Arial" w:hAnsi="Arial"/>
          <w:sz w:val="20"/>
        </w:rPr>
        <w:t> </w:t>
      </w:r>
      <w:r>
        <w:rPr>
          <w:rFonts w:ascii="Arial" w:hAnsi="Arial"/>
          <w:sz w:val="21"/>
        </w:rPr>
        <w:t>a</w:t>
      </w:r>
      <w:r>
        <w:rPr>
          <w:rFonts w:ascii="Arial" w:hAnsi="Arial"/>
          <w:sz w:val="20"/>
        </w:rPr>
        <w:t> </w:t>
      </w:r>
      <w:r>
        <w:rPr>
          <w:rFonts w:ascii="Arial" w:hAnsi="Arial"/>
          <w:sz w:val="21"/>
        </w:rPr>
        <w:t>member</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Reading</w:t>
      </w:r>
      <w:r>
        <w:rPr>
          <w:rFonts w:ascii="Arial" w:hAnsi="Arial"/>
          <w:sz w:val="20"/>
        </w:rPr>
        <w:t> </w:t>
      </w:r>
      <w:r>
        <w:rPr>
          <w:rFonts w:ascii="Arial" w:hAnsi="Arial"/>
          <w:sz w:val="21"/>
        </w:rPr>
        <w:t>Entertainment Australia and is required to become a Guarantor to comply with paragraph (i), the Borrower shall ensure:</w:t>
      </w:r>
      <w:r>
        <w:rPr>
          <w:rFonts w:ascii="Arial" w:hAnsi="Arial"/>
          <w:sz w:val="20"/>
        </w:rPr>
        <w:t xml:space="preserve"> </w:t>
      </w:r>
    </w:p>
    <w:p>
      <w:pPr>
        <w:pStyle w:val="TextBody"/>
        <w:bidi w:val="0"/>
        <w:spacing w:lineRule="auto" w:line="266" w:before="117" w:after="0"/>
        <w:ind w:left="4820" w:right="1624" w:hanging="0"/>
        <w:jc w:val="left"/>
        <w:rPr>
          <w:rFonts w:ascii="Arial" w:hAnsi="Arial"/>
          <w:sz w:val="20"/>
        </w:rPr>
      </w:pPr>
      <w:r>
        <w:rPr>
          <w:rFonts w:ascii="Arial" w:hAnsi="Arial"/>
          <w:sz w:val="21"/>
        </w:rPr>
        <w:t>(A)the</w:t>
      </w:r>
      <w:r>
        <w:rPr>
          <w:rFonts w:ascii="Arial" w:hAnsi="Arial"/>
          <w:sz w:val="20"/>
        </w:rPr>
        <w:t> </w:t>
      </w:r>
      <w:r>
        <w:rPr>
          <w:rFonts w:ascii="Arial" w:hAnsi="Arial"/>
          <w:sz w:val="21"/>
        </w:rPr>
        <w:t>entity</w:t>
      </w:r>
      <w:r>
        <w:rPr>
          <w:rFonts w:ascii="Arial" w:hAnsi="Arial"/>
          <w:sz w:val="20"/>
        </w:rPr>
        <w:t> </w:t>
      </w:r>
      <w:r>
        <w:rPr>
          <w:rFonts w:ascii="Arial" w:hAnsi="Arial"/>
          <w:sz w:val="21"/>
        </w:rPr>
        <w:t>becomes</w:t>
      </w:r>
      <w:r>
        <w:rPr>
          <w:rFonts w:ascii="Arial" w:hAnsi="Arial"/>
          <w:sz w:val="20"/>
        </w:rPr>
        <w:t> </w:t>
      </w:r>
      <w:r>
        <w:rPr>
          <w:rFonts w:ascii="Arial" w:hAnsi="Arial"/>
          <w:sz w:val="21"/>
        </w:rPr>
        <w:t>an</w:t>
      </w:r>
      <w:r>
        <w:rPr>
          <w:rFonts w:ascii="Arial" w:hAnsi="Arial"/>
          <w:sz w:val="20"/>
        </w:rPr>
        <w:t> </w:t>
      </w:r>
      <w:r>
        <w:rPr>
          <w:rFonts w:ascii="Arial" w:hAnsi="Arial"/>
          <w:sz w:val="21"/>
        </w:rPr>
        <w:t>Additional</w:t>
      </w:r>
      <w:r>
        <w:rPr>
          <w:rFonts w:ascii="Arial" w:hAnsi="Arial"/>
          <w:sz w:val="20"/>
        </w:rPr>
        <w:t> </w:t>
      </w:r>
      <w:r>
        <w:rPr>
          <w:rFonts w:ascii="Arial" w:hAnsi="Arial"/>
          <w:sz w:val="21"/>
        </w:rPr>
        <w:t>Guarantor</w:t>
      </w:r>
      <w:r>
        <w:rPr>
          <w:rFonts w:ascii="Arial" w:hAnsi="Arial"/>
          <w:sz w:val="20"/>
        </w:rPr>
        <w:t> </w:t>
      </w:r>
      <w:r>
        <w:rPr>
          <w:rFonts w:ascii="Arial" w:hAnsi="Arial"/>
          <w:sz w:val="21"/>
        </w:rPr>
        <w:t>by</w:t>
      </w:r>
      <w:r>
        <w:rPr>
          <w:rFonts w:ascii="Arial" w:hAnsi="Arial"/>
          <w:sz w:val="20"/>
        </w:rPr>
        <w:t> </w:t>
      </w:r>
      <w:r>
        <w:rPr>
          <w:rFonts w:ascii="Arial" w:hAnsi="Arial"/>
          <w:sz w:val="21"/>
        </w:rPr>
        <w:t>executing</w:t>
      </w:r>
      <w:r>
        <w:rPr>
          <w:rFonts w:ascii="Arial" w:hAnsi="Arial"/>
          <w:sz w:val="20"/>
        </w:rPr>
        <w:t> </w:t>
      </w:r>
      <w:r>
        <w:rPr>
          <w:rFonts w:ascii="Arial" w:hAnsi="Arial"/>
          <w:sz w:val="21"/>
        </w:rPr>
        <w:t>a Guarantor Accession Deed;</w:t>
      </w:r>
      <w:r>
        <w:rPr>
          <w:rFonts w:ascii="Arial" w:hAnsi="Arial"/>
          <w:sz w:val="20"/>
        </w:rPr>
        <w:t xml:space="preserve"> </w:t>
      </w:r>
    </w:p>
    <w:p>
      <w:pPr>
        <w:pStyle w:val="TextBody"/>
        <w:bidi w:val="0"/>
        <w:spacing w:lineRule="auto" w:line="266" w:before="0" w:after="0"/>
        <w:ind w:left="4820" w:right="1542" w:hanging="0"/>
        <w:jc w:val="left"/>
        <w:rPr>
          <w:rFonts w:ascii="Arial" w:hAnsi="Arial"/>
          <w:sz w:val="20"/>
        </w:rPr>
      </w:pPr>
      <w:r>
        <w:rPr>
          <w:rFonts w:ascii="Arial" w:hAnsi="Arial"/>
          <w:sz w:val="21"/>
        </w:rPr>
        <w:t>(B)the</w:t>
      </w:r>
      <w:r>
        <w:rPr>
          <w:rFonts w:ascii="Arial" w:hAnsi="Arial"/>
          <w:sz w:val="20"/>
        </w:rPr>
        <w:t> </w:t>
      </w:r>
      <w:r>
        <w:rPr>
          <w:rFonts w:ascii="Arial" w:hAnsi="Arial"/>
          <w:sz w:val="21"/>
        </w:rPr>
        <w:t>entity</w:t>
      </w:r>
      <w:r>
        <w:rPr>
          <w:rFonts w:ascii="Arial" w:hAnsi="Arial"/>
          <w:sz w:val="20"/>
        </w:rPr>
        <w:t> </w:t>
      </w:r>
      <w:r>
        <w:rPr>
          <w:rFonts w:ascii="Arial" w:hAnsi="Arial"/>
          <w:sz w:val="21"/>
        </w:rPr>
        <w:t>executes</w:t>
      </w:r>
      <w:r>
        <w:rPr>
          <w:rFonts w:ascii="Arial" w:hAnsi="Arial"/>
          <w:sz w:val="20"/>
        </w:rPr>
        <w:t> </w:t>
      </w:r>
      <w:r>
        <w:rPr>
          <w:rFonts w:ascii="Arial" w:hAnsi="Arial"/>
          <w:sz w:val="21"/>
        </w:rPr>
        <w:t>a</w:t>
      </w:r>
      <w:r>
        <w:rPr>
          <w:rFonts w:ascii="Arial" w:hAnsi="Arial"/>
          <w:sz w:val="20"/>
        </w:rPr>
        <w:t> </w:t>
      </w:r>
      <w:r>
        <w:rPr>
          <w:rFonts w:ascii="Arial" w:hAnsi="Arial"/>
          <w:sz w:val="21"/>
        </w:rPr>
        <w:t>general</w:t>
      </w:r>
      <w:r>
        <w:rPr>
          <w:rFonts w:ascii="Arial" w:hAnsi="Arial"/>
          <w:sz w:val="20"/>
        </w:rPr>
        <w:t> </w:t>
      </w:r>
      <w:r>
        <w:rPr>
          <w:rFonts w:ascii="Arial" w:hAnsi="Arial"/>
          <w:sz w:val="21"/>
        </w:rPr>
        <w:t>security</w:t>
      </w:r>
      <w:r>
        <w:rPr>
          <w:rFonts w:ascii="Arial" w:hAnsi="Arial"/>
          <w:sz w:val="20"/>
        </w:rPr>
        <w:t> </w:t>
      </w:r>
      <w:r>
        <w:rPr>
          <w:rFonts w:ascii="Arial" w:hAnsi="Arial"/>
          <w:sz w:val="21"/>
        </w:rPr>
        <w:t>agreement</w:t>
      </w:r>
      <w:r>
        <w:rPr>
          <w:rFonts w:ascii="Arial" w:hAnsi="Arial"/>
          <w:sz w:val="20"/>
        </w:rPr>
        <w:t> </w:t>
      </w:r>
      <w:r>
        <w:rPr>
          <w:rFonts w:ascii="Arial" w:hAnsi="Arial"/>
          <w:sz w:val="21"/>
        </w:rPr>
        <w:t>over</w:t>
      </w:r>
      <w:r>
        <w:rPr>
          <w:rFonts w:ascii="Arial" w:hAnsi="Arial"/>
          <w:sz w:val="20"/>
        </w:rPr>
        <w:t> </w:t>
      </w:r>
      <w:r>
        <w:rPr>
          <w:rFonts w:ascii="Arial" w:hAnsi="Arial"/>
          <w:sz w:val="21"/>
        </w:rPr>
        <w:t>all</w:t>
      </w:r>
      <w:r>
        <w:rPr>
          <w:rFonts w:ascii="Arial" w:hAnsi="Arial"/>
          <w:sz w:val="20"/>
        </w:rPr>
        <w:t> </w:t>
      </w:r>
      <w:r>
        <w:rPr>
          <w:rFonts w:ascii="Arial" w:hAnsi="Arial"/>
          <w:sz w:val="21"/>
        </w:rPr>
        <w:t>its assets in favour of the Bank, in form and substance consistent with the general security agreements previously executed by the other Guarantors; and</w:t>
      </w:r>
      <w:r>
        <w:rPr>
          <w:rFonts w:ascii="Arial" w:hAnsi="Arial"/>
          <w:sz w:val="20"/>
        </w:rPr>
        <w:t xml:space="preserve"> </w:t>
      </w:r>
    </w:p>
    <w:p>
      <w:pPr>
        <w:pStyle w:val="TextBody"/>
        <w:bidi w:val="0"/>
        <w:spacing w:lineRule="auto" w:line="266" w:before="0" w:after="0"/>
        <w:ind w:left="4820" w:right="1678" w:hanging="0"/>
        <w:jc w:val="left"/>
        <w:rPr>
          <w:rFonts w:ascii="Arial" w:hAnsi="Arial"/>
          <w:sz w:val="20"/>
        </w:rPr>
      </w:pPr>
      <w:r>
        <w:rPr>
          <w:rFonts w:ascii="Arial" w:hAnsi="Arial"/>
          <w:sz w:val="21"/>
        </w:rPr>
        <w:t>(C)provides the Bank with any documents or evidence in relation</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entity</w:t>
      </w:r>
      <w:r>
        <w:rPr>
          <w:rFonts w:ascii="Arial" w:hAnsi="Arial"/>
          <w:sz w:val="20"/>
        </w:rPr>
        <w:t> </w:t>
      </w:r>
      <w:r>
        <w:rPr>
          <w:rFonts w:ascii="Arial" w:hAnsi="Arial"/>
          <w:sz w:val="21"/>
        </w:rPr>
        <w:t>as</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may</w:t>
      </w:r>
      <w:r>
        <w:rPr>
          <w:rFonts w:ascii="Arial" w:hAnsi="Arial"/>
          <w:sz w:val="20"/>
        </w:rPr>
        <w:t> </w:t>
      </w:r>
      <w:r>
        <w:rPr>
          <w:rFonts w:ascii="Arial" w:hAnsi="Arial"/>
          <w:sz w:val="21"/>
        </w:rPr>
        <w:t>reasonably</w:t>
      </w:r>
      <w:r>
        <w:rPr>
          <w:rFonts w:ascii="Arial" w:hAnsi="Arial"/>
          <w:sz w:val="20"/>
        </w:rPr>
        <w:t> </w:t>
      </w:r>
      <w:r>
        <w:rPr>
          <w:rFonts w:ascii="Arial" w:hAnsi="Arial"/>
          <w:sz w:val="21"/>
        </w:rPr>
        <w:t>consider necessary in respect of the entering into, validity and enforceability of the accession documents,</w:t>
      </w:r>
      <w:r>
        <w:rPr>
          <w:rFonts w:ascii="Arial" w:hAnsi="Arial"/>
          <w:sz w:val="20"/>
        </w:rPr>
        <w:t xml:space="preserve"> </w:t>
      </w:r>
    </w:p>
    <w:p>
      <w:pPr>
        <w:pStyle w:val="TextBody"/>
        <w:pBdr/>
        <w:bidi w:val="0"/>
        <w:spacing w:before="121" w:after="0"/>
        <w:ind w:left="4253" w:right="700" w:hanging="0"/>
        <w:jc w:val="left"/>
        <w:rPr>
          <w:rFonts w:ascii="Arial" w:hAnsi="Arial"/>
          <w:sz w:val="22"/>
        </w:rPr>
      </w:pPr>
      <w:r>
        <w:rPr>
          <w:rFonts w:ascii="Arial" w:hAnsi="Arial"/>
          <w:sz w:val="22"/>
        </w:rPr>
        <w:t xml:space="preserve">as soon as reasonably practicable and in any event within 45 days. </w:t>
      </w:r>
    </w:p>
    <w:p>
      <w:pPr>
        <w:pStyle w:val="TextBody"/>
        <w:pBdr/>
        <w:bidi w:val="0"/>
        <w:spacing w:lineRule="auto" w:line="266" w:before="147" w:after="0"/>
        <w:ind w:left="4253" w:right="1486" w:hanging="0"/>
        <w:jc w:val="left"/>
        <w:rPr>
          <w:rFonts w:ascii="Arial" w:hAnsi="Arial"/>
          <w:sz w:val="22"/>
        </w:rPr>
      </w:pPr>
      <w:r>
        <w:rPr>
          <w:rFonts w:ascii="Arial" w:hAnsi="Arial"/>
          <w:sz w:val="22"/>
        </w:rPr>
        <w:t xml:space="preserve">Provided the Borrower complies with this paragraph (ii), the Borrower will not be in breach of paragraph (i) by reason only that the entity is not a Guarantor. </w:t>
      </w:r>
    </w:p>
    <w:p>
      <w:pPr>
        <w:pStyle w:val="TextBody"/>
        <w:bidi w:val="0"/>
        <w:spacing w:lineRule="auto" w:line="266" w:before="118" w:after="0"/>
        <w:ind w:left="3687" w:right="854" w:hanging="0"/>
        <w:jc w:val="left"/>
        <w:rPr>
          <w:rFonts w:ascii="Arial" w:hAnsi="Arial"/>
          <w:sz w:val="20"/>
        </w:rPr>
      </w:pPr>
      <w:r>
        <w:rPr>
          <w:rFonts w:ascii="Arial" w:hAnsi="Arial"/>
          <w:sz w:val="21"/>
        </w:rPr>
        <w:t>(i)</w:t>
      </w:r>
      <w:r>
        <w:rPr>
          <w:rFonts w:ascii="Arial" w:hAnsi="Arial"/>
          <w:b/>
          <w:sz w:val="21"/>
        </w:rPr>
        <w:t>Major</w:t>
      </w:r>
      <w:r>
        <w:rPr>
          <w:rFonts w:ascii="Arial" w:hAnsi="Arial"/>
          <w:sz w:val="20"/>
        </w:rPr>
        <w:t> </w:t>
      </w:r>
      <w:r>
        <w:rPr>
          <w:rFonts w:ascii="Arial" w:hAnsi="Arial"/>
          <w:b/>
          <w:sz w:val="21"/>
        </w:rPr>
        <w:t>developments</w:t>
      </w:r>
      <w:r>
        <w:rPr>
          <w:rFonts w:ascii="Arial" w:hAnsi="Arial"/>
          <w:sz w:val="21"/>
        </w:rPr>
        <w:t>:</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major</w:t>
      </w:r>
      <w:r>
        <w:rPr>
          <w:rFonts w:ascii="Arial" w:hAnsi="Arial"/>
          <w:sz w:val="20"/>
        </w:rPr>
        <w:t> </w:t>
      </w:r>
      <w:r>
        <w:rPr>
          <w:rFonts w:ascii="Arial" w:hAnsi="Arial"/>
          <w:sz w:val="21"/>
        </w:rPr>
        <w:t>development</w:t>
      </w:r>
      <w:r>
        <w:rPr>
          <w:rFonts w:ascii="Arial" w:hAnsi="Arial"/>
          <w:sz w:val="20"/>
        </w:rPr>
        <w:t> </w:t>
      </w:r>
      <w:r>
        <w:rPr>
          <w:rFonts w:ascii="Arial" w:hAnsi="Arial"/>
          <w:sz w:val="21"/>
        </w:rPr>
        <w:t>projects</w:t>
      </w:r>
      <w:r>
        <w:rPr>
          <w:rFonts w:ascii="Arial" w:hAnsi="Arial"/>
          <w:sz w:val="20"/>
        </w:rPr>
        <w:t> </w:t>
      </w:r>
      <w:r>
        <w:rPr>
          <w:rFonts w:ascii="Arial" w:hAnsi="Arial"/>
          <w:sz w:val="21"/>
        </w:rPr>
        <w:t>to be undertaken by the Transaction Parties (that are outside of the budgeted capital expenditure that has been disclosed to the Bank):</w:t>
      </w:r>
      <w:r>
        <w:rPr>
          <w:rFonts w:ascii="Arial" w:hAnsi="Arial"/>
          <w:sz w:val="20"/>
        </w:rPr>
        <w:t xml:space="preserve"> </w:t>
      </w:r>
    </w:p>
    <w:p>
      <w:pPr>
        <w:pStyle w:val="TextBody"/>
        <w:bidi w:val="0"/>
        <w:spacing w:lineRule="auto" w:line="266" w:before="120" w:after="0"/>
        <w:ind w:left="4275" w:right="2274" w:hanging="0"/>
        <w:jc w:val="left"/>
        <w:rPr>
          <w:rFonts w:ascii="Arial" w:hAnsi="Arial"/>
          <w:sz w:val="20"/>
        </w:rPr>
      </w:pPr>
      <w:r>
        <w:rPr>
          <w:rFonts w:ascii="Arial" w:hAnsi="Arial"/>
          <w:sz w:val="21"/>
        </w:rPr>
        <w:t>(i)the</w:t>
      </w:r>
      <w:r>
        <w:rPr>
          <w:rFonts w:ascii="Arial" w:hAnsi="Arial"/>
          <w:sz w:val="20"/>
        </w:rPr>
        <w:t> </w:t>
      </w:r>
      <w:r>
        <w:rPr>
          <w:rFonts w:ascii="Arial" w:hAnsi="Arial"/>
          <w:sz w:val="21"/>
        </w:rPr>
        <w:t>Bank</w:t>
      </w:r>
      <w:r>
        <w:rPr>
          <w:rFonts w:ascii="Arial" w:hAnsi="Arial"/>
          <w:sz w:val="20"/>
        </w:rPr>
        <w:t> </w:t>
      </w:r>
      <w:r>
        <w:rPr>
          <w:rFonts w:ascii="Arial" w:hAnsi="Arial"/>
          <w:sz w:val="21"/>
        </w:rPr>
        <w:t>is</w:t>
      </w:r>
      <w:r>
        <w:rPr>
          <w:rFonts w:ascii="Arial" w:hAnsi="Arial"/>
          <w:sz w:val="20"/>
        </w:rPr>
        <w:t> </w:t>
      </w:r>
      <w:r>
        <w:rPr>
          <w:rFonts w:ascii="Arial" w:hAnsi="Arial"/>
          <w:sz w:val="21"/>
        </w:rPr>
        <w:t>provided</w:t>
      </w:r>
      <w:r>
        <w:rPr>
          <w:rFonts w:ascii="Arial" w:hAnsi="Arial"/>
          <w:sz w:val="20"/>
        </w:rPr>
        <w:t> </w:t>
      </w:r>
      <w:r>
        <w:rPr>
          <w:rFonts w:ascii="Arial" w:hAnsi="Arial"/>
          <w:sz w:val="21"/>
        </w:rPr>
        <w:t>with</w:t>
      </w:r>
      <w:r>
        <w:rPr>
          <w:rFonts w:ascii="Arial" w:hAnsi="Arial"/>
          <w:sz w:val="20"/>
        </w:rPr>
        <w:t> </w:t>
      </w:r>
      <w:r>
        <w:rPr>
          <w:rFonts w:ascii="Arial" w:hAnsi="Arial"/>
          <w:sz w:val="21"/>
        </w:rPr>
        <w:t>development</w:t>
      </w:r>
      <w:r>
        <w:rPr>
          <w:rFonts w:ascii="Arial" w:hAnsi="Arial"/>
          <w:sz w:val="20"/>
        </w:rPr>
        <w:t> </w:t>
      </w:r>
      <w:r>
        <w:rPr>
          <w:rFonts w:ascii="Arial" w:hAnsi="Arial"/>
          <w:sz w:val="21"/>
        </w:rPr>
        <w:t>budgets</w:t>
      </w:r>
      <w:r>
        <w:rPr>
          <w:rFonts w:ascii="Arial" w:hAnsi="Arial"/>
          <w:sz w:val="20"/>
        </w:rPr>
        <w:t> </w:t>
      </w:r>
      <w:r>
        <w:rPr>
          <w:rFonts w:ascii="Arial" w:hAnsi="Arial"/>
          <w:sz w:val="21"/>
        </w:rPr>
        <w:t>and</w:t>
      </w:r>
      <w:r>
        <w:rPr>
          <w:rFonts w:ascii="Arial" w:hAnsi="Arial"/>
          <w:sz w:val="20"/>
        </w:rPr>
        <w:t> </w:t>
      </w:r>
      <w:r>
        <w:rPr>
          <w:rFonts w:ascii="Arial" w:hAnsi="Arial"/>
          <w:sz w:val="21"/>
        </w:rPr>
        <w:t>other information reasonably requested by the Bank;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2"/>
        </w:rPr>
      </w:pPr>
      <w:r>
        <w:rPr>
          <w:rFonts w:ascii="Arial" w:hAnsi="Arial"/>
          <w:sz w:val="21"/>
        </w:rPr>
        <w:t>(j)</w:t>
      </w:r>
      <w:r>
        <w:rPr>
          <w:rFonts w:ascii="Arial" w:hAnsi="Arial"/>
          <w:b/>
          <w:sz w:val="21"/>
        </w:rPr>
        <w:t>Major</w:t>
      </w:r>
      <w:r>
        <w:rPr>
          <w:rFonts w:ascii="Arial" w:hAnsi="Arial"/>
          <w:sz w:val="22"/>
        </w:rPr>
        <w:t> </w:t>
      </w:r>
      <w:r>
        <w:rPr>
          <w:rFonts w:ascii="Arial" w:hAnsi="Arial"/>
          <w:b/>
          <w:sz w:val="21"/>
        </w:rPr>
        <w:t>acquisitions</w:t>
      </w:r>
      <w:r>
        <w:rPr>
          <w:rFonts w:ascii="Arial" w:hAnsi="Arial"/>
          <w:sz w:val="21"/>
        </w:rPr>
        <w:t>:</w:t>
      </w:r>
      <w:r>
        <w:rPr>
          <w:rFonts w:ascii="Arial" w:hAnsi="Arial"/>
          <w:sz w:val="22"/>
        </w:rPr>
        <w:t> </w:t>
      </w:r>
      <w:r>
        <w:rPr>
          <w:rFonts w:ascii="Arial" w:hAnsi="Arial"/>
          <w:sz w:val="21"/>
        </w:rPr>
        <w:t>in</w:t>
      </w:r>
      <w:r>
        <w:rPr>
          <w:rFonts w:ascii="Arial" w:hAnsi="Arial"/>
          <w:sz w:val="22"/>
        </w:rPr>
        <w:t> </w:t>
      </w:r>
      <w:r>
        <w:rPr>
          <w:rFonts w:ascii="Arial" w:hAnsi="Arial"/>
          <w:sz w:val="21"/>
        </w:rPr>
        <w:t>respect</w:t>
      </w:r>
      <w:r>
        <w:rPr>
          <w:rFonts w:ascii="Arial" w:hAnsi="Arial"/>
          <w:sz w:val="22"/>
        </w:rPr>
        <w:t> </w:t>
      </w:r>
      <w:r>
        <w:rPr>
          <w:rFonts w:ascii="Arial" w:hAnsi="Arial"/>
          <w:sz w:val="21"/>
        </w:rPr>
        <w:t>to</w:t>
      </w:r>
      <w:r>
        <w:rPr>
          <w:rFonts w:ascii="Arial" w:hAnsi="Arial"/>
          <w:sz w:val="22"/>
        </w:rPr>
        <w:t> </w:t>
      </w:r>
      <w:r>
        <w:rPr>
          <w:rFonts w:ascii="Arial" w:hAnsi="Arial"/>
          <w:sz w:val="21"/>
        </w:rPr>
        <w:t>any</w:t>
      </w:r>
      <w:r>
        <w:rPr>
          <w:rFonts w:ascii="Arial" w:hAnsi="Arial"/>
          <w:sz w:val="22"/>
        </w:rPr>
        <w:t> </w:t>
      </w:r>
      <w:r>
        <w:rPr>
          <w:rFonts w:ascii="Arial" w:hAnsi="Arial"/>
          <w:sz w:val="21"/>
        </w:rPr>
        <w:t>acquisitions</w:t>
      </w:r>
      <w:r>
        <w:rPr>
          <w:rFonts w:ascii="Arial" w:hAnsi="Arial"/>
          <w:sz w:val="22"/>
        </w:rPr>
        <w:t> </w:t>
      </w:r>
      <w:r>
        <w:rPr>
          <w:rFonts w:ascii="Arial" w:hAnsi="Arial"/>
          <w:sz w:val="21"/>
        </w:rPr>
        <w:t>or</w:t>
      </w:r>
      <w:r>
        <w:rPr>
          <w:rFonts w:ascii="Arial" w:hAnsi="Arial"/>
          <w:sz w:val="22"/>
        </w:rPr>
        <w:t> </w:t>
      </w:r>
      <w:r>
        <w:rPr>
          <w:rFonts w:ascii="Arial" w:hAnsi="Arial"/>
          <w:sz w:val="21"/>
        </w:rPr>
        <w:t>investments</w:t>
      </w:r>
      <w:r>
        <w:rPr>
          <w:rFonts w:ascii="Arial" w:hAnsi="Arial"/>
          <w:sz w:val="22"/>
        </w:rPr>
        <w:t> </w:t>
      </w:r>
      <w:r>
        <w:rPr>
          <w:rFonts w:ascii="Arial" w:hAnsi="Arial"/>
          <w:sz w:val="21"/>
        </w:rPr>
        <w:t>in</w:t>
      </w:r>
      <w:r>
        <w:rPr>
          <w:rFonts w:ascii="Arial" w:hAnsi="Arial"/>
          <w:sz w:val="22"/>
        </w:rPr>
        <w:t xml:space="preserve"> assets to be undertaken by the Transaction Parties, the Bank’s written consent is obtained for (and prior to) the purchase of: </w:t>
      </w:r>
    </w:p>
    <w:p>
      <w:pPr>
        <w:pStyle w:val="TextBody"/>
        <w:bidi w:val="0"/>
        <w:spacing w:lineRule="auto" w:line="266" w:before="120" w:after="0"/>
        <w:ind w:left="4275" w:right="1546" w:hanging="0"/>
        <w:jc w:val="left"/>
        <w:rPr>
          <w:rFonts w:ascii="Arial" w:hAnsi="Arial"/>
          <w:sz w:val="20"/>
        </w:rPr>
      </w:pPr>
      <w:r>
        <w:rPr>
          <w:rFonts w:ascii="Arial" w:hAnsi="Arial"/>
          <w:sz w:val="21"/>
        </w:rPr>
        <w:t>(i)any freehold title or ground lease with a remaining tenor of 25 years</w:t>
      </w:r>
      <w:r>
        <w:rPr>
          <w:rFonts w:ascii="Arial" w:hAnsi="Arial"/>
          <w:sz w:val="20"/>
        </w:rPr>
        <w:t> </w:t>
      </w:r>
      <w:r>
        <w:rPr>
          <w:rFonts w:ascii="Arial" w:hAnsi="Arial"/>
          <w:sz w:val="21"/>
        </w:rPr>
        <w:t>or</w:t>
      </w:r>
      <w:r>
        <w:rPr>
          <w:rFonts w:ascii="Arial" w:hAnsi="Arial"/>
          <w:sz w:val="20"/>
        </w:rPr>
        <w:t> </w:t>
      </w:r>
      <w:r>
        <w:rPr>
          <w:rFonts w:ascii="Arial" w:hAnsi="Arial"/>
          <w:sz w:val="21"/>
        </w:rPr>
        <w:t>more</w:t>
      </w:r>
      <w:r>
        <w:rPr>
          <w:rFonts w:ascii="Arial" w:hAnsi="Arial"/>
          <w:sz w:val="20"/>
        </w:rPr>
        <w:t> </w:t>
      </w:r>
      <w:r>
        <w:rPr>
          <w:rFonts w:ascii="Arial" w:hAnsi="Arial"/>
          <w:sz w:val="21"/>
        </w:rPr>
        <w:t>and</w:t>
      </w:r>
      <w:r>
        <w:rPr>
          <w:rFonts w:ascii="Arial" w:hAnsi="Arial"/>
          <w:sz w:val="20"/>
        </w:rPr>
        <w:t> </w:t>
      </w:r>
      <w:r>
        <w:rPr>
          <w:rFonts w:ascii="Arial" w:hAnsi="Arial"/>
          <w:sz w:val="21"/>
        </w:rPr>
        <w:t>a</w:t>
      </w:r>
      <w:r>
        <w:rPr>
          <w:rFonts w:ascii="Arial" w:hAnsi="Arial"/>
          <w:sz w:val="20"/>
        </w:rPr>
        <w:t> </w:t>
      </w:r>
      <w:r>
        <w:rPr>
          <w:rFonts w:ascii="Arial" w:hAnsi="Arial"/>
          <w:sz w:val="21"/>
        </w:rPr>
        <w:t>consideration</w:t>
      </w:r>
      <w:r>
        <w:rPr>
          <w:rFonts w:ascii="Arial" w:hAnsi="Arial"/>
          <w:sz w:val="20"/>
        </w:rPr>
        <w:t> </w:t>
      </w:r>
      <w:r>
        <w:rPr>
          <w:rFonts w:ascii="Arial" w:hAnsi="Arial"/>
          <w:sz w:val="21"/>
        </w:rPr>
        <w:t>greater</w:t>
      </w:r>
      <w:r>
        <w:rPr>
          <w:rFonts w:ascii="Arial" w:hAnsi="Arial"/>
          <w:sz w:val="20"/>
        </w:rPr>
        <w:t> </w:t>
      </w:r>
      <w:r>
        <w:rPr>
          <w:rFonts w:ascii="Arial" w:hAnsi="Arial"/>
          <w:sz w:val="21"/>
        </w:rPr>
        <w:t>than</w:t>
      </w:r>
      <w:r>
        <w:rPr>
          <w:rFonts w:ascii="Arial" w:hAnsi="Arial"/>
          <w:sz w:val="20"/>
        </w:rPr>
        <w:t> </w:t>
      </w:r>
      <w:r>
        <w:rPr>
          <w:rFonts w:ascii="Arial" w:hAnsi="Arial"/>
          <w:sz w:val="21"/>
        </w:rPr>
        <w:t>$50,000,000;</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0" w:after="0"/>
        <w:ind w:left="4275" w:right="2141" w:hanging="0"/>
        <w:jc w:val="left"/>
        <w:rPr>
          <w:rFonts w:ascii="Arial" w:hAnsi="Arial"/>
          <w:sz w:val="20"/>
        </w:rPr>
      </w:pPr>
      <w:r>
        <w:rPr>
          <w:rFonts w:ascii="Arial" w:hAnsi="Arial"/>
          <w:sz w:val="21"/>
        </w:rPr>
        <w:t>(ii)the</w:t>
      </w:r>
      <w:r>
        <w:rPr>
          <w:rFonts w:ascii="Arial" w:hAnsi="Arial"/>
          <w:sz w:val="20"/>
        </w:rPr>
        <w:t> </w:t>
      </w:r>
      <w:r>
        <w:rPr>
          <w:rFonts w:ascii="Arial" w:hAnsi="Arial"/>
          <w:sz w:val="21"/>
        </w:rPr>
        <w:t>purchase</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other</w:t>
      </w:r>
      <w:r>
        <w:rPr>
          <w:rFonts w:ascii="Arial" w:hAnsi="Arial"/>
          <w:sz w:val="20"/>
        </w:rPr>
        <w:t> </w:t>
      </w:r>
      <w:r>
        <w:rPr>
          <w:rFonts w:ascii="Arial" w:hAnsi="Arial"/>
          <w:sz w:val="21"/>
        </w:rPr>
        <w:t>operating</w:t>
      </w:r>
      <w:r>
        <w:rPr>
          <w:rFonts w:ascii="Arial" w:hAnsi="Arial"/>
          <w:sz w:val="20"/>
        </w:rPr>
        <w:t> </w:t>
      </w:r>
      <w:r>
        <w:rPr>
          <w:rFonts w:ascii="Arial" w:hAnsi="Arial"/>
          <w:sz w:val="21"/>
        </w:rPr>
        <w:t>business</w:t>
      </w:r>
      <w:r>
        <w:rPr>
          <w:rFonts w:ascii="Arial" w:hAnsi="Arial"/>
          <w:sz w:val="20"/>
        </w:rPr>
        <w:t> </w:t>
      </w:r>
      <w:r>
        <w:rPr>
          <w:rFonts w:ascii="Arial" w:hAnsi="Arial"/>
          <w:sz w:val="21"/>
        </w:rPr>
        <w:t>assets</w:t>
      </w:r>
      <w:r>
        <w:rPr>
          <w:rFonts w:ascii="Arial" w:hAnsi="Arial"/>
          <w:sz w:val="20"/>
        </w:rPr>
        <w:t> </w:t>
      </w:r>
      <w:r>
        <w:rPr>
          <w:rFonts w:ascii="Arial" w:hAnsi="Arial"/>
          <w:sz w:val="21"/>
        </w:rPr>
        <w:t>with</w:t>
      </w:r>
      <w:r>
        <w:rPr>
          <w:rFonts w:ascii="Arial" w:hAnsi="Arial"/>
          <w:sz w:val="20"/>
        </w:rPr>
        <w:t> </w:t>
      </w:r>
      <w:r>
        <w:rPr>
          <w:rFonts w:ascii="Arial" w:hAnsi="Arial"/>
          <w:sz w:val="21"/>
        </w:rPr>
        <w:t>a consideration greater than $25,000,000.</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(k)</w:t>
      </w:r>
      <w:r>
        <w:rPr>
          <w:rFonts w:ascii="Arial" w:hAnsi="Arial"/>
          <w:b/>
          <w:sz w:val="21"/>
        </w:rPr>
        <w:t>Management</w:t>
      </w:r>
      <w:r>
        <w:rPr>
          <w:rFonts w:ascii="Arial" w:hAnsi="Arial"/>
          <w:sz w:val="20"/>
        </w:rPr>
        <w:t> </w:t>
      </w:r>
      <w:r>
        <w:rPr>
          <w:rFonts w:ascii="Arial" w:hAnsi="Arial"/>
          <w:b/>
          <w:sz w:val="21"/>
        </w:rPr>
        <w:t>Fees:</w:t>
      </w:r>
      <w:r>
        <w:rPr>
          <w:rFonts w:ascii="Arial" w:hAnsi="Arial"/>
          <w:sz w:val="20"/>
        </w:rPr>
        <w:t> </w:t>
      </w:r>
      <w:r>
        <w:rPr>
          <w:rFonts w:ascii="Arial" w:hAnsi="Arial"/>
          <w:sz w:val="21"/>
        </w:rPr>
        <w:t>no</w:t>
      </w:r>
      <w:r>
        <w:rPr>
          <w:rFonts w:ascii="Arial" w:hAnsi="Arial"/>
          <w:sz w:val="20"/>
        </w:rPr>
        <w:t> </w:t>
      </w:r>
      <w:r>
        <w:rPr>
          <w:rFonts w:ascii="Arial" w:hAnsi="Arial"/>
          <w:sz w:val="21"/>
        </w:rPr>
        <w:t>Management</w:t>
      </w:r>
      <w:r>
        <w:rPr>
          <w:rFonts w:ascii="Arial" w:hAnsi="Arial"/>
          <w:sz w:val="20"/>
        </w:rPr>
        <w:t> </w:t>
      </w:r>
      <w:r>
        <w:rPr>
          <w:rFonts w:ascii="Arial" w:hAnsi="Arial"/>
          <w:sz w:val="21"/>
        </w:rPr>
        <w:t>Fees</w:t>
      </w:r>
      <w:r>
        <w:rPr>
          <w:rFonts w:ascii="Arial" w:hAnsi="Arial"/>
          <w:sz w:val="20"/>
        </w:rPr>
        <w:t> </w:t>
      </w:r>
      <w:r>
        <w:rPr>
          <w:rFonts w:ascii="Arial" w:hAnsi="Arial"/>
          <w:sz w:val="21"/>
        </w:rPr>
        <w:t>are</w:t>
      </w:r>
      <w:r>
        <w:rPr>
          <w:rFonts w:ascii="Arial" w:hAnsi="Arial"/>
          <w:sz w:val="20"/>
        </w:rPr>
        <w:t> </w:t>
      </w:r>
      <w:r>
        <w:rPr>
          <w:rFonts w:ascii="Arial" w:hAnsi="Arial"/>
          <w:sz w:val="21"/>
        </w:rPr>
        <w:t>paid</w:t>
      </w:r>
      <w:r>
        <w:rPr>
          <w:rFonts w:ascii="Arial" w:hAnsi="Arial"/>
          <w:sz w:val="20"/>
        </w:rPr>
        <w:t> </w:t>
      </w:r>
      <w:r>
        <w:rPr>
          <w:rFonts w:ascii="Arial" w:hAnsi="Arial"/>
          <w:sz w:val="21"/>
        </w:rPr>
        <w:t>except:</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275" w:right="1595" w:hanging="0"/>
        <w:jc w:val="left"/>
        <w:rPr>
          <w:rFonts w:ascii="Arial" w:hAnsi="Arial"/>
          <w:sz w:val="20"/>
        </w:rPr>
      </w:pPr>
      <w:r>
        <w:rPr>
          <w:rFonts w:ascii="Arial" w:hAnsi="Arial"/>
          <w:sz w:val="21"/>
        </w:rPr>
        <w:t>(i)at</w:t>
      </w:r>
      <w:r>
        <w:rPr>
          <w:rFonts w:ascii="Arial" w:hAnsi="Arial"/>
          <w:sz w:val="20"/>
        </w:rPr>
        <w:t> </w:t>
      </w:r>
      <w:r>
        <w:rPr>
          <w:rFonts w:ascii="Arial" w:hAnsi="Arial"/>
          <w:sz w:val="21"/>
        </w:rPr>
        <w:t>any</w:t>
      </w:r>
      <w:r>
        <w:rPr>
          <w:rFonts w:ascii="Arial" w:hAnsi="Arial"/>
          <w:sz w:val="20"/>
        </w:rPr>
        <w:t> </w:t>
      </w:r>
      <w:r>
        <w:rPr>
          <w:rFonts w:ascii="Arial" w:hAnsi="Arial"/>
          <w:sz w:val="21"/>
        </w:rPr>
        <w:t>time</w:t>
      </w:r>
      <w:r>
        <w:rPr>
          <w:rFonts w:ascii="Arial" w:hAnsi="Arial"/>
          <w:sz w:val="20"/>
        </w:rPr>
        <w:t> </w:t>
      </w:r>
      <w:r>
        <w:rPr>
          <w:rFonts w:ascii="Arial" w:hAnsi="Arial"/>
          <w:sz w:val="21"/>
        </w:rPr>
        <w:t>on</w:t>
      </w:r>
      <w:r>
        <w:rPr>
          <w:rFonts w:ascii="Arial" w:hAnsi="Arial"/>
          <w:sz w:val="20"/>
        </w:rPr>
        <w:t> </w:t>
      </w:r>
      <w:r>
        <w:rPr>
          <w:rFonts w:ascii="Arial" w:hAnsi="Arial"/>
          <w:sz w:val="21"/>
        </w:rPr>
        <w:t>or</w:t>
      </w:r>
      <w:r>
        <w:rPr>
          <w:rFonts w:ascii="Arial" w:hAnsi="Arial"/>
          <w:sz w:val="20"/>
        </w:rPr>
        <w:t> </w:t>
      </w:r>
      <w:r>
        <w:rPr>
          <w:rFonts w:ascii="Arial" w:hAnsi="Arial"/>
          <w:sz w:val="21"/>
        </w:rPr>
        <w:t>prior</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Relevant</w:t>
      </w:r>
      <w:r>
        <w:rPr>
          <w:rFonts w:ascii="Arial" w:hAnsi="Arial"/>
          <w:sz w:val="20"/>
        </w:rPr>
        <w:t> </w:t>
      </w:r>
      <w:r>
        <w:rPr>
          <w:rFonts w:ascii="Arial" w:hAnsi="Arial"/>
          <w:sz w:val="21"/>
        </w:rPr>
        <w:t>Date,</w:t>
      </w:r>
      <w:r>
        <w:rPr>
          <w:rFonts w:ascii="Arial" w:hAnsi="Arial"/>
          <w:sz w:val="20"/>
        </w:rPr>
        <w:t> </w:t>
      </w:r>
      <w:r>
        <w:rPr>
          <w:rFonts w:ascii="Arial" w:hAnsi="Arial"/>
          <w:sz w:val="21"/>
        </w:rPr>
        <w:t>with</w:t>
      </w:r>
      <w:r>
        <w:rPr>
          <w:rFonts w:ascii="Arial" w:hAnsi="Arial"/>
          <w:sz w:val="20"/>
        </w:rPr>
        <w:t> </w:t>
      </w:r>
      <w:r>
        <w:rPr>
          <w:rFonts w:ascii="Arial" w:hAnsi="Arial"/>
          <w:sz w:val="21"/>
        </w:rPr>
        <w:t>the</w:t>
      </w:r>
      <w:r>
        <w:rPr>
          <w:rFonts w:ascii="Arial" w:hAnsi="Arial"/>
          <w:sz w:val="20"/>
        </w:rPr>
        <w:t> </w:t>
      </w:r>
      <w:r>
        <w:rPr>
          <w:rFonts w:ascii="Arial" w:hAnsi="Arial"/>
          <w:sz w:val="21"/>
        </w:rPr>
        <w:t>Bank’s</w:t>
      </w:r>
      <w:r>
        <w:rPr>
          <w:rFonts w:ascii="Arial" w:hAnsi="Arial"/>
          <w:sz w:val="20"/>
        </w:rPr>
        <w:t> </w:t>
      </w:r>
      <w:r>
        <w:rPr>
          <w:rFonts w:ascii="Arial" w:hAnsi="Arial"/>
          <w:sz w:val="21"/>
        </w:rPr>
        <w:t>prior written consent; and</w:t>
      </w:r>
      <w:r>
        <w:rPr>
          <w:rFonts w:ascii="Arial" w:hAnsi="Arial"/>
          <w:sz w:val="20"/>
        </w:rPr>
        <w:t xml:space="preserve"> </w:t>
      </w:r>
    </w:p>
    <w:p>
      <w:pPr>
        <w:pStyle w:val="TextBody"/>
        <w:bidi w:val="0"/>
        <w:spacing w:lineRule="auto" w:line="266" w:before="0" w:after="0"/>
        <w:ind w:left="4275" w:right="1491" w:hanging="0"/>
        <w:jc w:val="left"/>
        <w:rPr>
          <w:rFonts w:ascii="Arial" w:hAnsi="Arial"/>
          <w:sz w:val="20"/>
        </w:rPr>
      </w:pPr>
      <w:r>
        <w:rPr>
          <w:rFonts w:ascii="Arial" w:hAnsi="Arial"/>
          <w:sz w:val="21"/>
        </w:rPr>
        <w:t>(ii)at</w:t>
      </w:r>
      <w:r>
        <w:rPr>
          <w:rFonts w:ascii="Arial" w:hAnsi="Arial"/>
          <w:sz w:val="20"/>
        </w:rPr>
        <w:t> </w:t>
      </w:r>
      <w:r>
        <w:rPr>
          <w:rFonts w:ascii="Arial" w:hAnsi="Arial"/>
          <w:sz w:val="21"/>
        </w:rPr>
        <w:t>any</w:t>
      </w:r>
      <w:r>
        <w:rPr>
          <w:rFonts w:ascii="Arial" w:hAnsi="Arial"/>
          <w:sz w:val="20"/>
        </w:rPr>
        <w:t> </w:t>
      </w:r>
      <w:r>
        <w:rPr>
          <w:rFonts w:ascii="Arial" w:hAnsi="Arial"/>
          <w:sz w:val="21"/>
        </w:rPr>
        <w:t>time</w:t>
      </w:r>
      <w:r>
        <w:rPr>
          <w:rFonts w:ascii="Arial" w:hAnsi="Arial"/>
          <w:sz w:val="20"/>
        </w:rPr>
        <w:t> </w:t>
      </w:r>
      <w:r>
        <w:rPr>
          <w:rFonts w:ascii="Arial" w:hAnsi="Arial"/>
          <w:sz w:val="21"/>
        </w:rPr>
        <w:t>after</w:t>
      </w:r>
      <w:r>
        <w:rPr>
          <w:rFonts w:ascii="Arial" w:hAnsi="Arial"/>
          <w:sz w:val="20"/>
        </w:rPr>
        <w:t> </w:t>
      </w:r>
      <w:r>
        <w:rPr>
          <w:rFonts w:ascii="Arial" w:hAnsi="Arial"/>
          <w:sz w:val="21"/>
        </w:rPr>
        <w:t>the</w:t>
      </w:r>
      <w:r>
        <w:rPr>
          <w:rFonts w:ascii="Arial" w:hAnsi="Arial"/>
          <w:sz w:val="20"/>
        </w:rPr>
        <w:t> </w:t>
      </w:r>
      <w:r>
        <w:rPr>
          <w:rFonts w:ascii="Arial" w:hAnsi="Arial"/>
          <w:sz w:val="21"/>
        </w:rPr>
        <w:t>Relevant</w:t>
      </w:r>
      <w:r>
        <w:rPr>
          <w:rFonts w:ascii="Arial" w:hAnsi="Arial"/>
          <w:sz w:val="20"/>
        </w:rPr>
        <w:t> </w:t>
      </w:r>
      <w:r>
        <w:rPr>
          <w:rFonts w:ascii="Arial" w:hAnsi="Arial"/>
          <w:sz w:val="21"/>
        </w:rPr>
        <w:t>Date,</w:t>
      </w:r>
      <w:r>
        <w:rPr>
          <w:rFonts w:ascii="Arial" w:hAnsi="Arial"/>
          <w:sz w:val="20"/>
        </w:rPr>
        <w:t> </w:t>
      </w:r>
      <w:r>
        <w:rPr>
          <w:rFonts w:ascii="Arial" w:hAnsi="Arial"/>
          <w:sz w:val="21"/>
        </w:rPr>
        <w:t>if</w:t>
      </w:r>
      <w:r>
        <w:rPr>
          <w:rFonts w:ascii="Arial" w:hAnsi="Arial"/>
          <w:sz w:val="20"/>
        </w:rPr>
        <w:t> </w:t>
      </w:r>
      <w:r>
        <w:rPr>
          <w:rFonts w:ascii="Arial" w:hAnsi="Arial"/>
          <w:sz w:val="21"/>
        </w:rPr>
        <w:t>no</w:t>
      </w:r>
      <w:r>
        <w:rPr>
          <w:rFonts w:ascii="Arial" w:hAnsi="Arial"/>
          <w:sz w:val="20"/>
        </w:rPr>
        <w:t> </w:t>
      </w:r>
      <w:r>
        <w:rPr>
          <w:rFonts w:ascii="Arial" w:hAnsi="Arial"/>
          <w:sz w:val="21"/>
        </w:rPr>
        <w:t>Event</w:t>
      </w:r>
      <w:r>
        <w:rPr>
          <w:rFonts w:ascii="Arial" w:hAnsi="Arial"/>
          <w:sz w:val="20"/>
        </w:rPr>
        <w:t> </w:t>
      </w:r>
      <w:r>
        <w:rPr>
          <w:rFonts w:ascii="Arial" w:hAnsi="Arial"/>
          <w:sz w:val="21"/>
        </w:rPr>
        <w:t>of</w:t>
      </w:r>
      <w:r>
        <w:rPr>
          <w:rFonts w:ascii="Arial" w:hAnsi="Arial"/>
          <w:sz w:val="20"/>
        </w:rPr>
        <w:t> </w:t>
      </w:r>
      <w:r>
        <w:rPr>
          <w:rFonts w:ascii="Arial" w:hAnsi="Arial"/>
          <w:sz w:val="21"/>
        </w:rPr>
        <w:t>Default</w:t>
      </w:r>
      <w:r>
        <w:rPr>
          <w:rFonts w:ascii="Arial" w:hAnsi="Arial"/>
          <w:sz w:val="20"/>
        </w:rPr>
        <w:t> </w:t>
      </w:r>
      <w:r>
        <w:rPr>
          <w:rFonts w:ascii="Arial" w:hAnsi="Arial"/>
          <w:sz w:val="21"/>
        </w:rPr>
        <w:t>subsists and provided that the aggregate amount of Management Fees paid per Financial Year does not exceed $5,000,000.</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(l)</w:t>
      </w:r>
      <w:r>
        <w:rPr>
          <w:rFonts w:ascii="Arial" w:hAnsi="Arial"/>
          <w:b/>
          <w:sz w:val="21"/>
        </w:rPr>
        <w:t>Preservation</w:t>
      </w:r>
      <w:r>
        <w:rPr>
          <w:rFonts w:ascii="Arial" w:hAnsi="Arial"/>
          <w:sz w:val="20"/>
        </w:rPr>
        <w:t> </w:t>
      </w:r>
      <w:r>
        <w:rPr>
          <w:rFonts w:ascii="Arial" w:hAnsi="Arial"/>
          <w:b/>
          <w:sz w:val="21"/>
        </w:rPr>
        <w:t>and</w:t>
      </w:r>
      <w:r>
        <w:rPr>
          <w:rFonts w:ascii="Arial" w:hAnsi="Arial"/>
          <w:sz w:val="20"/>
        </w:rPr>
        <w:t> </w:t>
      </w:r>
      <w:r>
        <w:rPr>
          <w:rFonts w:ascii="Arial" w:hAnsi="Arial"/>
          <w:b/>
          <w:sz w:val="21"/>
        </w:rPr>
        <w:t>protection</w:t>
      </w:r>
      <w:r>
        <w:rPr>
          <w:rFonts w:ascii="Arial" w:hAnsi="Arial"/>
          <w:sz w:val="20"/>
        </w:rPr>
        <w:t> </w:t>
      </w:r>
      <w:r>
        <w:rPr>
          <w:rFonts w:ascii="Arial" w:hAnsi="Arial"/>
          <w:b/>
          <w:sz w:val="21"/>
        </w:rPr>
        <w:t>of</w:t>
      </w:r>
      <w:r>
        <w:rPr>
          <w:rFonts w:ascii="Arial" w:hAnsi="Arial"/>
          <w:sz w:val="20"/>
        </w:rPr>
        <w:t> </w:t>
      </w:r>
      <w:r>
        <w:rPr>
          <w:rFonts w:ascii="Arial" w:hAnsi="Arial"/>
          <w:b/>
          <w:sz w:val="21"/>
        </w:rPr>
        <w:t>Security:</w:t>
      </w:r>
      <w:r>
        <w:rPr>
          <w:rFonts w:ascii="Arial" w:hAnsi="Arial"/>
          <w:sz w:val="20"/>
        </w:rPr>
        <w:t> </w:t>
      </w:r>
      <w:r>
        <w:rPr>
          <w:rFonts w:ascii="Arial" w:hAnsi="Arial"/>
          <w:sz w:val="21"/>
        </w:rPr>
        <w:t>it</w:t>
      </w:r>
      <w:r>
        <w:rPr>
          <w:rFonts w:ascii="Arial" w:hAnsi="Arial"/>
          <w:sz w:val="20"/>
        </w:rPr>
        <w:t> </w:t>
      </w:r>
      <w:r>
        <w:rPr>
          <w:rFonts w:ascii="Arial" w:hAnsi="Arial"/>
          <w:sz w:val="21"/>
        </w:rPr>
        <w:t>does</w:t>
      </w:r>
      <w:r>
        <w:rPr>
          <w:rFonts w:ascii="Arial" w:hAnsi="Arial"/>
          <w:sz w:val="20"/>
        </w:rPr>
        <w:t> </w:t>
      </w:r>
      <w:r>
        <w:rPr>
          <w:rFonts w:ascii="Arial" w:hAnsi="Arial"/>
          <w:sz w:val="21"/>
        </w:rPr>
        <w:t>everything</w:t>
      </w:r>
      <w:r>
        <w:rPr>
          <w:rFonts w:ascii="Arial" w:hAnsi="Arial"/>
          <w:sz w:val="20"/>
        </w:rPr>
        <w:t> </w:t>
      </w:r>
      <w:r>
        <w:rPr>
          <w:rFonts w:ascii="Arial" w:hAnsi="Arial"/>
          <w:sz w:val="21"/>
        </w:rPr>
        <w:t>necessary or reasonably required by the Bank to:</w:t>
      </w:r>
      <w:r>
        <w:rPr>
          <w:rFonts w:ascii="Arial" w:hAnsi="Arial"/>
          <w:sz w:val="20"/>
        </w:rPr>
        <w:t xml:space="preserve"> </w:t>
      </w:r>
    </w:p>
    <w:p>
      <w:pPr>
        <w:pStyle w:val="TextBody"/>
        <w:bidi w:val="0"/>
        <w:spacing w:lineRule="auto" w:line="266" w:before="120" w:after="0"/>
        <w:ind w:left="4275" w:right="1841" w:hanging="0"/>
        <w:jc w:val="left"/>
        <w:rPr>
          <w:rFonts w:ascii="Arial" w:hAnsi="Arial"/>
          <w:sz w:val="20"/>
        </w:rPr>
      </w:pPr>
      <w:r>
        <w:rPr>
          <w:rFonts w:ascii="Arial" w:hAnsi="Arial"/>
          <w:sz w:val="21"/>
        </w:rPr>
        <w:t>(i)keep</w:t>
      </w:r>
      <w:r>
        <w:rPr>
          <w:rFonts w:ascii="Arial" w:hAnsi="Arial"/>
          <w:sz w:val="20"/>
        </w:rPr>
        <w:t> </w:t>
      </w:r>
      <w:r>
        <w:rPr>
          <w:rFonts w:ascii="Arial" w:hAnsi="Arial"/>
          <w:sz w:val="21"/>
        </w:rPr>
        <w:t>the</w:t>
      </w:r>
      <w:r>
        <w:rPr>
          <w:rFonts w:ascii="Arial" w:hAnsi="Arial"/>
          <w:sz w:val="20"/>
        </w:rPr>
        <w:t> </w:t>
      </w:r>
      <w:r>
        <w:rPr>
          <w:rFonts w:ascii="Arial" w:hAnsi="Arial"/>
          <w:sz w:val="21"/>
        </w:rPr>
        <w:t>Secured</w:t>
      </w:r>
      <w:r>
        <w:rPr>
          <w:rFonts w:ascii="Arial" w:hAnsi="Arial"/>
          <w:sz w:val="20"/>
        </w:rPr>
        <w:t> </w:t>
      </w:r>
      <w:r>
        <w:rPr>
          <w:rFonts w:ascii="Arial" w:hAnsi="Arial"/>
          <w:sz w:val="21"/>
        </w:rPr>
        <w:t>Property</w:t>
      </w:r>
      <w:r>
        <w:rPr>
          <w:rFonts w:ascii="Arial" w:hAnsi="Arial"/>
          <w:sz w:val="20"/>
        </w:rPr>
        <w:t> </w:t>
      </w:r>
      <w:r>
        <w:rPr>
          <w:rFonts w:ascii="Arial" w:hAnsi="Arial"/>
          <w:sz w:val="21"/>
        </w:rPr>
        <w:t>in</w:t>
      </w:r>
      <w:r>
        <w:rPr>
          <w:rFonts w:ascii="Arial" w:hAnsi="Arial"/>
          <w:sz w:val="20"/>
        </w:rPr>
        <w:t> </w:t>
      </w:r>
      <w:r>
        <w:rPr>
          <w:rFonts w:ascii="Arial" w:hAnsi="Arial"/>
          <w:sz w:val="21"/>
        </w:rPr>
        <w:t>good</w:t>
      </w:r>
      <w:r>
        <w:rPr>
          <w:rFonts w:ascii="Arial" w:hAnsi="Arial"/>
          <w:sz w:val="20"/>
        </w:rPr>
        <w:t> </w:t>
      </w:r>
      <w:r>
        <w:rPr>
          <w:rFonts w:ascii="Arial" w:hAnsi="Arial"/>
          <w:sz w:val="21"/>
        </w:rPr>
        <w:t>repair</w:t>
      </w:r>
      <w:r>
        <w:rPr>
          <w:rFonts w:ascii="Arial" w:hAnsi="Arial"/>
          <w:sz w:val="20"/>
        </w:rPr>
        <w:t> </w:t>
      </w:r>
      <w:r>
        <w:rPr>
          <w:rFonts w:ascii="Arial" w:hAnsi="Arial"/>
          <w:sz w:val="21"/>
        </w:rPr>
        <w:t>and</w:t>
      </w:r>
      <w:r>
        <w:rPr>
          <w:rFonts w:ascii="Arial" w:hAnsi="Arial"/>
          <w:sz w:val="20"/>
        </w:rPr>
        <w:t> </w:t>
      </w:r>
      <w:r>
        <w:rPr>
          <w:rFonts w:ascii="Arial" w:hAnsi="Arial"/>
          <w:sz w:val="21"/>
        </w:rPr>
        <w:t>in</w:t>
      </w:r>
      <w:r>
        <w:rPr>
          <w:rFonts w:ascii="Arial" w:hAnsi="Arial"/>
          <w:sz w:val="20"/>
        </w:rPr>
        <w:t> </w:t>
      </w:r>
      <w:r>
        <w:rPr>
          <w:rFonts w:ascii="Arial" w:hAnsi="Arial"/>
          <w:sz w:val="21"/>
        </w:rPr>
        <w:t>good</w:t>
      </w:r>
      <w:r>
        <w:rPr>
          <w:rFonts w:ascii="Arial" w:hAnsi="Arial"/>
          <w:sz w:val="20"/>
        </w:rPr>
        <w:t> </w:t>
      </w:r>
      <w:r>
        <w:rPr>
          <w:rFonts w:ascii="Arial" w:hAnsi="Arial"/>
          <w:sz w:val="21"/>
        </w:rPr>
        <w:t>working order;</w:t>
      </w:r>
      <w:r>
        <w:rPr>
          <w:rFonts w:ascii="Arial" w:hAnsi="Arial"/>
          <w:sz w:val="20"/>
        </w:rPr>
        <w:t xml:space="preserve"> </w:t>
      </w:r>
    </w:p>
    <w:p>
      <w:pPr>
        <w:pStyle w:val="TextBody"/>
        <w:bidi w:val="0"/>
        <w:spacing w:lineRule="auto" w:line="266" w:before="0" w:after="0"/>
        <w:ind w:left="4275" w:right="1715" w:hanging="0"/>
        <w:jc w:val="left"/>
        <w:rPr>
          <w:rFonts w:ascii="Arial" w:hAnsi="Arial"/>
          <w:sz w:val="20"/>
        </w:rPr>
      </w:pPr>
      <w:r>
        <w:rPr>
          <w:rFonts w:ascii="Arial" w:hAnsi="Arial"/>
          <w:sz w:val="21"/>
        </w:rPr>
        <w:t>(ii)promptly</w:t>
      </w:r>
      <w:r>
        <w:rPr>
          <w:rFonts w:ascii="Arial" w:hAnsi="Arial"/>
          <w:sz w:val="20"/>
        </w:rPr>
        <w:t> </w:t>
      </w:r>
      <w:r>
        <w:rPr>
          <w:rFonts w:ascii="Arial" w:hAnsi="Arial"/>
          <w:sz w:val="21"/>
        </w:rPr>
        <w:t>pay</w:t>
      </w:r>
      <w:r>
        <w:rPr>
          <w:rFonts w:ascii="Arial" w:hAnsi="Arial"/>
          <w:sz w:val="20"/>
        </w:rPr>
        <w:t> </w:t>
      </w:r>
      <w:r>
        <w:rPr>
          <w:rFonts w:ascii="Arial" w:hAnsi="Arial"/>
          <w:sz w:val="21"/>
        </w:rPr>
        <w:t>when</w:t>
      </w:r>
      <w:r>
        <w:rPr>
          <w:rFonts w:ascii="Arial" w:hAnsi="Arial"/>
          <w:sz w:val="20"/>
        </w:rPr>
        <w:t> </w:t>
      </w:r>
      <w:r>
        <w:rPr>
          <w:rFonts w:ascii="Arial" w:hAnsi="Arial"/>
          <w:sz w:val="21"/>
        </w:rPr>
        <w:t>they</w:t>
      </w:r>
      <w:r>
        <w:rPr>
          <w:rFonts w:ascii="Arial" w:hAnsi="Arial"/>
          <w:sz w:val="20"/>
        </w:rPr>
        <w:t> </w:t>
      </w:r>
      <w:r>
        <w:rPr>
          <w:rFonts w:ascii="Arial" w:hAnsi="Arial"/>
          <w:sz w:val="21"/>
        </w:rPr>
        <w:t>become</w:t>
      </w:r>
      <w:r>
        <w:rPr>
          <w:rFonts w:ascii="Arial" w:hAnsi="Arial"/>
          <w:sz w:val="20"/>
        </w:rPr>
        <w:t> </w:t>
      </w:r>
      <w:r>
        <w:rPr>
          <w:rFonts w:ascii="Arial" w:hAnsi="Arial"/>
          <w:sz w:val="21"/>
        </w:rPr>
        <w:t>due</w:t>
      </w:r>
      <w:r>
        <w:rPr>
          <w:rFonts w:ascii="Arial" w:hAnsi="Arial"/>
          <w:sz w:val="20"/>
        </w:rPr>
        <w:t> </w:t>
      </w:r>
      <w:r>
        <w:rPr>
          <w:rFonts w:ascii="Arial" w:hAnsi="Arial"/>
          <w:sz w:val="21"/>
        </w:rPr>
        <w:t>for</w:t>
      </w:r>
      <w:r>
        <w:rPr>
          <w:rFonts w:ascii="Arial" w:hAnsi="Arial"/>
          <w:sz w:val="20"/>
        </w:rPr>
        <w:t> </w:t>
      </w:r>
      <w:r>
        <w:rPr>
          <w:rFonts w:ascii="Arial" w:hAnsi="Arial"/>
          <w:sz w:val="21"/>
        </w:rPr>
        <w:t>payment</w:t>
      </w:r>
      <w:r>
        <w:rPr>
          <w:rFonts w:ascii="Arial" w:hAnsi="Arial"/>
          <w:sz w:val="20"/>
        </w:rPr>
        <w:t> </w:t>
      </w:r>
      <w:r>
        <w:rPr>
          <w:rFonts w:ascii="Arial" w:hAnsi="Arial"/>
          <w:sz w:val="21"/>
        </w:rPr>
        <w:t>(or</w:t>
      </w:r>
      <w:r>
        <w:rPr>
          <w:rFonts w:ascii="Arial" w:hAnsi="Arial"/>
          <w:sz w:val="20"/>
        </w:rPr>
        <w:t> </w:t>
      </w:r>
      <w:r>
        <w:rPr>
          <w:rFonts w:ascii="Arial" w:hAnsi="Arial"/>
          <w:sz w:val="21"/>
        </w:rPr>
        <w:t>reimburse the Bank on demand for) all Taxes payable in respect of the Secured Property;</w:t>
      </w:r>
      <w:r>
        <w:rPr>
          <w:rFonts w:ascii="Arial" w:hAnsi="Arial"/>
          <w:sz w:val="20"/>
        </w:rPr>
        <w:t xml:space="preserve"> </w:t>
      </w:r>
    </w:p>
    <w:p>
      <w:pPr>
        <w:pStyle w:val="TextBody"/>
        <w:bidi w:val="0"/>
        <w:spacing w:lineRule="auto" w:line="266" w:before="117" w:after="0"/>
        <w:ind w:left="4275" w:right="2050" w:hanging="0"/>
        <w:jc w:val="left"/>
        <w:rPr>
          <w:rFonts w:ascii="Arial" w:hAnsi="Arial"/>
          <w:sz w:val="20"/>
        </w:rPr>
      </w:pPr>
      <w:r>
        <w:rPr>
          <w:rFonts w:ascii="Arial" w:hAnsi="Arial"/>
          <w:sz w:val="21"/>
        </w:rPr>
        <w:t>(iii)preserve</w:t>
      </w:r>
      <w:r>
        <w:rPr>
          <w:rFonts w:ascii="Arial" w:hAnsi="Arial"/>
          <w:sz w:val="20"/>
        </w:rPr>
        <w:t> </w:t>
      </w:r>
      <w:r>
        <w:rPr>
          <w:rFonts w:ascii="Arial" w:hAnsi="Arial"/>
          <w:sz w:val="21"/>
        </w:rPr>
        <w:t>and</w:t>
      </w:r>
      <w:r>
        <w:rPr>
          <w:rFonts w:ascii="Arial" w:hAnsi="Arial"/>
          <w:sz w:val="20"/>
        </w:rPr>
        <w:t> </w:t>
      </w:r>
      <w:r>
        <w:rPr>
          <w:rFonts w:ascii="Arial" w:hAnsi="Arial"/>
          <w:sz w:val="21"/>
        </w:rPr>
        <w:t>protect</w:t>
      </w:r>
      <w:r>
        <w:rPr>
          <w:rFonts w:ascii="Arial" w:hAnsi="Arial"/>
          <w:sz w:val="20"/>
        </w:rPr>
        <w:t> </w:t>
      </w:r>
      <w:r>
        <w:rPr>
          <w:rFonts w:ascii="Arial" w:hAnsi="Arial"/>
          <w:sz w:val="21"/>
        </w:rPr>
        <w:t>the</w:t>
      </w:r>
      <w:r>
        <w:rPr>
          <w:rFonts w:ascii="Arial" w:hAnsi="Arial"/>
          <w:sz w:val="20"/>
        </w:rPr>
        <w:t> </w:t>
      </w:r>
      <w:r>
        <w:rPr>
          <w:rFonts w:ascii="Arial" w:hAnsi="Arial"/>
          <w:sz w:val="21"/>
        </w:rPr>
        <w:t>value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Secured</w:t>
      </w:r>
      <w:r>
        <w:rPr>
          <w:rFonts w:ascii="Arial" w:hAnsi="Arial"/>
          <w:sz w:val="20"/>
        </w:rPr>
        <w:t> </w:t>
      </w:r>
      <w:r>
        <w:rPr>
          <w:rFonts w:ascii="Arial" w:hAnsi="Arial"/>
          <w:sz w:val="21"/>
        </w:rPr>
        <w:t>Property</w:t>
      </w:r>
      <w:r>
        <w:rPr>
          <w:rFonts w:ascii="Arial" w:hAnsi="Arial"/>
          <w:sz w:val="20"/>
        </w:rPr>
        <w:t> </w:t>
      </w:r>
      <w:r>
        <w:rPr>
          <w:rFonts w:ascii="Arial" w:hAnsi="Arial"/>
          <w:sz w:val="21"/>
        </w:rPr>
        <w:t>as</w:t>
      </w:r>
      <w:r>
        <w:rPr>
          <w:rFonts w:ascii="Arial" w:hAnsi="Arial"/>
          <w:sz w:val="20"/>
        </w:rPr>
        <w:t> </w:t>
      </w:r>
      <w:r>
        <w:rPr>
          <w:rFonts w:ascii="Arial" w:hAnsi="Arial"/>
          <w:sz w:val="21"/>
        </w:rPr>
        <w:t>a whole; and</w:t>
      </w:r>
      <w:r>
        <w:rPr>
          <w:rFonts w:ascii="Arial" w:hAnsi="Arial"/>
          <w:sz w:val="20"/>
        </w:rPr>
        <w:t xml:space="preserve"> </w:t>
      </w:r>
    </w:p>
    <w:p>
      <w:pPr>
        <w:pStyle w:val="TextBody"/>
        <w:bidi w:val="0"/>
        <w:spacing w:lineRule="auto" w:line="266" w:before="0" w:after="0"/>
        <w:ind w:left="4275" w:right="1747" w:hanging="0"/>
        <w:jc w:val="left"/>
        <w:rPr>
          <w:rFonts w:ascii="Arial" w:hAnsi="Arial"/>
          <w:sz w:val="20"/>
        </w:rPr>
      </w:pPr>
      <w:r>
        <w:rPr>
          <w:rFonts w:ascii="Arial" w:hAnsi="Arial"/>
          <w:sz w:val="21"/>
        </w:rPr>
        <w:t>(iv)protect</w:t>
      </w:r>
      <w:r>
        <w:rPr>
          <w:rFonts w:ascii="Arial" w:hAnsi="Arial"/>
          <w:sz w:val="20"/>
        </w:rPr>
        <w:t> </w:t>
      </w:r>
      <w:r>
        <w:rPr>
          <w:rFonts w:ascii="Arial" w:hAnsi="Arial"/>
          <w:sz w:val="21"/>
        </w:rPr>
        <w:t>and</w:t>
      </w:r>
      <w:r>
        <w:rPr>
          <w:rFonts w:ascii="Arial" w:hAnsi="Arial"/>
          <w:sz w:val="20"/>
        </w:rPr>
        <w:t> </w:t>
      </w:r>
      <w:r>
        <w:rPr>
          <w:rFonts w:ascii="Arial" w:hAnsi="Arial"/>
          <w:sz w:val="21"/>
        </w:rPr>
        <w:t>enforce</w:t>
      </w:r>
      <w:r>
        <w:rPr>
          <w:rFonts w:ascii="Arial" w:hAnsi="Arial"/>
          <w:sz w:val="20"/>
        </w:rPr>
        <w:t> </w:t>
      </w:r>
      <w:r>
        <w:rPr>
          <w:rFonts w:ascii="Arial" w:hAnsi="Arial"/>
          <w:sz w:val="21"/>
        </w:rPr>
        <w:t>its</w:t>
      </w:r>
      <w:r>
        <w:rPr>
          <w:rFonts w:ascii="Arial" w:hAnsi="Arial"/>
          <w:sz w:val="20"/>
        </w:rPr>
        <w:t> </w:t>
      </w:r>
      <w:r>
        <w:rPr>
          <w:rFonts w:ascii="Arial" w:hAnsi="Arial"/>
          <w:sz w:val="21"/>
        </w:rPr>
        <w:t>title</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Bank’s</w:t>
      </w:r>
      <w:r>
        <w:rPr>
          <w:rFonts w:ascii="Arial" w:hAnsi="Arial"/>
          <w:sz w:val="20"/>
        </w:rPr>
        <w:t> </w:t>
      </w:r>
      <w:r>
        <w:rPr>
          <w:rFonts w:ascii="Arial" w:hAnsi="Arial"/>
          <w:sz w:val="21"/>
        </w:rPr>
        <w:t>title</w:t>
      </w:r>
      <w:r>
        <w:rPr>
          <w:rFonts w:ascii="Arial" w:hAnsi="Arial"/>
          <w:sz w:val="20"/>
        </w:rPr>
        <w:t> </w:t>
      </w:r>
      <w:r>
        <w:rPr>
          <w:rFonts w:ascii="Arial" w:hAnsi="Arial"/>
          <w:sz w:val="21"/>
        </w:rPr>
        <w:t>as</w:t>
      </w:r>
      <w:r>
        <w:rPr>
          <w:rFonts w:ascii="Arial" w:hAnsi="Arial"/>
          <w:sz w:val="20"/>
        </w:rPr>
        <w:t> </w:t>
      </w:r>
      <w:r>
        <w:rPr>
          <w:rFonts w:ascii="Arial" w:hAnsi="Arial"/>
          <w:sz w:val="21"/>
        </w:rPr>
        <w:t>mortgagee</w:t>
      </w:r>
      <w:r>
        <w:rPr>
          <w:rFonts w:ascii="Arial" w:hAnsi="Arial"/>
          <w:sz w:val="20"/>
        </w:rPr>
        <w:t> </w:t>
      </w:r>
      <w:r>
        <w:rPr>
          <w:rFonts w:ascii="Arial" w:hAnsi="Arial"/>
          <w:sz w:val="21"/>
        </w:rPr>
        <w:t>to the Secured Property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(m)</w:t>
      </w:r>
      <w:r>
        <w:rPr>
          <w:rFonts w:ascii="Arial" w:hAnsi="Arial"/>
          <w:b/>
          <w:sz w:val="21"/>
        </w:rPr>
        <w:t>mandatory hedging</w:t>
      </w:r>
      <w:r>
        <w:rPr>
          <w:rFonts w:ascii="Arial" w:hAnsi="Arial"/>
          <w:sz w:val="21"/>
        </w:rPr>
        <w:t>: in respect of the Borrower only, as soon as practicable, but in any event by 30 June 2024, it enters into an interest rate</w:t>
      </w:r>
      <w:r>
        <w:rPr>
          <w:rFonts w:ascii="Arial" w:hAnsi="Arial"/>
          <w:sz w:val="20"/>
        </w:rPr>
        <w:t> </w:t>
      </w:r>
      <w:r>
        <w:rPr>
          <w:rFonts w:ascii="Arial" w:hAnsi="Arial"/>
          <w:sz w:val="21"/>
        </w:rPr>
        <w:t>Hedging</w:t>
      </w:r>
      <w:r>
        <w:rPr>
          <w:rFonts w:ascii="Arial" w:hAnsi="Arial"/>
          <w:sz w:val="20"/>
        </w:rPr>
        <w:t> </w:t>
      </w:r>
      <w:r>
        <w:rPr>
          <w:rFonts w:ascii="Arial" w:hAnsi="Arial"/>
          <w:sz w:val="21"/>
        </w:rPr>
        <w:t>Transaction</w:t>
      </w:r>
      <w:r>
        <w:rPr>
          <w:rFonts w:ascii="Arial" w:hAnsi="Arial"/>
          <w:sz w:val="20"/>
        </w:rPr>
        <w:t> </w:t>
      </w:r>
      <w:r>
        <w:rPr>
          <w:rFonts w:ascii="Arial" w:hAnsi="Arial"/>
          <w:sz w:val="21"/>
        </w:rPr>
        <w:t>with</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at</w:t>
      </w:r>
      <w:r>
        <w:rPr>
          <w:rFonts w:ascii="Arial" w:hAnsi="Arial"/>
          <w:sz w:val="20"/>
        </w:rPr>
        <w:t> </w:t>
      </w:r>
      <w:r>
        <w:rPr>
          <w:rFonts w:ascii="Arial" w:hAnsi="Arial"/>
          <w:sz w:val="21"/>
        </w:rPr>
        <w:t>least</w:t>
      </w:r>
      <w:r>
        <w:rPr>
          <w:rFonts w:ascii="Arial" w:hAnsi="Arial"/>
          <w:sz w:val="20"/>
        </w:rPr>
        <w:t> </w:t>
      </w:r>
      <w:r>
        <w:rPr>
          <w:rFonts w:ascii="Arial" w:hAnsi="Arial"/>
          <w:sz w:val="21"/>
        </w:rPr>
        <w:t>50%</w:t>
      </w:r>
      <w:r>
        <w:rPr>
          <w:rFonts w:ascii="Arial" w:hAnsi="Arial"/>
          <w:sz w:val="20"/>
        </w:rPr>
        <w:t> </w:t>
      </w:r>
      <w:r>
        <w:rPr>
          <w:rFonts w:ascii="Arial" w:hAnsi="Arial"/>
          <w:sz w:val="21"/>
        </w:rPr>
        <w:t>of</w:t>
      </w:r>
      <w:r>
        <w:rPr>
          <w:rFonts w:ascii="Arial" w:hAnsi="Arial"/>
          <w:sz w:val="20"/>
        </w:rPr>
        <w:t> </w:t>
      </w:r>
      <w:r>
        <w:rPr>
          <w:rFonts w:ascii="Arial" w:hAnsi="Arial"/>
          <w:sz w:val="21"/>
        </w:rPr>
        <w:t>the Facility Limit of the Corporate Markets Loan Facility on such terms in accordance with the Borrower’s hedging strategy.</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56" w:name="Insurance971"/>
      <w:bookmarkEnd w:id="456"/>
      <w:r>
        <w:rPr>
          <w:rFonts w:ascii="Arial" w:hAnsi="Arial"/>
          <w:b/>
          <w:color w:val="000000"/>
          <w:sz w:val="24"/>
        </w:rPr>
        <w:t>9.7Insurance</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(a)Subject to the provisions of the Transaction Documents, the Borrower must</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maintain</w:t>
      </w:r>
      <w:r>
        <w:rPr>
          <w:rFonts w:ascii="Arial" w:hAnsi="Arial"/>
          <w:color w:val="000000"/>
          <w:sz w:val="20"/>
        </w:rPr>
        <w:t> </w:t>
      </w:r>
      <w:r>
        <w:rPr>
          <w:rFonts w:ascii="Arial" w:hAnsi="Arial"/>
          <w:color w:val="000000"/>
          <w:sz w:val="21"/>
        </w:rPr>
        <w:t>insurance</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Secured Property, the business operations of the Group (including business interruption) and for public liability with insurers, for amounts, against risks and on terms and conditions:</w:t>
      </w:r>
      <w:r>
        <w:rPr>
          <w:rFonts w:ascii="Arial" w:hAnsi="Arial"/>
          <w:sz w:val="20"/>
        </w:rPr>
        <w:t xml:space="preserve"> </w:t>
      </w:r>
    </w:p>
    <w:p>
      <w:pPr>
        <w:pStyle w:val="TextBody"/>
        <w:bidi w:val="0"/>
        <w:spacing w:before="0" w:after="0"/>
        <w:ind w:left="4275" w:right="700" w:hanging="0"/>
        <w:jc w:val="left"/>
        <w:rPr>
          <w:rFonts w:ascii="Arial" w:hAnsi="Arial"/>
          <w:sz w:val="20"/>
        </w:rPr>
      </w:pPr>
      <w:r>
        <w:rPr>
          <w:rFonts w:ascii="Arial" w:hAnsi="Arial"/>
          <w:color w:val="000000"/>
          <w:sz w:val="21"/>
        </w:rPr>
        <w:t>(i)that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reasonably</w:t>
      </w:r>
      <w:r>
        <w:rPr>
          <w:rFonts w:ascii="Arial" w:hAnsi="Arial"/>
          <w:color w:val="000000"/>
          <w:sz w:val="20"/>
        </w:rPr>
        <w:t> </w:t>
      </w:r>
      <w:r>
        <w:rPr>
          <w:rFonts w:ascii="Arial" w:hAnsi="Arial"/>
          <w:color w:val="000000"/>
          <w:sz w:val="21"/>
        </w:rPr>
        <w:t>requires;</w:t>
      </w:r>
      <w:r>
        <w:rPr>
          <w:rFonts w:ascii="Arial" w:hAnsi="Arial"/>
          <w:color w:val="000000"/>
          <w:sz w:val="20"/>
        </w:rPr>
        <w:t> </w:t>
      </w:r>
      <w:r>
        <w:rPr>
          <w:rFonts w:ascii="Arial" w:hAnsi="Arial"/>
          <w:color w:val="000000"/>
          <w:sz w:val="21"/>
        </w:rPr>
        <w:t>or</w:t>
      </w:r>
      <w:r>
        <w:rPr>
          <w:rFonts w:ascii="Arial" w:hAnsi="Arial"/>
          <w:sz w:val="20"/>
        </w:rPr>
        <w:t xml:space="preserve"> </w:t>
      </w:r>
    </w:p>
    <w:p>
      <w:pPr>
        <w:pStyle w:val="TextBody"/>
        <w:bidi w:val="0"/>
        <w:spacing w:lineRule="auto" w:line="266" w:before="148" w:after="0"/>
        <w:ind w:left="4275" w:right="1514" w:hanging="0"/>
        <w:jc w:val="left"/>
        <w:rPr>
          <w:rFonts w:ascii="Arial" w:hAnsi="Arial"/>
          <w:sz w:val="20"/>
        </w:rPr>
      </w:pPr>
      <w:r>
        <w:rPr>
          <w:rFonts w:ascii="Arial" w:hAnsi="Arial"/>
          <w:color w:val="000000"/>
          <w:sz w:val="21"/>
        </w:rPr>
        <w:t>(ii)if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notify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requirements,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 prudent and reasonable owner of the Secured Property would effect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maintain,</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insurance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full</w:t>
      </w:r>
      <w:r>
        <w:rPr>
          <w:rFonts w:ascii="Arial" w:hAnsi="Arial"/>
          <w:color w:val="000000"/>
          <w:sz w:val="20"/>
        </w:rPr>
        <w:t> </w:t>
      </w:r>
      <w:r>
        <w:rPr>
          <w:rFonts w:ascii="Arial" w:hAnsi="Arial"/>
          <w:color w:val="000000"/>
          <w:sz w:val="21"/>
        </w:rPr>
        <w:t>replacement</w:t>
      </w:r>
      <w:r>
        <w:rPr>
          <w:rFonts w:ascii="Arial" w:hAnsi="Arial"/>
          <w:color w:val="000000"/>
          <w:sz w:val="20"/>
        </w:rPr>
        <w:t> </w:t>
      </w:r>
      <w:r>
        <w:rPr>
          <w:rFonts w:ascii="Arial" w:hAnsi="Arial"/>
          <w:color w:val="000000"/>
          <w:sz w:val="21"/>
        </w:rPr>
        <w:t>value on a reinstatement basis.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provisions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 must give to the Bank on demand a certificate in form and substance satisfactory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from the</w:t>
      </w:r>
      <w:r>
        <w:rPr>
          <w:rFonts w:ascii="Arial" w:hAnsi="Arial"/>
          <w:color w:val="000000"/>
          <w:sz w:val="20"/>
        </w:rPr>
        <w:t> </w:t>
      </w:r>
      <w:r>
        <w:rPr>
          <w:rFonts w:ascii="Arial" w:hAnsi="Arial"/>
          <w:color w:val="000000"/>
          <w:sz w:val="21"/>
        </w:rPr>
        <w:t>insurer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required Insurances are current and no premium is overdue.</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57" w:name="Financial_ratios981"/>
      <w:bookmarkEnd w:id="457"/>
      <w:r>
        <w:rPr>
          <w:rFonts w:ascii="Arial" w:hAnsi="Arial"/>
          <w:b/>
          <w:color w:val="000000"/>
          <w:sz w:val="24"/>
        </w:rPr>
        <w:t>9.8Financial ratios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ensure</w:t>
      </w:r>
      <w:r>
        <w:rPr>
          <w:rFonts w:ascii="Arial" w:hAnsi="Arial"/>
          <w:color w:val="000000"/>
          <w:sz w:val="20"/>
        </w:rPr>
        <w:t xml:space="preserve"> </w:t>
      </w:r>
      <w:r>
        <w:rPr>
          <w:rFonts w:ascii="Arial" w:hAnsi="Arial"/>
          <w:color w:val="000000"/>
          <w:sz w:val="21"/>
        </w:rPr>
        <w:t>that:</w:t>
      </w:r>
      <w:r>
        <w:rPr>
          <w:rFonts w:ascii="Arial" w:hAnsi="Arial"/>
          <w:sz w:val="20"/>
        </w:rPr>
        <w:t xml:space="preserve"> </w:t>
      </w:r>
    </w:p>
    <w:p>
      <w:pPr>
        <w:pStyle w:val="TextBody"/>
        <w:bidi w:val="0"/>
        <w:spacing w:before="150" w:after="0"/>
        <w:ind w:left="4275" w:right="700" w:hanging="0"/>
        <w:jc w:val="left"/>
        <w:rPr>
          <w:rFonts w:ascii="Arial" w:hAnsi="Arial"/>
          <w:b/>
          <w:sz w:val="22"/>
        </w:rPr>
      </w:pPr>
      <w:r>
        <w:rPr>
          <w:rFonts w:ascii="Arial" w:hAnsi="Arial"/>
          <w:b w:val="false"/>
          <w:color w:val="000000"/>
          <w:sz w:val="22"/>
        </w:rPr>
        <w:t>(i)</w:t>
      </w:r>
      <w:r>
        <w:rPr>
          <w:rFonts w:ascii="Arial" w:hAnsi="Arial"/>
          <w:b/>
          <w:color w:val="000000"/>
          <w:sz w:val="22"/>
        </w:rPr>
        <w:t>Fixed Charges Cover Ratio:</w:t>
      </w:r>
      <w:r>
        <w:rPr>
          <w:rFonts w:ascii="Arial" w:hAnsi="Arial"/>
          <w:b/>
          <w:sz w:val="22"/>
        </w:rPr>
        <w:t xml:space="preserve"> </w:t>
      </w:r>
    </w:p>
    <w:p>
      <w:pPr>
        <w:pStyle w:val="TextBody"/>
        <w:bidi w:val="0"/>
        <w:spacing w:lineRule="auto" w:line="264" w:before="147" w:after="0"/>
        <w:ind w:left="4820" w:right="1585" w:hanging="0"/>
        <w:jc w:val="left"/>
        <w:rPr>
          <w:rFonts w:ascii="Arial" w:hAnsi="Arial"/>
          <w:sz w:val="20"/>
        </w:rPr>
      </w:pPr>
      <w:r>
        <w:rPr>
          <w:rFonts w:ascii="Arial" w:hAnsi="Arial"/>
          <w:color w:val="000000"/>
          <w:sz w:val="21"/>
        </w:rPr>
        <w:t xml:space="preserve">(A)subject to </w:t>
      </w:r>
      <w:r>
        <w:rPr>
          <w:rFonts w:ascii="Arial" w:hAnsi="Arial"/>
          <w:b/>
          <w:color w:val="000000"/>
          <w:sz w:val="21"/>
        </w:rPr>
        <w:t>clause 9.8(a)(i)(B)</w:t>
      </w:r>
      <w:r>
        <w:rPr>
          <w:rFonts w:ascii="Arial" w:hAnsi="Arial"/>
          <w:color w:val="000000"/>
          <w:sz w:val="21"/>
        </w:rPr>
        <w:t>, at each Calculation Date commencing</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March</w:t>
      </w:r>
      <w:r>
        <w:rPr>
          <w:rFonts w:ascii="Arial" w:hAnsi="Arial"/>
          <w:color w:val="000000"/>
          <w:sz w:val="20"/>
        </w:rPr>
        <w:t> </w:t>
      </w:r>
      <w:r>
        <w:rPr>
          <w:rFonts w:ascii="Arial" w:hAnsi="Arial"/>
          <w:color w:val="000000"/>
          <w:sz w:val="21"/>
        </w:rPr>
        <w:t>2024</w:t>
      </w:r>
      <w:r>
        <w:rPr>
          <w:rFonts w:ascii="Arial" w:hAnsi="Arial"/>
          <w:color w:val="000000"/>
          <w:sz w:val="20"/>
        </w:rPr>
        <w:t> </w:t>
      </w:r>
      <w:r>
        <w:rPr>
          <w:rFonts w:ascii="Arial" w:hAnsi="Arial"/>
          <w:color w:val="000000"/>
          <w:sz w:val="21"/>
        </w:rPr>
        <w:t>until</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June</w:t>
      </w:r>
      <w:r>
        <w:rPr>
          <w:rFonts w:ascii="Arial" w:hAnsi="Arial"/>
          <w:color w:val="000000"/>
          <w:sz w:val="20"/>
        </w:rPr>
        <w:t> </w:t>
      </w:r>
      <w:r>
        <w:rPr>
          <w:rFonts w:ascii="Arial" w:hAnsi="Arial"/>
          <w:color w:val="000000"/>
          <w:sz w:val="21"/>
        </w:rPr>
        <w:t>2025</w:t>
      </w:r>
      <w:r>
        <w:rPr>
          <w:rFonts w:ascii="Arial" w:hAnsi="Arial"/>
          <w:color w:val="000000"/>
          <w:sz w:val="20"/>
        </w:rPr>
        <w:t> </w:t>
      </w:r>
      <w:r>
        <w:rPr>
          <w:rFonts w:ascii="Arial" w:hAnsi="Arial"/>
          <w:color w:val="000000"/>
          <w:sz w:val="21"/>
        </w:rPr>
        <w:t>(inclusive),</w:t>
      </w:r>
      <w:r>
        <w:rPr>
          <w:rFonts w:ascii="Arial" w:hAnsi="Arial"/>
          <w:sz w:val="20"/>
        </w:rPr>
        <w:t xml:space="preserve"> </w:t>
      </w:r>
    </w:p>
    <w:p>
      <w:pPr>
        <w:pStyle w:val="TextBody"/>
        <w:bidi w:val="0"/>
        <w:spacing w:lineRule="auto" w:line="264"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4820" w:right="1597" w:hanging="0"/>
        <w:jc w:val="both"/>
        <w:rPr>
          <w:rFonts w:ascii="Arial" w:hAnsi="Arial"/>
          <w:sz w:val="22"/>
        </w:rPr>
      </w:pPr>
      <w:r>
        <w:rPr>
          <w:rFonts w:ascii="Arial" w:hAnsi="Arial"/>
          <w:sz w:val="22"/>
        </w:rPr>
        <w:t xml:space="preserve">the Fixed Charges Cover Ratio for the Calculation Period ending on that Calculation Date is not less than 1.40 times; </w:t>
      </w:r>
    </w:p>
    <w:p>
      <w:pPr>
        <w:pStyle w:val="TextBody"/>
        <w:bidi w:val="0"/>
        <w:spacing w:lineRule="auto" w:line="266" w:before="0" w:after="0"/>
        <w:ind w:left="4820" w:right="1680" w:hanging="0"/>
        <w:jc w:val="both"/>
        <w:rPr>
          <w:rFonts w:ascii="Arial" w:hAnsi="Arial"/>
          <w:sz w:val="20"/>
        </w:rPr>
      </w:pPr>
      <w:r>
        <w:rPr>
          <w:rFonts w:ascii="Arial" w:hAnsi="Arial"/>
          <w:sz w:val="21"/>
        </w:rPr>
        <w:t>(B)at</w:t>
      </w:r>
      <w:r>
        <w:rPr>
          <w:rFonts w:ascii="Arial" w:hAnsi="Arial"/>
          <w:sz w:val="20"/>
        </w:rPr>
        <w:t> </w:t>
      </w:r>
      <w:r>
        <w:rPr>
          <w:rFonts w:ascii="Arial" w:hAnsi="Arial"/>
          <w:sz w:val="21"/>
        </w:rPr>
        <w:t>the</w:t>
      </w:r>
      <w:r>
        <w:rPr>
          <w:rFonts w:ascii="Arial" w:hAnsi="Arial"/>
          <w:sz w:val="20"/>
        </w:rPr>
        <w:t> </w:t>
      </w:r>
      <w:r>
        <w:rPr>
          <w:rFonts w:ascii="Arial" w:hAnsi="Arial"/>
          <w:sz w:val="21"/>
        </w:rPr>
        <w:t>Calculation</w:t>
      </w:r>
      <w:r>
        <w:rPr>
          <w:rFonts w:ascii="Arial" w:hAnsi="Arial"/>
          <w:sz w:val="20"/>
        </w:rPr>
        <w:t> </w:t>
      </w:r>
      <w:r>
        <w:rPr>
          <w:rFonts w:ascii="Arial" w:hAnsi="Arial"/>
          <w:sz w:val="21"/>
        </w:rPr>
        <w:t>Date</w:t>
      </w:r>
      <w:r>
        <w:rPr>
          <w:rFonts w:ascii="Arial" w:hAnsi="Arial"/>
          <w:sz w:val="20"/>
        </w:rPr>
        <w:t> </w:t>
      </w:r>
      <w:r>
        <w:rPr>
          <w:rFonts w:ascii="Arial" w:hAnsi="Arial"/>
          <w:sz w:val="21"/>
        </w:rPr>
        <w:t>31</w:t>
      </w:r>
      <w:r>
        <w:rPr>
          <w:rFonts w:ascii="Arial" w:hAnsi="Arial"/>
          <w:sz w:val="20"/>
        </w:rPr>
        <w:t> </w:t>
      </w:r>
      <w:r>
        <w:rPr>
          <w:rFonts w:ascii="Arial" w:hAnsi="Arial"/>
          <w:sz w:val="21"/>
        </w:rPr>
        <w:t>December</w:t>
      </w:r>
      <w:r>
        <w:rPr>
          <w:rFonts w:ascii="Arial" w:hAnsi="Arial"/>
          <w:sz w:val="20"/>
        </w:rPr>
        <w:t> </w:t>
      </w:r>
      <w:r>
        <w:rPr>
          <w:rFonts w:ascii="Arial" w:hAnsi="Arial"/>
          <w:sz w:val="21"/>
        </w:rPr>
        <w:t>2024</w:t>
      </w:r>
      <w:r>
        <w:rPr>
          <w:rFonts w:ascii="Arial" w:hAnsi="Arial"/>
          <w:sz w:val="20"/>
        </w:rPr>
        <w:t> </w:t>
      </w:r>
      <w:r>
        <w:rPr>
          <w:rFonts w:ascii="Arial" w:hAnsi="Arial"/>
          <w:sz w:val="21"/>
        </w:rPr>
        <w:t>only,</w:t>
      </w:r>
      <w:r>
        <w:rPr>
          <w:rFonts w:ascii="Arial" w:hAnsi="Arial"/>
          <w:sz w:val="20"/>
        </w:rPr>
        <w:t> </w:t>
      </w:r>
      <w:r>
        <w:rPr>
          <w:rFonts w:ascii="Arial" w:hAnsi="Arial"/>
          <w:sz w:val="21"/>
        </w:rPr>
        <w:t>the</w:t>
      </w:r>
      <w:r>
        <w:rPr>
          <w:rFonts w:ascii="Arial" w:hAnsi="Arial"/>
          <w:sz w:val="20"/>
        </w:rPr>
        <w:t> </w:t>
      </w:r>
      <w:r>
        <w:rPr>
          <w:rFonts w:ascii="Arial" w:hAnsi="Arial"/>
          <w:sz w:val="21"/>
        </w:rPr>
        <w:t>Fixed Charges</w:t>
      </w:r>
      <w:r>
        <w:rPr>
          <w:rFonts w:ascii="Arial" w:hAnsi="Arial"/>
          <w:sz w:val="20"/>
        </w:rPr>
        <w:t> </w:t>
      </w:r>
      <w:r>
        <w:rPr>
          <w:rFonts w:ascii="Arial" w:hAnsi="Arial"/>
          <w:sz w:val="21"/>
        </w:rPr>
        <w:t>Cover Ratio for the Calculation</w:t>
      </w:r>
      <w:r>
        <w:rPr>
          <w:rFonts w:ascii="Arial" w:hAnsi="Arial"/>
          <w:sz w:val="20"/>
        </w:rPr>
        <w:t> </w:t>
      </w:r>
      <w:r>
        <w:rPr>
          <w:rFonts w:ascii="Arial" w:hAnsi="Arial"/>
          <w:sz w:val="21"/>
        </w:rPr>
        <w:t>Period ending on that Calculation Date is not less than 1.35 times ; and</w:t>
      </w:r>
      <w:r>
        <w:rPr>
          <w:rFonts w:ascii="Arial" w:hAnsi="Arial"/>
          <w:sz w:val="20"/>
        </w:rPr>
        <w:t xml:space="preserve"> </w:t>
      </w:r>
    </w:p>
    <w:p>
      <w:pPr>
        <w:pStyle w:val="TextBody"/>
        <w:bidi w:val="0"/>
        <w:spacing w:lineRule="auto" w:line="266" w:before="120" w:after="0"/>
        <w:ind w:left="4820" w:right="1550" w:hanging="0"/>
        <w:jc w:val="left"/>
        <w:rPr>
          <w:rFonts w:ascii="Arial" w:hAnsi="Arial"/>
          <w:sz w:val="20"/>
        </w:rPr>
      </w:pPr>
      <w:r>
        <w:rPr>
          <w:rFonts w:ascii="Arial" w:hAnsi="Arial"/>
          <w:sz w:val="21"/>
        </w:rPr>
        <w:t>(C)at each other Calculation Date commencing 30 September 2025, the Fixed Charges Cover Ratio for the Calculation Period</w:t>
      </w:r>
      <w:r>
        <w:rPr>
          <w:rFonts w:ascii="Arial" w:hAnsi="Arial"/>
          <w:sz w:val="20"/>
        </w:rPr>
        <w:t> </w:t>
      </w:r>
      <w:r>
        <w:rPr>
          <w:rFonts w:ascii="Arial" w:hAnsi="Arial"/>
          <w:sz w:val="21"/>
        </w:rPr>
        <w:t>ending</w:t>
      </w:r>
      <w:r>
        <w:rPr>
          <w:rFonts w:ascii="Arial" w:hAnsi="Arial"/>
          <w:sz w:val="20"/>
        </w:rPr>
        <w:t> </w:t>
      </w:r>
      <w:r>
        <w:rPr>
          <w:rFonts w:ascii="Arial" w:hAnsi="Arial"/>
          <w:sz w:val="21"/>
        </w:rPr>
        <w:t>on</w:t>
      </w:r>
      <w:r>
        <w:rPr>
          <w:rFonts w:ascii="Arial" w:hAnsi="Arial"/>
          <w:sz w:val="20"/>
        </w:rPr>
        <w:t> </w:t>
      </w:r>
      <w:r>
        <w:rPr>
          <w:rFonts w:ascii="Arial" w:hAnsi="Arial"/>
          <w:sz w:val="21"/>
        </w:rPr>
        <w:t>that</w:t>
      </w:r>
      <w:r>
        <w:rPr>
          <w:rFonts w:ascii="Arial" w:hAnsi="Arial"/>
          <w:sz w:val="20"/>
        </w:rPr>
        <w:t> </w:t>
      </w:r>
      <w:r>
        <w:rPr>
          <w:rFonts w:ascii="Arial" w:hAnsi="Arial"/>
          <w:sz w:val="21"/>
        </w:rPr>
        <w:t>Calculation</w:t>
      </w:r>
      <w:r>
        <w:rPr>
          <w:rFonts w:ascii="Arial" w:hAnsi="Arial"/>
          <w:sz w:val="20"/>
        </w:rPr>
        <w:t> </w:t>
      </w:r>
      <w:r>
        <w:rPr>
          <w:rFonts w:ascii="Arial" w:hAnsi="Arial"/>
          <w:sz w:val="21"/>
        </w:rPr>
        <w:t>Date</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less</w:t>
      </w:r>
      <w:r>
        <w:rPr>
          <w:rFonts w:ascii="Arial" w:hAnsi="Arial"/>
          <w:sz w:val="20"/>
        </w:rPr>
        <w:t> </w:t>
      </w:r>
      <w:r>
        <w:rPr>
          <w:rFonts w:ascii="Arial" w:hAnsi="Arial"/>
          <w:sz w:val="21"/>
        </w:rPr>
        <w:t>than</w:t>
      </w:r>
      <w:r>
        <w:rPr>
          <w:rFonts w:ascii="Arial" w:hAnsi="Arial"/>
          <w:sz w:val="20"/>
        </w:rPr>
        <w:t> </w:t>
      </w:r>
      <w:r>
        <w:rPr>
          <w:rFonts w:ascii="Arial" w:hAnsi="Arial"/>
          <w:sz w:val="21"/>
        </w:rPr>
        <w:t>1.50 times.</w:t>
      </w:r>
      <w:r>
        <w:rPr>
          <w:rFonts w:ascii="Arial" w:hAnsi="Arial"/>
          <w:sz w:val="20"/>
        </w:rPr>
        <w:t xml:space="preserve"> </w:t>
      </w:r>
    </w:p>
    <w:p>
      <w:pPr>
        <w:pStyle w:val="TextBody"/>
        <w:bidi w:val="0"/>
        <w:spacing w:before="119" w:after="0"/>
        <w:ind w:left="4275" w:right="700" w:hanging="0"/>
        <w:jc w:val="left"/>
        <w:rPr>
          <w:rFonts w:ascii="Arial" w:hAnsi="Arial"/>
          <w:b/>
          <w:sz w:val="22"/>
        </w:rPr>
      </w:pPr>
      <w:r>
        <w:rPr>
          <w:rFonts w:ascii="Arial" w:hAnsi="Arial"/>
          <w:b w:val="false"/>
          <w:sz w:val="22"/>
        </w:rPr>
        <w:t>(ii)</w:t>
      </w:r>
      <w:r>
        <w:rPr>
          <w:rFonts w:ascii="Arial" w:hAnsi="Arial"/>
          <w:b/>
          <w:sz w:val="22"/>
        </w:rPr>
        <w:t xml:space="preserve">Leverage Ratio: </w:t>
      </w:r>
    </w:p>
    <w:p>
      <w:pPr>
        <w:pStyle w:val="TextBody"/>
        <w:bidi w:val="0"/>
        <w:spacing w:lineRule="auto" w:line="266" w:before="147" w:after="0"/>
        <w:ind w:left="4820" w:right="1679" w:hanging="0"/>
        <w:jc w:val="both"/>
        <w:rPr>
          <w:rFonts w:ascii="Arial" w:hAnsi="Arial"/>
          <w:sz w:val="20"/>
        </w:rPr>
      </w:pPr>
      <w:r>
        <w:rPr>
          <w:rFonts w:ascii="Arial" w:hAnsi="Arial"/>
          <w:sz w:val="21"/>
        </w:rPr>
        <w:t>(A)at</w:t>
      </w:r>
      <w:r>
        <w:rPr>
          <w:rFonts w:ascii="Arial" w:hAnsi="Arial"/>
          <w:sz w:val="20"/>
        </w:rPr>
        <w:t> </w:t>
      </w:r>
      <w:r>
        <w:rPr>
          <w:rFonts w:ascii="Arial" w:hAnsi="Arial"/>
          <w:sz w:val="21"/>
        </w:rPr>
        <w:t>the</w:t>
      </w:r>
      <w:r>
        <w:rPr>
          <w:rFonts w:ascii="Arial" w:hAnsi="Arial"/>
          <w:sz w:val="20"/>
        </w:rPr>
        <w:t> </w:t>
      </w:r>
      <w:r>
        <w:rPr>
          <w:rFonts w:ascii="Arial" w:hAnsi="Arial"/>
          <w:sz w:val="21"/>
        </w:rPr>
        <w:t>Calculation</w:t>
      </w:r>
      <w:r>
        <w:rPr>
          <w:rFonts w:ascii="Arial" w:hAnsi="Arial"/>
          <w:sz w:val="20"/>
        </w:rPr>
        <w:t> </w:t>
      </w:r>
      <w:r>
        <w:rPr>
          <w:rFonts w:ascii="Arial" w:hAnsi="Arial"/>
          <w:sz w:val="21"/>
        </w:rPr>
        <w:t>Date</w:t>
      </w:r>
      <w:r>
        <w:rPr>
          <w:rFonts w:ascii="Arial" w:hAnsi="Arial"/>
          <w:sz w:val="20"/>
        </w:rPr>
        <w:t> </w:t>
      </w:r>
      <w:r>
        <w:rPr>
          <w:rFonts w:ascii="Arial" w:hAnsi="Arial"/>
          <w:sz w:val="21"/>
        </w:rPr>
        <w:t>30</w:t>
      </w:r>
      <w:r>
        <w:rPr>
          <w:rFonts w:ascii="Arial" w:hAnsi="Arial"/>
          <w:sz w:val="20"/>
        </w:rPr>
        <w:t> </w:t>
      </w:r>
      <w:r>
        <w:rPr>
          <w:rFonts w:ascii="Arial" w:hAnsi="Arial"/>
          <w:sz w:val="21"/>
        </w:rPr>
        <w:t>September</w:t>
      </w:r>
      <w:r>
        <w:rPr>
          <w:rFonts w:ascii="Arial" w:hAnsi="Arial"/>
          <w:sz w:val="20"/>
        </w:rPr>
        <w:t> </w:t>
      </w:r>
      <w:r>
        <w:rPr>
          <w:rFonts w:ascii="Arial" w:hAnsi="Arial"/>
          <w:sz w:val="21"/>
        </w:rPr>
        <w:t>2025,</w:t>
      </w:r>
      <w:r>
        <w:rPr>
          <w:rFonts w:ascii="Arial" w:hAnsi="Arial"/>
          <w:sz w:val="20"/>
        </w:rPr>
        <w:t> </w:t>
      </w:r>
      <w:r>
        <w:rPr>
          <w:rFonts w:ascii="Arial" w:hAnsi="Arial"/>
          <w:sz w:val="21"/>
        </w:rPr>
        <w:t>the</w:t>
      </w:r>
      <w:r>
        <w:rPr>
          <w:rFonts w:ascii="Arial" w:hAnsi="Arial"/>
          <w:sz w:val="20"/>
        </w:rPr>
        <w:t> </w:t>
      </w:r>
      <w:r>
        <w:rPr>
          <w:rFonts w:ascii="Arial" w:hAnsi="Arial"/>
          <w:sz w:val="21"/>
        </w:rPr>
        <w:t>Leverage Ratio</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Calculation</w:t>
      </w:r>
      <w:r>
        <w:rPr>
          <w:rFonts w:ascii="Arial" w:hAnsi="Arial"/>
          <w:sz w:val="20"/>
        </w:rPr>
        <w:t> </w:t>
      </w:r>
      <w:r>
        <w:rPr>
          <w:rFonts w:ascii="Arial" w:hAnsi="Arial"/>
          <w:sz w:val="21"/>
        </w:rPr>
        <w:t>Period</w:t>
      </w:r>
      <w:r>
        <w:rPr>
          <w:rFonts w:ascii="Arial" w:hAnsi="Arial"/>
          <w:sz w:val="20"/>
        </w:rPr>
        <w:t> </w:t>
      </w:r>
      <w:r>
        <w:rPr>
          <w:rFonts w:ascii="Arial" w:hAnsi="Arial"/>
          <w:sz w:val="21"/>
        </w:rPr>
        <w:t>ending</w:t>
      </w:r>
      <w:r>
        <w:rPr>
          <w:rFonts w:ascii="Arial" w:hAnsi="Arial"/>
          <w:sz w:val="20"/>
        </w:rPr>
        <w:t> </w:t>
      </w:r>
      <w:r>
        <w:rPr>
          <w:rFonts w:ascii="Arial" w:hAnsi="Arial"/>
          <w:sz w:val="21"/>
        </w:rPr>
        <w:t>on</w:t>
      </w:r>
      <w:r>
        <w:rPr>
          <w:rFonts w:ascii="Arial" w:hAnsi="Arial"/>
          <w:sz w:val="20"/>
        </w:rPr>
        <w:t> </w:t>
      </w:r>
      <w:r>
        <w:rPr>
          <w:rFonts w:ascii="Arial" w:hAnsi="Arial"/>
          <w:sz w:val="21"/>
        </w:rPr>
        <w:t>that</w:t>
      </w:r>
      <w:r>
        <w:rPr>
          <w:rFonts w:ascii="Arial" w:hAnsi="Arial"/>
          <w:sz w:val="20"/>
        </w:rPr>
        <w:t> </w:t>
      </w:r>
      <w:r>
        <w:rPr>
          <w:rFonts w:ascii="Arial" w:hAnsi="Arial"/>
          <w:sz w:val="21"/>
        </w:rPr>
        <w:t>Calculation Date is less than or equal to 4.25 times;</w:t>
      </w:r>
      <w:r>
        <w:rPr>
          <w:rFonts w:ascii="Arial" w:hAnsi="Arial"/>
          <w:sz w:val="20"/>
        </w:rPr>
        <w:t xml:space="preserve"> </w:t>
      </w:r>
    </w:p>
    <w:p>
      <w:pPr>
        <w:pStyle w:val="TextBody"/>
        <w:bidi w:val="0"/>
        <w:spacing w:lineRule="auto" w:line="266" w:before="120" w:after="0"/>
        <w:ind w:left="4820" w:right="1683" w:hanging="0"/>
        <w:jc w:val="both"/>
        <w:rPr>
          <w:rFonts w:ascii="Arial" w:hAnsi="Arial"/>
          <w:sz w:val="20"/>
        </w:rPr>
      </w:pPr>
      <w:r>
        <w:rPr>
          <w:rFonts w:ascii="Arial" w:hAnsi="Arial"/>
          <w:sz w:val="21"/>
        </w:rPr>
        <w:t>(B)at</w:t>
      </w:r>
      <w:r>
        <w:rPr>
          <w:rFonts w:ascii="Arial" w:hAnsi="Arial"/>
          <w:sz w:val="20"/>
        </w:rPr>
        <w:t> </w:t>
      </w:r>
      <w:r>
        <w:rPr>
          <w:rFonts w:ascii="Arial" w:hAnsi="Arial"/>
          <w:sz w:val="21"/>
        </w:rPr>
        <w:t>each</w:t>
      </w:r>
      <w:r>
        <w:rPr>
          <w:rFonts w:ascii="Arial" w:hAnsi="Arial"/>
          <w:sz w:val="20"/>
        </w:rPr>
        <w:t> </w:t>
      </w:r>
      <w:r>
        <w:rPr>
          <w:rFonts w:ascii="Arial" w:hAnsi="Arial"/>
          <w:sz w:val="21"/>
        </w:rPr>
        <w:t>Calculation</w:t>
      </w:r>
      <w:r>
        <w:rPr>
          <w:rFonts w:ascii="Arial" w:hAnsi="Arial"/>
          <w:sz w:val="20"/>
        </w:rPr>
        <w:t> </w:t>
      </w:r>
      <w:r>
        <w:rPr>
          <w:rFonts w:ascii="Arial" w:hAnsi="Arial"/>
          <w:sz w:val="21"/>
        </w:rPr>
        <w:t>Date</w:t>
      </w:r>
      <w:r>
        <w:rPr>
          <w:rFonts w:ascii="Arial" w:hAnsi="Arial"/>
          <w:sz w:val="20"/>
        </w:rPr>
        <w:t> </w:t>
      </w:r>
      <w:r>
        <w:rPr>
          <w:rFonts w:ascii="Arial" w:hAnsi="Arial"/>
          <w:sz w:val="21"/>
        </w:rPr>
        <w:t>commencing</w:t>
      </w:r>
      <w:r>
        <w:rPr>
          <w:rFonts w:ascii="Arial" w:hAnsi="Arial"/>
          <w:sz w:val="20"/>
        </w:rPr>
        <w:t> </w:t>
      </w:r>
      <w:r>
        <w:rPr>
          <w:rFonts w:ascii="Arial" w:hAnsi="Arial"/>
          <w:sz w:val="21"/>
        </w:rPr>
        <w:t>31</w:t>
      </w:r>
      <w:r>
        <w:rPr>
          <w:rFonts w:ascii="Arial" w:hAnsi="Arial"/>
          <w:sz w:val="20"/>
        </w:rPr>
        <w:t> </w:t>
      </w:r>
      <w:r>
        <w:rPr>
          <w:rFonts w:ascii="Arial" w:hAnsi="Arial"/>
          <w:sz w:val="21"/>
        </w:rPr>
        <w:t>December</w:t>
      </w:r>
      <w:r>
        <w:rPr>
          <w:rFonts w:ascii="Arial" w:hAnsi="Arial"/>
          <w:sz w:val="20"/>
        </w:rPr>
        <w:t> </w:t>
      </w:r>
      <w:r>
        <w:rPr>
          <w:rFonts w:ascii="Arial" w:hAnsi="Arial"/>
          <w:sz w:val="21"/>
        </w:rPr>
        <w:t>2025 until</w:t>
      </w:r>
      <w:r>
        <w:rPr>
          <w:rFonts w:ascii="Arial" w:hAnsi="Arial"/>
          <w:sz w:val="20"/>
        </w:rPr>
        <w:t> </w:t>
      </w:r>
      <w:r>
        <w:rPr>
          <w:rFonts w:ascii="Arial" w:hAnsi="Arial"/>
          <w:sz w:val="21"/>
        </w:rPr>
        <w:t>31</w:t>
      </w:r>
      <w:r>
        <w:rPr>
          <w:rFonts w:ascii="Arial" w:hAnsi="Arial"/>
          <w:sz w:val="20"/>
        </w:rPr>
        <w:t> </w:t>
      </w:r>
      <w:r>
        <w:rPr>
          <w:rFonts w:ascii="Arial" w:hAnsi="Arial"/>
          <w:sz w:val="21"/>
        </w:rPr>
        <w:t>March</w:t>
      </w:r>
      <w:r>
        <w:rPr>
          <w:rFonts w:ascii="Arial" w:hAnsi="Arial"/>
          <w:sz w:val="20"/>
        </w:rPr>
        <w:t> </w:t>
      </w:r>
      <w:r>
        <w:rPr>
          <w:rFonts w:ascii="Arial" w:hAnsi="Arial"/>
          <w:sz w:val="21"/>
        </w:rPr>
        <w:t>2026</w:t>
      </w:r>
      <w:r>
        <w:rPr>
          <w:rFonts w:ascii="Arial" w:hAnsi="Arial"/>
          <w:sz w:val="20"/>
        </w:rPr>
        <w:t> </w:t>
      </w:r>
      <w:r>
        <w:rPr>
          <w:rFonts w:ascii="Arial" w:hAnsi="Arial"/>
          <w:sz w:val="21"/>
        </w:rPr>
        <w:t>(inclusive),</w:t>
      </w:r>
      <w:r>
        <w:rPr>
          <w:rFonts w:ascii="Arial" w:hAnsi="Arial"/>
          <w:sz w:val="20"/>
        </w:rPr>
        <w:t> </w:t>
      </w:r>
      <w:r>
        <w:rPr>
          <w:rFonts w:ascii="Arial" w:hAnsi="Arial"/>
          <w:sz w:val="21"/>
        </w:rPr>
        <w:t>the</w:t>
      </w:r>
      <w:r>
        <w:rPr>
          <w:rFonts w:ascii="Arial" w:hAnsi="Arial"/>
          <w:sz w:val="20"/>
        </w:rPr>
        <w:t> </w:t>
      </w:r>
      <w:r>
        <w:rPr>
          <w:rFonts w:ascii="Arial" w:hAnsi="Arial"/>
          <w:sz w:val="21"/>
        </w:rPr>
        <w:t>Leverage</w:t>
      </w:r>
      <w:r>
        <w:rPr>
          <w:rFonts w:ascii="Arial" w:hAnsi="Arial"/>
          <w:sz w:val="20"/>
        </w:rPr>
        <w:t> </w:t>
      </w:r>
      <w:r>
        <w:rPr>
          <w:rFonts w:ascii="Arial" w:hAnsi="Arial"/>
          <w:sz w:val="21"/>
        </w:rPr>
        <w:t>Ratio</w:t>
      </w:r>
      <w:r>
        <w:rPr>
          <w:rFonts w:ascii="Arial" w:hAnsi="Arial"/>
          <w:sz w:val="20"/>
        </w:rPr>
        <w:t> </w:t>
      </w:r>
      <w:r>
        <w:rPr>
          <w:rFonts w:ascii="Arial" w:hAnsi="Arial"/>
          <w:sz w:val="21"/>
        </w:rPr>
        <w:t>for</w:t>
      </w:r>
      <w:r>
        <w:rPr>
          <w:rFonts w:ascii="Arial" w:hAnsi="Arial"/>
          <w:sz w:val="20"/>
        </w:rPr>
        <w:t> </w:t>
      </w:r>
      <w:r>
        <w:rPr>
          <w:rFonts w:ascii="Arial" w:hAnsi="Arial"/>
          <w:sz w:val="21"/>
        </w:rPr>
        <w:t>the Calculation Period ending on that Calculation Date is less than or equal to 4.00 times; and</w:t>
      </w:r>
      <w:r>
        <w:rPr>
          <w:rFonts w:ascii="Arial" w:hAnsi="Arial"/>
          <w:sz w:val="20"/>
        </w:rPr>
        <w:t xml:space="preserve"> </w:t>
      </w:r>
    </w:p>
    <w:p>
      <w:pPr>
        <w:pStyle w:val="TextBody"/>
        <w:bidi w:val="0"/>
        <w:spacing w:lineRule="auto" w:line="266" w:before="0" w:after="0"/>
        <w:ind w:left="4820" w:right="1494" w:hanging="0"/>
        <w:jc w:val="left"/>
        <w:rPr>
          <w:rFonts w:ascii="Arial" w:hAnsi="Arial"/>
          <w:sz w:val="20"/>
        </w:rPr>
      </w:pPr>
      <w:r>
        <w:rPr>
          <w:rFonts w:ascii="Arial" w:hAnsi="Arial"/>
          <w:sz w:val="21"/>
        </w:rPr>
        <w:t>(C)at each other Calculation Date commencing 30 June 2026, the</w:t>
      </w:r>
      <w:r>
        <w:rPr>
          <w:rFonts w:ascii="Arial" w:hAnsi="Arial"/>
          <w:sz w:val="20"/>
        </w:rPr>
        <w:t> </w:t>
      </w:r>
      <w:r>
        <w:rPr>
          <w:rFonts w:ascii="Arial" w:hAnsi="Arial"/>
          <w:sz w:val="21"/>
        </w:rPr>
        <w:t>Leverage</w:t>
      </w:r>
      <w:r>
        <w:rPr>
          <w:rFonts w:ascii="Arial" w:hAnsi="Arial"/>
          <w:sz w:val="20"/>
        </w:rPr>
        <w:t> </w:t>
      </w:r>
      <w:r>
        <w:rPr>
          <w:rFonts w:ascii="Arial" w:hAnsi="Arial"/>
          <w:sz w:val="21"/>
        </w:rPr>
        <w:t>Ratio</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Calculation</w:t>
      </w:r>
      <w:r>
        <w:rPr>
          <w:rFonts w:ascii="Arial" w:hAnsi="Arial"/>
          <w:sz w:val="20"/>
        </w:rPr>
        <w:t> </w:t>
      </w:r>
      <w:r>
        <w:rPr>
          <w:rFonts w:ascii="Arial" w:hAnsi="Arial"/>
          <w:sz w:val="21"/>
        </w:rPr>
        <w:t>Period</w:t>
      </w:r>
      <w:r>
        <w:rPr>
          <w:rFonts w:ascii="Arial" w:hAnsi="Arial"/>
          <w:sz w:val="20"/>
        </w:rPr>
        <w:t> </w:t>
      </w:r>
      <w:r>
        <w:rPr>
          <w:rFonts w:ascii="Arial" w:hAnsi="Arial"/>
          <w:sz w:val="21"/>
        </w:rPr>
        <w:t>ending</w:t>
      </w:r>
      <w:r>
        <w:rPr>
          <w:rFonts w:ascii="Arial" w:hAnsi="Arial"/>
          <w:sz w:val="20"/>
        </w:rPr>
        <w:t> </w:t>
      </w:r>
      <w:r>
        <w:rPr>
          <w:rFonts w:ascii="Arial" w:hAnsi="Arial"/>
          <w:sz w:val="21"/>
        </w:rPr>
        <w:t>on</w:t>
      </w:r>
      <w:r>
        <w:rPr>
          <w:rFonts w:ascii="Arial" w:hAnsi="Arial"/>
          <w:sz w:val="20"/>
        </w:rPr>
        <w:t> </w:t>
      </w:r>
      <w:r>
        <w:rPr>
          <w:rFonts w:ascii="Arial" w:hAnsi="Arial"/>
          <w:sz w:val="21"/>
        </w:rPr>
        <w:t>that Calculation Date is less than or equal to 3.50 times;</w:t>
      </w:r>
      <w:r>
        <w:rPr>
          <w:rFonts w:ascii="Arial" w:hAnsi="Arial"/>
          <w:sz w:val="20"/>
        </w:rPr>
        <w:t xml:space="preserve"> </w:t>
      </w:r>
    </w:p>
    <w:p>
      <w:pPr>
        <w:pStyle w:val="TextBody"/>
        <w:bidi w:val="0"/>
        <w:spacing w:lineRule="auto" w:line="266" w:before="117" w:after="0"/>
        <w:ind w:left="4275" w:right="1491" w:hanging="0"/>
        <w:jc w:val="both"/>
        <w:rPr>
          <w:rFonts w:ascii="Arial" w:hAnsi="Arial"/>
          <w:sz w:val="20"/>
        </w:rPr>
      </w:pPr>
      <w:r>
        <w:rPr>
          <w:rFonts w:ascii="Arial" w:hAnsi="Arial"/>
          <w:sz w:val="21"/>
        </w:rPr>
        <w:t>(iii)</w:t>
      </w:r>
      <w:r>
        <w:rPr>
          <w:rFonts w:ascii="Arial" w:hAnsi="Arial"/>
          <w:b/>
          <w:sz w:val="21"/>
        </w:rPr>
        <w:t>Loan</w:t>
      </w:r>
      <w:r>
        <w:rPr>
          <w:rFonts w:ascii="Arial" w:hAnsi="Arial"/>
          <w:sz w:val="20"/>
        </w:rPr>
        <w:t> </w:t>
      </w:r>
      <w:r>
        <w:rPr>
          <w:rFonts w:ascii="Arial" w:hAnsi="Arial"/>
          <w:b/>
          <w:sz w:val="21"/>
        </w:rPr>
        <w:t>to</w:t>
      </w:r>
      <w:r>
        <w:rPr>
          <w:rFonts w:ascii="Arial" w:hAnsi="Arial"/>
          <w:sz w:val="20"/>
        </w:rPr>
        <w:t> </w:t>
      </w:r>
      <w:r>
        <w:rPr>
          <w:rFonts w:ascii="Arial" w:hAnsi="Arial"/>
          <w:b/>
          <w:sz w:val="21"/>
        </w:rPr>
        <w:t>Value</w:t>
      </w:r>
      <w:r>
        <w:rPr>
          <w:rFonts w:ascii="Arial" w:hAnsi="Arial"/>
          <w:sz w:val="20"/>
        </w:rPr>
        <w:t> </w:t>
      </w:r>
      <w:r>
        <w:rPr>
          <w:rFonts w:ascii="Arial" w:hAnsi="Arial"/>
          <w:b/>
          <w:sz w:val="21"/>
        </w:rPr>
        <w:t>Ratio</w:t>
      </w:r>
      <w:r>
        <w:rPr>
          <w:rFonts w:ascii="Arial" w:hAnsi="Arial"/>
          <w:sz w:val="21"/>
        </w:rPr>
        <w:t>:</w:t>
      </w:r>
      <w:r>
        <w:rPr>
          <w:rFonts w:ascii="Arial" w:hAnsi="Arial"/>
          <w:sz w:val="20"/>
        </w:rPr>
        <w:t> </w:t>
      </w:r>
      <w:r>
        <w:rPr>
          <w:rFonts w:ascii="Arial" w:hAnsi="Arial"/>
          <w:sz w:val="21"/>
        </w:rPr>
        <w:t>at</w:t>
      </w:r>
      <w:r>
        <w:rPr>
          <w:rFonts w:ascii="Arial" w:hAnsi="Arial"/>
          <w:sz w:val="20"/>
        </w:rPr>
        <w:t> </w:t>
      </w:r>
      <w:r>
        <w:rPr>
          <w:rFonts w:ascii="Arial" w:hAnsi="Arial"/>
          <w:sz w:val="21"/>
        </w:rPr>
        <w:t>each</w:t>
      </w:r>
      <w:r>
        <w:rPr>
          <w:rFonts w:ascii="Arial" w:hAnsi="Arial"/>
          <w:sz w:val="20"/>
        </w:rPr>
        <w:t> </w:t>
      </w:r>
      <w:r>
        <w:rPr>
          <w:rFonts w:ascii="Arial" w:hAnsi="Arial"/>
          <w:sz w:val="21"/>
        </w:rPr>
        <w:t>Calculation</w:t>
      </w:r>
      <w:r>
        <w:rPr>
          <w:rFonts w:ascii="Arial" w:hAnsi="Arial"/>
          <w:sz w:val="20"/>
        </w:rPr>
        <w:t> </w:t>
      </w:r>
      <w:r>
        <w:rPr>
          <w:rFonts w:ascii="Arial" w:hAnsi="Arial"/>
          <w:sz w:val="21"/>
        </w:rPr>
        <w:t>Date,</w:t>
      </w:r>
      <w:r>
        <w:rPr>
          <w:rFonts w:ascii="Arial" w:hAnsi="Arial"/>
          <w:sz w:val="20"/>
        </w:rPr>
        <w:t> </w:t>
      </w:r>
      <w:r>
        <w:rPr>
          <w:rFonts w:ascii="Arial" w:hAnsi="Arial"/>
          <w:sz w:val="21"/>
        </w:rPr>
        <w:t>the</w:t>
      </w:r>
      <w:r>
        <w:rPr>
          <w:rFonts w:ascii="Arial" w:hAnsi="Arial"/>
          <w:sz w:val="20"/>
        </w:rPr>
        <w:t> </w:t>
      </w:r>
      <w:r>
        <w:rPr>
          <w:rFonts w:ascii="Arial" w:hAnsi="Arial"/>
          <w:sz w:val="21"/>
        </w:rPr>
        <w:t>Loan</w:t>
      </w:r>
      <w:r>
        <w:rPr>
          <w:rFonts w:ascii="Arial" w:hAnsi="Arial"/>
          <w:sz w:val="20"/>
        </w:rPr>
        <w:t> </w:t>
      </w:r>
      <w:r>
        <w:rPr>
          <w:rFonts w:ascii="Arial" w:hAnsi="Arial"/>
          <w:sz w:val="21"/>
        </w:rPr>
        <w:t>to</w:t>
      </w:r>
      <w:r>
        <w:rPr>
          <w:rFonts w:ascii="Arial" w:hAnsi="Arial"/>
          <w:sz w:val="20"/>
        </w:rPr>
        <w:t> </w:t>
      </w:r>
      <w:r>
        <w:rPr>
          <w:rFonts w:ascii="Arial" w:hAnsi="Arial"/>
          <w:sz w:val="21"/>
        </w:rPr>
        <w:t>Value Ratio</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Calculation</w:t>
      </w:r>
      <w:r>
        <w:rPr>
          <w:rFonts w:ascii="Arial" w:hAnsi="Arial"/>
          <w:sz w:val="20"/>
        </w:rPr>
        <w:t> </w:t>
      </w:r>
      <w:r>
        <w:rPr>
          <w:rFonts w:ascii="Arial" w:hAnsi="Arial"/>
          <w:sz w:val="21"/>
        </w:rPr>
        <w:t>Period</w:t>
      </w:r>
      <w:r>
        <w:rPr>
          <w:rFonts w:ascii="Arial" w:hAnsi="Arial"/>
          <w:sz w:val="20"/>
        </w:rPr>
        <w:t> </w:t>
      </w:r>
      <w:r>
        <w:rPr>
          <w:rFonts w:ascii="Arial" w:hAnsi="Arial"/>
          <w:sz w:val="21"/>
        </w:rPr>
        <w:t>ending</w:t>
      </w:r>
      <w:r>
        <w:rPr>
          <w:rFonts w:ascii="Arial" w:hAnsi="Arial"/>
          <w:sz w:val="20"/>
        </w:rPr>
        <w:t> </w:t>
      </w:r>
      <w:r>
        <w:rPr>
          <w:rFonts w:ascii="Arial" w:hAnsi="Arial"/>
          <w:sz w:val="21"/>
        </w:rPr>
        <w:t>on</w:t>
      </w:r>
      <w:r>
        <w:rPr>
          <w:rFonts w:ascii="Arial" w:hAnsi="Arial"/>
          <w:sz w:val="20"/>
        </w:rPr>
        <w:t> </w:t>
      </w:r>
      <w:r>
        <w:rPr>
          <w:rFonts w:ascii="Arial" w:hAnsi="Arial"/>
          <w:sz w:val="21"/>
        </w:rPr>
        <w:t>that</w:t>
      </w:r>
      <w:r>
        <w:rPr>
          <w:rFonts w:ascii="Arial" w:hAnsi="Arial"/>
          <w:sz w:val="20"/>
        </w:rPr>
        <w:t> </w:t>
      </w:r>
      <w:r>
        <w:rPr>
          <w:rFonts w:ascii="Arial" w:hAnsi="Arial"/>
          <w:sz w:val="21"/>
        </w:rPr>
        <w:t>date</w:t>
      </w:r>
      <w:r>
        <w:rPr>
          <w:rFonts w:ascii="Arial" w:hAnsi="Arial"/>
          <w:sz w:val="20"/>
        </w:rPr>
        <w:t> </w:t>
      </w:r>
      <w:r>
        <w:rPr>
          <w:rFonts w:ascii="Arial" w:hAnsi="Arial"/>
          <w:sz w:val="21"/>
        </w:rPr>
        <w:t>is</w:t>
      </w:r>
      <w:r>
        <w:rPr>
          <w:rFonts w:ascii="Arial" w:hAnsi="Arial"/>
          <w:sz w:val="20"/>
        </w:rPr>
        <w:t> </w:t>
      </w:r>
      <w:r>
        <w:rPr>
          <w:rFonts w:ascii="Arial" w:hAnsi="Arial"/>
          <w:sz w:val="21"/>
        </w:rPr>
        <w:t>less</w:t>
      </w:r>
      <w:r>
        <w:rPr>
          <w:rFonts w:ascii="Arial" w:hAnsi="Arial"/>
          <w:sz w:val="20"/>
        </w:rPr>
        <w:t> </w:t>
      </w:r>
      <w:r>
        <w:rPr>
          <w:rFonts w:ascii="Arial" w:hAnsi="Arial"/>
          <w:sz w:val="21"/>
        </w:rPr>
        <w:t>than</w:t>
      </w:r>
      <w:r>
        <w:rPr>
          <w:rFonts w:ascii="Arial" w:hAnsi="Arial"/>
          <w:sz w:val="20"/>
        </w:rPr>
        <w:t> </w:t>
      </w:r>
      <w:r>
        <w:rPr>
          <w:rFonts w:ascii="Arial" w:hAnsi="Arial"/>
          <w:sz w:val="21"/>
        </w:rPr>
        <w:t>or equal to 70%; and</w:t>
      </w:r>
      <w:r>
        <w:rPr>
          <w:rFonts w:ascii="Arial" w:hAnsi="Arial"/>
          <w:sz w:val="20"/>
        </w:rPr>
        <w:t xml:space="preserve"> </w:t>
      </w:r>
    </w:p>
    <w:p>
      <w:pPr>
        <w:pStyle w:val="TextBody"/>
        <w:bidi w:val="0"/>
        <w:spacing w:lineRule="auto" w:line="266" w:before="120" w:after="0"/>
        <w:ind w:left="4275" w:right="1830" w:hanging="0"/>
        <w:jc w:val="both"/>
        <w:rPr>
          <w:rFonts w:ascii="Arial" w:hAnsi="Arial"/>
          <w:sz w:val="20"/>
        </w:rPr>
      </w:pPr>
      <w:r>
        <w:rPr>
          <w:rFonts w:ascii="Arial" w:hAnsi="Arial"/>
          <w:sz w:val="21"/>
        </w:rPr>
        <w:t>(iv)</w:t>
      </w:r>
      <w:r>
        <w:rPr>
          <w:rFonts w:ascii="Arial" w:hAnsi="Arial"/>
          <w:b/>
          <w:sz w:val="21"/>
        </w:rPr>
        <w:t>Minimum</w:t>
      </w:r>
      <w:r>
        <w:rPr>
          <w:rFonts w:ascii="Arial" w:hAnsi="Arial"/>
          <w:sz w:val="20"/>
        </w:rPr>
        <w:t> </w:t>
      </w:r>
      <w:r>
        <w:rPr>
          <w:rFonts w:ascii="Arial" w:hAnsi="Arial"/>
          <w:b/>
          <w:sz w:val="21"/>
        </w:rPr>
        <w:t>Liquidity:</w:t>
      </w:r>
      <w:r>
        <w:rPr>
          <w:rFonts w:ascii="Arial" w:hAnsi="Arial"/>
          <w:sz w:val="20"/>
        </w:rPr>
        <w:t> </w:t>
      </w:r>
      <w:r>
        <w:rPr>
          <w:rFonts w:ascii="Arial" w:hAnsi="Arial"/>
          <w:sz w:val="21"/>
        </w:rPr>
        <w:t>the</w:t>
      </w:r>
      <w:r>
        <w:rPr>
          <w:rFonts w:ascii="Arial" w:hAnsi="Arial"/>
          <w:sz w:val="20"/>
        </w:rPr>
        <w:t> </w:t>
      </w:r>
      <w:r>
        <w:rPr>
          <w:rFonts w:ascii="Arial" w:hAnsi="Arial"/>
          <w:sz w:val="21"/>
        </w:rPr>
        <w:t>Borrower’s</w:t>
      </w:r>
      <w:r>
        <w:rPr>
          <w:rFonts w:ascii="Arial" w:hAnsi="Arial"/>
          <w:sz w:val="20"/>
        </w:rPr>
        <w:t> </w:t>
      </w:r>
      <w:r>
        <w:rPr>
          <w:rFonts w:ascii="Arial" w:hAnsi="Arial"/>
          <w:sz w:val="21"/>
        </w:rPr>
        <w:t>Minimum</w:t>
      </w:r>
      <w:r>
        <w:rPr>
          <w:rFonts w:ascii="Arial" w:hAnsi="Arial"/>
          <w:sz w:val="20"/>
        </w:rPr>
        <w:t> </w:t>
      </w:r>
      <w:r>
        <w:rPr>
          <w:rFonts w:ascii="Arial" w:hAnsi="Arial"/>
          <w:sz w:val="21"/>
        </w:rPr>
        <w:t>Liquidity</w:t>
      </w:r>
      <w:r>
        <w:rPr>
          <w:rFonts w:ascii="Arial" w:hAnsi="Arial"/>
          <w:sz w:val="20"/>
        </w:rPr>
        <w:t> </w:t>
      </w:r>
      <w:r>
        <w:rPr>
          <w:rFonts w:ascii="Arial" w:hAnsi="Arial"/>
          <w:sz w:val="21"/>
        </w:rPr>
        <w:t>is</w:t>
      </w:r>
      <w:r>
        <w:rPr>
          <w:rFonts w:ascii="Arial" w:hAnsi="Arial"/>
          <w:sz w:val="20"/>
        </w:rPr>
        <w:t> </w:t>
      </w:r>
      <w:r>
        <w:rPr>
          <w:rFonts w:ascii="Arial" w:hAnsi="Arial"/>
          <w:sz w:val="21"/>
        </w:rPr>
        <w:t>at</w:t>
      </w:r>
      <w:r>
        <w:rPr>
          <w:rFonts w:ascii="Arial" w:hAnsi="Arial"/>
          <w:sz w:val="20"/>
        </w:rPr>
        <w:t> </w:t>
      </w:r>
      <w:r>
        <w:rPr>
          <w:rFonts w:ascii="Arial" w:hAnsi="Arial"/>
          <w:sz w:val="21"/>
        </w:rPr>
        <w:t>all times at least:</w:t>
      </w:r>
      <w:r>
        <w:rPr>
          <w:rFonts w:ascii="Arial" w:hAnsi="Arial"/>
          <w:sz w:val="20"/>
        </w:rPr>
        <w:t xml:space="preserve"> </w:t>
      </w:r>
    </w:p>
    <w:p>
      <w:pPr>
        <w:pStyle w:val="TextBody"/>
        <w:bidi w:val="0"/>
        <w:spacing w:before="0" w:after="0"/>
        <w:ind w:left="4818" w:right="700" w:hanging="0"/>
        <w:jc w:val="both"/>
        <w:rPr>
          <w:rFonts w:ascii="Arial" w:hAnsi="Arial"/>
          <w:sz w:val="20"/>
        </w:rPr>
      </w:pPr>
      <w:r>
        <w:rPr>
          <w:rFonts w:ascii="Arial" w:hAnsi="Arial"/>
          <w:sz w:val="21"/>
        </w:rPr>
        <w:t>(A)up</w:t>
      </w:r>
      <w:r>
        <w:rPr>
          <w:rFonts w:ascii="Arial" w:hAnsi="Arial"/>
          <w:sz w:val="20"/>
        </w:rPr>
        <w:t> </w:t>
      </w:r>
      <w:r>
        <w:rPr>
          <w:rFonts w:ascii="Arial" w:hAnsi="Arial"/>
          <w:sz w:val="21"/>
        </w:rPr>
        <w:t>to</w:t>
      </w:r>
      <w:r>
        <w:rPr>
          <w:rFonts w:ascii="Arial" w:hAnsi="Arial"/>
          <w:sz w:val="20"/>
        </w:rPr>
        <w:t> </w:t>
      </w:r>
      <w:r>
        <w:rPr>
          <w:rFonts w:ascii="Arial" w:hAnsi="Arial"/>
          <w:sz w:val="21"/>
        </w:rPr>
        <w:t>and</w:t>
      </w:r>
      <w:r>
        <w:rPr>
          <w:rFonts w:ascii="Arial" w:hAnsi="Arial"/>
          <w:sz w:val="20"/>
        </w:rPr>
        <w:t> </w:t>
      </w:r>
      <w:r>
        <w:rPr>
          <w:rFonts w:ascii="Arial" w:hAnsi="Arial"/>
          <w:sz w:val="21"/>
        </w:rPr>
        <w:t>until</w:t>
      </w:r>
      <w:r>
        <w:rPr>
          <w:rFonts w:ascii="Arial" w:hAnsi="Arial"/>
          <w:sz w:val="20"/>
        </w:rPr>
        <w:t> </w:t>
      </w:r>
      <w:r>
        <w:rPr>
          <w:rFonts w:ascii="Arial" w:hAnsi="Arial"/>
          <w:strike/>
          <w:color w:val="B5082D"/>
          <w:sz w:val="21"/>
        </w:rPr>
        <w:t>30</w:t>
      </w:r>
      <w:r>
        <w:rPr>
          <w:rFonts w:ascii="Arial" w:hAnsi="Arial"/>
          <w:strike/>
          <w:color w:val="B5082D"/>
          <w:sz w:val="20"/>
        </w:rPr>
        <w:t> </w:t>
      </w:r>
      <w:r>
        <w:rPr>
          <w:rFonts w:ascii="Arial" w:hAnsi="Arial"/>
          <w:strike/>
          <w:color w:val="B5082D"/>
          <w:sz w:val="21"/>
        </w:rPr>
        <w:t>April</w:t>
      </w:r>
      <w:r>
        <w:rPr>
          <w:rFonts w:ascii="Arial" w:hAnsi="Arial"/>
          <w:strike/>
          <w:color w:val="B5082D"/>
          <w:sz w:val="20"/>
        </w:rPr>
        <w:t> </w:t>
      </w:r>
      <w:r>
        <w:rPr>
          <w:rFonts w:ascii="Arial" w:hAnsi="Arial"/>
          <w:strike/>
          <w:color w:val="B5082D"/>
          <w:sz w:val="21"/>
        </w:rPr>
        <w:t>2025</w:t>
      </w:r>
      <w:r>
        <w:rPr>
          <w:rFonts w:ascii="Arial" w:hAnsi="Arial"/>
          <w:color w:val="2D96D2"/>
          <w:sz w:val="21"/>
          <w:u w:val="single"/>
        </w:rPr>
        <w:t>14</w:t>
      </w:r>
      <w:r>
        <w:rPr>
          <w:rFonts w:ascii="Arial" w:hAnsi="Arial"/>
          <w:color w:val="2D96D2"/>
          <w:sz w:val="20"/>
          <w:u w:val="single"/>
        </w:rPr>
        <w:t> </w:t>
      </w:r>
      <w:r>
        <w:rPr>
          <w:rFonts w:ascii="Arial" w:hAnsi="Arial"/>
          <w:color w:val="2D96D2"/>
          <w:sz w:val="21"/>
          <w:u w:val="single"/>
        </w:rPr>
        <w:t>May</w:t>
      </w:r>
      <w:r>
        <w:rPr>
          <w:rFonts w:ascii="Arial" w:hAnsi="Arial"/>
          <w:color w:val="2D96D2"/>
          <w:sz w:val="20"/>
          <w:u w:val="single"/>
        </w:rPr>
        <w:t> </w:t>
      </w:r>
      <w:r>
        <w:rPr>
          <w:rFonts w:ascii="Arial" w:hAnsi="Arial"/>
          <w:color w:val="2D96D2"/>
          <w:sz w:val="21"/>
          <w:u w:val="single"/>
        </w:rPr>
        <w:t>2025</w:t>
      </w:r>
      <w:r>
        <w:rPr>
          <w:rFonts w:ascii="Arial" w:hAnsi="Arial"/>
          <w:sz w:val="21"/>
        </w:rPr>
        <w:t>,</w:t>
      </w:r>
      <w:r>
        <w:rPr>
          <w:rFonts w:ascii="Arial" w:hAnsi="Arial"/>
          <w:sz w:val="20"/>
        </w:rPr>
        <w:t> </w:t>
      </w:r>
      <w:r>
        <w:rPr>
          <w:rFonts w:ascii="Arial" w:hAnsi="Arial"/>
          <w:sz w:val="21"/>
        </w:rPr>
        <w:t>$2,500,000;</w:t>
      </w:r>
      <w:r>
        <w:rPr>
          <w:rFonts w:ascii="Arial" w:hAnsi="Arial"/>
          <w:sz w:val="20"/>
        </w:rPr>
        <w:t> </w:t>
      </w:r>
      <w:r>
        <w:rPr>
          <w:rFonts w:ascii="Arial" w:hAnsi="Arial"/>
          <w:sz w:val="21"/>
        </w:rPr>
        <w:t>and</w:t>
      </w:r>
      <w:r>
        <w:rPr>
          <w:rFonts w:ascii="Arial" w:hAnsi="Arial"/>
          <w:sz w:val="20"/>
        </w:rPr>
        <w:t xml:space="preserve"> </w:t>
      </w:r>
    </w:p>
    <w:p>
      <w:pPr>
        <w:pStyle w:val="TextBody"/>
        <w:bidi w:val="0"/>
        <w:spacing w:before="150" w:after="0"/>
        <w:ind w:left="4818" w:right="700" w:hanging="0"/>
        <w:jc w:val="both"/>
        <w:rPr>
          <w:rFonts w:ascii="Arial" w:hAnsi="Arial"/>
          <w:sz w:val="20"/>
        </w:rPr>
      </w:pPr>
      <w:r>
        <w:rPr>
          <w:rFonts w:ascii="Arial" w:hAnsi="Arial"/>
          <w:sz w:val="21"/>
        </w:rPr>
        <w:t>(B)thereafter</w:t>
      </w:r>
      <w:r>
        <w:rPr>
          <w:rFonts w:ascii="Arial" w:hAnsi="Arial"/>
          <w:sz w:val="20"/>
        </w:rPr>
        <w:t> </w:t>
      </w:r>
      <w:r>
        <w:rPr>
          <w:rFonts w:ascii="Arial" w:hAnsi="Arial"/>
          <w:sz w:val="21"/>
        </w:rPr>
        <w:t>$5,000,000.</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(b)A</w:t>
      </w:r>
      <w:r>
        <w:rPr>
          <w:rFonts w:ascii="Arial" w:hAnsi="Arial"/>
          <w:sz w:val="20"/>
        </w:rPr>
        <w:t> </w:t>
      </w:r>
      <w:r>
        <w:rPr>
          <w:rFonts w:ascii="Arial" w:hAnsi="Arial"/>
          <w:sz w:val="21"/>
        </w:rPr>
        <w:t>financial</w:t>
      </w:r>
      <w:r>
        <w:rPr>
          <w:rFonts w:ascii="Arial" w:hAnsi="Arial"/>
          <w:sz w:val="20"/>
        </w:rPr>
        <w:t> </w:t>
      </w:r>
      <w:r>
        <w:rPr>
          <w:rFonts w:ascii="Arial" w:hAnsi="Arial"/>
          <w:sz w:val="21"/>
        </w:rPr>
        <w:t>ratio</w:t>
      </w:r>
      <w:r>
        <w:rPr>
          <w:rFonts w:ascii="Arial" w:hAnsi="Arial"/>
          <w:sz w:val="20"/>
        </w:rPr>
        <w:t> </w:t>
      </w:r>
      <w:r>
        <w:rPr>
          <w:rFonts w:ascii="Arial" w:hAnsi="Arial"/>
          <w:sz w:val="21"/>
        </w:rPr>
        <w:t>or</w:t>
      </w:r>
      <w:r>
        <w:rPr>
          <w:rFonts w:ascii="Arial" w:hAnsi="Arial"/>
          <w:sz w:val="20"/>
        </w:rPr>
        <w:t> </w:t>
      </w:r>
      <w:r>
        <w:rPr>
          <w:rFonts w:ascii="Arial" w:hAnsi="Arial"/>
          <w:sz w:val="21"/>
        </w:rPr>
        <w:t>amount</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determined</w:t>
      </w:r>
      <w:r>
        <w:rPr>
          <w:rFonts w:ascii="Arial" w:hAnsi="Arial"/>
          <w:sz w:val="20"/>
        </w:rPr>
        <w:t> </w:t>
      </w:r>
      <w:r>
        <w:rPr>
          <w:rFonts w:ascii="Arial" w:hAnsi="Arial"/>
          <w:sz w:val="21"/>
        </w:rPr>
        <w:t>under</w:t>
      </w:r>
      <w:r>
        <w:rPr>
          <w:rFonts w:ascii="Arial" w:hAnsi="Arial"/>
          <w:sz w:val="20"/>
        </w:rPr>
        <w:t> </w:t>
      </w:r>
      <w:r>
        <w:rPr>
          <w:rFonts w:ascii="Arial" w:hAnsi="Arial"/>
          <w:b/>
          <w:sz w:val="21"/>
        </w:rPr>
        <w:t>clause</w:t>
      </w:r>
      <w:r>
        <w:rPr>
          <w:rFonts w:ascii="Arial" w:hAnsi="Arial"/>
          <w:sz w:val="20"/>
        </w:rPr>
        <w:t> </w:t>
      </w:r>
      <w:hyperlink w:anchor="_bookmark97">
        <w:r>
          <w:rPr>
            <w:rStyle w:val="InternetLink"/>
            <w:rFonts w:ascii="Arial" w:hAnsi="Arial"/>
            <w:b/>
            <w:sz w:val="21"/>
          </w:rPr>
          <w:t>9.8</w:t>
        </w:r>
      </w:hyperlink>
      <w:hyperlink w:anchor="_bookmark98">
        <w:r>
          <w:rPr>
            <w:rStyle w:val="InternetLink"/>
            <w:rFonts w:ascii="Arial" w:hAnsi="Arial"/>
            <w:b/>
            <w:sz w:val="21"/>
          </w:rPr>
          <w:t>(a)</w:t>
        </w:r>
      </w:hyperlink>
      <w:r>
        <w:rPr>
          <w:rFonts w:ascii="Arial" w:hAnsi="Arial"/>
          <w:sz w:val="20"/>
        </w:rPr>
        <w:t> </w:t>
      </w:r>
      <w:r>
        <w:rPr>
          <w:rFonts w:ascii="Arial" w:hAnsi="Arial"/>
          <w:sz w:val="21"/>
        </w:rPr>
        <w:t>must</w:t>
      </w:r>
      <w:r>
        <w:rPr>
          <w:rFonts w:ascii="Arial" w:hAnsi="Arial"/>
          <w:sz w:val="20"/>
        </w:rPr>
        <w:t> </w:t>
      </w:r>
      <w:r>
        <w:rPr>
          <w:rFonts w:ascii="Arial" w:hAnsi="Arial"/>
          <w:sz w:val="21"/>
        </w:rPr>
        <w:t>be tested or determined by reference to the most recently prepared</w:t>
      </w:r>
      <w:r>
        <w:rPr>
          <w:rFonts w:ascii="Arial" w:hAnsi="Arial"/>
          <w:sz w:val="20"/>
        </w:rPr>
        <w:t> </w:t>
      </w:r>
      <w:r>
        <w:rPr>
          <w:rFonts w:ascii="Arial" w:hAnsi="Arial"/>
          <w:sz w:val="21"/>
        </w:rPr>
        <w:t>Financial Statements.</w:t>
      </w:r>
      <w:r>
        <w:rPr>
          <w:rFonts w:ascii="Arial" w:hAnsi="Arial"/>
          <w:sz w:val="20"/>
        </w:rPr>
        <w:t> </w:t>
      </w:r>
      <w:r>
        <w:rPr>
          <w:rFonts w:ascii="Arial" w:hAnsi="Arial"/>
          <w:sz w:val="21"/>
        </w:rPr>
        <w:t>The calculation of any amounts on a consolidated basis must be made in accordance with the requirements of the Accounting Standards relating to the consolidation of entities.</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58" w:name="Environment991"/>
      <w:bookmarkEnd w:id="458"/>
      <w:r>
        <w:rPr>
          <w:rFonts w:ascii="Arial" w:hAnsi="Arial"/>
          <w:b/>
          <w:color w:val="000000"/>
          <w:sz w:val="24"/>
        </w:rPr>
        <w:t>9.9Environment</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(a)Each Transaction Party must ensure that at all times all practical and reasonable</w:t>
      </w:r>
      <w:r>
        <w:rPr>
          <w:rFonts w:ascii="Arial" w:hAnsi="Arial"/>
          <w:color w:val="000000"/>
          <w:sz w:val="20"/>
        </w:rPr>
        <w:t> </w:t>
      </w:r>
      <w:r>
        <w:rPr>
          <w:rFonts w:ascii="Arial" w:hAnsi="Arial"/>
          <w:color w:val="000000"/>
          <w:sz w:val="21"/>
        </w:rPr>
        <w:t>steps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can</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taken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measures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precautions</w:t>
      </w:r>
      <w:r>
        <w:rPr>
          <w:rFonts w:ascii="Arial" w:hAnsi="Arial"/>
          <w:color w:val="000000"/>
          <w:sz w:val="20"/>
        </w:rPr>
        <w:t> </w:t>
      </w:r>
      <w:r>
        <w:rPr>
          <w:rFonts w:ascii="Arial" w:hAnsi="Arial"/>
          <w:color w:val="000000"/>
          <w:sz w:val="21"/>
        </w:rPr>
        <w:t>that can be adopted are taken or adopted by each Transaction Party to ensure that:</w:t>
      </w:r>
      <w:r>
        <w:rPr>
          <w:rFonts w:ascii="Arial" w:hAnsi="Arial"/>
          <w:sz w:val="20"/>
        </w:rPr>
        <w:t xml:space="preserve"> </w:t>
      </w:r>
    </w:p>
    <w:p>
      <w:pPr>
        <w:pStyle w:val="TextBody"/>
        <w:bidi w:val="0"/>
        <w:spacing w:lineRule="auto" w:line="266" w:before="118" w:after="0"/>
        <w:ind w:left="4275" w:right="1606" w:hanging="0"/>
        <w:jc w:val="left"/>
        <w:rPr>
          <w:rFonts w:ascii="Arial" w:hAnsi="Arial"/>
          <w:sz w:val="20"/>
        </w:rPr>
      </w:pPr>
      <w:r>
        <w:rPr>
          <w:rFonts w:ascii="Arial" w:hAnsi="Arial"/>
          <w:color w:val="000000"/>
          <w:sz w:val="21"/>
        </w:rPr>
        <w:t>(i)all</w:t>
      </w:r>
      <w:r>
        <w:rPr>
          <w:rFonts w:ascii="Arial" w:hAnsi="Arial"/>
          <w:color w:val="000000"/>
          <w:sz w:val="20"/>
        </w:rPr>
        <w:t> </w:t>
      </w:r>
      <w:r>
        <w:rPr>
          <w:rFonts w:ascii="Arial" w:hAnsi="Arial"/>
          <w:color w:val="000000"/>
          <w:sz w:val="21"/>
        </w:rPr>
        <w:t>persons,</w:t>
      </w:r>
      <w:r>
        <w:rPr>
          <w:rFonts w:ascii="Arial" w:hAnsi="Arial"/>
          <w:color w:val="000000"/>
          <w:sz w:val="20"/>
        </w:rPr>
        <w:t> </w:t>
      </w:r>
      <w:r>
        <w:rPr>
          <w:rFonts w:ascii="Arial" w:hAnsi="Arial"/>
          <w:color w:val="000000"/>
          <w:sz w:val="21"/>
        </w:rPr>
        <w:t>things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activities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kind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using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 comply with all Environmental Laws and any consent, permit, approval, licence, authorisation, certification, order or direction granted or issued under any Environmental Law;</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275" w:right="1456" w:hanging="0"/>
        <w:jc w:val="left"/>
        <w:rPr>
          <w:rFonts w:ascii="Arial" w:hAnsi="Arial"/>
          <w:sz w:val="20"/>
        </w:rPr>
      </w:pPr>
      <w:r>
        <w:rPr>
          <w:rFonts w:ascii="Arial" w:hAnsi="Arial"/>
          <w:sz w:val="21"/>
        </w:rPr>
        <w:t>(ii)if there is any non-compliance with any Environmental Law or any consent, permit, approval, licence, authorisation, certification, order</w:t>
      </w:r>
      <w:r>
        <w:rPr>
          <w:rFonts w:ascii="Arial" w:hAnsi="Arial"/>
          <w:sz w:val="20"/>
        </w:rPr>
        <w:t> </w:t>
      </w:r>
      <w:r>
        <w:rPr>
          <w:rFonts w:ascii="Arial" w:hAnsi="Arial"/>
          <w:sz w:val="21"/>
        </w:rPr>
        <w:t>or</w:t>
      </w:r>
      <w:r>
        <w:rPr>
          <w:rFonts w:ascii="Arial" w:hAnsi="Arial"/>
          <w:sz w:val="20"/>
        </w:rPr>
        <w:t> </w:t>
      </w:r>
      <w:r>
        <w:rPr>
          <w:rFonts w:ascii="Arial" w:hAnsi="Arial"/>
          <w:sz w:val="21"/>
        </w:rPr>
        <w:t>direction</w:t>
      </w:r>
      <w:r>
        <w:rPr>
          <w:rFonts w:ascii="Arial" w:hAnsi="Arial"/>
          <w:sz w:val="20"/>
        </w:rPr>
        <w:t> </w:t>
      </w:r>
      <w:r>
        <w:rPr>
          <w:rFonts w:ascii="Arial" w:hAnsi="Arial"/>
          <w:sz w:val="21"/>
        </w:rPr>
        <w:t>granted</w:t>
      </w:r>
      <w:r>
        <w:rPr>
          <w:rFonts w:ascii="Arial" w:hAnsi="Arial"/>
          <w:sz w:val="20"/>
        </w:rPr>
        <w:t> </w:t>
      </w:r>
      <w:r>
        <w:rPr>
          <w:rFonts w:ascii="Arial" w:hAnsi="Arial"/>
          <w:sz w:val="21"/>
        </w:rPr>
        <w:t>or</w:t>
      </w:r>
      <w:r>
        <w:rPr>
          <w:rFonts w:ascii="Arial" w:hAnsi="Arial"/>
          <w:sz w:val="20"/>
        </w:rPr>
        <w:t> </w:t>
      </w:r>
      <w:r>
        <w:rPr>
          <w:rFonts w:ascii="Arial" w:hAnsi="Arial"/>
          <w:sz w:val="21"/>
        </w:rPr>
        <w:t>issued</w:t>
      </w:r>
      <w:r>
        <w:rPr>
          <w:rFonts w:ascii="Arial" w:hAnsi="Arial"/>
          <w:sz w:val="20"/>
        </w:rPr>
        <w:t> </w:t>
      </w:r>
      <w:r>
        <w:rPr>
          <w:rFonts w:ascii="Arial" w:hAnsi="Arial"/>
          <w:sz w:val="21"/>
        </w:rPr>
        <w:t>under</w:t>
      </w:r>
      <w:r>
        <w:rPr>
          <w:rFonts w:ascii="Arial" w:hAnsi="Arial"/>
          <w:sz w:val="20"/>
        </w:rPr>
        <w:t> </w:t>
      </w:r>
      <w:r>
        <w:rPr>
          <w:rFonts w:ascii="Arial" w:hAnsi="Arial"/>
          <w:sz w:val="21"/>
        </w:rPr>
        <w:t>any</w:t>
      </w:r>
      <w:r>
        <w:rPr>
          <w:rFonts w:ascii="Arial" w:hAnsi="Arial"/>
          <w:sz w:val="20"/>
        </w:rPr>
        <w:t> </w:t>
      </w:r>
      <w:r>
        <w:rPr>
          <w:rFonts w:ascii="Arial" w:hAnsi="Arial"/>
          <w:sz w:val="21"/>
        </w:rPr>
        <w:t>Environmental</w:t>
      </w:r>
      <w:r>
        <w:rPr>
          <w:rFonts w:ascii="Arial" w:hAnsi="Arial"/>
          <w:sz w:val="20"/>
        </w:rPr>
        <w:t> </w:t>
      </w:r>
      <w:r>
        <w:rPr>
          <w:rFonts w:ascii="Arial" w:hAnsi="Arial"/>
          <w:sz w:val="21"/>
        </w:rPr>
        <w:t>Law:</w:t>
      </w:r>
      <w:r>
        <w:rPr>
          <w:rFonts w:ascii="Arial" w:hAnsi="Arial"/>
          <w:sz w:val="20"/>
        </w:rPr>
        <w:t xml:space="preserve"> </w:t>
      </w:r>
    </w:p>
    <w:p>
      <w:pPr>
        <w:pStyle w:val="TextBody"/>
        <w:bidi w:val="0"/>
        <w:spacing w:lineRule="auto" w:line="266" w:before="120" w:after="0"/>
        <w:ind w:left="4820" w:right="1693" w:hanging="0"/>
        <w:jc w:val="left"/>
        <w:rPr>
          <w:rFonts w:ascii="Arial" w:hAnsi="Arial"/>
          <w:sz w:val="20"/>
        </w:rPr>
      </w:pPr>
      <w:r>
        <w:rPr>
          <w:rFonts w:ascii="Arial" w:hAnsi="Arial"/>
          <w:sz w:val="21"/>
        </w:rPr>
        <w:t>(A)the</w:t>
      </w:r>
      <w:r>
        <w:rPr>
          <w:rFonts w:ascii="Arial" w:hAnsi="Arial"/>
          <w:sz w:val="20"/>
        </w:rPr>
        <w:t> </w:t>
      </w:r>
      <w:r>
        <w:rPr>
          <w:rFonts w:ascii="Arial" w:hAnsi="Arial"/>
          <w:sz w:val="21"/>
        </w:rPr>
        <w:t>impact</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Land</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environment</w:t>
      </w:r>
      <w:r>
        <w:rPr>
          <w:rFonts w:ascii="Arial" w:hAnsi="Arial"/>
          <w:sz w:val="20"/>
        </w:rPr>
        <w:t> </w:t>
      </w:r>
      <w:r>
        <w:rPr>
          <w:rFonts w:ascii="Arial" w:hAnsi="Arial"/>
          <w:sz w:val="21"/>
        </w:rPr>
        <w:t>is</w:t>
      </w:r>
      <w:r>
        <w:rPr>
          <w:rFonts w:ascii="Arial" w:hAnsi="Arial"/>
          <w:sz w:val="20"/>
        </w:rPr>
        <w:t> </w:t>
      </w:r>
      <w:r>
        <w:rPr>
          <w:rFonts w:ascii="Arial" w:hAnsi="Arial"/>
          <w:sz w:val="21"/>
        </w:rPr>
        <w:t>minimised; and</w:t>
      </w:r>
      <w:r>
        <w:rPr>
          <w:rFonts w:ascii="Arial" w:hAnsi="Arial"/>
          <w:sz w:val="20"/>
        </w:rPr>
        <w:t xml:space="preserve"> </w:t>
      </w:r>
    </w:p>
    <w:p>
      <w:pPr>
        <w:pStyle w:val="TextBody"/>
        <w:bidi w:val="0"/>
        <w:spacing w:lineRule="auto" w:line="266" w:before="0" w:after="0"/>
        <w:ind w:left="4820" w:right="1492" w:hanging="0"/>
        <w:jc w:val="left"/>
        <w:rPr>
          <w:rFonts w:ascii="Arial" w:hAnsi="Arial"/>
          <w:sz w:val="20"/>
        </w:rPr>
      </w:pPr>
      <w:r>
        <w:rPr>
          <w:rFonts w:ascii="Arial" w:hAnsi="Arial"/>
          <w:sz w:val="21"/>
        </w:rPr>
        <w:t>(B)steps are taken as quickly as possible to rectify the non- compliance,</w:t>
      </w:r>
      <w:r>
        <w:rPr>
          <w:rFonts w:ascii="Arial" w:hAnsi="Arial"/>
          <w:sz w:val="20"/>
        </w:rPr>
        <w:t> </w:t>
      </w:r>
      <w:r>
        <w:rPr>
          <w:rFonts w:ascii="Arial" w:hAnsi="Arial"/>
          <w:sz w:val="21"/>
        </w:rPr>
        <w:t>eliminate</w:t>
      </w:r>
      <w:r>
        <w:rPr>
          <w:rFonts w:ascii="Arial" w:hAnsi="Arial"/>
          <w:sz w:val="20"/>
        </w:rPr>
        <w:t> </w:t>
      </w:r>
      <w:r>
        <w:rPr>
          <w:rFonts w:ascii="Arial" w:hAnsi="Arial"/>
          <w:sz w:val="21"/>
        </w:rPr>
        <w:t>or</w:t>
      </w:r>
      <w:r>
        <w:rPr>
          <w:rFonts w:ascii="Arial" w:hAnsi="Arial"/>
          <w:sz w:val="20"/>
        </w:rPr>
        <w:t> </w:t>
      </w:r>
      <w:r>
        <w:rPr>
          <w:rFonts w:ascii="Arial" w:hAnsi="Arial"/>
          <w:sz w:val="21"/>
        </w:rPr>
        <w:t>reduce</w:t>
      </w:r>
      <w:r>
        <w:rPr>
          <w:rFonts w:ascii="Arial" w:hAnsi="Arial"/>
          <w:sz w:val="20"/>
        </w:rPr>
        <w:t> </w:t>
      </w:r>
      <w:r>
        <w:rPr>
          <w:rFonts w:ascii="Arial" w:hAnsi="Arial"/>
          <w:sz w:val="21"/>
        </w:rPr>
        <w:t>any</w:t>
      </w:r>
      <w:r>
        <w:rPr>
          <w:rFonts w:ascii="Arial" w:hAnsi="Arial"/>
          <w:sz w:val="20"/>
        </w:rPr>
        <w:t> </w:t>
      </w:r>
      <w:r>
        <w:rPr>
          <w:rFonts w:ascii="Arial" w:hAnsi="Arial"/>
          <w:sz w:val="21"/>
        </w:rPr>
        <w:t>liability</w:t>
      </w:r>
      <w:r>
        <w:rPr>
          <w:rFonts w:ascii="Arial" w:hAnsi="Arial"/>
          <w:sz w:val="20"/>
        </w:rPr>
        <w:t> </w:t>
      </w:r>
      <w:r>
        <w:rPr>
          <w:rFonts w:ascii="Arial" w:hAnsi="Arial"/>
          <w:sz w:val="21"/>
        </w:rPr>
        <w:t>arising</w:t>
      </w:r>
      <w:r>
        <w:rPr>
          <w:rFonts w:ascii="Arial" w:hAnsi="Arial"/>
          <w:sz w:val="20"/>
        </w:rPr>
        <w:t> </w:t>
      </w:r>
      <w:r>
        <w:rPr>
          <w:rFonts w:ascii="Arial" w:hAnsi="Arial"/>
          <w:sz w:val="21"/>
        </w:rPr>
        <w:t>from the non-compliance</w:t>
      </w:r>
      <w:r>
        <w:rPr>
          <w:rFonts w:ascii="Arial" w:hAnsi="Arial"/>
          <w:sz w:val="20"/>
        </w:rPr>
        <w:t> </w:t>
      </w:r>
      <w:r>
        <w:rPr>
          <w:rFonts w:ascii="Arial" w:hAnsi="Arial"/>
          <w:sz w:val="21"/>
        </w:rPr>
        <w:t>and</w:t>
      </w:r>
      <w:r>
        <w:rPr>
          <w:rFonts w:ascii="Arial" w:hAnsi="Arial"/>
          <w:sz w:val="20"/>
        </w:rPr>
        <w:t> </w:t>
      </w:r>
      <w:r>
        <w:rPr>
          <w:rFonts w:ascii="Arial" w:hAnsi="Arial"/>
          <w:sz w:val="21"/>
        </w:rPr>
        <w:t>to</w:t>
      </w:r>
      <w:r>
        <w:rPr>
          <w:rFonts w:ascii="Arial" w:hAnsi="Arial"/>
          <w:sz w:val="20"/>
        </w:rPr>
        <w:t> </w:t>
      </w:r>
      <w:r>
        <w:rPr>
          <w:rFonts w:ascii="Arial" w:hAnsi="Arial"/>
          <w:sz w:val="21"/>
        </w:rPr>
        <w:t>ensure</w:t>
      </w:r>
      <w:r>
        <w:rPr>
          <w:rFonts w:ascii="Arial" w:hAnsi="Arial"/>
          <w:sz w:val="20"/>
        </w:rPr>
        <w:t> </w:t>
      </w:r>
      <w:r>
        <w:rPr>
          <w:rFonts w:ascii="Arial" w:hAnsi="Arial"/>
          <w:sz w:val="21"/>
        </w:rPr>
        <w:t>the</w:t>
      </w:r>
      <w:r>
        <w:rPr>
          <w:rFonts w:ascii="Arial" w:hAnsi="Arial"/>
          <w:sz w:val="20"/>
        </w:rPr>
        <w:t> </w:t>
      </w:r>
      <w:r>
        <w:rPr>
          <w:rFonts w:ascii="Arial" w:hAnsi="Arial"/>
          <w:sz w:val="21"/>
        </w:rPr>
        <w:t>non-compliance</w:t>
      </w:r>
      <w:r>
        <w:rPr>
          <w:rFonts w:ascii="Arial" w:hAnsi="Arial"/>
          <w:sz w:val="20"/>
        </w:rPr>
        <w:t> </w:t>
      </w:r>
      <w:r>
        <w:rPr>
          <w:rFonts w:ascii="Arial" w:hAnsi="Arial"/>
          <w:sz w:val="21"/>
        </w:rPr>
        <w:t>does</w:t>
      </w:r>
      <w:r>
        <w:rPr>
          <w:rFonts w:ascii="Arial" w:hAnsi="Arial"/>
          <w:sz w:val="20"/>
        </w:rPr>
        <w:t> </w:t>
      </w:r>
      <w:r>
        <w:rPr>
          <w:rFonts w:ascii="Arial" w:hAnsi="Arial"/>
          <w:sz w:val="21"/>
        </w:rPr>
        <w:t>not recur;</w:t>
      </w:r>
      <w:r>
        <w:rPr>
          <w:rFonts w:ascii="Arial" w:hAnsi="Arial"/>
          <w:sz w:val="20"/>
        </w:rPr>
        <w:t xml:space="preserve"> </w:t>
      </w:r>
    </w:p>
    <w:p>
      <w:pPr>
        <w:pStyle w:val="TextBody"/>
        <w:bidi w:val="0"/>
        <w:spacing w:before="0" w:after="0"/>
        <w:ind w:left="4275" w:right="700" w:hanging="0"/>
        <w:jc w:val="left"/>
        <w:rPr>
          <w:rFonts w:ascii="Arial" w:hAnsi="Arial"/>
          <w:sz w:val="20"/>
        </w:rPr>
      </w:pPr>
      <w:r>
        <w:rPr>
          <w:rFonts w:ascii="Arial" w:hAnsi="Arial"/>
          <w:sz w:val="21"/>
        </w:rPr>
        <w:t>(iii)it</w:t>
      </w:r>
      <w:r>
        <w:rPr>
          <w:rFonts w:ascii="Arial" w:hAnsi="Arial"/>
          <w:sz w:val="20"/>
        </w:rPr>
        <w:t> </w:t>
      </w:r>
      <w:r>
        <w:rPr>
          <w:rFonts w:ascii="Arial" w:hAnsi="Arial"/>
          <w:sz w:val="21"/>
        </w:rPr>
        <w:t>or</w:t>
      </w:r>
      <w:r>
        <w:rPr>
          <w:rFonts w:ascii="Arial" w:hAnsi="Arial"/>
          <w:sz w:val="20"/>
        </w:rPr>
        <w:t> </w:t>
      </w:r>
      <w:r>
        <w:rPr>
          <w:rFonts w:ascii="Arial" w:hAnsi="Arial"/>
          <w:sz w:val="21"/>
        </w:rPr>
        <w:t>any</w:t>
      </w:r>
      <w:r>
        <w:rPr>
          <w:rFonts w:ascii="Arial" w:hAnsi="Arial"/>
          <w:sz w:val="20"/>
        </w:rPr>
        <w:t> </w:t>
      </w:r>
      <w:r>
        <w:rPr>
          <w:rFonts w:ascii="Arial" w:hAnsi="Arial"/>
          <w:sz w:val="21"/>
        </w:rPr>
        <w:t>person</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Land</w:t>
      </w:r>
      <w:r>
        <w:rPr>
          <w:rFonts w:ascii="Arial" w:hAnsi="Arial"/>
          <w:sz w:val="20"/>
        </w:rPr>
        <w:t> </w:t>
      </w:r>
      <w:r>
        <w:rPr>
          <w:rFonts w:ascii="Arial" w:hAnsi="Arial"/>
          <w:sz w:val="21"/>
        </w:rPr>
        <w:t>does</w:t>
      </w:r>
      <w:r>
        <w:rPr>
          <w:rFonts w:ascii="Arial" w:hAnsi="Arial"/>
          <w:sz w:val="20"/>
        </w:rPr>
        <w:t> </w:t>
      </w:r>
      <w:r>
        <w:rPr>
          <w:rFonts w:ascii="Arial" w:hAnsi="Arial"/>
          <w:sz w:val="21"/>
        </w:rPr>
        <w:t>not:</w:t>
      </w:r>
      <w:r>
        <w:rPr>
          <w:rFonts w:ascii="Arial" w:hAnsi="Arial"/>
          <w:sz w:val="20"/>
        </w:rPr>
        <w:t xml:space="preserve"> </w:t>
      </w:r>
    </w:p>
    <w:p>
      <w:pPr>
        <w:pStyle w:val="TextBody"/>
        <w:bidi w:val="0"/>
        <w:spacing w:lineRule="auto" w:line="266" w:before="147" w:after="0"/>
        <w:ind w:left="4820" w:right="1646" w:hanging="0"/>
        <w:jc w:val="left"/>
        <w:rPr>
          <w:rFonts w:ascii="Arial" w:hAnsi="Arial"/>
          <w:sz w:val="20"/>
        </w:rPr>
      </w:pPr>
      <w:r>
        <w:rPr>
          <w:rFonts w:ascii="Arial" w:hAnsi="Arial"/>
          <w:sz w:val="21"/>
        </w:rPr>
        <w:t>(A)allow</w:t>
      </w:r>
      <w:r>
        <w:rPr>
          <w:rFonts w:ascii="Arial" w:hAnsi="Arial"/>
          <w:sz w:val="20"/>
        </w:rPr>
        <w:t> </w:t>
      </w:r>
      <w:r>
        <w:rPr>
          <w:rFonts w:ascii="Arial" w:hAnsi="Arial"/>
          <w:sz w:val="21"/>
        </w:rPr>
        <w:t>onto</w:t>
      </w:r>
      <w:r>
        <w:rPr>
          <w:rFonts w:ascii="Arial" w:hAnsi="Arial"/>
          <w:sz w:val="20"/>
        </w:rPr>
        <w:t> </w:t>
      </w:r>
      <w:r>
        <w:rPr>
          <w:rFonts w:ascii="Arial" w:hAnsi="Arial"/>
          <w:sz w:val="21"/>
        </w:rPr>
        <w:t>or</w:t>
      </w:r>
      <w:r>
        <w:rPr>
          <w:rFonts w:ascii="Arial" w:hAnsi="Arial"/>
          <w:sz w:val="20"/>
        </w:rPr>
        <w:t> </w:t>
      </w:r>
      <w:r>
        <w:rPr>
          <w:rFonts w:ascii="Arial" w:hAnsi="Arial"/>
          <w:sz w:val="21"/>
        </w:rPr>
        <w:t>permit</w:t>
      </w:r>
      <w:r>
        <w:rPr>
          <w:rFonts w:ascii="Arial" w:hAnsi="Arial"/>
          <w:sz w:val="20"/>
        </w:rPr>
        <w:t> </w:t>
      </w:r>
      <w:r>
        <w:rPr>
          <w:rFonts w:ascii="Arial" w:hAnsi="Arial"/>
          <w:sz w:val="21"/>
        </w:rPr>
        <w:t>to</w:t>
      </w:r>
      <w:r>
        <w:rPr>
          <w:rFonts w:ascii="Arial" w:hAnsi="Arial"/>
          <w:sz w:val="20"/>
        </w:rPr>
        <w:t> </w:t>
      </w:r>
      <w:r>
        <w:rPr>
          <w:rFonts w:ascii="Arial" w:hAnsi="Arial"/>
          <w:sz w:val="21"/>
        </w:rPr>
        <w:t>exist</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Land</w:t>
      </w:r>
      <w:r>
        <w:rPr>
          <w:rFonts w:ascii="Arial" w:hAnsi="Arial"/>
          <w:sz w:val="20"/>
        </w:rPr>
        <w:t> </w:t>
      </w:r>
      <w:r>
        <w:rPr>
          <w:rFonts w:ascii="Arial" w:hAnsi="Arial"/>
          <w:sz w:val="21"/>
        </w:rPr>
        <w:t>any</w:t>
      </w:r>
      <w:r>
        <w:rPr>
          <w:rFonts w:ascii="Arial" w:hAnsi="Arial"/>
          <w:sz w:val="20"/>
        </w:rPr>
        <w:t> </w:t>
      </w:r>
      <w:r>
        <w:rPr>
          <w:rFonts w:ascii="Arial" w:hAnsi="Arial"/>
          <w:sz w:val="21"/>
        </w:rPr>
        <w:t>Contaminant; or</w:t>
      </w:r>
      <w:r>
        <w:rPr>
          <w:rFonts w:ascii="Arial" w:hAnsi="Arial"/>
          <w:sz w:val="20"/>
        </w:rPr>
        <w:t xml:space="preserve"> </w:t>
      </w:r>
    </w:p>
    <w:p>
      <w:pPr>
        <w:pStyle w:val="TextBody"/>
        <w:bidi w:val="0"/>
        <w:spacing w:lineRule="auto" w:line="266" w:before="0" w:after="0"/>
        <w:ind w:left="4820" w:right="2054" w:hanging="0"/>
        <w:jc w:val="left"/>
        <w:rPr>
          <w:rFonts w:ascii="Arial" w:hAnsi="Arial"/>
          <w:sz w:val="20"/>
        </w:rPr>
      </w:pPr>
      <w:r>
        <w:rPr>
          <w:rFonts w:ascii="Arial" w:hAnsi="Arial"/>
          <w:sz w:val="21"/>
        </w:rPr>
        <w:t>(B)allow</w:t>
      </w:r>
      <w:r>
        <w:rPr>
          <w:rFonts w:ascii="Arial" w:hAnsi="Arial"/>
          <w:sz w:val="20"/>
        </w:rPr>
        <w:t> </w:t>
      </w:r>
      <w:r>
        <w:rPr>
          <w:rFonts w:ascii="Arial" w:hAnsi="Arial"/>
          <w:sz w:val="21"/>
        </w:rPr>
        <w:t>a</w:t>
      </w:r>
      <w:r>
        <w:rPr>
          <w:rFonts w:ascii="Arial" w:hAnsi="Arial"/>
          <w:sz w:val="20"/>
        </w:rPr>
        <w:t> </w:t>
      </w:r>
      <w:r>
        <w:rPr>
          <w:rFonts w:ascii="Arial" w:hAnsi="Arial"/>
          <w:sz w:val="21"/>
        </w:rPr>
        <w:t>Contaminant</w:t>
      </w:r>
      <w:r>
        <w:rPr>
          <w:rFonts w:ascii="Arial" w:hAnsi="Arial"/>
          <w:sz w:val="20"/>
        </w:rPr>
        <w:t> </w:t>
      </w:r>
      <w:r>
        <w:rPr>
          <w:rFonts w:ascii="Arial" w:hAnsi="Arial"/>
          <w:sz w:val="21"/>
        </w:rPr>
        <w:t>to</w:t>
      </w:r>
      <w:r>
        <w:rPr>
          <w:rFonts w:ascii="Arial" w:hAnsi="Arial"/>
          <w:sz w:val="20"/>
        </w:rPr>
        <w:t> </w:t>
      </w:r>
      <w:r>
        <w:rPr>
          <w:rFonts w:ascii="Arial" w:hAnsi="Arial"/>
          <w:sz w:val="21"/>
        </w:rPr>
        <w:t>escape</w:t>
      </w:r>
      <w:r>
        <w:rPr>
          <w:rFonts w:ascii="Arial" w:hAnsi="Arial"/>
          <w:sz w:val="20"/>
        </w:rPr>
        <w:t> </w:t>
      </w:r>
      <w:r>
        <w:rPr>
          <w:rFonts w:ascii="Arial" w:hAnsi="Arial"/>
          <w:sz w:val="21"/>
        </w:rPr>
        <w:t>or</w:t>
      </w:r>
      <w:r>
        <w:rPr>
          <w:rFonts w:ascii="Arial" w:hAnsi="Arial"/>
          <w:sz w:val="20"/>
        </w:rPr>
        <w:t> </w:t>
      </w:r>
      <w:r>
        <w:rPr>
          <w:rFonts w:ascii="Arial" w:hAnsi="Arial"/>
          <w:sz w:val="21"/>
        </w:rPr>
        <w:t>be</w:t>
      </w:r>
      <w:r>
        <w:rPr>
          <w:rFonts w:ascii="Arial" w:hAnsi="Arial"/>
          <w:sz w:val="20"/>
        </w:rPr>
        <w:t> </w:t>
      </w:r>
      <w:r>
        <w:rPr>
          <w:rFonts w:ascii="Arial" w:hAnsi="Arial"/>
          <w:sz w:val="21"/>
        </w:rPr>
        <w:t>released</w:t>
      </w:r>
      <w:r>
        <w:rPr>
          <w:rFonts w:ascii="Arial" w:hAnsi="Arial"/>
          <w:sz w:val="20"/>
        </w:rPr>
        <w:t> </w:t>
      </w:r>
      <w:r>
        <w:rPr>
          <w:rFonts w:ascii="Arial" w:hAnsi="Arial"/>
          <w:sz w:val="21"/>
        </w:rPr>
        <w:t>into</w:t>
      </w:r>
      <w:r>
        <w:rPr>
          <w:rFonts w:ascii="Arial" w:hAnsi="Arial"/>
          <w:sz w:val="20"/>
        </w:rPr>
        <w:t> </w:t>
      </w:r>
      <w:r>
        <w:rPr>
          <w:rFonts w:ascii="Arial" w:hAnsi="Arial"/>
          <w:sz w:val="21"/>
        </w:rPr>
        <w:t>the environment,</w:t>
      </w:r>
      <w:r>
        <w:rPr>
          <w:rFonts w:ascii="Arial" w:hAnsi="Arial"/>
          <w:sz w:val="20"/>
        </w:rPr>
        <w:t xml:space="preserve"> </w:t>
      </w:r>
    </w:p>
    <w:p>
      <w:pPr>
        <w:pStyle w:val="TextBody"/>
        <w:bidi w:val="0"/>
        <w:spacing w:lineRule="auto" w:line="266" w:before="119" w:after="0"/>
        <w:ind w:left="4820" w:right="1471" w:hanging="0"/>
        <w:jc w:val="left"/>
        <w:rPr>
          <w:rFonts w:ascii="Arial" w:hAnsi="Arial"/>
          <w:sz w:val="22"/>
        </w:rPr>
      </w:pPr>
      <w:r>
        <w:rPr>
          <w:rFonts w:ascii="Arial" w:hAnsi="Arial"/>
          <w:sz w:val="22"/>
        </w:rPr>
        <w:t xml:space="preserve">if to do so would be in breach of any Environmental Law or any consent, permit, approval, licence, authorisation, certification, order or direction granted or issued under any Environmental Law or could give rise to an order or direction being issued under any Environmental Law; and </w:t>
      </w:r>
    </w:p>
    <w:p>
      <w:pPr>
        <w:pStyle w:val="TextBody"/>
        <w:bidi w:val="0"/>
        <w:spacing w:lineRule="auto" w:line="266" w:before="120" w:after="0"/>
        <w:ind w:left="4275" w:right="1445" w:hanging="0"/>
        <w:jc w:val="left"/>
        <w:rPr>
          <w:rFonts w:ascii="Arial" w:hAnsi="Arial"/>
          <w:sz w:val="20"/>
        </w:rPr>
      </w:pPr>
      <w:r>
        <w:rPr>
          <w:rFonts w:ascii="Arial" w:hAnsi="Arial"/>
          <w:sz w:val="21"/>
        </w:rPr>
        <w:t>(iv)if any Contaminant is discovered on or affecting the Land (other than a Contaminant which is safely stored in accordance with lawful</w:t>
      </w:r>
      <w:r>
        <w:rPr>
          <w:rFonts w:ascii="Arial" w:hAnsi="Arial"/>
          <w:sz w:val="20"/>
        </w:rPr>
        <w:t> </w:t>
      </w:r>
      <w:r>
        <w:rPr>
          <w:rFonts w:ascii="Arial" w:hAnsi="Arial"/>
          <w:sz w:val="21"/>
        </w:rPr>
        <w:t>authority)</w:t>
      </w:r>
      <w:r>
        <w:rPr>
          <w:rFonts w:ascii="Arial" w:hAnsi="Arial"/>
          <w:sz w:val="20"/>
        </w:rPr>
        <w:t> </w:t>
      </w:r>
      <w:r>
        <w:rPr>
          <w:rFonts w:ascii="Arial" w:hAnsi="Arial"/>
          <w:sz w:val="21"/>
        </w:rPr>
        <w:t>or,</w:t>
      </w:r>
      <w:r>
        <w:rPr>
          <w:rFonts w:ascii="Arial" w:hAnsi="Arial"/>
          <w:sz w:val="20"/>
        </w:rPr>
        <w:t> </w:t>
      </w:r>
      <w:r>
        <w:rPr>
          <w:rFonts w:ascii="Arial" w:hAnsi="Arial"/>
          <w:sz w:val="21"/>
        </w:rPr>
        <w:t>without</w:t>
      </w:r>
      <w:r>
        <w:rPr>
          <w:rFonts w:ascii="Arial" w:hAnsi="Arial"/>
          <w:sz w:val="20"/>
        </w:rPr>
        <w:t> </w:t>
      </w:r>
      <w:r>
        <w:rPr>
          <w:rFonts w:ascii="Arial" w:hAnsi="Arial"/>
          <w:sz w:val="21"/>
        </w:rPr>
        <w:t>lawful</w:t>
      </w:r>
      <w:r>
        <w:rPr>
          <w:rFonts w:ascii="Arial" w:hAnsi="Arial"/>
          <w:sz w:val="20"/>
        </w:rPr>
        <w:t> </w:t>
      </w:r>
      <w:r>
        <w:rPr>
          <w:rFonts w:ascii="Arial" w:hAnsi="Arial"/>
          <w:sz w:val="21"/>
        </w:rPr>
        <w:t>authority,</w:t>
      </w:r>
      <w:r>
        <w:rPr>
          <w:rFonts w:ascii="Arial" w:hAnsi="Arial"/>
          <w:sz w:val="20"/>
        </w:rPr>
        <w:t> </w:t>
      </w:r>
      <w:r>
        <w:rPr>
          <w:rFonts w:ascii="Arial" w:hAnsi="Arial"/>
          <w:sz w:val="21"/>
        </w:rPr>
        <w:t>escapes</w:t>
      </w:r>
      <w:r>
        <w:rPr>
          <w:rFonts w:ascii="Arial" w:hAnsi="Arial"/>
          <w:sz w:val="20"/>
        </w:rPr>
        <w:t> </w:t>
      </w:r>
      <w:r>
        <w:rPr>
          <w:rFonts w:ascii="Arial" w:hAnsi="Arial"/>
          <w:sz w:val="21"/>
        </w:rPr>
        <w:t>or</w:t>
      </w:r>
      <w:r>
        <w:rPr>
          <w:rFonts w:ascii="Arial" w:hAnsi="Arial"/>
          <w:sz w:val="20"/>
        </w:rPr>
        <w:t> </w:t>
      </w:r>
      <w:r>
        <w:rPr>
          <w:rFonts w:ascii="Arial" w:hAnsi="Arial"/>
          <w:sz w:val="21"/>
        </w:rPr>
        <w:t>is</w:t>
      </w:r>
      <w:r>
        <w:rPr>
          <w:rFonts w:ascii="Arial" w:hAnsi="Arial"/>
          <w:sz w:val="20"/>
        </w:rPr>
        <w:t> </w:t>
      </w:r>
      <w:r>
        <w:rPr>
          <w:rFonts w:ascii="Arial" w:hAnsi="Arial"/>
          <w:sz w:val="21"/>
        </w:rPr>
        <w:t>released from the Land into the environment:</w:t>
      </w:r>
      <w:r>
        <w:rPr>
          <w:rFonts w:ascii="Arial" w:hAnsi="Arial"/>
          <w:sz w:val="20"/>
        </w:rPr>
        <w:t xml:space="preserve"> </w:t>
      </w:r>
    </w:p>
    <w:p>
      <w:pPr>
        <w:pStyle w:val="TextBody"/>
        <w:bidi w:val="0"/>
        <w:spacing w:lineRule="auto" w:line="266" w:before="118" w:after="0"/>
        <w:ind w:left="4820" w:right="1693" w:hanging="0"/>
        <w:jc w:val="left"/>
        <w:rPr>
          <w:rFonts w:ascii="Arial" w:hAnsi="Arial"/>
          <w:sz w:val="20"/>
        </w:rPr>
      </w:pPr>
      <w:r>
        <w:rPr>
          <w:rFonts w:ascii="Arial" w:hAnsi="Arial"/>
          <w:sz w:val="21"/>
        </w:rPr>
        <w:t>(A)the</w:t>
      </w:r>
      <w:r>
        <w:rPr>
          <w:rFonts w:ascii="Arial" w:hAnsi="Arial"/>
          <w:sz w:val="20"/>
        </w:rPr>
        <w:t> </w:t>
      </w:r>
      <w:r>
        <w:rPr>
          <w:rFonts w:ascii="Arial" w:hAnsi="Arial"/>
          <w:sz w:val="21"/>
        </w:rPr>
        <w:t>impact</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Land</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environment</w:t>
      </w:r>
      <w:r>
        <w:rPr>
          <w:rFonts w:ascii="Arial" w:hAnsi="Arial"/>
          <w:sz w:val="20"/>
        </w:rPr>
        <w:t> </w:t>
      </w:r>
      <w:r>
        <w:rPr>
          <w:rFonts w:ascii="Arial" w:hAnsi="Arial"/>
          <w:sz w:val="21"/>
        </w:rPr>
        <w:t>is</w:t>
      </w:r>
      <w:r>
        <w:rPr>
          <w:rFonts w:ascii="Arial" w:hAnsi="Arial"/>
          <w:sz w:val="20"/>
        </w:rPr>
        <w:t> </w:t>
      </w:r>
      <w:r>
        <w:rPr>
          <w:rFonts w:ascii="Arial" w:hAnsi="Arial"/>
          <w:sz w:val="21"/>
        </w:rPr>
        <w:t>minimised; and</w:t>
      </w:r>
      <w:r>
        <w:rPr>
          <w:rFonts w:ascii="Arial" w:hAnsi="Arial"/>
          <w:sz w:val="20"/>
        </w:rPr>
        <w:t xml:space="preserve"> </w:t>
      </w:r>
    </w:p>
    <w:p>
      <w:pPr>
        <w:pStyle w:val="TextBody"/>
        <w:bidi w:val="0"/>
        <w:spacing w:lineRule="auto" w:line="266" w:before="0" w:after="0"/>
        <w:ind w:left="4820" w:right="1447" w:hanging="0"/>
        <w:jc w:val="left"/>
        <w:rPr>
          <w:rFonts w:ascii="Arial" w:hAnsi="Arial"/>
          <w:sz w:val="20"/>
        </w:rPr>
      </w:pPr>
      <w:r>
        <w:rPr>
          <w:rFonts w:ascii="Arial" w:hAnsi="Arial"/>
          <w:sz w:val="21"/>
        </w:rPr>
        <w:t>(B)steps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w:t>
      </w:r>
      <w:r>
        <w:rPr>
          <w:rFonts w:ascii="Arial" w:hAnsi="Arial"/>
          <w:sz w:val="20"/>
        </w:rPr>
        <w:t> </w:t>
      </w:r>
      <w:r>
        <w:rPr>
          <w:rFonts w:ascii="Arial" w:hAnsi="Arial"/>
          <w:sz w:val="21"/>
        </w:rPr>
        <w:t>or</w:t>
      </w:r>
      <w:r>
        <w:rPr>
          <w:rFonts w:ascii="Arial" w:hAnsi="Arial"/>
          <w:sz w:val="20"/>
        </w:rPr>
        <w:t> </w:t>
      </w:r>
      <w:r>
        <w:rPr>
          <w:rFonts w:ascii="Arial" w:hAnsi="Arial"/>
          <w:sz w:val="21"/>
        </w:rPr>
        <w:t>reduce</w:t>
      </w:r>
      <w:r>
        <w:rPr>
          <w:rFonts w:ascii="Arial" w:hAnsi="Arial"/>
          <w:sz w:val="20"/>
        </w:rPr>
        <w:t> </w:t>
      </w:r>
      <w:r>
        <w:rPr>
          <w:rFonts w:ascii="Arial" w:hAnsi="Arial"/>
          <w:sz w:val="21"/>
        </w:rPr>
        <w:t>any</w:t>
      </w:r>
      <w:r>
        <w:rPr>
          <w:rFonts w:ascii="Arial" w:hAnsi="Arial"/>
          <w:sz w:val="20"/>
        </w:rPr>
        <w:t> </w:t>
      </w:r>
      <w:r>
        <w:rPr>
          <w:rFonts w:ascii="Arial" w:hAnsi="Arial"/>
          <w:sz w:val="21"/>
        </w:rPr>
        <w:t>liability</w:t>
      </w:r>
      <w:r>
        <w:rPr>
          <w:rFonts w:ascii="Arial" w:hAnsi="Arial"/>
          <w:sz w:val="20"/>
        </w:rPr>
        <w:t> </w:t>
      </w:r>
      <w:r>
        <w:rPr>
          <w:rFonts w:ascii="Arial" w:hAnsi="Arial"/>
          <w:sz w:val="21"/>
        </w:rPr>
        <w:t>arising</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Contaminant and do all things necessary to restore the Land and the environment.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(b)If</w:t>
      </w:r>
      <w:r>
        <w:rPr>
          <w:rFonts w:ascii="Arial" w:hAnsi="Arial"/>
          <w:sz w:val="20"/>
        </w:rPr>
        <w:t> </w:t>
      </w:r>
      <w:r>
        <w:rPr>
          <w:rFonts w:ascii="Arial" w:hAnsi="Arial"/>
          <w:sz w:val="21"/>
        </w:rPr>
        <w:t>there</w:t>
      </w:r>
      <w:r>
        <w:rPr>
          <w:rFonts w:ascii="Arial" w:hAnsi="Arial"/>
          <w:sz w:val="20"/>
        </w:rPr>
        <w:t> </w:t>
      </w:r>
      <w:r>
        <w:rPr>
          <w:rFonts w:ascii="Arial" w:hAnsi="Arial"/>
          <w:sz w:val="21"/>
        </w:rPr>
        <w:t>is</w:t>
      </w:r>
      <w:r>
        <w:rPr>
          <w:rFonts w:ascii="Arial" w:hAnsi="Arial"/>
          <w:sz w:val="20"/>
        </w:rPr>
        <w:t> </w:t>
      </w:r>
      <w:r>
        <w:rPr>
          <w:rFonts w:ascii="Arial" w:hAnsi="Arial"/>
          <w:sz w:val="21"/>
        </w:rPr>
        <w:t>any</w:t>
      </w:r>
      <w:r>
        <w:rPr>
          <w:rFonts w:ascii="Arial" w:hAnsi="Arial"/>
          <w:sz w:val="20"/>
        </w:rPr>
        <w:t> </w:t>
      </w:r>
      <w:r>
        <w:rPr>
          <w:rFonts w:ascii="Arial" w:hAnsi="Arial"/>
          <w:sz w:val="21"/>
        </w:rPr>
        <w:t>non-compliance under</w:t>
      </w:r>
      <w:r>
        <w:rPr>
          <w:rFonts w:ascii="Arial" w:hAnsi="Arial"/>
          <w:sz w:val="20"/>
        </w:rPr>
        <w:t> </w:t>
      </w:r>
      <w:r>
        <w:rPr>
          <w:rFonts w:ascii="Arial" w:hAnsi="Arial"/>
          <w:b/>
          <w:sz w:val="21"/>
        </w:rPr>
        <w:t>clauses</w:t>
      </w:r>
      <w:r>
        <w:rPr>
          <w:rFonts w:ascii="Arial" w:hAnsi="Arial"/>
          <w:sz w:val="20"/>
        </w:rPr>
        <w:t> </w:t>
      </w:r>
      <w:hyperlink w:anchor="_bookmark99">
        <w:r>
          <w:rPr>
            <w:rStyle w:val="InternetLink"/>
            <w:rFonts w:ascii="Arial" w:hAnsi="Arial"/>
            <w:b/>
            <w:sz w:val="21"/>
          </w:rPr>
          <w:t>9.9</w:t>
        </w:r>
      </w:hyperlink>
      <w:r>
        <w:rPr>
          <w:rFonts w:ascii="Arial" w:hAnsi="Arial"/>
          <w:b/>
          <w:sz w:val="21"/>
        </w:rPr>
        <w:t>(a)(i)</w:t>
      </w:r>
      <w:r>
        <w:rPr>
          <w:rFonts w:ascii="Arial" w:hAnsi="Arial"/>
          <w:sz w:val="21"/>
        </w:rPr>
        <w:t>,</w:t>
      </w:r>
      <w:r>
        <w:rPr>
          <w:rFonts w:ascii="Arial" w:hAnsi="Arial"/>
          <w:sz w:val="20"/>
        </w:rPr>
        <w:t> </w:t>
      </w:r>
      <w:r>
        <w:rPr>
          <w:rFonts w:ascii="Arial" w:hAnsi="Arial"/>
          <w:b/>
          <w:sz w:val="21"/>
        </w:rPr>
        <w:t xml:space="preserve">(ii) </w:t>
      </w:r>
      <w:r>
        <w:rPr>
          <w:rFonts w:ascii="Arial" w:hAnsi="Arial"/>
          <w:sz w:val="21"/>
        </w:rPr>
        <w:t>or</w:t>
      </w:r>
      <w:r>
        <w:rPr>
          <w:rFonts w:ascii="Arial" w:hAnsi="Arial"/>
          <w:sz w:val="20"/>
        </w:rPr>
        <w:t> </w:t>
      </w:r>
      <w:r>
        <w:rPr>
          <w:rFonts w:ascii="Arial" w:hAnsi="Arial"/>
          <w:b/>
          <w:sz w:val="21"/>
        </w:rPr>
        <w:t>(iii)</w:t>
      </w:r>
      <w:r>
        <w:rPr>
          <w:rFonts w:ascii="Arial" w:hAnsi="Arial"/>
          <w:sz w:val="20"/>
        </w:rPr>
        <w:t> </w:t>
      </w:r>
      <w:r>
        <w:rPr>
          <w:rFonts w:ascii="Arial" w:hAnsi="Arial"/>
          <w:sz w:val="21"/>
        </w:rPr>
        <w:t>or</w:t>
      </w:r>
      <w:r>
        <w:rPr>
          <w:rFonts w:ascii="Arial" w:hAnsi="Arial"/>
          <w:sz w:val="20"/>
        </w:rPr>
        <w:t> </w:t>
      </w:r>
      <w:r>
        <w:rPr>
          <w:rFonts w:ascii="Arial" w:hAnsi="Arial"/>
          <w:sz w:val="21"/>
        </w:rPr>
        <w:t>any Contaminant is discovered or the Borrower has reason to believe that there is some Contaminant on the Land requiring action to be taken under</w:t>
      </w:r>
      <w:r>
        <w:rPr>
          <w:rFonts w:ascii="Arial" w:hAnsi="Arial"/>
          <w:sz w:val="20"/>
        </w:rPr>
        <w:t> </w:t>
      </w:r>
      <w:r>
        <w:rPr>
          <w:rFonts w:ascii="Arial" w:hAnsi="Arial"/>
          <w:b/>
          <w:sz w:val="21"/>
        </w:rPr>
        <w:t>clause</w:t>
      </w:r>
      <w:r>
        <w:rPr>
          <w:rFonts w:ascii="Arial" w:hAnsi="Arial"/>
          <w:sz w:val="20"/>
        </w:rPr>
        <w:t> </w:t>
      </w:r>
      <w:hyperlink w:anchor="_bookmark99">
        <w:r>
          <w:rPr>
            <w:rStyle w:val="InternetLink"/>
            <w:rFonts w:ascii="Arial" w:hAnsi="Arial"/>
            <w:b/>
            <w:sz w:val="21"/>
          </w:rPr>
          <w:t>9.9</w:t>
        </w:r>
      </w:hyperlink>
      <w:r>
        <w:rPr>
          <w:rFonts w:ascii="Arial" w:hAnsi="Arial"/>
          <w:b/>
          <w:sz w:val="21"/>
        </w:rPr>
        <w:t>(a)(iv)</w:t>
      </w:r>
      <w:r>
        <w:rPr>
          <w:rFonts w:ascii="Arial" w:hAnsi="Arial"/>
          <w:sz w:val="21"/>
        </w:rPr>
        <w:t>,</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must</w:t>
      </w:r>
      <w:r>
        <w:rPr>
          <w:rFonts w:ascii="Arial" w:hAnsi="Arial"/>
          <w:sz w:val="20"/>
        </w:rPr>
        <w:t> </w:t>
      </w:r>
      <w:r>
        <w:rPr>
          <w:rFonts w:ascii="Arial" w:hAnsi="Arial"/>
          <w:sz w:val="21"/>
        </w:rPr>
        <w:t>immediately</w:t>
      </w:r>
      <w:r>
        <w:rPr>
          <w:rFonts w:ascii="Arial" w:hAnsi="Arial"/>
          <w:sz w:val="20"/>
        </w:rPr>
        <w:t> </w:t>
      </w:r>
      <w:r>
        <w:rPr>
          <w:rFonts w:ascii="Arial" w:hAnsi="Arial"/>
          <w:sz w:val="21"/>
        </w:rPr>
        <w:t>notify</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(c)If</w:t>
      </w:r>
      <w:r>
        <w:rPr>
          <w:rFonts w:ascii="Arial" w:hAnsi="Arial"/>
          <w:sz w:val="22"/>
        </w:rPr>
        <w:t> </w:t>
      </w:r>
      <w:r>
        <w:rPr>
          <w:rFonts w:ascii="Arial" w:hAnsi="Arial"/>
          <w:sz w:val="21"/>
        </w:rPr>
        <w:t>there</w:t>
      </w:r>
      <w:r>
        <w:rPr>
          <w:rFonts w:ascii="Arial" w:hAnsi="Arial"/>
          <w:sz w:val="22"/>
        </w:rPr>
        <w:t> </w:t>
      </w:r>
      <w:r>
        <w:rPr>
          <w:rFonts w:ascii="Arial" w:hAnsi="Arial"/>
          <w:sz w:val="21"/>
        </w:rPr>
        <w:t>is</w:t>
      </w:r>
      <w:r>
        <w:rPr>
          <w:rFonts w:ascii="Arial" w:hAnsi="Arial"/>
          <w:sz w:val="22"/>
        </w:rPr>
        <w:t> </w:t>
      </w:r>
      <w:r>
        <w:rPr>
          <w:rFonts w:ascii="Arial" w:hAnsi="Arial"/>
          <w:sz w:val="21"/>
        </w:rPr>
        <w:t>or</w:t>
      </w:r>
      <w:r>
        <w:rPr>
          <w:rFonts w:ascii="Arial" w:hAnsi="Arial"/>
          <w:sz w:val="22"/>
        </w:rPr>
        <w:t> </w:t>
      </w:r>
      <w:r>
        <w:rPr>
          <w:rFonts w:ascii="Arial" w:hAnsi="Arial"/>
          <w:sz w:val="21"/>
        </w:rPr>
        <w:t>the</w:t>
      </w:r>
      <w:r>
        <w:rPr>
          <w:rFonts w:ascii="Arial" w:hAnsi="Arial"/>
          <w:sz w:val="22"/>
        </w:rPr>
        <w:t> </w:t>
      </w:r>
      <w:r>
        <w:rPr>
          <w:rFonts w:ascii="Arial" w:hAnsi="Arial"/>
          <w:sz w:val="21"/>
        </w:rPr>
        <w:t>Bank</w:t>
      </w:r>
      <w:r>
        <w:rPr>
          <w:rFonts w:ascii="Arial" w:hAnsi="Arial"/>
          <w:sz w:val="22"/>
        </w:rPr>
        <w:t> </w:t>
      </w:r>
      <w:r>
        <w:rPr>
          <w:rFonts w:ascii="Arial" w:hAnsi="Arial"/>
          <w:sz w:val="21"/>
        </w:rPr>
        <w:t>has</w:t>
      </w:r>
      <w:r>
        <w:rPr>
          <w:rFonts w:ascii="Arial" w:hAnsi="Arial"/>
          <w:sz w:val="22"/>
        </w:rPr>
        <w:t> </w:t>
      </w:r>
      <w:r>
        <w:rPr>
          <w:rFonts w:ascii="Arial" w:hAnsi="Arial"/>
          <w:sz w:val="21"/>
        </w:rPr>
        <w:t>reason</w:t>
      </w:r>
      <w:r>
        <w:rPr>
          <w:rFonts w:ascii="Arial" w:hAnsi="Arial"/>
          <w:sz w:val="22"/>
        </w:rPr>
        <w:t> </w:t>
      </w:r>
      <w:r>
        <w:rPr>
          <w:rFonts w:ascii="Arial" w:hAnsi="Arial"/>
          <w:sz w:val="21"/>
        </w:rPr>
        <w:t>to</w:t>
      </w:r>
      <w:r>
        <w:rPr>
          <w:rFonts w:ascii="Arial" w:hAnsi="Arial"/>
          <w:sz w:val="22"/>
        </w:rPr>
        <w:t> </w:t>
      </w:r>
      <w:r>
        <w:rPr>
          <w:rFonts w:ascii="Arial" w:hAnsi="Arial"/>
          <w:sz w:val="21"/>
        </w:rPr>
        <w:t>believe</w:t>
      </w:r>
      <w:r>
        <w:rPr>
          <w:rFonts w:ascii="Arial" w:hAnsi="Arial"/>
          <w:sz w:val="22"/>
        </w:rPr>
        <w:t> </w:t>
      </w:r>
      <w:r>
        <w:rPr>
          <w:rFonts w:ascii="Arial" w:hAnsi="Arial"/>
          <w:sz w:val="21"/>
        </w:rPr>
        <w:t>that</w:t>
      </w:r>
      <w:r>
        <w:rPr>
          <w:rFonts w:ascii="Arial" w:hAnsi="Arial"/>
          <w:sz w:val="22"/>
        </w:rPr>
        <w:t> </w:t>
      </w:r>
      <w:r>
        <w:rPr>
          <w:rFonts w:ascii="Arial" w:hAnsi="Arial"/>
          <w:sz w:val="21"/>
        </w:rPr>
        <w:t>there</w:t>
      </w:r>
      <w:r>
        <w:rPr>
          <w:rFonts w:ascii="Arial" w:hAnsi="Arial"/>
          <w:sz w:val="22"/>
        </w:rPr>
        <w:t> </w:t>
      </w:r>
      <w:r>
        <w:rPr>
          <w:rFonts w:ascii="Arial" w:hAnsi="Arial"/>
          <w:sz w:val="21"/>
        </w:rPr>
        <w:t>may</w:t>
      </w:r>
      <w:r>
        <w:rPr>
          <w:rFonts w:ascii="Arial" w:hAnsi="Arial"/>
          <w:sz w:val="22"/>
        </w:rPr>
        <w:t> </w:t>
      </w:r>
      <w:r>
        <w:rPr>
          <w:rFonts w:ascii="Arial" w:hAnsi="Arial"/>
          <w:sz w:val="21"/>
        </w:rPr>
        <w:t>be</w:t>
      </w:r>
      <w:r>
        <w:rPr>
          <w:rFonts w:ascii="Arial" w:hAnsi="Arial"/>
          <w:sz w:val="22"/>
        </w:rPr>
        <w:t> </w:t>
      </w:r>
      <w:r>
        <w:rPr>
          <w:rFonts w:ascii="Arial" w:hAnsi="Arial"/>
          <w:sz w:val="21"/>
        </w:rPr>
        <w:t>any</w:t>
      </w:r>
      <w:r>
        <w:rPr>
          <w:rFonts w:ascii="Arial" w:hAnsi="Arial"/>
          <w:sz w:val="22"/>
        </w:rPr>
        <w:t> non-</w:t>
      </w:r>
      <w:r>
        <w:rPr>
          <w:rFonts w:ascii="Arial" w:hAnsi="Arial"/>
          <w:sz w:val="21"/>
        </w:rPr>
        <w:t>compliance</w:t>
      </w:r>
      <w:r>
        <w:rPr>
          <w:rFonts w:ascii="Arial" w:hAnsi="Arial"/>
          <w:sz w:val="22"/>
        </w:rPr>
        <w:t> under </w:t>
      </w:r>
      <w:r>
        <w:rPr>
          <w:rFonts w:ascii="Arial" w:hAnsi="Arial"/>
          <w:b/>
          <w:sz w:val="22"/>
        </w:rPr>
        <w:t>clauses</w:t>
      </w:r>
      <w:r>
        <w:rPr>
          <w:rFonts w:ascii="Arial" w:hAnsi="Arial"/>
          <w:sz w:val="22"/>
        </w:rPr>
        <w:t> </w:t>
      </w:r>
      <w:hyperlink w:anchor="_bookmark99">
        <w:r>
          <w:rPr>
            <w:rStyle w:val="InternetLink"/>
            <w:rFonts w:ascii="Arial" w:hAnsi="Arial"/>
            <w:b/>
            <w:sz w:val="22"/>
          </w:rPr>
          <w:t>9.9</w:t>
        </w:r>
      </w:hyperlink>
      <w:r>
        <w:rPr>
          <w:rFonts w:ascii="Arial" w:hAnsi="Arial"/>
          <w:b/>
          <w:sz w:val="22"/>
        </w:rPr>
        <w:t>(a)(i)</w:t>
      </w:r>
      <w:r>
        <w:rPr>
          <w:rFonts w:ascii="Arial" w:hAnsi="Arial"/>
          <w:sz w:val="22"/>
        </w:rPr>
        <w:t>, </w:t>
      </w:r>
      <w:r>
        <w:rPr>
          <w:rFonts w:ascii="Arial" w:hAnsi="Arial"/>
          <w:b/>
          <w:sz w:val="22"/>
        </w:rPr>
        <w:t>(ii)</w:t>
      </w:r>
      <w:r>
        <w:rPr>
          <w:rFonts w:ascii="Arial" w:hAnsi="Arial"/>
          <w:sz w:val="22"/>
        </w:rPr>
        <w:t> or </w:t>
      </w:r>
      <w:r>
        <w:rPr>
          <w:rFonts w:ascii="Arial" w:hAnsi="Arial"/>
          <w:b/>
          <w:sz w:val="22"/>
        </w:rPr>
        <w:t>(iii)</w:t>
      </w:r>
      <w:r>
        <w:rPr>
          <w:rFonts w:ascii="Arial" w:hAnsi="Arial"/>
          <w:sz w:val="22"/>
        </w:rPr>
        <w:t> or any Contaminant is discovered or the Bank has reason to believe that there is some Contaminant on the Land requiring action to be taken under </w:t>
      </w:r>
      <w:r>
        <w:rPr>
          <w:rFonts w:ascii="Arial" w:hAnsi="Arial"/>
          <w:b/>
          <w:sz w:val="22"/>
        </w:rPr>
        <w:t>clause</w:t>
      </w:r>
      <w:r>
        <w:rPr>
          <w:rFonts w:ascii="Arial" w:hAnsi="Arial"/>
          <w:sz w:val="22"/>
        </w:rPr>
        <w:t> </w:t>
      </w:r>
      <w:hyperlink w:anchor="_bookmark99">
        <w:r>
          <w:rPr>
            <w:rStyle w:val="InternetLink"/>
            <w:rFonts w:ascii="Arial" w:hAnsi="Arial"/>
            <w:b/>
            <w:sz w:val="22"/>
          </w:rPr>
          <w:t>9.9</w:t>
        </w:r>
      </w:hyperlink>
      <w:r>
        <w:rPr>
          <w:rFonts w:ascii="Arial" w:hAnsi="Arial"/>
          <w:b/>
          <w:sz w:val="22"/>
        </w:rPr>
        <w:t>(a)(iv)</w:t>
      </w:r>
      <w:r>
        <w:rPr>
          <w:rFonts w:ascii="Arial" w:hAnsi="Arial"/>
          <w:sz w:val="22"/>
        </w:rPr>
        <w:t xml:space="preserve">, the Borrower, at the request of the Bank, must procure and furnish to the Bank, in a form acceptable to the Bank, an </w:t>
      </w:r>
    </w:p>
    <w:p>
      <w:pPr>
        <w:pStyle w:val="TextBody"/>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46" w:right="1471" w:hanging="0"/>
        <w:jc w:val="left"/>
        <w:rPr>
          <w:rFonts w:ascii="Arial" w:hAnsi="Arial"/>
          <w:sz w:val="22"/>
        </w:rPr>
      </w:pPr>
      <w:r>
        <w:rPr>
          <w:rFonts w:ascii="Arial" w:hAnsi="Arial"/>
          <w:sz w:val="22"/>
        </w:rPr>
        <w:t xml:space="preserve">Environmental Assessment Report in relation to the Land and any operations conducted on it. </w:t>
      </w:r>
    </w:p>
    <w:p>
      <w:pPr>
        <w:pStyle w:val="TextBody"/>
        <w:bidi w:val="0"/>
        <w:spacing w:lineRule="auto" w:line="266" w:before="118" w:after="0"/>
        <w:ind w:left="3687" w:right="854" w:hanging="0"/>
        <w:jc w:val="left"/>
        <w:rPr>
          <w:rFonts w:ascii="Arial" w:hAnsi="Arial"/>
          <w:sz w:val="20"/>
        </w:rPr>
      </w:pPr>
      <w:r>
        <w:rPr>
          <w:rFonts w:ascii="Arial" w:hAnsi="Arial"/>
          <w:sz w:val="21"/>
        </w:rPr>
        <w:t>(d)The</w:t>
      </w:r>
      <w:r>
        <w:rPr>
          <w:rFonts w:ascii="Arial" w:hAnsi="Arial"/>
          <w:sz w:val="20"/>
        </w:rPr>
        <w:t> </w:t>
      </w:r>
      <w:r>
        <w:rPr>
          <w:rFonts w:ascii="Arial" w:hAnsi="Arial"/>
          <w:sz w:val="21"/>
        </w:rPr>
        <w:t>Borrower</w:t>
      </w:r>
      <w:r>
        <w:rPr>
          <w:rFonts w:ascii="Arial" w:hAnsi="Arial"/>
          <w:sz w:val="20"/>
        </w:rPr>
        <w:t> </w:t>
      </w:r>
      <w:r>
        <w:rPr>
          <w:rFonts w:ascii="Arial" w:hAnsi="Arial"/>
          <w:sz w:val="21"/>
        </w:rPr>
        <w:t>indemnifies</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from</w:t>
      </w:r>
      <w:r>
        <w:rPr>
          <w:rFonts w:ascii="Arial" w:hAnsi="Arial"/>
          <w:sz w:val="20"/>
        </w:rPr>
        <w:t> </w:t>
      </w:r>
      <w:r>
        <w:rPr>
          <w:rFonts w:ascii="Arial" w:hAnsi="Arial"/>
          <w:sz w:val="21"/>
        </w:rPr>
        <w:t>and</w:t>
      </w:r>
      <w:r>
        <w:rPr>
          <w:rFonts w:ascii="Arial" w:hAnsi="Arial"/>
          <w:sz w:val="20"/>
        </w:rPr>
        <w:t> </w:t>
      </w:r>
      <w:r>
        <w:rPr>
          <w:rFonts w:ascii="Arial" w:hAnsi="Arial"/>
          <w:sz w:val="21"/>
        </w:rPr>
        <w:t>against</w:t>
      </w:r>
      <w:r>
        <w:rPr>
          <w:rFonts w:ascii="Arial" w:hAnsi="Arial"/>
          <w:sz w:val="20"/>
        </w:rPr>
        <w:t> </w:t>
      </w:r>
      <w:r>
        <w:rPr>
          <w:rFonts w:ascii="Arial" w:hAnsi="Arial"/>
          <w:sz w:val="21"/>
        </w:rPr>
        <w:t>all:</w:t>
      </w:r>
      <w:r>
        <w:rPr>
          <w:rFonts w:ascii="Arial" w:hAnsi="Arial"/>
          <w:sz w:val="20"/>
        </w:rPr>
        <w:t xml:space="preserve"> </w:t>
      </w:r>
    </w:p>
    <w:p>
      <w:pPr>
        <w:pStyle w:val="TextBody"/>
        <w:bidi w:val="0"/>
        <w:spacing w:before="147" w:after="0"/>
        <w:ind w:left="4275" w:right="700" w:hanging="0"/>
        <w:jc w:val="left"/>
        <w:rPr>
          <w:rFonts w:ascii="Arial" w:hAnsi="Arial"/>
          <w:sz w:val="20"/>
        </w:rPr>
      </w:pPr>
      <w:r>
        <w:rPr>
          <w:rFonts w:ascii="Arial" w:hAnsi="Arial"/>
          <w:sz w:val="21"/>
        </w:rPr>
        <w:t>(i)Environmental</w:t>
      </w:r>
      <w:r>
        <w:rPr>
          <w:rFonts w:ascii="Arial" w:hAnsi="Arial"/>
          <w:sz w:val="20"/>
        </w:rPr>
        <w:t> </w:t>
      </w:r>
      <w:r>
        <w:rPr>
          <w:rFonts w:ascii="Arial" w:hAnsi="Arial"/>
          <w:sz w:val="21"/>
        </w:rPr>
        <w:t>Liability;</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147" w:after="0"/>
        <w:ind w:left="4275" w:right="1527" w:hanging="0"/>
        <w:jc w:val="left"/>
        <w:rPr>
          <w:rFonts w:ascii="Arial" w:hAnsi="Arial"/>
          <w:sz w:val="20"/>
        </w:rPr>
      </w:pPr>
      <w:r>
        <w:rPr>
          <w:rFonts w:ascii="Arial" w:hAnsi="Arial"/>
          <w:sz w:val="21"/>
        </w:rPr>
        <w:t>(ii)damages,</w:t>
      </w:r>
      <w:r>
        <w:rPr>
          <w:rFonts w:ascii="Arial" w:hAnsi="Arial"/>
          <w:sz w:val="20"/>
        </w:rPr>
        <w:t> </w:t>
      </w:r>
      <w:r>
        <w:rPr>
          <w:rFonts w:ascii="Arial" w:hAnsi="Arial"/>
          <w:sz w:val="21"/>
        </w:rPr>
        <w:t>losses,</w:t>
      </w:r>
      <w:r>
        <w:rPr>
          <w:rFonts w:ascii="Arial" w:hAnsi="Arial"/>
          <w:sz w:val="20"/>
        </w:rPr>
        <w:t> </w:t>
      </w:r>
      <w:r>
        <w:rPr>
          <w:rFonts w:ascii="Arial" w:hAnsi="Arial"/>
          <w:sz w:val="21"/>
        </w:rPr>
        <w:t>outgoings,</w:t>
      </w:r>
      <w:r>
        <w:rPr>
          <w:rFonts w:ascii="Arial" w:hAnsi="Arial"/>
          <w:sz w:val="20"/>
        </w:rPr>
        <w:t> </w:t>
      </w:r>
      <w:r>
        <w:rPr>
          <w:rFonts w:ascii="Arial" w:hAnsi="Arial"/>
          <w:sz w:val="21"/>
        </w:rPr>
        <w:t>costs,</w:t>
      </w:r>
      <w:r>
        <w:rPr>
          <w:rFonts w:ascii="Arial" w:hAnsi="Arial"/>
          <w:sz w:val="20"/>
        </w:rPr>
        <w:t> </w:t>
      </w:r>
      <w:r>
        <w:rPr>
          <w:rFonts w:ascii="Arial" w:hAnsi="Arial"/>
          <w:sz w:val="21"/>
        </w:rPr>
        <w:t>charges</w:t>
      </w:r>
      <w:r>
        <w:rPr>
          <w:rFonts w:ascii="Arial" w:hAnsi="Arial"/>
          <w:sz w:val="20"/>
        </w:rPr>
        <w:t> </w:t>
      </w:r>
      <w:r>
        <w:rPr>
          <w:rFonts w:ascii="Arial" w:hAnsi="Arial"/>
          <w:sz w:val="21"/>
        </w:rPr>
        <w:t>or</w:t>
      </w:r>
      <w:r>
        <w:rPr>
          <w:rFonts w:ascii="Arial" w:hAnsi="Arial"/>
          <w:sz w:val="20"/>
        </w:rPr>
        <w:t> </w:t>
      </w:r>
      <w:r>
        <w:rPr>
          <w:rFonts w:ascii="Arial" w:hAnsi="Arial"/>
          <w:sz w:val="21"/>
        </w:rPr>
        <w:t>expenses</w:t>
      </w:r>
      <w:r>
        <w:rPr>
          <w:rFonts w:ascii="Arial" w:hAnsi="Arial"/>
          <w:sz w:val="20"/>
        </w:rPr>
        <w:t> </w:t>
      </w:r>
      <w:r>
        <w:rPr>
          <w:rFonts w:ascii="Arial" w:hAnsi="Arial"/>
          <w:sz w:val="21"/>
        </w:rPr>
        <w:t>suffered or</w:t>
      </w:r>
      <w:r>
        <w:rPr>
          <w:rFonts w:ascii="Arial" w:hAnsi="Arial"/>
          <w:sz w:val="20"/>
        </w:rPr>
        <w:t> </w:t>
      </w:r>
      <w:r>
        <w:rPr>
          <w:rFonts w:ascii="Arial" w:hAnsi="Arial"/>
          <w:sz w:val="21"/>
        </w:rPr>
        <w:t>incurred by the Bank</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any action,</w:t>
      </w:r>
      <w:r>
        <w:rPr>
          <w:rFonts w:ascii="Arial" w:hAnsi="Arial"/>
          <w:sz w:val="20"/>
        </w:rPr>
        <w:t> </w:t>
      </w:r>
      <w:r>
        <w:rPr>
          <w:rFonts w:ascii="Arial" w:hAnsi="Arial"/>
          <w:sz w:val="21"/>
        </w:rPr>
        <w:t>claim or</w:t>
      </w:r>
      <w:r>
        <w:rPr>
          <w:rFonts w:ascii="Arial" w:hAnsi="Arial"/>
          <w:sz w:val="20"/>
        </w:rPr>
        <w:t> </w:t>
      </w:r>
      <w:r>
        <w:rPr>
          <w:rFonts w:ascii="Arial" w:hAnsi="Arial"/>
          <w:sz w:val="21"/>
        </w:rPr>
        <w:t>demand made or brought in respect of or otherwise arising from or in connection with any breach of any Environmental Law in relation to the Land.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(e)The</w:t>
      </w:r>
      <w:r>
        <w:rPr>
          <w:rFonts w:ascii="Arial" w:hAnsi="Arial"/>
          <w:sz w:val="20"/>
        </w:rPr>
        <w:t> </w:t>
      </w:r>
      <w:r>
        <w:rPr>
          <w:rFonts w:ascii="Arial" w:hAnsi="Arial"/>
          <w:sz w:val="21"/>
        </w:rPr>
        <w:t>Borrower</w:t>
      </w:r>
      <w:r>
        <w:rPr>
          <w:rFonts w:ascii="Arial" w:hAnsi="Arial"/>
          <w:sz w:val="20"/>
        </w:rPr>
        <w:t> </w:t>
      </w:r>
      <w:r>
        <w:rPr>
          <w:rFonts w:ascii="Arial" w:hAnsi="Arial"/>
          <w:sz w:val="21"/>
        </w:rPr>
        <w:t>must</w:t>
      </w:r>
      <w:r>
        <w:rPr>
          <w:rFonts w:ascii="Arial" w:hAnsi="Arial"/>
          <w:sz w:val="20"/>
        </w:rPr>
        <w:t> </w:t>
      </w:r>
      <w:r>
        <w:rPr>
          <w:rFonts w:ascii="Arial" w:hAnsi="Arial"/>
          <w:sz w:val="21"/>
        </w:rPr>
        <w:t>immediately</w:t>
      </w:r>
      <w:r>
        <w:rPr>
          <w:rFonts w:ascii="Arial" w:hAnsi="Arial"/>
          <w:sz w:val="20"/>
        </w:rPr>
        <w:t> </w:t>
      </w:r>
      <w:r>
        <w:rPr>
          <w:rFonts w:ascii="Arial" w:hAnsi="Arial"/>
          <w:sz w:val="21"/>
        </w:rPr>
        <w:t>notify</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xml:space="preserve"> </w:t>
      </w:r>
      <w:r>
        <w:rPr>
          <w:rFonts w:ascii="Arial" w:hAnsi="Arial"/>
          <w:sz w:val="21"/>
        </w:rPr>
        <w:t>of:</w:t>
      </w:r>
      <w:r>
        <w:rPr>
          <w:rFonts w:ascii="Arial" w:hAnsi="Arial"/>
          <w:sz w:val="20"/>
        </w:rPr>
        <w:t xml:space="preserve"> </w:t>
      </w:r>
    </w:p>
    <w:p>
      <w:pPr>
        <w:pStyle w:val="TextBody"/>
        <w:bidi w:val="0"/>
        <w:spacing w:lineRule="auto" w:line="266" w:before="147" w:after="0"/>
        <w:ind w:left="4275" w:right="1432" w:hanging="0"/>
        <w:jc w:val="left"/>
        <w:rPr>
          <w:rFonts w:ascii="Arial" w:hAnsi="Arial"/>
          <w:sz w:val="20"/>
        </w:rPr>
      </w:pPr>
      <w:r>
        <w:rPr>
          <w:rFonts w:ascii="Arial" w:hAnsi="Arial"/>
          <w:sz w:val="21"/>
        </w:rPr>
        <w:t>(i)the</w:t>
      </w:r>
      <w:r>
        <w:rPr>
          <w:rFonts w:ascii="Arial" w:hAnsi="Arial"/>
          <w:sz w:val="20"/>
        </w:rPr>
        <w:t> </w:t>
      </w:r>
      <w:r>
        <w:rPr>
          <w:rFonts w:ascii="Arial" w:hAnsi="Arial"/>
          <w:sz w:val="21"/>
        </w:rPr>
        <w:t>existence</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Contaminant</w:t>
      </w:r>
      <w:r>
        <w:rPr>
          <w:rFonts w:ascii="Arial" w:hAnsi="Arial"/>
          <w:sz w:val="20"/>
        </w:rPr>
        <w:t> </w:t>
      </w:r>
      <w:r>
        <w:rPr>
          <w:rFonts w:ascii="Arial" w:hAnsi="Arial"/>
          <w:sz w:val="21"/>
        </w:rPr>
        <w:t>on</w:t>
      </w:r>
      <w:r>
        <w:rPr>
          <w:rFonts w:ascii="Arial" w:hAnsi="Arial"/>
          <w:sz w:val="20"/>
        </w:rPr>
        <w:t> </w:t>
      </w:r>
      <w:r>
        <w:rPr>
          <w:rFonts w:ascii="Arial" w:hAnsi="Arial"/>
          <w:sz w:val="21"/>
        </w:rPr>
        <w:t>or</w:t>
      </w:r>
      <w:r>
        <w:rPr>
          <w:rFonts w:ascii="Arial" w:hAnsi="Arial"/>
          <w:sz w:val="20"/>
        </w:rPr>
        <w:t> </w:t>
      </w:r>
      <w:r>
        <w:rPr>
          <w:rFonts w:ascii="Arial" w:hAnsi="Arial"/>
          <w:sz w:val="21"/>
        </w:rPr>
        <w:t>adjacent</w:t>
      </w:r>
      <w:r>
        <w:rPr>
          <w:rFonts w:ascii="Arial" w:hAnsi="Arial"/>
          <w:sz w:val="20"/>
        </w:rPr>
        <w:t> </w:t>
      </w:r>
      <w:r>
        <w:rPr>
          <w:rFonts w:ascii="Arial" w:hAnsi="Arial"/>
          <w:sz w:val="21"/>
        </w:rPr>
        <w:t>to</w:t>
      </w:r>
      <w:r>
        <w:rPr>
          <w:rFonts w:ascii="Arial" w:hAnsi="Arial"/>
          <w:sz w:val="20"/>
        </w:rPr>
        <w:t> </w:t>
      </w:r>
      <w:r>
        <w:rPr>
          <w:rFonts w:ascii="Arial" w:hAnsi="Arial"/>
          <w:sz w:val="21"/>
        </w:rPr>
        <w:t>or</w:t>
      </w:r>
      <w:r>
        <w:rPr>
          <w:rFonts w:ascii="Arial" w:hAnsi="Arial"/>
          <w:sz w:val="20"/>
        </w:rPr>
        <w:t> </w:t>
      </w:r>
      <w:r>
        <w:rPr>
          <w:rFonts w:ascii="Arial" w:hAnsi="Arial"/>
          <w:sz w:val="21"/>
        </w:rPr>
        <w:t>affecting</w:t>
      </w:r>
      <w:r>
        <w:rPr>
          <w:rFonts w:ascii="Arial" w:hAnsi="Arial"/>
          <w:sz w:val="20"/>
        </w:rPr>
        <w:t> </w:t>
      </w:r>
      <w:r>
        <w:rPr>
          <w:rFonts w:ascii="Arial" w:hAnsi="Arial"/>
          <w:sz w:val="21"/>
        </w:rPr>
        <w:t>the Land; and</w:t>
      </w:r>
      <w:r>
        <w:rPr>
          <w:rFonts w:ascii="Arial" w:hAnsi="Arial"/>
          <w:sz w:val="20"/>
        </w:rPr>
        <w:t xml:space="preserve"> </w:t>
      </w:r>
    </w:p>
    <w:p>
      <w:pPr>
        <w:pStyle w:val="TextBody"/>
        <w:bidi w:val="0"/>
        <w:spacing w:lineRule="auto" w:line="266" w:before="0" w:after="0"/>
        <w:ind w:left="4275" w:right="2154" w:hanging="0"/>
        <w:jc w:val="left"/>
        <w:rPr>
          <w:rFonts w:ascii="Arial" w:hAnsi="Arial"/>
          <w:sz w:val="20"/>
        </w:rPr>
      </w:pPr>
      <w:r>
        <w:rPr>
          <w:rFonts w:ascii="Arial" w:hAnsi="Arial"/>
          <w:sz w:val="21"/>
        </w:rPr>
        <w:t>(ii)the</w:t>
      </w:r>
      <w:r>
        <w:rPr>
          <w:rFonts w:ascii="Arial" w:hAnsi="Arial"/>
          <w:sz w:val="20"/>
        </w:rPr>
        <w:t> </w:t>
      </w:r>
      <w:r>
        <w:rPr>
          <w:rFonts w:ascii="Arial" w:hAnsi="Arial"/>
          <w:sz w:val="21"/>
        </w:rPr>
        <w:t>receipt</w:t>
      </w:r>
      <w:r>
        <w:rPr>
          <w:rFonts w:ascii="Arial" w:hAnsi="Arial"/>
          <w:sz w:val="20"/>
        </w:rPr>
        <w:t> </w:t>
      </w:r>
      <w:r>
        <w:rPr>
          <w:rFonts w:ascii="Arial" w:hAnsi="Arial"/>
          <w:sz w:val="21"/>
        </w:rPr>
        <w:t>by</w:t>
      </w:r>
      <w:r>
        <w:rPr>
          <w:rFonts w:ascii="Arial" w:hAnsi="Arial"/>
          <w:sz w:val="20"/>
        </w:rPr>
        <w:t> </w:t>
      </w:r>
      <w:r>
        <w:rPr>
          <w:rFonts w:ascii="Arial" w:hAnsi="Arial"/>
          <w:sz w:val="21"/>
        </w:rPr>
        <w:t>any</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notice,</w:t>
      </w:r>
      <w:r>
        <w:rPr>
          <w:rFonts w:ascii="Arial" w:hAnsi="Arial"/>
          <w:sz w:val="20"/>
        </w:rPr>
        <w:t> </w:t>
      </w:r>
      <w:r>
        <w:rPr>
          <w:rFonts w:ascii="Arial" w:hAnsi="Arial"/>
          <w:sz w:val="21"/>
        </w:rPr>
        <w:t>order</w:t>
      </w:r>
      <w:r>
        <w:rPr>
          <w:rFonts w:ascii="Arial" w:hAnsi="Arial"/>
          <w:sz w:val="20"/>
        </w:rPr>
        <w:t> </w:t>
      </w:r>
      <w:r>
        <w:rPr>
          <w:rFonts w:ascii="Arial" w:hAnsi="Arial"/>
          <w:sz w:val="21"/>
        </w:rPr>
        <w:t>or direction:</w:t>
      </w:r>
      <w:r>
        <w:rPr>
          <w:rFonts w:ascii="Arial" w:hAnsi="Arial"/>
          <w:sz w:val="20"/>
        </w:rPr>
        <w:t xml:space="preserve"> </w:t>
      </w:r>
    </w:p>
    <w:p>
      <w:pPr>
        <w:pStyle w:val="TextBody"/>
        <w:bidi w:val="0"/>
        <w:spacing w:before="122" w:after="0"/>
        <w:ind w:left="4820" w:right="700" w:hanging="0"/>
        <w:jc w:val="left"/>
        <w:rPr>
          <w:rFonts w:ascii="Arial" w:hAnsi="Arial"/>
          <w:sz w:val="20"/>
        </w:rPr>
      </w:pPr>
      <w:r>
        <w:rPr>
          <w:rFonts w:ascii="Arial" w:hAnsi="Arial"/>
          <w:sz w:val="21"/>
        </w:rPr>
        <w:t>(A)to</w:t>
      </w:r>
      <w:r>
        <w:rPr>
          <w:rFonts w:ascii="Arial" w:hAnsi="Arial"/>
          <w:sz w:val="20"/>
        </w:rPr>
        <w:t> </w:t>
      </w:r>
      <w:r>
        <w:rPr>
          <w:rFonts w:ascii="Arial" w:hAnsi="Arial"/>
          <w:sz w:val="21"/>
        </w:rPr>
        <w:t>clean</w:t>
      </w:r>
      <w:r>
        <w:rPr>
          <w:rFonts w:ascii="Arial" w:hAnsi="Arial"/>
          <w:sz w:val="20"/>
        </w:rPr>
        <w:t> </w:t>
      </w:r>
      <w:r>
        <w:rPr>
          <w:rFonts w:ascii="Arial" w:hAnsi="Arial"/>
          <w:sz w:val="21"/>
        </w:rPr>
        <w:t>up</w:t>
      </w:r>
      <w:r>
        <w:rPr>
          <w:rFonts w:ascii="Arial" w:hAnsi="Arial"/>
          <w:sz w:val="20"/>
        </w:rPr>
        <w:t> </w:t>
      </w:r>
      <w:r>
        <w:rPr>
          <w:rFonts w:ascii="Arial" w:hAnsi="Arial"/>
          <w:sz w:val="21"/>
        </w:rPr>
        <w:t>any</w:t>
      </w:r>
      <w:r>
        <w:rPr>
          <w:rFonts w:ascii="Arial" w:hAnsi="Arial"/>
          <w:sz w:val="20"/>
        </w:rPr>
        <w:t> </w:t>
      </w:r>
      <w:r>
        <w:rPr>
          <w:rFonts w:ascii="Arial" w:hAnsi="Arial"/>
          <w:sz w:val="21"/>
        </w:rPr>
        <w:t>Contaminant</w:t>
      </w:r>
      <w:r>
        <w:rPr>
          <w:rFonts w:ascii="Arial" w:hAnsi="Arial"/>
          <w:sz w:val="20"/>
        </w:rPr>
        <w:t> </w:t>
      </w:r>
      <w:r>
        <w:rPr>
          <w:rFonts w:ascii="Arial" w:hAnsi="Arial"/>
          <w:sz w:val="21"/>
        </w:rPr>
        <w:t>on</w:t>
      </w:r>
      <w:r>
        <w:rPr>
          <w:rFonts w:ascii="Arial" w:hAnsi="Arial"/>
          <w:sz w:val="20"/>
        </w:rPr>
        <w:t> </w:t>
      </w:r>
      <w:r>
        <w:rPr>
          <w:rFonts w:ascii="Arial" w:hAnsi="Arial"/>
          <w:sz w:val="21"/>
        </w:rPr>
        <w:t>the</w:t>
      </w:r>
      <w:r>
        <w:rPr>
          <w:rFonts w:ascii="Arial" w:hAnsi="Arial"/>
          <w:sz w:val="20"/>
        </w:rPr>
        <w:t> </w:t>
      </w:r>
      <w:r>
        <w:rPr>
          <w:rFonts w:ascii="Arial" w:hAnsi="Arial"/>
          <w:sz w:val="21"/>
        </w:rPr>
        <w:t>Land;</w:t>
      </w:r>
      <w:r>
        <w:rPr>
          <w:rFonts w:ascii="Arial" w:hAnsi="Arial"/>
          <w:sz w:val="20"/>
        </w:rPr>
        <w:t xml:space="preserve"> </w:t>
      </w:r>
      <w:r>
        <w:rPr>
          <w:rFonts w:ascii="Arial" w:hAnsi="Arial"/>
          <w:sz w:val="21"/>
        </w:rPr>
        <w:t>or</w:t>
      </w:r>
      <w:r>
        <w:rPr>
          <w:rFonts w:ascii="Arial" w:hAnsi="Arial"/>
          <w:sz w:val="20"/>
        </w:rPr>
        <w:t xml:space="preserve"> </w:t>
      </w:r>
    </w:p>
    <w:p>
      <w:pPr>
        <w:pStyle w:val="TextBody"/>
        <w:bidi w:val="0"/>
        <w:spacing w:before="147" w:after="0"/>
        <w:ind w:left="4820" w:right="700" w:hanging="0"/>
        <w:jc w:val="left"/>
        <w:rPr>
          <w:rFonts w:ascii="Arial" w:hAnsi="Arial"/>
          <w:sz w:val="20"/>
        </w:rPr>
      </w:pPr>
      <w:r>
        <w:rPr>
          <w:rFonts w:ascii="Arial" w:hAnsi="Arial"/>
          <w:sz w:val="21"/>
        </w:rPr>
        <w:t>(B)alleging</w:t>
      </w:r>
      <w:r>
        <w:rPr>
          <w:rFonts w:ascii="Arial" w:hAnsi="Arial"/>
          <w:sz w:val="20"/>
        </w:rPr>
        <w:t> </w:t>
      </w:r>
      <w:r>
        <w:rPr>
          <w:rFonts w:ascii="Arial" w:hAnsi="Arial"/>
          <w:sz w:val="21"/>
        </w:rPr>
        <w:t>any</w:t>
      </w:r>
      <w:r>
        <w:rPr>
          <w:rFonts w:ascii="Arial" w:hAnsi="Arial"/>
          <w:sz w:val="20"/>
        </w:rPr>
        <w:t> </w:t>
      </w:r>
      <w:r>
        <w:rPr>
          <w:rFonts w:ascii="Arial" w:hAnsi="Arial"/>
          <w:sz w:val="21"/>
        </w:rPr>
        <w:t>breach</w:t>
      </w:r>
      <w:r>
        <w:rPr>
          <w:rFonts w:ascii="Arial" w:hAnsi="Arial"/>
          <w:sz w:val="20"/>
        </w:rPr>
        <w:t> </w:t>
      </w:r>
      <w:r>
        <w:rPr>
          <w:rFonts w:ascii="Arial" w:hAnsi="Arial"/>
          <w:sz w:val="21"/>
        </w:rPr>
        <w:t>of</w:t>
      </w:r>
      <w:r>
        <w:rPr>
          <w:rFonts w:ascii="Arial" w:hAnsi="Arial"/>
          <w:sz w:val="20"/>
        </w:rPr>
        <w:t> </w:t>
      </w:r>
      <w:r>
        <w:rPr>
          <w:rFonts w:ascii="Arial" w:hAnsi="Arial"/>
          <w:sz w:val="21"/>
        </w:rPr>
        <w:t>Environmental</w:t>
      </w:r>
      <w:r>
        <w:rPr>
          <w:rFonts w:ascii="Arial" w:hAnsi="Arial"/>
          <w:sz w:val="20"/>
        </w:rPr>
        <w:t> </w:t>
      </w:r>
      <w:r>
        <w:rPr>
          <w:rFonts w:ascii="Arial" w:hAnsi="Arial"/>
          <w:sz w:val="21"/>
        </w:rPr>
        <w:t>Law.</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(f)If</w:t>
      </w:r>
      <w:r>
        <w:rPr>
          <w:rFonts w:ascii="Arial" w:hAnsi="Arial"/>
          <w:sz w:val="20"/>
        </w:rPr>
        <w:t> </w:t>
      </w:r>
      <w:r>
        <w:rPr>
          <w:rFonts w:ascii="Arial" w:hAnsi="Arial"/>
          <w:sz w:val="21"/>
        </w:rPr>
        <w:t>requested</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must</w:t>
      </w:r>
      <w:r>
        <w:rPr>
          <w:rFonts w:ascii="Arial" w:hAnsi="Arial"/>
          <w:sz w:val="20"/>
        </w:rPr>
        <w:t> </w:t>
      </w:r>
      <w:r>
        <w:rPr>
          <w:rFonts w:ascii="Arial" w:hAnsi="Arial"/>
          <w:sz w:val="21"/>
        </w:rPr>
        <w:t>provide</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with</w:t>
      </w:r>
      <w:r>
        <w:rPr>
          <w:rFonts w:ascii="Arial" w:hAnsi="Arial"/>
          <w:sz w:val="20"/>
        </w:rPr>
        <w:t> </w:t>
      </w:r>
      <w:r>
        <w:rPr>
          <w:rFonts w:ascii="Arial" w:hAnsi="Arial"/>
          <w:sz w:val="21"/>
        </w:rPr>
        <w:t>a copy of each environmental consent, permit, approval, licence, authorisation, certification, order and direction relating to the Land together with confirmation that:</w:t>
      </w:r>
      <w:r>
        <w:rPr>
          <w:rFonts w:ascii="Arial" w:hAnsi="Arial"/>
          <w:sz w:val="20"/>
        </w:rPr>
        <w:t xml:space="preserve"> </w:t>
      </w:r>
    </w:p>
    <w:p>
      <w:pPr>
        <w:pStyle w:val="TextBody"/>
        <w:bidi w:val="0"/>
        <w:spacing w:lineRule="auto" w:line="266" w:before="118" w:after="0"/>
        <w:ind w:left="4275" w:right="1828" w:hanging="0"/>
        <w:jc w:val="left"/>
        <w:rPr>
          <w:rFonts w:ascii="Arial" w:hAnsi="Arial"/>
          <w:sz w:val="20"/>
        </w:rPr>
      </w:pPr>
      <w:r>
        <w:rPr>
          <w:rFonts w:ascii="Arial" w:hAnsi="Arial"/>
          <w:sz w:val="21"/>
        </w:rPr>
        <w:t>(i)it is complying with the terms and conditions of each consent, permit,</w:t>
      </w:r>
      <w:r>
        <w:rPr>
          <w:rFonts w:ascii="Arial" w:hAnsi="Arial"/>
          <w:sz w:val="20"/>
        </w:rPr>
        <w:t> </w:t>
      </w:r>
      <w:r>
        <w:rPr>
          <w:rFonts w:ascii="Arial" w:hAnsi="Arial"/>
          <w:sz w:val="21"/>
        </w:rPr>
        <w:t>approval,</w:t>
      </w:r>
      <w:r>
        <w:rPr>
          <w:rFonts w:ascii="Arial" w:hAnsi="Arial"/>
          <w:sz w:val="20"/>
        </w:rPr>
        <w:t> </w:t>
      </w:r>
      <w:r>
        <w:rPr>
          <w:rFonts w:ascii="Arial" w:hAnsi="Arial"/>
          <w:sz w:val="21"/>
        </w:rPr>
        <w:t>licence,</w:t>
      </w:r>
      <w:r>
        <w:rPr>
          <w:rFonts w:ascii="Arial" w:hAnsi="Arial"/>
          <w:sz w:val="20"/>
        </w:rPr>
        <w:t> </w:t>
      </w:r>
      <w:r>
        <w:rPr>
          <w:rFonts w:ascii="Arial" w:hAnsi="Arial"/>
          <w:sz w:val="21"/>
        </w:rPr>
        <w:t>authorisation,</w:t>
      </w:r>
      <w:r>
        <w:rPr>
          <w:rFonts w:ascii="Arial" w:hAnsi="Arial"/>
          <w:sz w:val="20"/>
        </w:rPr>
        <w:t> </w:t>
      </w:r>
      <w:r>
        <w:rPr>
          <w:rFonts w:ascii="Arial" w:hAnsi="Arial"/>
          <w:sz w:val="21"/>
        </w:rPr>
        <w:t>certification,</w:t>
      </w:r>
      <w:r>
        <w:rPr>
          <w:rFonts w:ascii="Arial" w:hAnsi="Arial"/>
          <w:sz w:val="20"/>
        </w:rPr>
        <w:t> </w:t>
      </w:r>
      <w:r>
        <w:rPr>
          <w:rFonts w:ascii="Arial" w:hAnsi="Arial"/>
          <w:sz w:val="21"/>
        </w:rPr>
        <w:t>order</w:t>
      </w:r>
      <w:r>
        <w:rPr>
          <w:rFonts w:ascii="Arial" w:hAnsi="Arial"/>
          <w:sz w:val="20"/>
        </w:rPr>
        <w:t> </w:t>
      </w:r>
      <w:r>
        <w:rPr>
          <w:rFonts w:ascii="Arial" w:hAnsi="Arial"/>
          <w:sz w:val="21"/>
        </w:rPr>
        <w:t>and direction; and</w:t>
      </w:r>
      <w:r>
        <w:rPr>
          <w:rFonts w:ascii="Arial" w:hAnsi="Arial"/>
          <w:sz w:val="20"/>
        </w:rPr>
        <w:t xml:space="preserve"> </w:t>
      </w:r>
    </w:p>
    <w:p>
      <w:pPr>
        <w:pStyle w:val="TextBody"/>
        <w:bidi w:val="0"/>
        <w:spacing w:lineRule="auto" w:line="266" w:before="120" w:after="0"/>
        <w:ind w:left="4275" w:right="1909" w:hanging="0"/>
        <w:jc w:val="left"/>
        <w:rPr>
          <w:rFonts w:ascii="Arial" w:hAnsi="Arial"/>
          <w:sz w:val="20"/>
        </w:rPr>
      </w:pPr>
      <w:r>
        <w:rPr>
          <w:rFonts w:ascii="Arial" w:hAnsi="Arial"/>
          <w:sz w:val="21"/>
        </w:rPr>
        <w:t>(ii)it has renewed each consent, permit, approval, licence, authorisation,</w:t>
      </w:r>
      <w:r>
        <w:rPr>
          <w:rFonts w:ascii="Arial" w:hAnsi="Arial"/>
          <w:sz w:val="20"/>
        </w:rPr>
        <w:t> </w:t>
      </w:r>
      <w:r>
        <w:rPr>
          <w:rFonts w:ascii="Arial" w:hAnsi="Arial"/>
          <w:sz w:val="21"/>
        </w:rPr>
        <w:t>certification,</w:t>
      </w:r>
      <w:r>
        <w:rPr>
          <w:rFonts w:ascii="Arial" w:hAnsi="Arial"/>
          <w:sz w:val="20"/>
        </w:rPr>
        <w:t> </w:t>
      </w:r>
      <w:r>
        <w:rPr>
          <w:rFonts w:ascii="Arial" w:hAnsi="Arial"/>
          <w:sz w:val="21"/>
        </w:rPr>
        <w:t>order</w:t>
      </w:r>
      <w:r>
        <w:rPr>
          <w:rFonts w:ascii="Arial" w:hAnsi="Arial"/>
          <w:sz w:val="20"/>
        </w:rPr>
        <w:t> </w:t>
      </w:r>
      <w:r>
        <w:rPr>
          <w:rFonts w:ascii="Arial" w:hAnsi="Arial"/>
          <w:sz w:val="21"/>
        </w:rPr>
        <w:t>and</w:t>
      </w:r>
      <w:r>
        <w:rPr>
          <w:rFonts w:ascii="Arial" w:hAnsi="Arial"/>
          <w:sz w:val="20"/>
        </w:rPr>
        <w:t> </w:t>
      </w:r>
      <w:r>
        <w:rPr>
          <w:rFonts w:ascii="Arial" w:hAnsi="Arial"/>
          <w:sz w:val="21"/>
        </w:rPr>
        <w:t>direction</w:t>
      </w:r>
      <w:r>
        <w:rPr>
          <w:rFonts w:ascii="Arial" w:hAnsi="Arial"/>
          <w:sz w:val="20"/>
        </w:rPr>
        <w:t> </w:t>
      </w:r>
      <w:r>
        <w:rPr>
          <w:rFonts w:ascii="Arial" w:hAnsi="Arial"/>
          <w:sz w:val="21"/>
        </w:rPr>
        <w:t>as</w:t>
      </w:r>
      <w:r>
        <w:rPr>
          <w:rFonts w:ascii="Arial" w:hAnsi="Arial"/>
          <w:sz w:val="20"/>
        </w:rPr>
        <w:t> </w:t>
      </w:r>
      <w:r>
        <w:rPr>
          <w:rFonts w:ascii="Arial" w:hAnsi="Arial"/>
          <w:sz w:val="21"/>
        </w:rPr>
        <w:t>appropriate.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(g)The</w:t>
      </w:r>
      <w:r>
        <w:rPr>
          <w:rFonts w:ascii="Arial" w:hAnsi="Arial"/>
          <w:sz w:val="20"/>
        </w:rPr>
        <w:t> </w:t>
      </w:r>
      <w:r>
        <w:rPr>
          <w:rFonts w:ascii="Arial" w:hAnsi="Arial"/>
          <w:sz w:val="21"/>
        </w:rPr>
        <w:t>Borrower</w:t>
      </w:r>
      <w:r>
        <w:rPr>
          <w:rFonts w:ascii="Arial" w:hAnsi="Arial"/>
          <w:sz w:val="20"/>
        </w:rPr>
        <w:t> </w:t>
      </w:r>
      <w:r>
        <w:rPr>
          <w:rFonts w:ascii="Arial" w:hAnsi="Arial"/>
          <w:sz w:val="21"/>
        </w:rPr>
        <w:t>must:</w:t>
      </w:r>
      <w:r>
        <w:rPr>
          <w:rFonts w:ascii="Arial" w:hAnsi="Arial"/>
          <w:sz w:val="20"/>
        </w:rPr>
        <w:t xml:space="preserve"> </w:t>
      </w:r>
    </w:p>
    <w:p>
      <w:pPr>
        <w:pStyle w:val="TextBody"/>
        <w:bidi w:val="0"/>
        <w:spacing w:lineRule="auto" w:line="266" w:before="148" w:after="0"/>
        <w:ind w:left="4275" w:right="1572" w:hanging="0"/>
        <w:jc w:val="left"/>
        <w:rPr>
          <w:rFonts w:ascii="Arial" w:hAnsi="Arial"/>
          <w:sz w:val="20"/>
        </w:rPr>
      </w:pPr>
      <w:r>
        <w:rPr>
          <w:rFonts w:ascii="Arial" w:hAnsi="Arial"/>
          <w:sz w:val="21"/>
        </w:rPr>
        <w:t>(i)when</w:t>
      </w:r>
      <w:r>
        <w:rPr>
          <w:rFonts w:ascii="Arial" w:hAnsi="Arial"/>
          <w:sz w:val="20"/>
        </w:rPr>
        <w:t> </w:t>
      </w:r>
      <w:r>
        <w:rPr>
          <w:rFonts w:ascii="Arial" w:hAnsi="Arial"/>
          <w:sz w:val="21"/>
        </w:rPr>
        <w:t>reasonably</w:t>
      </w:r>
      <w:r>
        <w:rPr>
          <w:rFonts w:ascii="Arial" w:hAnsi="Arial"/>
          <w:sz w:val="20"/>
        </w:rPr>
        <w:t> </w:t>
      </w:r>
      <w:r>
        <w:rPr>
          <w:rFonts w:ascii="Arial" w:hAnsi="Arial"/>
          <w:sz w:val="21"/>
        </w:rPr>
        <w:t>required</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obtain</w:t>
      </w:r>
      <w:r>
        <w:rPr>
          <w:rFonts w:ascii="Arial" w:hAnsi="Arial"/>
          <w:sz w:val="20"/>
        </w:rPr>
        <w:t> </w:t>
      </w:r>
      <w:r>
        <w:rPr>
          <w:rFonts w:ascii="Arial" w:hAnsi="Arial"/>
          <w:sz w:val="21"/>
        </w:rPr>
        <w:t>or</w:t>
      </w:r>
      <w:r>
        <w:rPr>
          <w:rFonts w:ascii="Arial" w:hAnsi="Arial"/>
          <w:sz w:val="20"/>
        </w:rPr>
        <w:t> </w:t>
      </w:r>
      <w:r>
        <w:rPr>
          <w:rFonts w:ascii="Arial" w:hAnsi="Arial"/>
          <w:sz w:val="21"/>
        </w:rPr>
        <w:t>permit</w:t>
      </w:r>
      <w:r>
        <w:rPr>
          <w:rFonts w:ascii="Arial" w:hAnsi="Arial"/>
          <w:sz w:val="20"/>
        </w:rPr>
        <w:t> </w:t>
      </w:r>
      <w:r>
        <w:rPr>
          <w:rFonts w:ascii="Arial" w:hAnsi="Arial"/>
          <w:sz w:val="21"/>
        </w:rPr>
        <w:t>the</w:t>
      </w:r>
      <w:r>
        <w:rPr>
          <w:rFonts w:ascii="Arial" w:hAnsi="Arial"/>
          <w:sz w:val="20"/>
        </w:rPr>
        <w:t> </w:t>
      </w:r>
      <w:r>
        <w:rPr>
          <w:rFonts w:ascii="Arial" w:hAnsi="Arial"/>
          <w:sz w:val="21"/>
        </w:rPr>
        <w:t>Bank to obtain an Environmental Assessment Report from a person approved by the Bank in relation to the Land; and</w:t>
      </w:r>
      <w:r>
        <w:rPr>
          <w:rFonts w:ascii="Arial" w:hAnsi="Arial"/>
          <w:sz w:val="20"/>
        </w:rPr>
        <w:t xml:space="preserve"> </w:t>
      </w:r>
    </w:p>
    <w:p>
      <w:pPr>
        <w:pStyle w:val="TextBody"/>
        <w:bidi w:val="0"/>
        <w:spacing w:lineRule="auto" w:line="266" w:before="120" w:after="0"/>
        <w:ind w:left="4275" w:right="1572" w:hanging="0"/>
        <w:jc w:val="left"/>
        <w:rPr>
          <w:rFonts w:ascii="Arial" w:hAnsi="Arial"/>
          <w:sz w:val="20"/>
        </w:rPr>
      </w:pPr>
      <w:r>
        <w:rPr>
          <w:rFonts w:ascii="Arial" w:hAnsi="Arial"/>
          <w:sz w:val="21"/>
        </w:rPr>
        <w:t>(ii)promptly</w:t>
      </w:r>
      <w:r>
        <w:rPr>
          <w:rFonts w:ascii="Arial" w:hAnsi="Arial"/>
          <w:sz w:val="20"/>
        </w:rPr>
        <w:t> </w:t>
      </w:r>
      <w:r>
        <w:rPr>
          <w:rFonts w:ascii="Arial" w:hAnsi="Arial"/>
          <w:sz w:val="21"/>
        </w:rPr>
        <w:t>comply</w:t>
      </w:r>
      <w:r>
        <w:rPr>
          <w:rFonts w:ascii="Arial" w:hAnsi="Arial"/>
          <w:sz w:val="20"/>
        </w:rPr>
        <w:t> </w:t>
      </w:r>
      <w:r>
        <w:rPr>
          <w:rFonts w:ascii="Arial" w:hAnsi="Arial"/>
          <w:sz w:val="21"/>
        </w:rPr>
        <w:t>with</w:t>
      </w:r>
      <w:r>
        <w:rPr>
          <w:rFonts w:ascii="Arial" w:hAnsi="Arial"/>
          <w:sz w:val="20"/>
        </w:rPr>
        <w:t> </w:t>
      </w:r>
      <w:r>
        <w:rPr>
          <w:rFonts w:ascii="Arial" w:hAnsi="Arial"/>
          <w:sz w:val="21"/>
        </w:rPr>
        <w:t>any</w:t>
      </w:r>
      <w:r>
        <w:rPr>
          <w:rFonts w:ascii="Arial" w:hAnsi="Arial"/>
          <w:sz w:val="20"/>
        </w:rPr>
        <w:t> </w:t>
      </w:r>
      <w:r>
        <w:rPr>
          <w:rFonts w:ascii="Arial" w:hAnsi="Arial"/>
          <w:sz w:val="21"/>
        </w:rPr>
        <w:t>reasonable</w:t>
      </w:r>
      <w:r>
        <w:rPr>
          <w:rFonts w:ascii="Arial" w:hAnsi="Arial"/>
          <w:sz w:val="20"/>
        </w:rPr>
        <w:t> </w:t>
      </w:r>
      <w:r>
        <w:rPr>
          <w:rFonts w:ascii="Arial" w:hAnsi="Arial"/>
          <w:sz w:val="21"/>
        </w:rPr>
        <w:t>recommendation</w:t>
      </w:r>
      <w:r>
        <w:rPr>
          <w:rFonts w:ascii="Arial" w:hAnsi="Arial"/>
          <w:sz w:val="20"/>
        </w:rPr>
        <w:t> </w:t>
      </w:r>
      <w:r>
        <w:rPr>
          <w:rFonts w:ascii="Arial" w:hAnsi="Arial"/>
          <w:sz w:val="21"/>
        </w:rPr>
        <w:t>contained in any Environmental Assessment Report relating to compliance with Environmental Law in relation to the Land and obtain any consent, permit, approval, licence, authorisation, certification, order and direction required in order to comply with that recommendation.</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59" w:name="No_default9101"/>
      <w:bookmarkEnd w:id="459"/>
      <w:r>
        <w:rPr>
          <w:rFonts w:ascii="Arial" w:hAnsi="Arial"/>
          <w:b/>
          <w:color w:val="000000"/>
          <w:sz w:val="24"/>
        </w:rPr>
        <w:t>9.10No default</w:t>
      </w:r>
      <w:r>
        <w:rPr>
          <w:rFonts w:ascii="Arial" w:hAnsi="Arial"/>
          <w:b/>
          <w:sz w:val="24"/>
        </w:rPr>
        <w:t xml:space="preserve"> </w:t>
      </w:r>
    </w:p>
    <w:p>
      <w:pPr>
        <w:pStyle w:val="TextBody"/>
        <w:bidi w:val="0"/>
        <w:spacing w:before="96" w:after="0"/>
        <w:ind w:left="3120" w:right="700" w:hanging="0"/>
        <w:jc w:val="left"/>
        <w:rPr>
          <w:rFonts w:ascii="Arial" w:hAnsi="Arial"/>
          <w:sz w:val="22"/>
        </w:rPr>
      </w:pPr>
      <w:r>
        <w:rPr>
          <w:rFonts w:ascii="Arial" w:hAnsi="Arial"/>
          <w:color w:val="000000"/>
          <w:sz w:val="22"/>
        </w:rPr>
        <w:t>The Borrower must ensure that an Event of Default does not occur.</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60" w:name="Obligations_of_Trustees9111"/>
      <w:bookmarkEnd w:id="460"/>
      <w:r>
        <w:rPr>
          <w:rFonts w:ascii="Arial" w:hAnsi="Arial"/>
          <w:b/>
          <w:color w:val="000000"/>
          <w:sz w:val="24"/>
        </w:rPr>
        <w:t>9.11Obligations of Trustees</w:t>
      </w:r>
      <w:r>
        <w:rPr>
          <w:rFonts w:ascii="Arial" w:hAnsi="Arial"/>
          <w:b/>
          <w:sz w:val="24"/>
        </w:rPr>
        <w:t xml:space="preserve"> </w:t>
      </w:r>
    </w:p>
    <w:p>
      <w:pPr>
        <w:pStyle w:val="TextBody"/>
        <w:pBdr/>
        <w:bidi w:val="0"/>
        <w:spacing w:before="95" w:after="0"/>
        <w:ind w:left="3120" w:right="700" w:hanging="0"/>
        <w:jc w:val="left"/>
        <w:rPr>
          <w:rFonts w:ascii="Arial" w:hAnsi="Arial"/>
          <w:sz w:val="22"/>
        </w:rPr>
      </w:pPr>
      <w:r>
        <w:rPr>
          <w:rFonts w:ascii="Arial" w:hAnsi="Arial"/>
          <w:color w:val="000000"/>
          <w:sz w:val="22"/>
        </w:rPr>
        <w:t>If a Transaction Party is a Trustee the Borrower must ensure that it:</w:t>
      </w:r>
      <w:r>
        <w:rPr>
          <w:rFonts w:ascii="Arial" w:hAnsi="Arial"/>
          <w:sz w:val="22"/>
        </w:rPr>
        <w:t xml:space="preserve"> </w:t>
      </w:r>
    </w:p>
    <w:p>
      <w:pPr>
        <w:pStyle w:val="TextBody"/>
        <w:pBdr/>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(a)ensures</w:t>
      </w:r>
      <w:r>
        <w:rPr>
          <w:rFonts w:ascii="Arial" w:hAnsi="Arial"/>
          <w:sz w:val="20"/>
        </w:rPr>
        <w:t> </w:t>
      </w:r>
      <w:r>
        <w:rPr>
          <w:rFonts w:ascii="Arial" w:hAnsi="Arial"/>
          <w:sz w:val="21"/>
        </w:rPr>
        <w:t>that</w:t>
      </w:r>
      <w:r>
        <w:rPr>
          <w:rFonts w:ascii="Arial" w:hAnsi="Arial"/>
          <w:sz w:val="20"/>
        </w:rPr>
        <w:t> </w:t>
      </w:r>
      <w:r>
        <w:rPr>
          <w:rFonts w:ascii="Arial" w:hAnsi="Arial"/>
          <w:sz w:val="21"/>
        </w:rPr>
        <w:t>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mixed</w:t>
      </w:r>
      <w:r>
        <w:rPr>
          <w:rFonts w:ascii="Arial" w:hAnsi="Arial"/>
          <w:sz w:val="20"/>
        </w:rPr>
        <w:t> </w:t>
      </w:r>
      <w:r>
        <w:rPr>
          <w:rFonts w:ascii="Arial" w:hAnsi="Arial"/>
          <w:sz w:val="21"/>
        </w:rPr>
        <w:t>with</w:t>
      </w:r>
      <w:r>
        <w:rPr>
          <w:rFonts w:ascii="Arial" w:hAnsi="Arial"/>
          <w:sz w:val="20"/>
        </w:rPr>
        <w:t> </w:t>
      </w:r>
      <w:r>
        <w:rPr>
          <w:rFonts w:ascii="Arial" w:hAnsi="Arial"/>
          <w:sz w:val="21"/>
        </w:rPr>
        <w:t>any</w:t>
      </w:r>
      <w:r>
        <w:rPr>
          <w:rFonts w:ascii="Arial" w:hAnsi="Arial"/>
          <w:sz w:val="20"/>
        </w:rPr>
        <w:t> </w:t>
      </w:r>
      <w:r>
        <w:rPr>
          <w:rFonts w:ascii="Arial" w:hAnsi="Arial"/>
          <w:sz w:val="21"/>
        </w:rPr>
        <w:t>other property;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(b)complies</w:t>
      </w:r>
      <w:r>
        <w:rPr>
          <w:rFonts w:ascii="Arial" w:hAnsi="Arial"/>
          <w:sz w:val="20"/>
        </w:rPr>
        <w:t> </w:t>
      </w:r>
      <w:r>
        <w:rPr>
          <w:rFonts w:ascii="Arial" w:hAnsi="Arial"/>
          <w:sz w:val="21"/>
        </w:rPr>
        <w:t>with</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as</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xml:space="preserve"> </w:t>
      </w:r>
      <w:r>
        <w:rPr>
          <w:rFonts w:ascii="Arial" w:hAnsi="Arial"/>
          <w:sz w:val="21"/>
        </w:rPr>
        <w:t>Trust;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(c)does</w:t>
      </w:r>
      <w:r>
        <w:rPr>
          <w:rFonts w:ascii="Arial" w:hAnsi="Arial"/>
          <w:sz w:val="20"/>
        </w:rPr>
        <w:t> </w:t>
      </w:r>
      <w:r>
        <w:rPr>
          <w:rFonts w:ascii="Arial" w:hAnsi="Arial"/>
          <w:sz w:val="21"/>
        </w:rPr>
        <w:t>not</w:t>
      </w:r>
      <w:r>
        <w:rPr>
          <w:rFonts w:ascii="Arial" w:hAnsi="Arial"/>
          <w:sz w:val="20"/>
        </w:rPr>
        <w:t> </w:t>
      </w:r>
      <w:r>
        <w:rPr>
          <w:rFonts w:ascii="Arial" w:hAnsi="Arial"/>
          <w:sz w:val="21"/>
        </w:rPr>
        <w:t>release,</w:t>
      </w:r>
      <w:r>
        <w:rPr>
          <w:rFonts w:ascii="Arial" w:hAnsi="Arial"/>
          <w:sz w:val="20"/>
        </w:rPr>
        <w:t> </w:t>
      </w:r>
      <w:r>
        <w:rPr>
          <w:rFonts w:ascii="Arial" w:hAnsi="Arial"/>
          <w:sz w:val="21"/>
        </w:rPr>
        <w:t>dispose</w:t>
      </w:r>
      <w:r>
        <w:rPr>
          <w:rFonts w:ascii="Arial" w:hAnsi="Arial"/>
          <w:sz w:val="20"/>
        </w:rPr>
        <w:t> </w:t>
      </w:r>
      <w:r>
        <w:rPr>
          <w:rFonts w:ascii="Arial" w:hAnsi="Arial"/>
          <w:sz w:val="21"/>
        </w:rPr>
        <w:t>of</w:t>
      </w:r>
      <w:r>
        <w:rPr>
          <w:rFonts w:ascii="Arial" w:hAnsi="Arial"/>
          <w:sz w:val="20"/>
        </w:rPr>
        <w:t> </w:t>
      </w:r>
      <w:r>
        <w:rPr>
          <w:rFonts w:ascii="Arial" w:hAnsi="Arial"/>
          <w:sz w:val="21"/>
        </w:rPr>
        <w:t>or</w:t>
      </w:r>
      <w:r>
        <w:rPr>
          <w:rFonts w:ascii="Arial" w:hAnsi="Arial"/>
          <w:sz w:val="20"/>
        </w:rPr>
        <w:t> </w:t>
      </w:r>
      <w:r>
        <w:rPr>
          <w:rFonts w:ascii="Arial" w:hAnsi="Arial"/>
          <w:sz w:val="21"/>
        </w:rPr>
        <w:t>otherwise</w:t>
      </w:r>
      <w:r>
        <w:rPr>
          <w:rFonts w:ascii="Arial" w:hAnsi="Arial"/>
          <w:sz w:val="20"/>
        </w:rPr>
        <w:t> </w:t>
      </w:r>
      <w:r>
        <w:rPr>
          <w:rFonts w:ascii="Arial" w:hAnsi="Arial"/>
          <w:sz w:val="21"/>
        </w:rPr>
        <w:t>prejudice</w:t>
      </w:r>
      <w:r>
        <w:rPr>
          <w:rFonts w:ascii="Arial" w:hAnsi="Arial"/>
          <w:sz w:val="20"/>
        </w:rPr>
        <w:t> </w:t>
      </w:r>
      <w:r>
        <w:rPr>
          <w:rFonts w:ascii="Arial" w:hAnsi="Arial"/>
          <w:sz w:val="21"/>
        </w:rPr>
        <w:t>its</w:t>
      </w:r>
      <w:r>
        <w:rPr>
          <w:rFonts w:ascii="Arial" w:hAnsi="Arial"/>
          <w:sz w:val="20"/>
        </w:rPr>
        <w:t> </w:t>
      </w:r>
      <w:r>
        <w:rPr>
          <w:rFonts w:ascii="Arial" w:hAnsi="Arial"/>
          <w:sz w:val="21"/>
        </w:rPr>
        <w:t>right</w:t>
      </w:r>
      <w:r>
        <w:rPr>
          <w:rFonts w:ascii="Arial" w:hAnsi="Arial"/>
          <w:sz w:val="20"/>
        </w:rPr>
        <w:t> </w:t>
      </w:r>
      <w:r>
        <w:rPr>
          <w:rFonts w:ascii="Arial" w:hAnsi="Arial"/>
          <w:sz w:val="21"/>
        </w:rPr>
        <w:t>of</w:t>
      </w:r>
      <w:r>
        <w:rPr>
          <w:rFonts w:ascii="Arial" w:hAnsi="Arial"/>
          <w:sz w:val="20"/>
        </w:rPr>
        <w:t> </w:t>
      </w:r>
      <w:r>
        <w:rPr>
          <w:rFonts w:ascii="Arial" w:hAnsi="Arial"/>
          <w:sz w:val="21"/>
        </w:rPr>
        <w:t>indemnity against,</w:t>
      </w:r>
      <w:r>
        <w:rPr>
          <w:rFonts w:ascii="Arial" w:hAnsi="Arial"/>
          <w:sz w:val="20"/>
        </w:rPr>
        <w:t> </w:t>
      </w:r>
      <w:r>
        <w:rPr>
          <w:rFonts w:ascii="Arial" w:hAnsi="Arial"/>
          <w:sz w:val="21"/>
        </w:rPr>
        <w:t>and equitable</w:t>
      </w:r>
      <w:r>
        <w:rPr>
          <w:rFonts w:ascii="Arial" w:hAnsi="Arial"/>
          <w:sz w:val="20"/>
        </w:rPr>
        <w:t> </w:t>
      </w:r>
      <w:r>
        <w:rPr>
          <w:rFonts w:ascii="Arial" w:hAnsi="Arial"/>
          <w:sz w:val="21"/>
        </w:rPr>
        <w:t>lien</w:t>
      </w:r>
      <w:r>
        <w:rPr>
          <w:rFonts w:ascii="Arial" w:hAnsi="Arial"/>
          <w:sz w:val="20"/>
        </w:rPr>
        <w:t> </w:t>
      </w:r>
      <w:r>
        <w:rPr>
          <w:rFonts w:ascii="Arial" w:hAnsi="Arial"/>
          <w:sz w:val="21"/>
        </w:rPr>
        <w:t>over,</w:t>
      </w:r>
      <w:r>
        <w:rPr>
          <w:rFonts w:ascii="Arial" w:hAnsi="Arial"/>
          <w:sz w:val="20"/>
        </w:rPr>
        <w:t> </w:t>
      </w:r>
      <w:r>
        <w:rPr>
          <w:rFonts w:ascii="Arial" w:hAnsi="Arial"/>
          <w:sz w:val="21"/>
        </w:rPr>
        <w:t>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and</w:t>
      </w:r>
      <w:r>
        <w:rPr>
          <w:rFonts w:ascii="Arial" w:hAnsi="Arial"/>
          <w:sz w:val="20"/>
        </w:rPr>
        <w:t> </w:t>
      </w:r>
      <w:r>
        <w:rPr>
          <w:rFonts w:ascii="Arial" w:hAnsi="Arial"/>
          <w:sz w:val="21"/>
        </w:rPr>
        <w:t>its</w:t>
      </w:r>
      <w:r>
        <w:rPr>
          <w:rFonts w:ascii="Arial" w:hAnsi="Arial"/>
          <w:sz w:val="20"/>
        </w:rPr>
        <w:t> </w:t>
      </w:r>
      <w:r>
        <w:rPr>
          <w:rFonts w:ascii="Arial" w:hAnsi="Arial"/>
          <w:sz w:val="21"/>
        </w:rPr>
        <w:t>right</w:t>
      </w:r>
      <w:r>
        <w:rPr>
          <w:rFonts w:ascii="Arial" w:hAnsi="Arial"/>
          <w:sz w:val="20"/>
        </w:rPr>
        <w:t> </w:t>
      </w:r>
      <w:r>
        <w:rPr>
          <w:rFonts w:ascii="Arial" w:hAnsi="Arial"/>
          <w:sz w:val="21"/>
        </w:rPr>
        <w:t>of indemnity</w:t>
      </w:r>
      <w:r>
        <w:rPr>
          <w:rFonts w:ascii="Arial" w:hAnsi="Arial"/>
          <w:sz w:val="20"/>
        </w:rPr>
        <w:t> </w:t>
      </w:r>
      <w:r>
        <w:rPr>
          <w:rFonts w:ascii="Arial" w:hAnsi="Arial"/>
          <w:sz w:val="21"/>
        </w:rPr>
        <w:t>(if</w:t>
      </w:r>
      <w:r>
        <w:rPr>
          <w:rFonts w:ascii="Arial" w:hAnsi="Arial"/>
          <w:sz w:val="20"/>
        </w:rPr>
        <w:t> </w:t>
      </w:r>
      <w:r>
        <w:rPr>
          <w:rFonts w:ascii="Arial" w:hAnsi="Arial"/>
          <w:sz w:val="21"/>
        </w:rPr>
        <w:t>any)</w:t>
      </w:r>
      <w:r>
        <w:rPr>
          <w:rFonts w:ascii="Arial" w:hAnsi="Arial"/>
          <w:sz w:val="20"/>
        </w:rPr>
        <w:t> </w:t>
      </w:r>
      <w:r>
        <w:rPr>
          <w:rFonts w:ascii="Arial" w:hAnsi="Arial"/>
          <w:sz w:val="21"/>
        </w:rPr>
        <w:t>against</w:t>
      </w:r>
      <w:r>
        <w:rPr>
          <w:rFonts w:ascii="Arial" w:hAnsi="Arial"/>
          <w:sz w:val="20"/>
        </w:rPr>
        <w:t> </w:t>
      </w:r>
      <w:r>
        <w:rPr>
          <w:rFonts w:ascii="Arial" w:hAnsi="Arial"/>
          <w:sz w:val="21"/>
        </w:rPr>
        <w:t>the</w:t>
      </w:r>
      <w:r>
        <w:rPr>
          <w:rFonts w:ascii="Arial" w:hAnsi="Arial"/>
          <w:sz w:val="20"/>
        </w:rPr>
        <w:t> </w:t>
      </w:r>
      <w:r>
        <w:rPr>
          <w:rFonts w:ascii="Arial" w:hAnsi="Arial"/>
          <w:sz w:val="21"/>
        </w:rPr>
        <w:t>beneficiaries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any money owing to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(d)at</w:t>
      </w:r>
      <w:r>
        <w:rPr>
          <w:rFonts w:ascii="Arial" w:hAnsi="Arial"/>
          <w:sz w:val="20"/>
        </w:rPr>
        <w:t> </w:t>
      </w:r>
      <w:r>
        <w:rPr>
          <w:rFonts w:ascii="Arial" w:hAnsi="Arial"/>
          <w:sz w:val="21"/>
        </w:rPr>
        <w:t>the</w:t>
      </w:r>
      <w:r>
        <w:rPr>
          <w:rFonts w:ascii="Arial" w:hAnsi="Arial"/>
          <w:sz w:val="20"/>
        </w:rPr>
        <w:t> </w:t>
      </w:r>
      <w:r>
        <w:rPr>
          <w:rFonts w:ascii="Arial" w:hAnsi="Arial"/>
          <w:sz w:val="21"/>
        </w:rPr>
        <w:t>Bank’s</w:t>
      </w:r>
      <w:r>
        <w:rPr>
          <w:rFonts w:ascii="Arial" w:hAnsi="Arial"/>
          <w:sz w:val="20"/>
        </w:rPr>
        <w:t xml:space="preserve"> </w:t>
      </w:r>
      <w:r>
        <w:rPr>
          <w:rFonts w:ascii="Arial" w:hAnsi="Arial"/>
          <w:sz w:val="21"/>
        </w:rPr>
        <w:t>request:</w:t>
      </w:r>
      <w:r>
        <w:rPr>
          <w:rFonts w:ascii="Arial" w:hAnsi="Arial"/>
          <w:sz w:val="20"/>
        </w:rPr>
        <w:t xml:space="preserve"> </w:t>
      </w:r>
    </w:p>
    <w:p>
      <w:pPr>
        <w:pStyle w:val="TextBody"/>
        <w:bidi w:val="0"/>
        <w:spacing w:lineRule="auto" w:line="266" w:before="147" w:after="0"/>
        <w:ind w:left="4275" w:right="1433" w:hanging="0"/>
        <w:jc w:val="left"/>
        <w:rPr>
          <w:rFonts w:ascii="Arial" w:hAnsi="Arial"/>
          <w:sz w:val="20"/>
        </w:rPr>
      </w:pPr>
      <w:r>
        <w:rPr>
          <w:rFonts w:ascii="Arial" w:hAnsi="Arial"/>
          <w:sz w:val="21"/>
        </w:rPr>
        <w:t>(i)exercises</w:t>
      </w:r>
      <w:r>
        <w:rPr>
          <w:rFonts w:ascii="Arial" w:hAnsi="Arial"/>
          <w:sz w:val="20"/>
        </w:rPr>
        <w:t> </w:t>
      </w:r>
      <w:r>
        <w:rPr>
          <w:rFonts w:ascii="Arial" w:hAnsi="Arial"/>
          <w:sz w:val="21"/>
        </w:rPr>
        <w:t>its</w:t>
      </w:r>
      <w:r>
        <w:rPr>
          <w:rFonts w:ascii="Arial" w:hAnsi="Arial"/>
          <w:sz w:val="20"/>
        </w:rPr>
        <w:t> </w:t>
      </w:r>
      <w:r>
        <w:rPr>
          <w:rFonts w:ascii="Arial" w:hAnsi="Arial"/>
          <w:sz w:val="21"/>
        </w:rPr>
        <w:t>right</w:t>
      </w:r>
      <w:r>
        <w:rPr>
          <w:rFonts w:ascii="Arial" w:hAnsi="Arial"/>
          <w:sz w:val="20"/>
        </w:rPr>
        <w:t> </w:t>
      </w:r>
      <w:r>
        <w:rPr>
          <w:rFonts w:ascii="Arial" w:hAnsi="Arial"/>
          <w:sz w:val="21"/>
        </w:rPr>
        <w:t>of</w:t>
      </w:r>
      <w:r>
        <w:rPr>
          <w:rFonts w:ascii="Arial" w:hAnsi="Arial"/>
          <w:sz w:val="20"/>
        </w:rPr>
        <w:t> </w:t>
      </w:r>
      <w:r>
        <w:rPr>
          <w:rFonts w:ascii="Arial" w:hAnsi="Arial"/>
          <w:sz w:val="21"/>
        </w:rPr>
        <w:t>indemnity</w:t>
      </w:r>
      <w:r>
        <w:rPr>
          <w:rFonts w:ascii="Arial" w:hAnsi="Arial"/>
          <w:sz w:val="20"/>
        </w:rPr>
        <w:t> </w:t>
      </w:r>
      <w:r>
        <w:rPr>
          <w:rFonts w:ascii="Arial" w:hAnsi="Arial"/>
          <w:sz w:val="21"/>
        </w:rPr>
        <w:t>against,</w:t>
      </w:r>
      <w:r>
        <w:rPr>
          <w:rFonts w:ascii="Arial" w:hAnsi="Arial"/>
          <w:sz w:val="20"/>
        </w:rPr>
        <w:t> </w:t>
      </w:r>
      <w:r>
        <w:rPr>
          <w:rFonts w:ascii="Arial" w:hAnsi="Arial"/>
          <w:sz w:val="21"/>
        </w:rPr>
        <w:t>and</w:t>
      </w:r>
      <w:r>
        <w:rPr>
          <w:rFonts w:ascii="Arial" w:hAnsi="Arial"/>
          <w:sz w:val="20"/>
        </w:rPr>
        <w:t> </w:t>
      </w:r>
      <w:r>
        <w:rPr>
          <w:rFonts w:ascii="Arial" w:hAnsi="Arial"/>
          <w:sz w:val="21"/>
        </w:rPr>
        <w:t>equitable</w:t>
      </w:r>
      <w:r>
        <w:rPr>
          <w:rFonts w:ascii="Arial" w:hAnsi="Arial"/>
          <w:sz w:val="20"/>
        </w:rPr>
        <w:t> </w:t>
      </w:r>
      <w:r>
        <w:rPr>
          <w:rFonts w:ascii="Arial" w:hAnsi="Arial"/>
          <w:sz w:val="21"/>
        </w:rPr>
        <w:t>lien</w:t>
      </w:r>
      <w:r>
        <w:rPr>
          <w:rFonts w:ascii="Arial" w:hAnsi="Arial"/>
          <w:sz w:val="20"/>
        </w:rPr>
        <w:t> </w:t>
      </w:r>
      <w:r>
        <w:rPr>
          <w:rFonts w:ascii="Arial" w:hAnsi="Arial"/>
          <w:sz w:val="21"/>
        </w:rPr>
        <w:t>over,</w:t>
      </w:r>
      <w:r>
        <w:rPr>
          <w:rFonts w:ascii="Arial" w:hAnsi="Arial"/>
          <w:sz w:val="20"/>
        </w:rPr>
        <w:t> </w:t>
      </w:r>
      <w:r>
        <w:rPr>
          <w:rFonts w:ascii="Arial" w:hAnsi="Arial"/>
          <w:sz w:val="21"/>
        </w:rPr>
        <w:t>the property of the Trust and its right of indemnity (if any) against the beneficiaries of the Trust in relation to any money owing to the Bank; and</w:t>
      </w:r>
      <w:r>
        <w:rPr>
          <w:rFonts w:ascii="Arial" w:hAnsi="Arial"/>
          <w:sz w:val="20"/>
        </w:rPr>
        <w:t xml:space="preserve"> </w:t>
      </w:r>
    </w:p>
    <w:p>
      <w:pPr>
        <w:pStyle w:val="TextBody"/>
        <w:bidi w:val="0"/>
        <w:spacing w:lineRule="auto" w:line="266" w:before="118" w:after="0"/>
        <w:ind w:left="4275" w:right="1571" w:hanging="0"/>
        <w:jc w:val="left"/>
        <w:rPr>
          <w:rFonts w:ascii="Arial" w:hAnsi="Arial"/>
          <w:sz w:val="20"/>
        </w:rPr>
      </w:pPr>
      <w:r>
        <w:rPr>
          <w:rFonts w:ascii="Arial" w:hAnsi="Arial"/>
          <w:sz w:val="21"/>
        </w:rPr>
        <w:t>(ii)assigns</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those</w:t>
      </w:r>
      <w:r>
        <w:rPr>
          <w:rFonts w:ascii="Arial" w:hAnsi="Arial"/>
          <w:sz w:val="20"/>
        </w:rPr>
        <w:t> </w:t>
      </w:r>
      <w:r>
        <w:rPr>
          <w:rFonts w:ascii="Arial" w:hAnsi="Arial"/>
          <w:sz w:val="21"/>
        </w:rPr>
        <w:t>indemnities</w:t>
      </w:r>
      <w:r>
        <w:rPr>
          <w:rFonts w:ascii="Arial" w:hAnsi="Arial"/>
          <w:sz w:val="20"/>
        </w:rPr>
        <w:t> </w:t>
      </w:r>
      <w:r>
        <w:rPr>
          <w:rFonts w:ascii="Arial" w:hAnsi="Arial"/>
          <w:sz w:val="21"/>
        </w:rPr>
        <w:t>and</w:t>
      </w:r>
      <w:r>
        <w:rPr>
          <w:rFonts w:ascii="Arial" w:hAnsi="Arial"/>
          <w:sz w:val="20"/>
        </w:rPr>
        <w:t> </w:t>
      </w:r>
      <w:r>
        <w:rPr>
          <w:rFonts w:ascii="Arial" w:hAnsi="Arial"/>
          <w:sz w:val="21"/>
        </w:rPr>
        <w:t>that</w:t>
      </w:r>
      <w:r>
        <w:rPr>
          <w:rFonts w:ascii="Arial" w:hAnsi="Arial"/>
          <w:sz w:val="20"/>
        </w:rPr>
        <w:t> </w:t>
      </w:r>
      <w:r>
        <w:rPr>
          <w:rFonts w:ascii="Arial" w:hAnsi="Arial"/>
          <w:sz w:val="21"/>
        </w:rPr>
        <w:t>equitable</w:t>
      </w:r>
      <w:r>
        <w:rPr>
          <w:rFonts w:ascii="Arial" w:hAnsi="Arial"/>
          <w:sz w:val="20"/>
        </w:rPr>
        <w:t> </w:t>
      </w:r>
      <w:r>
        <w:rPr>
          <w:rFonts w:ascii="Arial" w:hAnsi="Arial"/>
          <w:sz w:val="21"/>
        </w:rPr>
        <w:t>lien</w:t>
      </w:r>
      <w:r>
        <w:rPr>
          <w:rFonts w:ascii="Arial" w:hAnsi="Arial"/>
          <w:sz w:val="20"/>
        </w:rPr>
        <w:t> </w:t>
      </w:r>
      <w:r>
        <w:rPr>
          <w:rFonts w:ascii="Arial" w:hAnsi="Arial"/>
          <w:sz w:val="21"/>
        </w:rPr>
        <w:t>and otherwise facilitates the subrogation of the Bank to those indemnities and that equitable lien;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(e)does not, if the Trust is a unit trust, consent to or register the transfer of units</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or</w:t>
      </w:r>
      <w:r>
        <w:rPr>
          <w:rFonts w:ascii="Arial" w:hAnsi="Arial"/>
          <w:sz w:val="20"/>
        </w:rPr>
        <w:t> </w:t>
      </w:r>
      <w:r>
        <w:rPr>
          <w:rFonts w:ascii="Arial" w:hAnsi="Arial"/>
          <w:sz w:val="21"/>
        </w:rPr>
        <w:t>cancel,</w:t>
      </w:r>
      <w:r>
        <w:rPr>
          <w:rFonts w:ascii="Arial" w:hAnsi="Arial"/>
          <w:sz w:val="20"/>
        </w:rPr>
        <w:t> </w:t>
      </w:r>
      <w:r>
        <w:rPr>
          <w:rFonts w:ascii="Arial" w:hAnsi="Arial"/>
          <w:sz w:val="21"/>
        </w:rPr>
        <w:t>repurchase,</w:t>
      </w:r>
      <w:r>
        <w:rPr>
          <w:rFonts w:ascii="Arial" w:hAnsi="Arial"/>
          <w:sz w:val="20"/>
        </w:rPr>
        <w:t> </w:t>
      </w:r>
      <w:r>
        <w:rPr>
          <w:rFonts w:ascii="Arial" w:hAnsi="Arial"/>
          <w:sz w:val="21"/>
        </w:rPr>
        <w:t>redeem</w:t>
      </w:r>
      <w:r>
        <w:rPr>
          <w:rFonts w:ascii="Arial" w:hAnsi="Arial"/>
          <w:sz w:val="20"/>
        </w:rPr>
        <w:t> </w:t>
      </w:r>
      <w:r>
        <w:rPr>
          <w:rFonts w:ascii="Arial" w:hAnsi="Arial"/>
          <w:sz w:val="21"/>
        </w:rPr>
        <w:t>or</w:t>
      </w:r>
      <w:r>
        <w:rPr>
          <w:rFonts w:ascii="Arial" w:hAnsi="Arial"/>
          <w:sz w:val="20"/>
        </w:rPr>
        <w:t> </w:t>
      </w:r>
      <w:r>
        <w:rPr>
          <w:rFonts w:ascii="Arial" w:hAnsi="Arial"/>
          <w:sz w:val="21"/>
        </w:rPr>
        <w:t>issue</w:t>
      </w:r>
      <w:r>
        <w:rPr>
          <w:rFonts w:ascii="Arial" w:hAnsi="Arial"/>
          <w:sz w:val="20"/>
        </w:rPr>
        <w:t> </w:t>
      </w:r>
      <w:r>
        <w:rPr>
          <w:rFonts w:ascii="Arial" w:hAnsi="Arial"/>
          <w:sz w:val="21"/>
        </w:rPr>
        <w:t>any</w:t>
      </w:r>
      <w:r>
        <w:rPr>
          <w:rFonts w:ascii="Arial" w:hAnsi="Arial"/>
          <w:sz w:val="20"/>
        </w:rPr>
        <w:t> </w:t>
      </w:r>
      <w:r>
        <w:rPr>
          <w:rFonts w:ascii="Arial" w:hAnsi="Arial"/>
          <w:sz w:val="21"/>
        </w:rPr>
        <w:t>units</w:t>
      </w:r>
      <w:r>
        <w:rPr>
          <w:rFonts w:ascii="Arial" w:hAnsi="Arial"/>
          <w:sz w:val="20"/>
        </w:rPr>
        <w:t> </w:t>
      </w:r>
      <w:r>
        <w:rPr>
          <w:rFonts w:ascii="Arial" w:hAnsi="Arial"/>
          <w:sz w:val="21"/>
        </w:rPr>
        <w:t>in</w:t>
      </w:r>
      <w:r>
        <w:rPr>
          <w:rFonts w:ascii="Arial" w:hAnsi="Arial"/>
          <w:sz w:val="20"/>
        </w:rPr>
        <w:t> </w:t>
      </w:r>
      <w:r>
        <w:rPr>
          <w:rFonts w:ascii="Arial" w:hAnsi="Arial"/>
          <w:sz w:val="21"/>
        </w:rPr>
        <w:t>the Trust;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(f)ensures</w:t>
      </w:r>
      <w:r>
        <w:rPr>
          <w:rFonts w:ascii="Arial" w:hAnsi="Arial"/>
          <w:sz w:val="20"/>
        </w:rPr>
        <w:t xml:space="preserve"> </w:t>
      </w:r>
      <w:r>
        <w:rPr>
          <w:rFonts w:ascii="Arial" w:hAnsi="Arial"/>
          <w:sz w:val="21"/>
        </w:rPr>
        <w:t>that:</w:t>
      </w:r>
      <w:r>
        <w:rPr>
          <w:rFonts w:ascii="Arial" w:hAnsi="Arial"/>
          <w:sz w:val="20"/>
        </w:rPr>
        <w:t xml:space="preserve"> </w:t>
      </w:r>
    </w:p>
    <w:p>
      <w:pPr>
        <w:pStyle w:val="TextBody"/>
        <w:bidi w:val="0"/>
        <w:spacing w:before="148" w:after="0"/>
        <w:ind w:left="4275" w:right="700" w:hanging="0"/>
        <w:jc w:val="left"/>
        <w:rPr>
          <w:rFonts w:ascii="Arial" w:hAnsi="Arial"/>
          <w:sz w:val="20"/>
        </w:rPr>
      </w:pPr>
      <w:r>
        <w:rPr>
          <w:rFonts w:ascii="Arial" w:hAnsi="Arial"/>
          <w:sz w:val="21"/>
        </w:rPr>
        <w:t>(i)another</w:t>
      </w:r>
      <w:r>
        <w:rPr>
          <w:rFonts w:ascii="Arial" w:hAnsi="Arial"/>
          <w:sz w:val="20"/>
        </w:rPr>
        <w:t> </w:t>
      </w:r>
      <w:r>
        <w:rPr>
          <w:rFonts w:ascii="Arial" w:hAnsi="Arial"/>
          <w:sz w:val="21"/>
        </w:rPr>
        <w:t>person</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appointed</w:t>
      </w:r>
      <w:r>
        <w:rPr>
          <w:rFonts w:ascii="Arial" w:hAnsi="Arial"/>
          <w:sz w:val="20"/>
        </w:rPr>
        <w:t> </w:t>
      </w:r>
      <w:r>
        <w:rPr>
          <w:rFonts w:ascii="Arial" w:hAnsi="Arial"/>
          <w:sz w:val="21"/>
        </w:rPr>
        <w:t>as</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xml:space="preserve"> </w:t>
      </w:r>
    </w:p>
    <w:p>
      <w:pPr>
        <w:pStyle w:val="TextBody"/>
        <w:bidi w:val="0"/>
        <w:spacing w:before="149" w:after="0"/>
        <w:ind w:left="4275" w:right="700" w:hanging="0"/>
        <w:jc w:val="left"/>
        <w:rPr>
          <w:rFonts w:ascii="Arial" w:hAnsi="Arial"/>
          <w:sz w:val="20"/>
        </w:rPr>
      </w:pPr>
      <w:r>
        <w:rPr>
          <w:rFonts w:ascii="Arial" w:hAnsi="Arial"/>
          <w:sz w:val="21"/>
        </w:rPr>
        <w:t>(ii)the</w:t>
      </w:r>
      <w:r>
        <w:rPr>
          <w:rFonts w:ascii="Arial" w:hAnsi="Arial"/>
          <w:sz w:val="20"/>
        </w:rPr>
        <w:t> </w:t>
      </w:r>
      <w:r>
        <w:rPr>
          <w:rFonts w:ascii="Arial" w:hAnsi="Arial"/>
          <w:sz w:val="21"/>
        </w:rPr>
        <w:t>Trust</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terminated</w:t>
      </w:r>
      <w:r>
        <w:rPr>
          <w:rFonts w:ascii="Arial" w:hAnsi="Arial"/>
          <w:sz w:val="20"/>
        </w:rPr>
        <w:t> </w:t>
      </w:r>
      <w:r>
        <w:rPr>
          <w:rFonts w:ascii="Arial" w:hAnsi="Arial"/>
          <w:sz w:val="21"/>
        </w:rPr>
        <w:t>or</w:t>
      </w:r>
      <w:r>
        <w:rPr>
          <w:rFonts w:ascii="Arial" w:hAnsi="Arial"/>
          <w:sz w:val="20"/>
        </w:rPr>
        <w:t> </w:t>
      </w:r>
      <w:r>
        <w:rPr>
          <w:rFonts w:ascii="Arial" w:hAnsi="Arial"/>
          <w:sz w:val="21"/>
        </w:rPr>
        <w:t>its</w:t>
      </w:r>
      <w:r>
        <w:rPr>
          <w:rFonts w:ascii="Arial" w:hAnsi="Arial"/>
          <w:sz w:val="20"/>
        </w:rPr>
        <w:t> </w:t>
      </w:r>
      <w:r>
        <w:rPr>
          <w:rFonts w:ascii="Arial" w:hAnsi="Arial"/>
          <w:sz w:val="21"/>
        </w:rPr>
        <w:t>terms</w:t>
      </w:r>
      <w:r>
        <w:rPr>
          <w:rFonts w:ascii="Arial" w:hAnsi="Arial"/>
          <w:sz w:val="20"/>
        </w:rPr>
        <w:t> </w:t>
      </w:r>
      <w:r>
        <w:rPr>
          <w:rFonts w:ascii="Arial" w:hAnsi="Arial"/>
          <w:sz w:val="21"/>
        </w:rPr>
        <w:t>varied;</w:t>
      </w:r>
      <w:r>
        <w:rPr>
          <w:rFonts w:ascii="Arial" w:hAnsi="Arial"/>
          <w:sz w:val="20"/>
        </w:rPr>
        <w:t xml:space="preserve"> </w:t>
      </w:r>
    </w:p>
    <w:p>
      <w:pPr>
        <w:pStyle w:val="TextBody"/>
        <w:bidi w:val="0"/>
        <w:spacing w:lineRule="auto" w:line="266" w:before="148" w:after="0"/>
        <w:ind w:left="4275" w:right="1827" w:hanging="0"/>
        <w:jc w:val="left"/>
        <w:rPr>
          <w:rFonts w:ascii="Arial" w:hAnsi="Arial"/>
          <w:sz w:val="20"/>
        </w:rPr>
      </w:pPr>
      <w:r>
        <w:rPr>
          <w:rFonts w:ascii="Arial" w:hAnsi="Arial"/>
          <w:sz w:val="21"/>
        </w:rPr>
        <w:t>(iii)the</w:t>
      </w:r>
      <w:r>
        <w:rPr>
          <w:rFonts w:ascii="Arial" w:hAnsi="Arial"/>
          <w:sz w:val="20"/>
        </w:rPr>
        <w:t> </w:t>
      </w:r>
      <w:r>
        <w:rPr>
          <w:rFonts w:ascii="Arial" w:hAnsi="Arial"/>
          <w:sz w:val="21"/>
        </w:rPr>
        <w:t>Trustee</w:t>
      </w:r>
      <w:r>
        <w:rPr>
          <w:rFonts w:ascii="Arial" w:hAnsi="Arial"/>
          <w:sz w:val="20"/>
        </w:rPr>
        <w:t> </w:t>
      </w:r>
      <w:r>
        <w:rPr>
          <w:rFonts w:ascii="Arial" w:hAnsi="Arial"/>
          <w:sz w:val="21"/>
        </w:rPr>
        <w:t>does</w:t>
      </w:r>
      <w:r>
        <w:rPr>
          <w:rFonts w:ascii="Arial" w:hAnsi="Arial"/>
          <w:sz w:val="20"/>
        </w:rPr>
        <w:t> </w:t>
      </w:r>
      <w:r>
        <w:rPr>
          <w:rFonts w:ascii="Arial" w:hAnsi="Arial"/>
          <w:sz w:val="21"/>
        </w:rPr>
        <w:t>not</w:t>
      </w:r>
      <w:r>
        <w:rPr>
          <w:rFonts w:ascii="Arial" w:hAnsi="Arial"/>
          <w:sz w:val="20"/>
        </w:rPr>
        <w:t> </w:t>
      </w:r>
      <w:r>
        <w:rPr>
          <w:rFonts w:ascii="Arial" w:hAnsi="Arial"/>
          <w:sz w:val="21"/>
        </w:rPr>
        <w:t>resign</w:t>
      </w:r>
      <w:r>
        <w:rPr>
          <w:rFonts w:ascii="Arial" w:hAnsi="Arial"/>
          <w:sz w:val="20"/>
        </w:rPr>
        <w:t> </w:t>
      </w:r>
      <w:r>
        <w:rPr>
          <w:rFonts w:ascii="Arial" w:hAnsi="Arial"/>
          <w:sz w:val="21"/>
        </w:rPr>
        <w:t>and</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removed</w:t>
      </w:r>
      <w:r>
        <w:rPr>
          <w:rFonts w:ascii="Arial" w:hAnsi="Arial"/>
          <w:sz w:val="20"/>
        </w:rPr>
        <w:t> </w:t>
      </w:r>
      <w:r>
        <w:rPr>
          <w:rFonts w:ascii="Arial" w:hAnsi="Arial"/>
          <w:sz w:val="21"/>
        </w:rPr>
        <w:t>or</w:t>
      </w:r>
      <w:r>
        <w:rPr>
          <w:rFonts w:ascii="Arial" w:hAnsi="Arial"/>
          <w:sz w:val="20"/>
        </w:rPr>
        <w:t> </w:t>
      </w:r>
      <w:r>
        <w:rPr>
          <w:rFonts w:ascii="Arial" w:hAnsi="Arial"/>
          <w:sz w:val="21"/>
        </w:rPr>
        <w:t>replaced</w:t>
      </w:r>
      <w:r>
        <w:rPr>
          <w:rFonts w:ascii="Arial" w:hAnsi="Arial"/>
          <w:sz w:val="20"/>
        </w:rPr>
        <w:t> </w:t>
      </w:r>
      <w:r>
        <w:rPr>
          <w:rFonts w:ascii="Arial" w:hAnsi="Arial"/>
          <w:sz w:val="21"/>
        </w:rPr>
        <w:t>as trustee of the Trust;</w:t>
      </w:r>
      <w:r>
        <w:rPr>
          <w:rFonts w:ascii="Arial" w:hAnsi="Arial"/>
          <w:sz w:val="20"/>
        </w:rPr>
        <w:t xml:space="preserve"> </w:t>
      </w:r>
    </w:p>
    <w:p>
      <w:pPr>
        <w:pStyle w:val="TextBody"/>
        <w:bidi w:val="0"/>
        <w:spacing w:before="0" w:after="0"/>
        <w:ind w:left="4275" w:right="700" w:hanging="0"/>
        <w:jc w:val="left"/>
        <w:rPr>
          <w:rFonts w:ascii="Arial" w:hAnsi="Arial"/>
          <w:sz w:val="20"/>
        </w:rPr>
      </w:pPr>
      <w:r>
        <w:rPr>
          <w:rFonts w:ascii="Arial" w:hAnsi="Arial"/>
          <w:sz w:val="21"/>
        </w:rPr>
        <w:t>(iv)the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resettled;</w:t>
      </w:r>
      <w:r>
        <w:rPr>
          <w:rFonts w:ascii="Arial" w:hAnsi="Arial"/>
          <w:sz w:val="20"/>
        </w:rPr>
        <w:t xml:space="preserve"> </w:t>
      </w:r>
    </w:p>
    <w:p>
      <w:pPr>
        <w:pStyle w:val="TextBody"/>
        <w:bidi w:val="0"/>
        <w:spacing w:lineRule="auto" w:line="268" w:before="147" w:after="0"/>
        <w:ind w:left="4275" w:right="1909" w:hanging="0"/>
        <w:jc w:val="left"/>
        <w:rPr>
          <w:rFonts w:ascii="Arial" w:hAnsi="Arial"/>
          <w:sz w:val="20"/>
        </w:rPr>
      </w:pPr>
      <w:r>
        <w:rPr>
          <w:rFonts w:ascii="Arial" w:hAnsi="Arial"/>
          <w:sz w:val="21"/>
        </w:rPr>
        <w:t>(v)the</w:t>
      </w:r>
      <w:r>
        <w:rPr>
          <w:rFonts w:ascii="Arial" w:hAnsi="Arial"/>
          <w:sz w:val="20"/>
        </w:rPr>
        <w:t> </w:t>
      </w:r>
      <w:r>
        <w:rPr>
          <w:rFonts w:ascii="Arial" w:hAnsi="Arial"/>
          <w:sz w:val="21"/>
        </w:rPr>
        <w:t>capital</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is</w:t>
      </w:r>
      <w:r>
        <w:rPr>
          <w:rFonts w:ascii="Arial" w:hAnsi="Arial"/>
          <w:sz w:val="20"/>
        </w:rPr>
        <w:t> </w:t>
      </w:r>
      <w:r>
        <w:rPr>
          <w:rFonts w:ascii="Arial" w:hAnsi="Arial"/>
          <w:sz w:val="21"/>
        </w:rPr>
        <w:t>not</w:t>
      </w:r>
      <w:r>
        <w:rPr>
          <w:rFonts w:ascii="Arial" w:hAnsi="Arial"/>
          <w:sz w:val="20"/>
        </w:rPr>
        <w:t> </w:t>
      </w:r>
      <w:r>
        <w:rPr>
          <w:rFonts w:ascii="Arial" w:hAnsi="Arial"/>
          <w:sz w:val="21"/>
        </w:rPr>
        <w:t>distributed</w:t>
      </w:r>
      <w:r>
        <w:rPr>
          <w:rFonts w:ascii="Arial" w:hAnsi="Arial"/>
          <w:sz w:val="20"/>
        </w:rPr>
        <w:t> </w:t>
      </w:r>
      <w:r>
        <w:rPr>
          <w:rFonts w:ascii="Arial" w:hAnsi="Arial"/>
          <w:sz w:val="21"/>
        </w:rPr>
        <w:t>at</w:t>
      </w:r>
      <w:r>
        <w:rPr>
          <w:rFonts w:ascii="Arial" w:hAnsi="Arial"/>
          <w:sz w:val="20"/>
        </w:rPr>
        <w:t> </w:t>
      </w:r>
      <w:r>
        <w:rPr>
          <w:rFonts w:ascii="Arial" w:hAnsi="Arial"/>
          <w:sz w:val="21"/>
        </w:rPr>
        <w:t>any time; and</w:t>
      </w:r>
      <w:r>
        <w:rPr>
          <w:rFonts w:ascii="Arial" w:hAnsi="Arial"/>
          <w:sz w:val="20"/>
        </w:rPr>
        <w:t xml:space="preserve"> </w:t>
      </w:r>
    </w:p>
    <w:p>
      <w:pPr>
        <w:pStyle w:val="TextBody"/>
        <w:bidi w:val="0"/>
        <w:spacing w:lineRule="auto" w:line="266" w:before="115" w:after="0"/>
        <w:ind w:left="4275" w:right="1645" w:hanging="0"/>
        <w:jc w:val="left"/>
        <w:rPr>
          <w:rFonts w:ascii="Arial" w:hAnsi="Arial"/>
          <w:sz w:val="20"/>
        </w:rPr>
      </w:pPr>
      <w:r>
        <w:rPr>
          <w:rFonts w:ascii="Arial" w:hAnsi="Arial"/>
          <w:sz w:val="21"/>
        </w:rPr>
        <w:t>(vi)income of the Trust is not distributed to anyone other than a Transaction</w:t>
      </w:r>
      <w:r>
        <w:rPr>
          <w:rFonts w:ascii="Arial" w:hAnsi="Arial"/>
          <w:sz w:val="20"/>
        </w:rPr>
        <w:t> </w:t>
      </w:r>
      <w:r>
        <w:rPr>
          <w:rFonts w:ascii="Arial" w:hAnsi="Arial"/>
          <w:sz w:val="21"/>
        </w:rPr>
        <w:t>Party</w:t>
      </w:r>
      <w:r>
        <w:rPr>
          <w:rFonts w:ascii="Arial" w:hAnsi="Arial"/>
          <w:sz w:val="20"/>
        </w:rPr>
        <w:t> </w:t>
      </w:r>
      <w:r>
        <w:rPr>
          <w:rFonts w:ascii="Arial" w:hAnsi="Arial"/>
          <w:sz w:val="21"/>
        </w:rPr>
        <w:t>while</w:t>
      </w:r>
      <w:r>
        <w:rPr>
          <w:rFonts w:ascii="Arial" w:hAnsi="Arial"/>
          <w:sz w:val="20"/>
        </w:rPr>
        <w:t> </w:t>
      </w:r>
      <w:r>
        <w:rPr>
          <w:rFonts w:ascii="Arial" w:hAnsi="Arial"/>
          <w:sz w:val="21"/>
        </w:rPr>
        <w:t>an</w:t>
      </w:r>
      <w:r>
        <w:rPr>
          <w:rFonts w:ascii="Arial" w:hAnsi="Arial"/>
          <w:sz w:val="20"/>
        </w:rPr>
        <w:t> </w:t>
      </w:r>
      <w:r>
        <w:rPr>
          <w:rFonts w:ascii="Arial" w:hAnsi="Arial"/>
          <w:sz w:val="21"/>
        </w:rPr>
        <w:t>Event</w:t>
      </w:r>
      <w:r>
        <w:rPr>
          <w:rFonts w:ascii="Arial" w:hAnsi="Arial"/>
          <w:sz w:val="20"/>
        </w:rPr>
        <w:t> </w:t>
      </w:r>
      <w:r>
        <w:rPr>
          <w:rFonts w:ascii="Arial" w:hAnsi="Arial"/>
          <w:sz w:val="21"/>
        </w:rPr>
        <w:t>of</w:t>
      </w:r>
      <w:r>
        <w:rPr>
          <w:rFonts w:ascii="Arial" w:hAnsi="Arial"/>
          <w:sz w:val="20"/>
        </w:rPr>
        <w:t> </w:t>
      </w:r>
      <w:r>
        <w:rPr>
          <w:rFonts w:ascii="Arial" w:hAnsi="Arial"/>
          <w:sz w:val="21"/>
        </w:rPr>
        <w:t>Default</w:t>
      </w:r>
      <w:r>
        <w:rPr>
          <w:rFonts w:ascii="Arial" w:hAnsi="Arial"/>
          <w:sz w:val="20"/>
        </w:rPr>
        <w:t> </w:t>
      </w:r>
      <w:r>
        <w:rPr>
          <w:rFonts w:ascii="Arial" w:hAnsi="Arial"/>
          <w:sz w:val="21"/>
        </w:rPr>
        <w:t>or</w:t>
      </w:r>
      <w:r>
        <w:rPr>
          <w:rFonts w:ascii="Arial" w:hAnsi="Arial"/>
          <w:sz w:val="20"/>
        </w:rPr>
        <w:t> </w:t>
      </w:r>
      <w:r>
        <w:rPr>
          <w:rFonts w:ascii="Arial" w:hAnsi="Arial"/>
          <w:sz w:val="21"/>
        </w:rPr>
        <w:t>Potential</w:t>
      </w:r>
      <w:r>
        <w:rPr>
          <w:rFonts w:ascii="Arial" w:hAnsi="Arial"/>
          <w:sz w:val="20"/>
        </w:rPr>
        <w:t> </w:t>
      </w:r>
      <w:r>
        <w:rPr>
          <w:rFonts w:ascii="Arial" w:hAnsi="Arial"/>
          <w:sz w:val="21"/>
        </w:rPr>
        <w:t>Event</w:t>
      </w:r>
      <w:r>
        <w:rPr>
          <w:rFonts w:ascii="Arial" w:hAnsi="Arial"/>
          <w:sz w:val="20"/>
        </w:rPr>
        <w:t> </w:t>
      </w:r>
      <w:r>
        <w:rPr>
          <w:rFonts w:ascii="Arial" w:hAnsi="Arial"/>
          <w:sz w:val="21"/>
        </w:rPr>
        <w:t>of Default subsists;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(g)prepares and keeps full and true records and books of accounts of the Trust</w:t>
      </w:r>
      <w:r>
        <w:rPr>
          <w:rFonts w:ascii="Arial" w:hAnsi="Arial"/>
          <w:sz w:val="20"/>
        </w:rPr>
        <w:t> </w:t>
      </w:r>
      <w:r>
        <w:rPr>
          <w:rFonts w:ascii="Arial" w:hAnsi="Arial"/>
          <w:sz w:val="21"/>
        </w:rPr>
        <w:t>and</w:t>
      </w:r>
      <w:r>
        <w:rPr>
          <w:rFonts w:ascii="Arial" w:hAnsi="Arial"/>
          <w:sz w:val="20"/>
        </w:rPr>
        <w:t> </w:t>
      </w:r>
      <w:r>
        <w:rPr>
          <w:rFonts w:ascii="Arial" w:hAnsi="Arial"/>
          <w:sz w:val="21"/>
        </w:rPr>
        <w:t>makes</w:t>
      </w:r>
      <w:r>
        <w:rPr>
          <w:rFonts w:ascii="Arial" w:hAnsi="Arial"/>
          <w:sz w:val="20"/>
        </w:rPr>
        <w:t> </w:t>
      </w:r>
      <w:r>
        <w:rPr>
          <w:rFonts w:ascii="Arial" w:hAnsi="Arial"/>
          <w:sz w:val="21"/>
        </w:rPr>
        <w:t>them</w:t>
      </w:r>
      <w:r>
        <w:rPr>
          <w:rFonts w:ascii="Arial" w:hAnsi="Arial"/>
          <w:sz w:val="20"/>
        </w:rPr>
        <w:t> </w:t>
      </w:r>
      <w:r>
        <w:rPr>
          <w:rFonts w:ascii="Arial" w:hAnsi="Arial"/>
          <w:sz w:val="21"/>
        </w:rPr>
        <w:t>available</w:t>
      </w:r>
      <w:r>
        <w:rPr>
          <w:rFonts w:ascii="Arial" w:hAnsi="Arial"/>
          <w:sz w:val="20"/>
        </w:rPr>
        <w:t> </w:t>
      </w:r>
      <w:r>
        <w:rPr>
          <w:rFonts w:ascii="Arial" w:hAnsi="Arial"/>
          <w:sz w:val="21"/>
        </w:rPr>
        <w:t>for</w:t>
      </w:r>
      <w:r>
        <w:rPr>
          <w:rFonts w:ascii="Arial" w:hAnsi="Arial"/>
          <w:sz w:val="20"/>
        </w:rPr>
        <w:t> </w:t>
      </w:r>
      <w:r>
        <w:rPr>
          <w:rFonts w:ascii="Arial" w:hAnsi="Arial"/>
          <w:sz w:val="21"/>
        </w:rPr>
        <w:t>inspection</w:t>
      </w:r>
      <w:r>
        <w:rPr>
          <w:rFonts w:ascii="Arial" w:hAnsi="Arial"/>
          <w:sz w:val="20"/>
        </w:rPr>
        <w:t> </w:t>
      </w:r>
      <w:r>
        <w:rPr>
          <w:rFonts w:ascii="Arial" w:hAnsi="Arial"/>
          <w:sz w:val="21"/>
        </w:rPr>
        <w:t>and</w:t>
      </w:r>
      <w:r>
        <w:rPr>
          <w:rFonts w:ascii="Arial" w:hAnsi="Arial"/>
          <w:sz w:val="20"/>
        </w:rPr>
        <w:t> </w:t>
      </w:r>
      <w:r>
        <w:rPr>
          <w:rFonts w:ascii="Arial" w:hAnsi="Arial"/>
          <w:sz w:val="21"/>
        </w:rPr>
        <w:t>copying</w:t>
      </w:r>
      <w:r>
        <w:rPr>
          <w:rFonts w:ascii="Arial" w:hAnsi="Arial"/>
          <w:sz w:val="20"/>
        </w:rPr>
        <w:t> </w:t>
      </w:r>
      <w:r>
        <w:rPr>
          <w:rFonts w:ascii="Arial" w:hAnsi="Arial"/>
          <w:sz w:val="21"/>
        </w:rPr>
        <w:t>by</w:t>
      </w:r>
      <w:r>
        <w:rPr>
          <w:rFonts w:ascii="Arial" w:hAnsi="Arial"/>
          <w:sz w:val="20"/>
        </w:rPr>
        <w:t> </w:t>
      </w:r>
      <w:r>
        <w:rPr>
          <w:rFonts w:ascii="Arial" w:hAnsi="Arial"/>
          <w:sz w:val="21"/>
        </w:rPr>
        <w:t>the Bank on demand;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(h)does</w:t>
      </w:r>
      <w:r>
        <w:rPr>
          <w:rFonts w:ascii="Arial" w:hAnsi="Arial"/>
          <w:sz w:val="20"/>
        </w:rPr>
        <w:t> </w:t>
      </w:r>
      <w:r>
        <w:rPr>
          <w:rFonts w:ascii="Arial" w:hAnsi="Arial"/>
          <w:sz w:val="21"/>
        </w:rPr>
        <w:t>not</w:t>
      </w:r>
      <w:r>
        <w:rPr>
          <w:rFonts w:ascii="Arial" w:hAnsi="Arial"/>
          <w:sz w:val="20"/>
        </w:rPr>
        <w:t> </w:t>
      </w:r>
      <w:r>
        <w:rPr>
          <w:rFonts w:ascii="Arial" w:hAnsi="Arial"/>
          <w:sz w:val="21"/>
        </w:rPr>
        <w:t>default</w:t>
      </w:r>
      <w:r>
        <w:rPr>
          <w:rFonts w:ascii="Arial" w:hAnsi="Arial"/>
          <w:sz w:val="20"/>
        </w:rPr>
        <w:t> </w:t>
      </w:r>
      <w:r>
        <w:rPr>
          <w:rFonts w:ascii="Arial" w:hAnsi="Arial"/>
          <w:sz w:val="21"/>
        </w:rPr>
        <w:t>in</w:t>
      </w:r>
      <w:r>
        <w:rPr>
          <w:rFonts w:ascii="Arial" w:hAnsi="Arial"/>
          <w:sz w:val="20"/>
        </w:rPr>
        <w:t> </w:t>
      </w:r>
      <w:r>
        <w:rPr>
          <w:rFonts w:ascii="Arial" w:hAnsi="Arial"/>
          <w:sz w:val="21"/>
        </w:rPr>
        <w:t>performing</w:t>
      </w:r>
      <w:r>
        <w:rPr>
          <w:rFonts w:ascii="Arial" w:hAnsi="Arial"/>
          <w:sz w:val="20"/>
        </w:rPr>
        <w:t> </w:t>
      </w:r>
      <w:r>
        <w:rPr>
          <w:rFonts w:ascii="Arial" w:hAnsi="Arial"/>
          <w:sz w:val="21"/>
        </w:rPr>
        <w:t>or</w:t>
      </w:r>
      <w:r>
        <w:rPr>
          <w:rFonts w:ascii="Arial" w:hAnsi="Arial"/>
          <w:sz w:val="20"/>
        </w:rPr>
        <w:t> </w:t>
      </w:r>
      <w:r>
        <w:rPr>
          <w:rFonts w:ascii="Arial" w:hAnsi="Arial"/>
          <w:sz w:val="21"/>
        </w:rPr>
        <w:t>observing</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under</w:t>
      </w:r>
      <w:r>
        <w:rPr>
          <w:rFonts w:ascii="Arial" w:hAnsi="Arial"/>
          <w:sz w:val="20"/>
        </w:rPr>
        <w:t> </w:t>
      </w:r>
      <w:r>
        <w:rPr>
          <w:rFonts w:ascii="Arial" w:hAnsi="Arial"/>
          <w:sz w:val="21"/>
        </w:rPr>
        <w:t>the Transaction Documents.</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61" w:name="Release_for_Permitted_Disposals9121"/>
      <w:bookmarkEnd w:id="461"/>
      <w:r>
        <w:rPr>
          <w:rFonts w:ascii="Arial" w:hAnsi="Arial"/>
          <w:b/>
          <w:color w:val="000000"/>
          <w:sz w:val="24"/>
        </w:rPr>
        <w:t>9.12Release for Permitted Disposals</w:t>
      </w:r>
      <w:r>
        <w:rPr>
          <w:rFonts w:ascii="Arial" w:hAnsi="Arial"/>
          <w:b/>
          <w:sz w:val="24"/>
        </w:rPr>
        <w:t xml:space="preserve"> </w:t>
      </w:r>
    </w:p>
    <w:p>
      <w:pPr>
        <w:pStyle w:val="TextBody"/>
        <w:pBdr/>
        <w:bidi w:val="0"/>
        <w:spacing w:lineRule="auto" w:line="266" w:before="93" w:after="0"/>
        <w:ind w:left="3120" w:right="1443" w:hanging="0"/>
        <w:jc w:val="left"/>
        <w:rPr>
          <w:rFonts w:ascii="Arial" w:hAnsi="Arial"/>
          <w:sz w:val="22"/>
        </w:rPr>
      </w:pPr>
      <w:r>
        <w:rPr>
          <w:rFonts w:ascii="Arial" w:hAnsi="Arial"/>
          <w:color w:val="000000"/>
          <w:sz w:val="22"/>
        </w:rPr>
        <w:t>The Bank must on request from (and at the cost of) a Transaction Party release from the Collateral Security that part of the Secured Property that is the subject of a Permitted Disposal (other than a Permitted Disposal of the kind referred to in paragraph (a) of that term's definition).</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43" w:after="0"/>
        <w:ind w:left="1700" w:right="700" w:hanging="0"/>
        <w:jc w:val="left"/>
        <w:rPr>
          <w:rFonts w:cs="Arial"/>
          <w:szCs w:val="32"/>
        </w:rPr>
      </w:pPr>
      <w:r>
        <w:rPr>
          <w:rFonts w:cs="Arial"/>
          <w:szCs w:val="32"/>
        </w:rPr>
        <w:t xml:space="preserve">﻿ </w:t>
      </w:r>
    </w:p>
    <w:p>
      <w:pPr>
        <w:pStyle w:val="TextBody"/>
        <w:bidi w:val="0"/>
        <w:spacing w:before="0" w:after="0"/>
        <w:ind w:left="3230" w:right="700" w:hanging="0"/>
        <w:jc w:val="left"/>
        <w:rPr>
          <w:rFonts w:ascii="Arial" w:hAnsi="Arial"/>
          <w:sz w:val="32"/>
        </w:rPr>
      </w:pPr>
      <w:bookmarkStart w:id="462" w:name="Events_of_Default101"/>
      <w:bookmarkEnd w:id="462"/>
      <w:r>
        <w:rPr>
          <w:rFonts w:ascii="Arial" w:hAnsi="Arial"/>
          <w:color w:val="000000"/>
          <w:sz w:val="32"/>
        </w:rPr>
        <w:t>10Events of Default</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63" w:name="Nature1011"/>
      <w:bookmarkEnd w:id="463"/>
      <w:r>
        <w:rPr>
          <w:rFonts w:ascii="Arial" w:hAnsi="Arial"/>
          <w:b/>
          <w:color w:val="000000"/>
          <w:sz w:val="24"/>
        </w:rPr>
        <w:t>10.1Nature</w:t>
      </w:r>
      <w:r>
        <w:rPr>
          <w:rFonts w:ascii="Arial" w:hAnsi="Arial"/>
          <w:b/>
          <w:sz w:val="24"/>
        </w:rPr>
        <w:t xml:space="preserve"> </w:t>
      </w:r>
    </w:p>
    <w:p>
      <w:pPr>
        <w:pStyle w:val="TextBody"/>
        <w:bidi w:val="0"/>
        <w:spacing w:lineRule="auto" w:line="266" w:before="93" w:after="0"/>
        <w:ind w:left="3120" w:right="1366" w:hanging="0"/>
        <w:jc w:val="left"/>
        <w:rPr>
          <w:rFonts w:ascii="Arial" w:hAnsi="Arial"/>
          <w:sz w:val="22"/>
        </w:rPr>
      </w:pPr>
      <w:r>
        <w:rPr>
          <w:rFonts w:ascii="Arial" w:hAnsi="Arial"/>
          <w:color w:val="000000"/>
          <w:sz w:val="22"/>
        </w:rPr>
        <w:t>Each of the following is an Event of Default (whether or not caused by anything outside the control of any Transaction Party):</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t>
      </w:r>
      <w:r>
        <w:rPr>
          <w:rFonts w:ascii="Arial" w:hAnsi="Arial"/>
          <w:b/>
          <w:color w:val="000000"/>
          <w:sz w:val="21"/>
        </w:rPr>
        <w:t>non-payment:</w:t>
      </w:r>
      <w:r>
        <w:rPr>
          <w:rFonts w:ascii="Arial" w:hAnsi="Arial"/>
          <w:color w:val="000000"/>
          <w:sz w:val="20"/>
        </w:rPr>
        <w:t> </w:t>
      </w:r>
      <w:r>
        <w:rPr>
          <w:rFonts w:ascii="Arial" w:hAnsi="Arial"/>
          <w:color w:val="000000"/>
          <w:sz w:val="21"/>
        </w:rPr>
        <w:t>a Transaction Party does not pay on the due date any principal, interest and fees due for payment by it under a Transaction Document in accordance with the relevant Transaction Document unless 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satisfied</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sole</w:t>
      </w:r>
      <w:r>
        <w:rPr>
          <w:rFonts w:ascii="Arial" w:hAnsi="Arial"/>
          <w:color w:val="000000"/>
          <w:sz w:val="20"/>
        </w:rPr>
        <w:t> </w:t>
      </w:r>
      <w:r>
        <w:rPr>
          <w:rFonts w:ascii="Arial" w:hAnsi="Arial"/>
          <w:color w:val="000000"/>
          <w:sz w:val="21"/>
        </w:rPr>
        <w:t>reason</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failure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caused by</w:t>
      </w:r>
      <w:r>
        <w:rPr>
          <w:rFonts w:ascii="Arial" w:hAnsi="Arial"/>
          <w:color w:val="000000"/>
          <w:sz w:val="20"/>
        </w:rPr>
        <w:t> </w:t>
      </w:r>
      <w:r>
        <w:rPr>
          <w:rFonts w:ascii="Arial" w:hAnsi="Arial"/>
          <w:color w:val="000000"/>
          <w:sz w:val="21"/>
        </w:rPr>
        <w:t>administrative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technical</w:t>
      </w:r>
      <w:r>
        <w:rPr>
          <w:rFonts w:ascii="Arial" w:hAnsi="Arial"/>
          <w:color w:val="000000"/>
          <w:sz w:val="20"/>
        </w:rPr>
        <w:t> </w:t>
      </w:r>
      <w:r>
        <w:rPr>
          <w:rFonts w:ascii="Arial" w:hAnsi="Arial"/>
          <w:color w:val="000000"/>
          <w:sz w:val="21"/>
        </w:rPr>
        <w:t>error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banking</w:t>
      </w:r>
      <w:r>
        <w:rPr>
          <w:rFonts w:ascii="Arial" w:hAnsi="Arial"/>
          <w:color w:val="000000"/>
          <w:sz w:val="20"/>
        </w:rPr>
        <w:t> </w:t>
      </w:r>
      <w:r>
        <w:rPr>
          <w:rFonts w:ascii="Arial" w:hAnsi="Arial"/>
          <w:color w:val="000000"/>
          <w:sz w:val="21"/>
        </w:rPr>
        <w:t>system</w:t>
      </w:r>
      <w:r>
        <w:rPr>
          <w:rFonts w:ascii="Arial" w:hAnsi="Arial"/>
          <w:color w:val="000000"/>
          <w:sz w:val="20"/>
        </w:rPr>
        <w:t> </w:t>
      </w:r>
      <w:r>
        <w:rPr>
          <w:rFonts w:ascii="Arial" w:hAnsi="Arial"/>
          <w:color w:val="000000"/>
          <w:sz w:val="21"/>
        </w:rPr>
        <w:t>generally</w:t>
      </w:r>
      <w:r>
        <w:rPr>
          <w:rFonts w:ascii="Arial" w:hAnsi="Arial"/>
          <w:color w:val="000000"/>
          <w:sz w:val="20"/>
        </w:rPr>
        <w:t> </w:t>
      </w:r>
      <w:r>
        <w:rPr>
          <w:rFonts w:ascii="Arial" w:hAnsi="Arial"/>
          <w:color w:val="000000"/>
          <w:sz w:val="21"/>
        </w:rPr>
        <w:t>which is beyond the control of that Transaction Party and payment is made within 2 Business Days after its due date;</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(b)</w:t>
      </w:r>
      <w:r>
        <w:rPr>
          <w:rFonts w:ascii="Arial" w:hAnsi="Arial"/>
          <w:b/>
          <w:color w:val="000000"/>
          <w:sz w:val="21"/>
        </w:rPr>
        <w:t>other</w:t>
      </w:r>
      <w:r>
        <w:rPr>
          <w:rFonts w:ascii="Arial" w:hAnsi="Arial"/>
          <w:color w:val="000000"/>
          <w:sz w:val="20"/>
        </w:rPr>
        <w:t> </w:t>
      </w:r>
      <w:r>
        <w:rPr>
          <w:rFonts w:ascii="Arial" w:hAnsi="Arial"/>
          <w:b/>
          <w:color w:val="000000"/>
          <w:sz w:val="21"/>
        </w:rPr>
        <w:t>non-compliance:</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117">
        <w:r>
          <w:rPr>
            <w:rStyle w:val="InternetLink"/>
            <w:rFonts w:ascii="Arial" w:hAnsi="Arial"/>
            <w:b/>
            <w:color w:val="000000"/>
            <w:sz w:val="21"/>
          </w:rPr>
          <w:t>10.6</w:t>
        </w:r>
      </w:hyperlink>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failure to comply with a Financial Ratio other than the Fixed Charges Cover Ratio) a Transaction Party does not comply with any other obligation under a Transaction Document and if that default is capable of rectification:</w:t>
      </w:r>
      <w:r>
        <w:rPr>
          <w:rFonts w:ascii="Arial" w:hAnsi="Arial"/>
          <w:sz w:val="20"/>
        </w:rPr>
        <w:t xml:space="preserve"> </w:t>
      </w:r>
    </w:p>
    <w:p>
      <w:pPr>
        <w:pStyle w:val="TextBody"/>
        <w:bidi w:val="0"/>
        <w:spacing w:lineRule="auto" w:line="266" w:before="116" w:after="0"/>
        <w:ind w:left="4275" w:right="1935" w:hanging="0"/>
        <w:jc w:val="left"/>
        <w:rPr>
          <w:rFonts w:ascii="Arial" w:hAnsi="Arial"/>
          <w:sz w:val="20"/>
        </w:rPr>
      </w:pPr>
      <w:r>
        <w:rPr>
          <w:rFonts w:ascii="Arial" w:hAnsi="Arial"/>
          <w:color w:val="000000"/>
          <w:sz w:val="21"/>
        </w:rPr>
        <w:t>(i)it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rectified</w:t>
      </w:r>
      <w:r>
        <w:rPr>
          <w:rFonts w:ascii="Arial" w:hAnsi="Arial"/>
          <w:color w:val="000000"/>
          <w:sz w:val="20"/>
        </w:rPr>
        <w:t> </w:t>
      </w:r>
      <w:r>
        <w:rPr>
          <w:rFonts w:ascii="Arial" w:hAnsi="Arial"/>
          <w:color w:val="000000"/>
          <w:sz w:val="21"/>
        </w:rPr>
        <w:t>within</w:t>
      </w:r>
      <w:r>
        <w:rPr>
          <w:rFonts w:ascii="Arial" w:hAnsi="Arial"/>
          <w:color w:val="000000"/>
          <w:sz w:val="20"/>
        </w:rPr>
        <w:t> </w:t>
      </w:r>
      <w:r>
        <w:rPr>
          <w:rFonts w:ascii="Arial" w:hAnsi="Arial"/>
          <w:color w:val="000000"/>
          <w:sz w:val="21"/>
        </w:rPr>
        <w:t>10</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longer period agreed by the Bank) after its occurrence; or</w:t>
      </w:r>
      <w:r>
        <w:rPr>
          <w:rFonts w:ascii="Arial" w:hAnsi="Arial"/>
          <w:sz w:val="20"/>
        </w:rPr>
        <w:t xml:space="preserve"> </w:t>
      </w:r>
    </w:p>
    <w:p>
      <w:pPr>
        <w:pStyle w:val="TextBody"/>
        <w:bidi w:val="0"/>
        <w:spacing w:lineRule="auto" w:line="266" w:before="120" w:after="0"/>
        <w:ind w:left="4275" w:right="1502" w:hanging="0"/>
        <w:jc w:val="left"/>
        <w:rPr>
          <w:rFonts w:ascii="Arial" w:hAnsi="Arial"/>
          <w:sz w:val="20"/>
        </w:rPr>
      </w:pPr>
      <w:r>
        <w:rPr>
          <w:rFonts w:ascii="Arial" w:hAnsi="Arial"/>
          <w:color w:val="000000"/>
          <w:sz w:val="21"/>
        </w:rPr>
        <w:t>(ii)the Transaction Party does not during that period take all action which</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reasonable</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rectify</w:t>
      </w:r>
      <w:r>
        <w:rPr>
          <w:rFonts w:ascii="Arial" w:hAnsi="Arial"/>
          <w:color w:val="000000"/>
          <w:sz w:val="20"/>
        </w:rPr>
        <w:t> </w:t>
      </w:r>
      <w:r>
        <w:rPr>
          <w:rFonts w:ascii="Arial" w:hAnsi="Arial"/>
          <w:color w:val="000000"/>
          <w:sz w:val="21"/>
        </w:rPr>
        <w:t>that default;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w:t>
      </w:r>
      <w:r>
        <w:rPr>
          <w:rFonts w:ascii="Arial" w:hAnsi="Arial"/>
          <w:b/>
          <w:color w:val="000000"/>
          <w:sz w:val="21"/>
        </w:rPr>
        <w:t>untrue warranty:</w:t>
      </w:r>
      <w:r>
        <w:rPr>
          <w:rFonts w:ascii="Arial" w:hAnsi="Arial"/>
          <w:color w:val="000000"/>
          <w:sz w:val="20"/>
        </w:rPr>
        <w:t> </w:t>
      </w:r>
      <w:r>
        <w:rPr>
          <w:rFonts w:ascii="Arial" w:hAnsi="Arial"/>
          <w:color w:val="000000"/>
          <w:sz w:val="21"/>
        </w:rPr>
        <w:t>a representation, warranty or statement made or deemed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is untrue or misleading in any material respect or a reply by a Transaction Party to a requisition made by, or on behalf of, the Bank is untrue or misleading in any material respect;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w:t>
      </w:r>
      <w:r>
        <w:rPr>
          <w:rFonts w:ascii="Arial" w:hAnsi="Arial"/>
          <w:b/>
          <w:color w:val="000000"/>
          <w:sz w:val="21"/>
        </w:rPr>
        <w:t>void document:</w:t>
      </w:r>
      <w:r>
        <w:rPr>
          <w:rFonts w:ascii="Arial" w:hAnsi="Arial"/>
          <w:color w:val="000000"/>
          <w:sz w:val="20"/>
        </w:rPr>
        <w:t> </w:t>
      </w:r>
      <w:r>
        <w:rPr>
          <w:rFonts w:ascii="Arial" w:hAnsi="Arial"/>
          <w:color w:val="000000"/>
          <w:sz w:val="21"/>
        </w:rPr>
        <w:t>a 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is void,</w:t>
      </w:r>
      <w:r>
        <w:rPr>
          <w:rFonts w:ascii="Arial" w:hAnsi="Arial"/>
          <w:color w:val="000000"/>
          <w:sz w:val="20"/>
        </w:rPr>
        <w:t> </w:t>
      </w:r>
      <w:r>
        <w:rPr>
          <w:rFonts w:ascii="Arial" w:hAnsi="Arial"/>
          <w:color w:val="000000"/>
          <w:sz w:val="21"/>
        </w:rPr>
        <w:t>voidable or</w:t>
      </w:r>
      <w:r>
        <w:rPr>
          <w:rFonts w:ascii="Arial" w:hAnsi="Arial"/>
          <w:color w:val="000000"/>
          <w:sz w:val="20"/>
        </w:rPr>
        <w:t> </w:t>
      </w:r>
      <w:r>
        <w:rPr>
          <w:rFonts w:ascii="Arial" w:hAnsi="Arial"/>
          <w:color w:val="000000"/>
          <w:sz w:val="21"/>
        </w:rPr>
        <w:t>otherwise unenforceable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claimed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so</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w:t>
      </w:r>
      <w:r>
        <w:rPr>
          <w:rFonts w:ascii="Arial" w:hAnsi="Arial"/>
          <w:b/>
          <w:color w:val="000000"/>
          <w:sz w:val="21"/>
        </w:rPr>
        <w:t>compliance unlawful:</w:t>
      </w:r>
      <w:r>
        <w:rPr>
          <w:rFonts w:ascii="Arial" w:hAnsi="Arial"/>
          <w:color w:val="000000"/>
          <w:sz w:val="20"/>
        </w:rPr>
        <w:t> </w:t>
      </w:r>
      <w:r>
        <w:rPr>
          <w:rFonts w:ascii="Arial" w:hAnsi="Arial"/>
          <w:color w:val="000000"/>
          <w:sz w:val="21"/>
        </w:rPr>
        <w:t>it is unlawful for a Transaction Party to comply 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claimed to be so by a Transaction Party;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(f)</w:t>
      </w:r>
      <w:r>
        <w:rPr>
          <w:rFonts w:ascii="Arial" w:hAnsi="Arial"/>
          <w:b/>
          <w:color w:val="000000"/>
          <w:sz w:val="21"/>
        </w:rPr>
        <w:t>loss</w:t>
      </w:r>
      <w:r>
        <w:rPr>
          <w:rFonts w:ascii="Arial" w:hAnsi="Arial"/>
          <w:color w:val="000000"/>
          <w:sz w:val="20"/>
        </w:rPr>
        <w:t> </w:t>
      </w:r>
      <w:r>
        <w:rPr>
          <w:rFonts w:ascii="Arial" w:hAnsi="Arial"/>
          <w:b/>
          <w:color w:val="000000"/>
          <w:sz w:val="21"/>
        </w:rPr>
        <w:t>of</w:t>
      </w:r>
      <w:r>
        <w:rPr>
          <w:rFonts w:ascii="Arial" w:hAnsi="Arial"/>
          <w:color w:val="000000"/>
          <w:sz w:val="20"/>
        </w:rPr>
        <w:t> </w:t>
      </w:r>
      <w:r>
        <w:rPr>
          <w:rFonts w:ascii="Arial" w:hAnsi="Arial"/>
          <w:b/>
          <w:color w:val="000000"/>
          <w:sz w:val="21"/>
        </w:rPr>
        <w:t>priority: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created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purportedly</w:t>
      </w:r>
      <w:r>
        <w:rPr>
          <w:rFonts w:ascii="Arial" w:hAnsi="Arial"/>
          <w:color w:val="000000"/>
          <w:sz w:val="20"/>
        </w:rPr>
        <w:t> </w:t>
      </w:r>
      <w:r>
        <w:rPr>
          <w:rFonts w:ascii="Arial" w:hAnsi="Arial"/>
          <w:color w:val="000000"/>
          <w:sz w:val="21"/>
        </w:rPr>
        <w:t>created</w:t>
      </w:r>
      <w:r>
        <w:rPr>
          <w:rFonts w:ascii="Arial" w:hAnsi="Arial"/>
          <w:color w:val="000000"/>
          <w:sz w:val="20"/>
        </w:rPr>
        <w:t> </w:t>
      </w:r>
      <w:r>
        <w:rPr>
          <w:rFonts w:ascii="Arial" w:hAnsi="Arial"/>
          <w:color w:val="000000"/>
          <w:sz w:val="21"/>
        </w:rPr>
        <w:t>by a</w:t>
      </w:r>
      <w:r>
        <w:rPr>
          <w:rFonts w:ascii="Arial" w:hAnsi="Arial"/>
          <w:color w:val="000000"/>
          <w:sz w:val="20"/>
        </w:rPr>
        <w:t> </w:t>
      </w:r>
      <w:r>
        <w:rPr>
          <w:rFonts w:ascii="Arial" w:hAnsi="Arial"/>
          <w:color w:val="000000"/>
          <w:sz w:val="21"/>
        </w:rPr>
        <w:t>Collateral</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ceases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priority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 purports to have under the relevant Transaction Document or becomes ineffective to secure the payment of the money or compliance with the obligations which it purports to secure, otherwise than by any act of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(g)</w:t>
      </w:r>
      <w:r>
        <w:rPr>
          <w:rFonts w:ascii="Arial" w:hAnsi="Arial"/>
          <w:b/>
          <w:color w:val="000000"/>
          <w:sz w:val="21"/>
        </w:rPr>
        <w:t>Insolvency</w:t>
      </w:r>
      <w:r>
        <w:rPr>
          <w:rFonts w:ascii="Arial" w:hAnsi="Arial"/>
          <w:color w:val="000000"/>
          <w:sz w:val="20"/>
        </w:rPr>
        <w:t> </w:t>
      </w:r>
      <w:r>
        <w:rPr>
          <w:rFonts w:ascii="Arial" w:hAnsi="Arial"/>
          <w:b/>
          <w:color w:val="000000"/>
          <w:sz w:val="21"/>
        </w:rPr>
        <w:t>Event: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Insolvency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 Transaction Party;</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49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(h)</w:t>
      </w:r>
      <w:r>
        <w:rPr>
          <w:rFonts w:ascii="Arial" w:hAnsi="Arial"/>
          <w:b/>
          <w:sz w:val="21"/>
        </w:rPr>
        <w:t>authorisation</w:t>
      </w:r>
      <w:r>
        <w:rPr>
          <w:rFonts w:ascii="Arial" w:hAnsi="Arial"/>
          <w:sz w:val="20"/>
        </w:rPr>
        <w:t> </w:t>
      </w:r>
      <w:r>
        <w:rPr>
          <w:rFonts w:ascii="Arial" w:hAnsi="Arial"/>
          <w:b/>
          <w:sz w:val="21"/>
        </w:rPr>
        <w:t>ceasing:</w:t>
      </w:r>
      <w:r>
        <w:rPr>
          <w:rFonts w:ascii="Arial" w:hAnsi="Arial"/>
          <w:sz w:val="20"/>
        </w:rPr>
        <w:t> </w:t>
      </w:r>
      <w:r>
        <w:rPr>
          <w:rFonts w:ascii="Arial" w:hAnsi="Arial"/>
          <w:sz w:val="21"/>
        </w:rPr>
        <w:t>an</w:t>
      </w:r>
      <w:r>
        <w:rPr>
          <w:rFonts w:ascii="Arial" w:hAnsi="Arial"/>
          <w:sz w:val="20"/>
        </w:rPr>
        <w:t> </w:t>
      </w:r>
      <w:r>
        <w:rPr>
          <w:rFonts w:ascii="Arial" w:hAnsi="Arial"/>
          <w:sz w:val="21"/>
        </w:rPr>
        <w:t>Authorisation</w:t>
      </w:r>
      <w:r>
        <w:rPr>
          <w:rFonts w:ascii="Arial" w:hAnsi="Arial"/>
          <w:sz w:val="20"/>
        </w:rPr>
        <w:t> </w:t>
      </w:r>
      <w:r>
        <w:rPr>
          <w:rFonts w:ascii="Arial" w:hAnsi="Arial"/>
          <w:sz w:val="21"/>
        </w:rPr>
        <w:t>from</w:t>
      </w:r>
      <w:r>
        <w:rPr>
          <w:rFonts w:ascii="Arial" w:hAnsi="Arial"/>
          <w:sz w:val="20"/>
        </w:rPr>
        <w:t> </w:t>
      </w:r>
      <w:r>
        <w:rPr>
          <w:rFonts w:ascii="Arial" w:hAnsi="Arial"/>
          <w:sz w:val="21"/>
        </w:rPr>
        <w:t>a</w:t>
      </w:r>
      <w:r>
        <w:rPr>
          <w:rFonts w:ascii="Arial" w:hAnsi="Arial"/>
          <w:sz w:val="20"/>
        </w:rPr>
        <w:t> </w:t>
      </w:r>
      <w:r>
        <w:rPr>
          <w:rFonts w:ascii="Arial" w:hAnsi="Arial"/>
          <w:sz w:val="21"/>
        </w:rPr>
        <w:t>Government</w:t>
      </w:r>
      <w:r>
        <w:rPr>
          <w:rFonts w:ascii="Arial" w:hAnsi="Arial"/>
          <w:sz w:val="20"/>
        </w:rPr>
        <w:t> </w:t>
      </w:r>
      <w:r>
        <w:rPr>
          <w:rFonts w:ascii="Arial" w:hAnsi="Arial"/>
          <w:sz w:val="21"/>
        </w:rPr>
        <w:t>Body necessary to enable:</w:t>
      </w:r>
      <w:r>
        <w:rPr>
          <w:rFonts w:ascii="Arial" w:hAnsi="Arial"/>
          <w:sz w:val="20"/>
        </w:rPr>
        <w:t xml:space="preserve"> </w:t>
      </w:r>
    </w:p>
    <w:p>
      <w:pPr>
        <w:pStyle w:val="TextBody"/>
        <w:bidi w:val="0"/>
        <w:spacing w:lineRule="auto" w:line="266" w:before="0" w:after="0"/>
        <w:ind w:left="4275" w:right="1441" w:hanging="0"/>
        <w:jc w:val="left"/>
        <w:rPr>
          <w:rFonts w:ascii="Arial" w:hAnsi="Arial"/>
          <w:sz w:val="20"/>
        </w:rPr>
      </w:pPr>
      <w:r>
        <w:rPr>
          <w:rFonts w:ascii="Arial" w:hAnsi="Arial"/>
          <w:sz w:val="21"/>
        </w:rPr>
        <w:t>(i)a Transaction Party to comply with its obligations under a Transaction</w:t>
      </w:r>
      <w:r>
        <w:rPr>
          <w:rFonts w:ascii="Arial" w:hAnsi="Arial"/>
          <w:sz w:val="20"/>
        </w:rPr>
        <w:t> </w:t>
      </w:r>
      <w:r>
        <w:rPr>
          <w:rFonts w:ascii="Arial" w:hAnsi="Arial"/>
          <w:sz w:val="21"/>
        </w:rPr>
        <w:t>Document</w:t>
      </w:r>
      <w:r>
        <w:rPr>
          <w:rFonts w:ascii="Arial" w:hAnsi="Arial"/>
          <w:sz w:val="20"/>
        </w:rPr>
        <w:t> </w:t>
      </w:r>
      <w:r>
        <w:rPr>
          <w:rFonts w:ascii="Arial" w:hAnsi="Arial"/>
          <w:sz w:val="21"/>
        </w:rPr>
        <w:t>or</w:t>
      </w:r>
      <w:r>
        <w:rPr>
          <w:rFonts w:ascii="Arial" w:hAnsi="Arial"/>
          <w:sz w:val="20"/>
        </w:rPr>
        <w:t> </w:t>
      </w:r>
      <w:r>
        <w:rPr>
          <w:rFonts w:ascii="Arial" w:hAnsi="Arial"/>
          <w:sz w:val="21"/>
        </w:rPr>
        <w:t>carry</w:t>
      </w:r>
      <w:r>
        <w:rPr>
          <w:rFonts w:ascii="Arial" w:hAnsi="Arial"/>
          <w:sz w:val="20"/>
        </w:rPr>
        <w:t> </w:t>
      </w:r>
      <w:r>
        <w:rPr>
          <w:rFonts w:ascii="Arial" w:hAnsi="Arial"/>
          <w:sz w:val="21"/>
        </w:rPr>
        <w:t>on</w:t>
      </w:r>
      <w:r>
        <w:rPr>
          <w:rFonts w:ascii="Arial" w:hAnsi="Arial"/>
          <w:sz w:val="20"/>
        </w:rPr>
        <w:t> </w:t>
      </w:r>
      <w:r>
        <w:rPr>
          <w:rFonts w:ascii="Arial" w:hAnsi="Arial"/>
          <w:sz w:val="21"/>
        </w:rPr>
        <w:t>its</w:t>
      </w:r>
      <w:r>
        <w:rPr>
          <w:rFonts w:ascii="Arial" w:hAnsi="Arial"/>
          <w:sz w:val="20"/>
        </w:rPr>
        <w:t> </w:t>
      </w:r>
      <w:r>
        <w:rPr>
          <w:rFonts w:ascii="Arial" w:hAnsi="Arial"/>
          <w:sz w:val="21"/>
        </w:rPr>
        <w:t>principal</w:t>
      </w:r>
      <w:r>
        <w:rPr>
          <w:rFonts w:ascii="Arial" w:hAnsi="Arial"/>
          <w:sz w:val="20"/>
        </w:rPr>
        <w:t> </w:t>
      </w:r>
      <w:r>
        <w:rPr>
          <w:rFonts w:ascii="Arial" w:hAnsi="Arial"/>
          <w:sz w:val="21"/>
        </w:rPr>
        <w:t>business</w:t>
      </w:r>
      <w:r>
        <w:rPr>
          <w:rFonts w:ascii="Arial" w:hAnsi="Arial"/>
          <w:sz w:val="20"/>
        </w:rPr>
        <w:t> </w:t>
      </w:r>
      <w:r>
        <w:rPr>
          <w:rFonts w:ascii="Arial" w:hAnsi="Arial"/>
          <w:sz w:val="21"/>
        </w:rPr>
        <w:t>or</w:t>
      </w:r>
      <w:r>
        <w:rPr>
          <w:rFonts w:ascii="Arial" w:hAnsi="Arial"/>
          <w:sz w:val="20"/>
        </w:rPr>
        <w:t> </w:t>
      </w:r>
      <w:r>
        <w:rPr>
          <w:rFonts w:ascii="Arial" w:hAnsi="Arial"/>
          <w:sz w:val="21"/>
        </w:rPr>
        <w:t>activity;</w:t>
      </w:r>
      <w:r>
        <w:rPr>
          <w:rFonts w:ascii="Arial" w:hAnsi="Arial"/>
          <w:sz w:val="20"/>
        </w:rPr>
        <w:t xml:space="preserve"> </w:t>
      </w:r>
    </w:p>
    <w:p>
      <w:pPr>
        <w:pStyle w:val="TextBody"/>
        <w:bidi w:val="0"/>
        <w:spacing w:before="122" w:after="0"/>
        <w:ind w:left="4275" w:right="700" w:hanging="0"/>
        <w:jc w:val="left"/>
        <w:rPr>
          <w:rFonts w:ascii="Arial" w:hAnsi="Arial"/>
          <w:sz w:val="20"/>
        </w:rPr>
      </w:pPr>
      <w:r>
        <w:rPr>
          <w:rFonts w:ascii="Arial" w:hAnsi="Arial"/>
          <w:sz w:val="21"/>
        </w:rPr>
        <w:t>(ii)a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to</w:t>
      </w:r>
      <w:r>
        <w:rPr>
          <w:rFonts w:ascii="Arial" w:hAnsi="Arial"/>
          <w:sz w:val="20"/>
        </w:rPr>
        <w:t> </w:t>
      </w:r>
      <w:r>
        <w:rPr>
          <w:rFonts w:ascii="Arial" w:hAnsi="Arial"/>
          <w:sz w:val="21"/>
        </w:rPr>
        <w:t>carry</w:t>
      </w:r>
      <w:r>
        <w:rPr>
          <w:rFonts w:ascii="Arial" w:hAnsi="Arial"/>
          <w:sz w:val="20"/>
        </w:rPr>
        <w:t> </w:t>
      </w:r>
      <w:r>
        <w:rPr>
          <w:rFonts w:ascii="Arial" w:hAnsi="Arial"/>
          <w:sz w:val="21"/>
        </w:rPr>
        <w:t>on</w:t>
      </w:r>
      <w:r>
        <w:rPr>
          <w:rFonts w:ascii="Arial" w:hAnsi="Arial"/>
          <w:sz w:val="20"/>
        </w:rPr>
        <w:t> </w:t>
      </w:r>
      <w:r>
        <w:rPr>
          <w:rFonts w:ascii="Arial" w:hAnsi="Arial"/>
          <w:sz w:val="21"/>
        </w:rPr>
        <w:t>its</w:t>
      </w:r>
      <w:r>
        <w:rPr>
          <w:rFonts w:ascii="Arial" w:hAnsi="Arial"/>
          <w:sz w:val="20"/>
        </w:rPr>
        <w:t> </w:t>
      </w:r>
      <w:r>
        <w:rPr>
          <w:rFonts w:ascii="Arial" w:hAnsi="Arial"/>
          <w:sz w:val="21"/>
        </w:rPr>
        <w:t>principal</w:t>
      </w:r>
      <w:r>
        <w:rPr>
          <w:rFonts w:ascii="Arial" w:hAnsi="Arial"/>
          <w:sz w:val="20"/>
        </w:rPr>
        <w:t> </w:t>
      </w:r>
      <w:r>
        <w:rPr>
          <w:rFonts w:ascii="Arial" w:hAnsi="Arial"/>
          <w:sz w:val="21"/>
        </w:rPr>
        <w:t>business</w:t>
      </w:r>
      <w:r>
        <w:rPr>
          <w:rFonts w:ascii="Arial" w:hAnsi="Arial"/>
          <w:sz w:val="20"/>
        </w:rPr>
        <w:t> </w:t>
      </w:r>
      <w:r>
        <w:rPr>
          <w:rFonts w:ascii="Arial" w:hAnsi="Arial"/>
          <w:sz w:val="21"/>
        </w:rPr>
        <w:t>or</w:t>
      </w:r>
      <w:r>
        <w:rPr>
          <w:rFonts w:ascii="Arial" w:hAnsi="Arial"/>
          <w:sz w:val="20"/>
        </w:rPr>
        <w:t> </w:t>
      </w:r>
      <w:r>
        <w:rPr>
          <w:rFonts w:ascii="Arial" w:hAnsi="Arial"/>
          <w:sz w:val="21"/>
        </w:rPr>
        <w:t>activity;</w:t>
      </w:r>
      <w:r>
        <w:rPr>
          <w:rFonts w:ascii="Arial" w:hAnsi="Arial"/>
          <w:sz w:val="20"/>
        </w:rPr>
        <w:t> </w:t>
      </w:r>
      <w:r>
        <w:rPr>
          <w:rFonts w:ascii="Arial" w:hAnsi="Arial"/>
          <w:sz w:val="21"/>
        </w:rPr>
        <w:t>or</w:t>
      </w:r>
      <w:r>
        <w:rPr>
          <w:rFonts w:ascii="Arial" w:hAnsi="Arial"/>
          <w:sz w:val="20"/>
        </w:rPr>
        <w:t xml:space="preserve"> </w:t>
      </w:r>
    </w:p>
    <w:p>
      <w:pPr>
        <w:pStyle w:val="TextBody"/>
        <w:bidi w:val="0"/>
        <w:spacing w:lineRule="atLeast" w:line="390" w:before="32" w:after="0"/>
        <w:ind w:left="3686" w:right="1874" w:hanging="0"/>
        <w:jc w:val="left"/>
        <w:rPr>
          <w:rFonts w:ascii="Arial" w:hAnsi="Arial"/>
          <w:sz w:val="20"/>
        </w:rPr>
      </w:pPr>
      <w:r>
        <w:rPr>
          <w:rFonts w:ascii="Arial" w:hAnsi="Arial"/>
          <w:sz w:val="21"/>
        </w:rPr>
        <w:t>(iii)the</w:t>
      </w:r>
      <w:r>
        <w:rPr>
          <w:rFonts w:ascii="Arial" w:hAnsi="Arial"/>
          <w:sz w:val="20"/>
        </w:rPr>
        <w:t> </w:t>
      </w:r>
      <w:r>
        <w:rPr>
          <w:rFonts w:ascii="Arial" w:hAnsi="Arial"/>
          <w:sz w:val="21"/>
        </w:rPr>
        <w:t>Bank</w:t>
      </w:r>
      <w:r>
        <w:rPr>
          <w:rFonts w:ascii="Arial" w:hAnsi="Arial"/>
          <w:sz w:val="20"/>
        </w:rPr>
        <w:t> </w:t>
      </w:r>
      <w:r>
        <w:rPr>
          <w:rFonts w:ascii="Arial" w:hAnsi="Arial"/>
          <w:sz w:val="21"/>
        </w:rPr>
        <w:t>to</w:t>
      </w:r>
      <w:r>
        <w:rPr>
          <w:rFonts w:ascii="Arial" w:hAnsi="Arial"/>
          <w:sz w:val="20"/>
        </w:rPr>
        <w:t> </w:t>
      </w:r>
      <w:r>
        <w:rPr>
          <w:rFonts w:ascii="Arial" w:hAnsi="Arial"/>
          <w:sz w:val="21"/>
        </w:rPr>
        <w:t>exercise</w:t>
      </w:r>
      <w:r>
        <w:rPr>
          <w:rFonts w:ascii="Arial" w:hAnsi="Arial"/>
          <w:sz w:val="20"/>
        </w:rPr>
        <w:t> </w:t>
      </w:r>
      <w:r>
        <w:rPr>
          <w:rFonts w:ascii="Arial" w:hAnsi="Arial"/>
          <w:sz w:val="21"/>
        </w:rPr>
        <w:t>its</w:t>
      </w:r>
      <w:r>
        <w:rPr>
          <w:rFonts w:ascii="Arial" w:hAnsi="Arial"/>
          <w:sz w:val="20"/>
        </w:rPr>
        <w:t> </w:t>
      </w:r>
      <w:r>
        <w:rPr>
          <w:rFonts w:ascii="Arial" w:hAnsi="Arial"/>
          <w:sz w:val="21"/>
        </w:rPr>
        <w:t>rights</w:t>
      </w:r>
      <w:r>
        <w:rPr>
          <w:rFonts w:ascii="Arial" w:hAnsi="Arial"/>
          <w:sz w:val="20"/>
        </w:rPr>
        <w:t> </w:t>
      </w:r>
      <w:r>
        <w:rPr>
          <w:rFonts w:ascii="Arial" w:hAnsi="Arial"/>
          <w:sz w:val="21"/>
        </w:rPr>
        <w:t>under</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Document, is withheld or</w:t>
      </w:r>
      <w:r>
        <w:rPr>
          <w:rFonts w:ascii="Arial" w:hAnsi="Arial"/>
          <w:sz w:val="20"/>
        </w:rPr>
        <w:t> </w:t>
      </w:r>
      <w:r>
        <w:rPr>
          <w:rFonts w:ascii="Arial" w:hAnsi="Arial"/>
          <w:sz w:val="21"/>
        </w:rPr>
        <w:t>ceases to be in full force</w:t>
      </w:r>
      <w:r>
        <w:rPr>
          <w:rFonts w:ascii="Arial" w:hAnsi="Arial"/>
          <w:sz w:val="20"/>
        </w:rPr>
        <w:t> </w:t>
      </w:r>
      <w:r>
        <w:rPr>
          <w:rFonts w:ascii="Arial" w:hAnsi="Arial"/>
          <w:sz w:val="21"/>
        </w:rPr>
        <w:t>and effect and,</w:t>
      </w:r>
      <w:r>
        <w:rPr>
          <w:rFonts w:ascii="Arial" w:hAnsi="Arial"/>
          <w:sz w:val="20"/>
        </w:rPr>
        <w:t> </w:t>
      </w:r>
      <w:r>
        <w:rPr>
          <w:rFonts w:ascii="Arial" w:hAnsi="Arial"/>
          <w:sz w:val="21"/>
        </w:rPr>
        <w:t>in the case of</w:t>
      </w:r>
      <w:r>
        <w:rPr>
          <w:rFonts w:ascii="Arial" w:hAnsi="Arial"/>
          <w:sz w:val="20"/>
        </w:rPr>
        <w:t xml:space="preserve"> </w:t>
      </w:r>
    </w:p>
    <w:p>
      <w:pPr>
        <w:pStyle w:val="TextBody"/>
        <w:bidi w:val="0"/>
        <w:spacing w:lineRule="atLeast" w:line="237" w:before="0" w:after="0"/>
        <w:ind w:left="3686" w:right="700" w:hanging="0"/>
        <w:jc w:val="left"/>
        <w:rPr/>
      </w:pPr>
      <w:r>
        <w:rPr>
          <w:rFonts w:ascii="Arial" w:hAnsi="Arial"/>
          <w:b/>
          <w:sz w:val="21"/>
        </w:rPr>
        <w:t>clause</w:t>
      </w:r>
      <w:r>
        <w:rPr>
          <w:rFonts w:ascii="Arial" w:hAnsi="Arial"/>
          <w:sz w:val="20"/>
        </w:rPr>
        <w:t> </w:t>
      </w:r>
      <w:hyperlink w:anchor="_bookmark105">
        <w:r>
          <w:rPr>
            <w:rStyle w:val="InternetLink"/>
            <w:rFonts w:ascii="Arial" w:hAnsi="Arial"/>
            <w:b/>
            <w:sz w:val="21"/>
          </w:rPr>
          <w:t>10.1(h)(i)</w:t>
        </w:r>
      </w:hyperlink>
      <w:r>
        <w:rPr>
          <w:rFonts w:ascii="Arial" w:hAnsi="Arial"/>
          <w:sz w:val="21"/>
        </w:rPr>
        <w:t>,</w:t>
      </w:r>
      <w:r>
        <w:rPr>
          <w:rFonts w:ascii="Arial" w:hAnsi="Arial"/>
          <w:sz w:val="20"/>
        </w:rPr>
        <w:t> </w:t>
      </w:r>
      <w:r>
        <w:rPr>
          <w:rFonts w:ascii="Arial" w:hAnsi="Arial"/>
          <w:sz w:val="21"/>
        </w:rPr>
        <w:t>would</w:t>
      </w:r>
      <w:r>
        <w:rPr>
          <w:rFonts w:ascii="Arial" w:hAnsi="Arial"/>
          <w:sz w:val="20"/>
        </w:rPr>
        <w:t> </w:t>
      </w:r>
      <w:r>
        <w:rPr>
          <w:rFonts w:ascii="Arial" w:hAnsi="Arial"/>
          <w:sz w:val="21"/>
        </w:rPr>
        <w:t>have</w:t>
      </w:r>
      <w:r>
        <w:rPr>
          <w:rFonts w:ascii="Arial" w:hAnsi="Arial"/>
          <w:sz w:val="20"/>
        </w:rPr>
        <w:t> </w:t>
      </w:r>
      <w:r>
        <w:rPr>
          <w:rFonts w:ascii="Arial" w:hAnsi="Arial"/>
          <w:sz w:val="21"/>
        </w:rPr>
        <w:t>a</w:t>
      </w:r>
      <w:r>
        <w:rPr>
          <w:rFonts w:ascii="Arial" w:hAnsi="Arial"/>
          <w:sz w:val="20"/>
        </w:rPr>
        <w:t> </w:t>
      </w:r>
      <w:r>
        <w:rPr>
          <w:rFonts w:ascii="Arial" w:hAnsi="Arial"/>
          <w:sz w:val="21"/>
        </w:rPr>
        <w:t>Material</w:t>
      </w:r>
      <w:r>
        <w:rPr>
          <w:rFonts w:ascii="Arial" w:hAnsi="Arial"/>
          <w:sz w:val="20"/>
        </w:rPr>
        <w:t> </w:t>
      </w:r>
      <w:r>
        <w:rPr>
          <w:rFonts w:ascii="Arial" w:hAnsi="Arial"/>
          <w:sz w:val="21"/>
        </w:rPr>
        <w:t>Adverse</w:t>
      </w:r>
      <w:r>
        <w:rPr>
          <w:rFonts w:ascii="Arial" w:hAnsi="Arial"/>
          <w:sz w:val="20"/>
        </w:rPr>
        <w:t> </w:t>
      </w:r>
      <w:r>
        <w:rPr>
          <w:rFonts w:ascii="Arial" w:hAnsi="Arial"/>
          <w:sz w:val="21"/>
        </w:rPr>
        <w:t>Effect;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(i)</w:t>
      </w:r>
      <w:r>
        <w:rPr>
          <w:rFonts w:ascii="Arial" w:hAnsi="Arial"/>
          <w:b/>
          <w:sz w:val="21"/>
        </w:rPr>
        <w:t>Material</w:t>
      </w:r>
      <w:r>
        <w:rPr>
          <w:rFonts w:ascii="Arial" w:hAnsi="Arial"/>
          <w:sz w:val="20"/>
        </w:rPr>
        <w:t> </w:t>
      </w:r>
      <w:r>
        <w:rPr>
          <w:rFonts w:ascii="Arial" w:hAnsi="Arial"/>
          <w:b/>
          <w:sz w:val="21"/>
        </w:rPr>
        <w:t>Adverse</w:t>
      </w:r>
      <w:r>
        <w:rPr>
          <w:rFonts w:ascii="Arial" w:hAnsi="Arial"/>
          <w:sz w:val="20"/>
        </w:rPr>
        <w:t> </w:t>
      </w:r>
      <w:r>
        <w:rPr>
          <w:rFonts w:ascii="Arial" w:hAnsi="Arial"/>
          <w:b/>
          <w:sz w:val="21"/>
        </w:rPr>
        <w:t>Effect:</w:t>
      </w:r>
      <w:r>
        <w:rPr>
          <w:rFonts w:ascii="Arial" w:hAnsi="Arial"/>
          <w:sz w:val="20"/>
        </w:rPr>
        <w:t> </w:t>
      </w:r>
      <w:r>
        <w:rPr>
          <w:rFonts w:ascii="Arial" w:hAnsi="Arial"/>
          <w:sz w:val="21"/>
        </w:rPr>
        <w:t>an</w:t>
      </w:r>
      <w:r>
        <w:rPr>
          <w:rFonts w:ascii="Arial" w:hAnsi="Arial"/>
          <w:sz w:val="20"/>
        </w:rPr>
        <w:t> </w:t>
      </w:r>
      <w:r>
        <w:rPr>
          <w:rFonts w:ascii="Arial" w:hAnsi="Arial"/>
          <w:sz w:val="21"/>
        </w:rPr>
        <w:t>event</w:t>
      </w:r>
      <w:r>
        <w:rPr>
          <w:rFonts w:ascii="Arial" w:hAnsi="Arial"/>
          <w:sz w:val="20"/>
        </w:rPr>
        <w:t> </w:t>
      </w:r>
      <w:r>
        <w:rPr>
          <w:rFonts w:ascii="Arial" w:hAnsi="Arial"/>
          <w:sz w:val="21"/>
        </w:rPr>
        <w:t>or</w:t>
      </w:r>
      <w:r>
        <w:rPr>
          <w:rFonts w:ascii="Arial" w:hAnsi="Arial"/>
          <w:sz w:val="20"/>
        </w:rPr>
        <w:t> </w:t>
      </w:r>
      <w:r>
        <w:rPr>
          <w:rFonts w:ascii="Arial" w:hAnsi="Arial"/>
          <w:sz w:val="21"/>
        </w:rPr>
        <w:t>series</w:t>
      </w:r>
      <w:r>
        <w:rPr>
          <w:rFonts w:ascii="Arial" w:hAnsi="Arial"/>
          <w:sz w:val="20"/>
        </w:rPr>
        <w:t> </w:t>
      </w:r>
      <w:r>
        <w:rPr>
          <w:rFonts w:ascii="Arial" w:hAnsi="Arial"/>
          <w:sz w:val="21"/>
        </w:rPr>
        <w:t>of</w:t>
      </w:r>
      <w:r>
        <w:rPr>
          <w:rFonts w:ascii="Arial" w:hAnsi="Arial"/>
          <w:sz w:val="20"/>
        </w:rPr>
        <w:t> </w:t>
      </w:r>
      <w:r>
        <w:rPr>
          <w:rFonts w:ascii="Arial" w:hAnsi="Arial"/>
          <w:sz w:val="21"/>
        </w:rPr>
        <w:t>events</w:t>
      </w:r>
      <w:r>
        <w:rPr>
          <w:rFonts w:ascii="Arial" w:hAnsi="Arial"/>
          <w:sz w:val="20"/>
        </w:rPr>
        <w:t> </w:t>
      </w:r>
      <w:r>
        <w:rPr>
          <w:rFonts w:ascii="Arial" w:hAnsi="Arial"/>
          <w:sz w:val="21"/>
        </w:rPr>
        <w:t>whether</w:t>
      </w:r>
      <w:r>
        <w:rPr>
          <w:rFonts w:ascii="Arial" w:hAnsi="Arial"/>
          <w:sz w:val="20"/>
        </w:rPr>
        <w:t> </w:t>
      </w:r>
      <w:r>
        <w:rPr>
          <w:rFonts w:ascii="Arial" w:hAnsi="Arial"/>
          <w:sz w:val="21"/>
        </w:rPr>
        <w:t>related</w:t>
      </w:r>
      <w:r>
        <w:rPr>
          <w:rFonts w:ascii="Arial" w:hAnsi="Arial"/>
          <w:sz w:val="20"/>
        </w:rPr>
        <w:t> </w:t>
      </w:r>
      <w:r>
        <w:rPr>
          <w:rFonts w:ascii="Arial" w:hAnsi="Arial"/>
          <w:sz w:val="21"/>
        </w:rPr>
        <w:t>or not, including any material adverse change in the property or financial condition of a Transaction Party, occurs which has a Material Adverse Effect;</w:t>
      </w:r>
      <w:r>
        <w:rPr>
          <w:rFonts w:ascii="Arial" w:hAnsi="Arial"/>
          <w:sz w:val="20"/>
        </w:rPr>
        <w:t xml:space="preserve"> </w:t>
      </w:r>
    </w:p>
    <w:p>
      <w:pPr>
        <w:pStyle w:val="TextBody"/>
        <w:bidi w:val="0"/>
        <w:spacing w:lineRule="auto" w:line="266" w:before="118" w:after="0"/>
        <w:ind w:left="3687" w:right="854" w:hanging="0"/>
        <w:jc w:val="left"/>
        <w:rPr>
          <w:rFonts w:ascii="Arial" w:hAnsi="Arial"/>
          <w:sz w:val="22"/>
        </w:rPr>
      </w:pPr>
      <w:r>
        <w:rPr>
          <w:rFonts w:ascii="Arial" w:hAnsi="Arial"/>
          <w:sz w:val="22"/>
        </w:rPr>
        <w:t>(j)</w:t>
      </w:r>
      <w:r>
        <w:rPr>
          <w:rFonts w:ascii="Arial" w:hAnsi="Arial"/>
          <w:b/>
          <w:sz w:val="22"/>
        </w:rPr>
        <w:t>cross</w:t>
      </w:r>
      <w:r>
        <w:rPr>
          <w:rFonts w:ascii="Arial" w:hAnsi="Arial"/>
          <w:sz w:val="22"/>
        </w:rPr>
        <w:t> </w:t>
      </w:r>
      <w:r>
        <w:rPr>
          <w:rFonts w:ascii="Arial" w:hAnsi="Arial"/>
          <w:b/>
          <w:sz w:val="22"/>
        </w:rPr>
        <w:t>default</w:t>
      </w:r>
      <w:r>
        <w:rPr>
          <w:rFonts w:ascii="Arial" w:hAnsi="Arial"/>
          <w:sz w:val="22"/>
        </w:rPr>
        <w:t xml:space="preserve">: </w:t>
      </w:r>
    </w:p>
    <w:p>
      <w:pPr>
        <w:pStyle w:val="TextBody"/>
        <w:bidi w:val="0"/>
        <w:spacing w:lineRule="auto" w:line="266" w:before="147" w:after="0"/>
        <w:ind w:left="4275" w:right="1545" w:hanging="0"/>
        <w:jc w:val="left"/>
        <w:rPr>
          <w:rFonts w:ascii="Arial" w:hAnsi="Arial"/>
          <w:sz w:val="20"/>
        </w:rPr>
      </w:pPr>
      <w:r>
        <w:rPr>
          <w:rFonts w:ascii="Arial" w:hAnsi="Arial"/>
          <w:sz w:val="21"/>
        </w:rPr>
        <w:t>(i)Financial Indebtedness (other than Excluded Financial Indebtedness) of a Transaction Party in excess of $500,000 becomes</w:t>
      </w:r>
      <w:r>
        <w:rPr>
          <w:rFonts w:ascii="Arial" w:hAnsi="Arial"/>
          <w:sz w:val="20"/>
        </w:rPr>
        <w:t> </w:t>
      </w:r>
      <w:r>
        <w:rPr>
          <w:rFonts w:ascii="Arial" w:hAnsi="Arial"/>
          <w:sz w:val="21"/>
        </w:rPr>
        <w:t>due</w:t>
      </w:r>
      <w:r>
        <w:rPr>
          <w:rFonts w:ascii="Arial" w:hAnsi="Arial"/>
          <w:sz w:val="20"/>
        </w:rPr>
        <w:t> </w:t>
      </w:r>
      <w:r>
        <w:rPr>
          <w:rFonts w:ascii="Arial" w:hAnsi="Arial"/>
          <w:sz w:val="21"/>
        </w:rPr>
        <w:t>for</w:t>
      </w:r>
      <w:r>
        <w:rPr>
          <w:rFonts w:ascii="Arial" w:hAnsi="Arial"/>
          <w:sz w:val="20"/>
        </w:rPr>
        <w:t> </w:t>
      </w:r>
      <w:r>
        <w:rPr>
          <w:rFonts w:ascii="Arial" w:hAnsi="Arial"/>
          <w:sz w:val="21"/>
        </w:rPr>
        <w:t>payment</w:t>
      </w:r>
      <w:r>
        <w:rPr>
          <w:rFonts w:ascii="Arial" w:hAnsi="Arial"/>
          <w:sz w:val="20"/>
        </w:rPr>
        <w:t> </w:t>
      </w:r>
      <w:r>
        <w:rPr>
          <w:rFonts w:ascii="Arial" w:hAnsi="Arial"/>
          <w:sz w:val="21"/>
        </w:rPr>
        <w:t>before</w:t>
      </w:r>
      <w:r>
        <w:rPr>
          <w:rFonts w:ascii="Arial" w:hAnsi="Arial"/>
          <w:sz w:val="20"/>
        </w:rPr>
        <w:t> </w:t>
      </w:r>
      <w:r>
        <w:rPr>
          <w:rFonts w:ascii="Arial" w:hAnsi="Arial"/>
          <w:sz w:val="21"/>
        </w:rPr>
        <w:t>its</w:t>
      </w:r>
      <w:r>
        <w:rPr>
          <w:rFonts w:ascii="Arial" w:hAnsi="Arial"/>
          <w:sz w:val="20"/>
        </w:rPr>
        <w:t> </w:t>
      </w:r>
      <w:r>
        <w:rPr>
          <w:rFonts w:ascii="Arial" w:hAnsi="Arial"/>
          <w:sz w:val="21"/>
        </w:rPr>
        <w:t>stated</w:t>
      </w:r>
      <w:r>
        <w:rPr>
          <w:rFonts w:ascii="Arial" w:hAnsi="Arial"/>
          <w:sz w:val="20"/>
        </w:rPr>
        <w:t> </w:t>
      </w:r>
      <w:r>
        <w:rPr>
          <w:rFonts w:ascii="Arial" w:hAnsi="Arial"/>
          <w:sz w:val="21"/>
        </w:rPr>
        <w:t>maturity</w:t>
      </w:r>
      <w:r>
        <w:rPr>
          <w:rFonts w:ascii="Arial" w:hAnsi="Arial"/>
          <w:sz w:val="20"/>
        </w:rPr>
        <w:t> </w:t>
      </w:r>
      <w:r>
        <w:rPr>
          <w:rFonts w:ascii="Arial" w:hAnsi="Arial"/>
          <w:sz w:val="21"/>
        </w:rPr>
        <w:t>other</w:t>
      </w:r>
      <w:r>
        <w:rPr>
          <w:rFonts w:ascii="Arial" w:hAnsi="Arial"/>
          <w:sz w:val="20"/>
        </w:rPr>
        <w:t> </w:t>
      </w:r>
      <w:r>
        <w:rPr>
          <w:rFonts w:ascii="Arial" w:hAnsi="Arial"/>
          <w:sz w:val="21"/>
        </w:rPr>
        <w:t>than</w:t>
      </w:r>
      <w:r>
        <w:rPr>
          <w:rFonts w:ascii="Arial" w:hAnsi="Arial"/>
          <w:sz w:val="20"/>
        </w:rPr>
        <w:t> </w:t>
      </w:r>
      <w:r>
        <w:rPr>
          <w:rFonts w:ascii="Arial" w:hAnsi="Arial"/>
          <w:sz w:val="21"/>
        </w:rPr>
        <w:t>by the exercise of an option of the Transaction Party to pay it before its maturity;</w:t>
      </w:r>
      <w:r>
        <w:rPr>
          <w:rFonts w:ascii="Arial" w:hAnsi="Arial"/>
          <w:sz w:val="20"/>
        </w:rPr>
        <w:t xml:space="preserve"> </w:t>
      </w:r>
    </w:p>
    <w:p>
      <w:pPr>
        <w:pStyle w:val="TextBody"/>
        <w:bidi w:val="0"/>
        <w:spacing w:lineRule="auto" w:line="266" w:before="117" w:after="0"/>
        <w:ind w:left="4275" w:right="1688" w:hanging="0"/>
        <w:jc w:val="left"/>
        <w:rPr>
          <w:rFonts w:ascii="Arial" w:hAnsi="Arial"/>
          <w:sz w:val="20"/>
        </w:rPr>
      </w:pPr>
      <w:r>
        <w:rPr>
          <w:rFonts w:ascii="Arial" w:hAnsi="Arial"/>
          <w:sz w:val="21"/>
        </w:rPr>
        <w:t>(ii)a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fails</w:t>
      </w:r>
      <w:r>
        <w:rPr>
          <w:rFonts w:ascii="Arial" w:hAnsi="Arial"/>
          <w:sz w:val="20"/>
        </w:rPr>
        <w:t> </w:t>
      </w:r>
      <w:r>
        <w:rPr>
          <w:rFonts w:ascii="Arial" w:hAnsi="Arial"/>
          <w:sz w:val="21"/>
        </w:rPr>
        <w:t>to</w:t>
      </w:r>
      <w:r>
        <w:rPr>
          <w:rFonts w:ascii="Arial" w:hAnsi="Arial"/>
          <w:sz w:val="20"/>
        </w:rPr>
        <w:t> </w:t>
      </w:r>
      <w:r>
        <w:rPr>
          <w:rFonts w:ascii="Arial" w:hAnsi="Arial"/>
          <w:sz w:val="21"/>
        </w:rPr>
        <w:t>pay</w:t>
      </w:r>
      <w:r>
        <w:rPr>
          <w:rFonts w:ascii="Arial" w:hAnsi="Arial"/>
          <w:sz w:val="20"/>
        </w:rPr>
        <w:t> </w:t>
      </w:r>
      <w:r>
        <w:rPr>
          <w:rFonts w:ascii="Arial" w:hAnsi="Arial"/>
          <w:sz w:val="21"/>
        </w:rPr>
        <w:t>when</w:t>
      </w:r>
      <w:r>
        <w:rPr>
          <w:rFonts w:ascii="Arial" w:hAnsi="Arial"/>
          <w:sz w:val="20"/>
        </w:rPr>
        <w:t> </w:t>
      </w:r>
      <w:r>
        <w:rPr>
          <w:rFonts w:ascii="Arial" w:hAnsi="Arial"/>
          <w:sz w:val="21"/>
        </w:rPr>
        <w:t>due</w:t>
      </w:r>
      <w:r>
        <w:rPr>
          <w:rFonts w:ascii="Arial" w:hAnsi="Arial"/>
          <w:sz w:val="20"/>
        </w:rPr>
        <w:t> </w:t>
      </w:r>
      <w:r>
        <w:rPr>
          <w:rFonts w:ascii="Arial" w:hAnsi="Arial"/>
          <w:sz w:val="21"/>
        </w:rPr>
        <w:t>for</w:t>
      </w:r>
      <w:r>
        <w:rPr>
          <w:rFonts w:ascii="Arial" w:hAnsi="Arial"/>
          <w:sz w:val="20"/>
        </w:rPr>
        <w:t> </w:t>
      </w:r>
      <w:r>
        <w:rPr>
          <w:rFonts w:ascii="Arial" w:hAnsi="Arial"/>
          <w:sz w:val="21"/>
        </w:rPr>
        <w:t>payment</w:t>
      </w:r>
      <w:r>
        <w:rPr>
          <w:rFonts w:ascii="Arial" w:hAnsi="Arial"/>
          <w:sz w:val="20"/>
        </w:rPr>
        <w:t> </w:t>
      </w:r>
      <w:r>
        <w:rPr>
          <w:rFonts w:ascii="Arial" w:hAnsi="Arial"/>
          <w:sz w:val="21"/>
        </w:rPr>
        <w:t>(or</w:t>
      </w:r>
      <w:r>
        <w:rPr>
          <w:rFonts w:ascii="Arial" w:hAnsi="Arial"/>
          <w:sz w:val="20"/>
        </w:rPr>
        <w:t> </w:t>
      </w:r>
      <w:r>
        <w:rPr>
          <w:rFonts w:ascii="Arial" w:hAnsi="Arial"/>
          <w:sz w:val="21"/>
        </w:rPr>
        <w:t>within any applicable grace period) any Financial Indebtedness (other than Excluded Financial Indebtedness) in excess of $500,000;</w:t>
      </w:r>
      <w:r>
        <w:rPr>
          <w:rFonts w:ascii="Arial" w:hAnsi="Arial"/>
          <w:sz w:val="20"/>
        </w:rPr>
        <w:t xml:space="preserve"> </w:t>
      </w:r>
    </w:p>
    <w:p>
      <w:pPr>
        <w:pStyle w:val="TextBody"/>
        <w:bidi w:val="0"/>
        <w:spacing w:lineRule="auto" w:line="266" w:before="120" w:after="0"/>
        <w:ind w:left="4275" w:right="1430" w:hanging="0"/>
        <w:jc w:val="left"/>
        <w:rPr>
          <w:rFonts w:ascii="Arial" w:hAnsi="Arial"/>
          <w:sz w:val="20"/>
        </w:rPr>
      </w:pPr>
      <w:r>
        <w:rPr>
          <w:rFonts w:ascii="Arial" w:hAnsi="Arial"/>
          <w:sz w:val="21"/>
        </w:rPr>
        <w:t>(iii)an obligation by a person to a Transaction Party to provide financial accommodation or to acquire or underwrite Financial Indebtedness (other than Excluded Financial Indebtedness) in excess</w:t>
      </w:r>
      <w:r>
        <w:rPr>
          <w:rFonts w:ascii="Arial" w:hAnsi="Arial"/>
          <w:sz w:val="20"/>
        </w:rPr>
        <w:t> </w:t>
      </w:r>
      <w:r>
        <w:rPr>
          <w:rFonts w:ascii="Arial" w:hAnsi="Arial"/>
          <w:sz w:val="21"/>
        </w:rPr>
        <w:t>of</w:t>
      </w:r>
      <w:r>
        <w:rPr>
          <w:rFonts w:ascii="Arial" w:hAnsi="Arial"/>
          <w:sz w:val="20"/>
        </w:rPr>
        <w:t> </w:t>
      </w:r>
      <w:r>
        <w:rPr>
          <w:rFonts w:ascii="Arial" w:hAnsi="Arial"/>
          <w:sz w:val="21"/>
        </w:rPr>
        <w:t>$500,000</w:t>
      </w:r>
      <w:r>
        <w:rPr>
          <w:rFonts w:ascii="Arial" w:hAnsi="Arial"/>
          <w:sz w:val="20"/>
        </w:rPr>
        <w:t> </w:t>
      </w:r>
      <w:r>
        <w:rPr>
          <w:rFonts w:ascii="Arial" w:hAnsi="Arial"/>
          <w:sz w:val="21"/>
        </w:rPr>
        <w:t>ceases</w:t>
      </w:r>
      <w:r>
        <w:rPr>
          <w:rFonts w:ascii="Arial" w:hAnsi="Arial"/>
          <w:sz w:val="20"/>
        </w:rPr>
        <w:t> </w:t>
      </w:r>
      <w:r>
        <w:rPr>
          <w:rFonts w:ascii="Arial" w:hAnsi="Arial"/>
          <w:sz w:val="21"/>
        </w:rPr>
        <w:t>before</w:t>
      </w:r>
      <w:r>
        <w:rPr>
          <w:rFonts w:ascii="Arial" w:hAnsi="Arial"/>
          <w:sz w:val="20"/>
        </w:rPr>
        <w:t> </w:t>
      </w:r>
      <w:r>
        <w:rPr>
          <w:rFonts w:ascii="Arial" w:hAnsi="Arial"/>
          <w:sz w:val="21"/>
        </w:rPr>
        <w:t>its</w:t>
      </w:r>
      <w:r>
        <w:rPr>
          <w:rFonts w:ascii="Arial" w:hAnsi="Arial"/>
          <w:sz w:val="20"/>
        </w:rPr>
        <w:t> </w:t>
      </w:r>
      <w:r>
        <w:rPr>
          <w:rFonts w:ascii="Arial" w:hAnsi="Arial"/>
          <w:sz w:val="21"/>
        </w:rPr>
        <w:t>stated</w:t>
      </w:r>
      <w:r>
        <w:rPr>
          <w:rFonts w:ascii="Arial" w:hAnsi="Arial"/>
          <w:sz w:val="20"/>
        </w:rPr>
        <w:t> </w:t>
      </w:r>
      <w:r>
        <w:rPr>
          <w:rFonts w:ascii="Arial" w:hAnsi="Arial"/>
          <w:sz w:val="21"/>
        </w:rPr>
        <w:t>maturity</w:t>
      </w:r>
      <w:r>
        <w:rPr>
          <w:rFonts w:ascii="Arial" w:hAnsi="Arial"/>
          <w:sz w:val="20"/>
        </w:rPr>
        <w:t> </w:t>
      </w:r>
      <w:r>
        <w:rPr>
          <w:rFonts w:ascii="Arial" w:hAnsi="Arial"/>
          <w:sz w:val="21"/>
        </w:rPr>
        <w:t>other</w:t>
      </w:r>
      <w:r>
        <w:rPr>
          <w:rFonts w:ascii="Arial" w:hAnsi="Arial"/>
          <w:sz w:val="20"/>
        </w:rPr>
        <w:t> </w:t>
      </w:r>
      <w:r>
        <w:rPr>
          <w:rFonts w:ascii="Arial" w:hAnsi="Arial"/>
          <w:sz w:val="21"/>
        </w:rPr>
        <w:t>than</w:t>
      </w:r>
      <w:r>
        <w:rPr>
          <w:rFonts w:ascii="Arial" w:hAnsi="Arial"/>
          <w:sz w:val="20"/>
        </w:rPr>
        <w:t> </w:t>
      </w:r>
      <w:r>
        <w:rPr>
          <w:rFonts w:ascii="Arial" w:hAnsi="Arial"/>
          <w:sz w:val="21"/>
        </w:rPr>
        <w:t>by the exercise of an option of the Transaction Party to cancel that obligation; or</w:t>
      </w:r>
      <w:r>
        <w:rPr>
          <w:rFonts w:ascii="Arial" w:hAnsi="Arial"/>
          <w:sz w:val="20"/>
        </w:rPr>
        <w:t xml:space="preserve"> </w:t>
      </w:r>
    </w:p>
    <w:p>
      <w:pPr>
        <w:pStyle w:val="TextBody"/>
        <w:bidi w:val="0"/>
        <w:spacing w:lineRule="auto" w:line="266" w:before="118" w:after="0"/>
        <w:ind w:left="4275" w:right="1537" w:hanging="0"/>
        <w:jc w:val="left"/>
        <w:rPr>
          <w:rFonts w:ascii="Arial" w:hAnsi="Arial"/>
          <w:sz w:val="20"/>
        </w:rPr>
      </w:pPr>
      <w:r>
        <w:rPr>
          <w:rFonts w:ascii="Arial" w:hAnsi="Arial"/>
          <w:sz w:val="21"/>
        </w:rPr>
        <w:t>(iv)a</w:t>
      </w:r>
      <w:r>
        <w:rPr>
          <w:rFonts w:ascii="Arial" w:hAnsi="Arial"/>
          <w:sz w:val="20"/>
        </w:rPr>
        <w:t> </w:t>
      </w:r>
      <w:r>
        <w:rPr>
          <w:rFonts w:ascii="Arial" w:hAnsi="Arial"/>
          <w:sz w:val="21"/>
        </w:rPr>
        <w:t>marketable</w:t>
      </w:r>
      <w:r>
        <w:rPr>
          <w:rFonts w:ascii="Arial" w:hAnsi="Arial"/>
          <w:sz w:val="20"/>
        </w:rPr>
        <w:t> </w:t>
      </w:r>
      <w:r>
        <w:rPr>
          <w:rFonts w:ascii="Arial" w:hAnsi="Arial"/>
          <w:sz w:val="21"/>
        </w:rPr>
        <w:t>security</w:t>
      </w:r>
      <w:r>
        <w:rPr>
          <w:rFonts w:ascii="Arial" w:hAnsi="Arial"/>
          <w:sz w:val="20"/>
        </w:rPr>
        <w:t> </w:t>
      </w:r>
      <w:r>
        <w:rPr>
          <w:rFonts w:ascii="Arial" w:hAnsi="Arial"/>
          <w:sz w:val="21"/>
        </w:rPr>
        <w:t>issued</w:t>
      </w:r>
      <w:r>
        <w:rPr>
          <w:rFonts w:ascii="Arial" w:hAnsi="Arial"/>
          <w:sz w:val="20"/>
        </w:rPr>
        <w:t> </w:t>
      </w:r>
      <w:r>
        <w:rPr>
          <w:rFonts w:ascii="Arial" w:hAnsi="Arial"/>
          <w:sz w:val="21"/>
        </w:rPr>
        <w:t>by</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and</w:t>
      </w:r>
      <w:r>
        <w:rPr>
          <w:rFonts w:ascii="Arial" w:hAnsi="Arial"/>
          <w:sz w:val="20"/>
        </w:rPr>
        <w:t> </w:t>
      </w:r>
      <w:r>
        <w:rPr>
          <w:rFonts w:ascii="Arial" w:hAnsi="Arial"/>
          <w:sz w:val="21"/>
        </w:rPr>
        <w:t>having</w:t>
      </w:r>
      <w:r>
        <w:rPr>
          <w:rFonts w:ascii="Arial" w:hAnsi="Arial"/>
          <w:sz w:val="20"/>
        </w:rPr>
        <w:t> </w:t>
      </w:r>
      <w:r>
        <w:rPr>
          <w:rFonts w:ascii="Arial" w:hAnsi="Arial"/>
          <w:sz w:val="21"/>
        </w:rPr>
        <w:t>a face value over $500,000 is required to be redeemed or repurchased before its stated maturity other than by the exercise of an option of the issuer to redeem or repurchase;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(k)</w:t>
      </w:r>
      <w:r>
        <w:rPr>
          <w:rFonts w:ascii="Arial" w:hAnsi="Arial"/>
          <w:b/>
          <w:sz w:val="21"/>
        </w:rPr>
        <w:t>cessation</w:t>
      </w:r>
      <w:r>
        <w:rPr>
          <w:rFonts w:ascii="Arial" w:hAnsi="Arial"/>
          <w:sz w:val="20"/>
        </w:rPr>
        <w:t> </w:t>
      </w:r>
      <w:r>
        <w:rPr>
          <w:rFonts w:ascii="Arial" w:hAnsi="Arial"/>
          <w:b/>
          <w:sz w:val="21"/>
        </w:rPr>
        <w:t>of</w:t>
      </w:r>
      <w:r>
        <w:rPr>
          <w:rFonts w:ascii="Arial" w:hAnsi="Arial"/>
          <w:sz w:val="20"/>
        </w:rPr>
        <w:t> </w:t>
      </w:r>
      <w:r>
        <w:rPr>
          <w:rFonts w:ascii="Arial" w:hAnsi="Arial"/>
          <w:b/>
          <w:sz w:val="21"/>
        </w:rPr>
        <w:t>business:</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ceases</w:t>
      </w:r>
      <w:r>
        <w:rPr>
          <w:rFonts w:ascii="Arial" w:hAnsi="Arial"/>
          <w:sz w:val="20"/>
        </w:rPr>
        <w:t> </w:t>
      </w:r>
      <w:r>
        <w:rPr>
          <w:rFonts w:ascii="Arial" w:hAnsi="Arial"/>
          <w:sz w:val="21"/>
        </w:rPr>
        <w:t>or</w:t>
      </w:r>
      <w:r>
        <w:rPr>
          <w:rFonts w:ascii="Arial" w:hAnsi="Arial"/>
          <w:sz w:val="20"/>
        </w:rPr>
        <w:t> </w:t>
      </w:r>
      <w:r>
        <w:rPr>
          <w:rFonts w:ascii="Arial" w:hAnsi="Arial"/>
          <w:sz w:val="21"/>
        </w:rPr>
        <w:t>threatens</w:t>
      </w:r>
      <w:r>
        <w:rPr>
          <w:rFonts w:ascii="Arial" w:hAnsi="Arial"/>
          <w:sz w:val="20"/>
        </w:rPr>
        <w:t> </w:t>
      </w:r>
      <w:r>
        <w:rPr>
          <w:rFonts w:ascii="Arial" w:hAnsi="Arial"/>
          <w:sz w:val="21"/>
        </w:rPr>
        <w:t>to cease to carry on its business or a substantial part of its business;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(l)</w:t>
      </w:r>
      <w:r>
        <w:rPr>
          <w:rFonts w:ascii="Arial" w:hAnsi="Arial"/>
          <w:b/>
          <w:sz w:val="21"/>
        </w:rPr>
        <w:t>enforcement of other Security:</w:t>
      </w:r>
      <w:r>
        <w:rPr>
          <w:rFonts w:ascii="Arial" w:hAnsi="Arial"/>
          <w:sz w:val="20"/>
        </w:rPr>
        <w:t> </w:t>
      </w:r>
      <w:r>
        <w:rPr>
          <w:rFonts w:ascii="Arial" w:hAnsi="Arial"/>
          <w:sz w:val="21"/>
        </w:rPr>
        <w:t>a person who holds a Security over property of a Transaction Party exercises a right under that Security against the property to recover any money the payment of which is secured</w:t>
      </w:r>
      <w:r>
        <w:rPr>
          <w:rFonts w:ascii="Arial" w:hAnsi="Arial"/>
          <w:sz w:val="20"/>
        </w:rPr>
        <w:t> </w:t>
      </w:r>
      <w:r>
        <w:rPr>
          <w:rFonts w:ascii="Arial" w:hAnsi="Arial"/>
          <w:sz w:val="21"/>
        </w:rPr>
        <w:t>by</w:t>
      </w:r>
      <w:r>
        <w:rPr>
          <w:rFonts w:ascii="Arial" w:hAnsi="Arial"/>
          <w:sz w:val="20"/>
        </w:rPr>
        <w:t> </w:t>
      </w:r>
      <w:r>
        <w:rPr>
          <w:rFonts w:ascii="Arial" w:hAnsi="Arial"/>
          <w:sz w:val="21"/>
        </w:rPr>
        <w:t>that</w:t>
      </w:r>
      <w:r>
        <w:rPr>
          <w:rFonts w:ascii="Arial" w:hAnsi="Arial"/>
          <w:sz w:val="20"/>
        </w:rPr>
        <w:t> </w:t>
      </w:r>
      <w:r>
        <w:rPr>
          <w:rFonts w:ascii="Arial" w:hAnsi="Arial"/>
          <w:sz w:val="21"/>
        </w:rPr>
        <w:t>Security</w:t>
      </w:r>
      <w:r>
        <w:rPr>
          <w:rFonts w:ascii="Arial" w:hAnsi="Arial"/>
          <w:sz w:val="20"/>
        </w:rPr>
        <w:t> </w:t>
      </w:r>
      <w:r>
        <w:rPr>
          <w:rFonts w:ascii="Arial" w:hAnsi="Arial"/>
          <w:sz w:val="21"/>
        </w:rPr>
        <w:t>or</w:t>
      </w:r>
      <w:r>
        <w:rPr>
          <w:rFonts w:ascii="Arial" w:hAnsi="Arial"/>
          <w:sz w:val="20"/>
        </w:rPr>
        <w:t> </w:t>
      </w:r>
      <w:r>
        <w:rPr>
          <w:rFonts w:ascii="Arial" w:hAnsi="Arial"/>
          <w:sz w:val="21"/>
        </w:rPr>
        <w:t>enforce</w:t>
      </w:r>
      <w:r>
        <w:rPr>
          <w:rFonts w:ascii="Arial" w:hAnsi="Arial"/>
          <w:sz w:val="20"/>
        </w:rPr>
        <w:t> </w:t>
      </w:r>
      <w:r>
        <w:rPr>
          <w:rFonts w:ascii="Arial" w:hAnsi="Arial"/>
          <w:sz w:val="21"/>
        </w:rPr>
        <w:t>any</w:t>
      </w:r>
      <w:r>
        <w:rPr>
          <w:rFonts w:ascii="Arial" w:hAnsi="Arial"/>
          <w:sz w:val="20"/>
        </w:rPr>
        <w:t> </w:t>
      </w:r>
      <w:r>
        <w:rPr>
          <w:rFonts w:ascii="Arial" w:hAnsi="Arial"/>
          <w:sz w:val="21"/>
        </w:rPr>
        <w:t>other</w:t>
      </w:r>
      <w:r>
        <w:rPr>
          <w:rFonts w:ascii="Arial" w:hAnsi="Arial"/>
          <w:sz w:val="20"/>
        </w:rPr>
        <w:t> </w:t>
      </w:r>
      <w:r>
        <w:rPr>
          <w:rFonts w:ascii="Arial" w:hAnsi="Arial"/>
          <w:sz w:val="21"/>
        </w:rPr>
        <w:t>obligation</w:t>
      </w:r>
      <w:r>
        <w:rPr>
          <w:rFonts w:ascii="Arial" w:hAnsi="Arial"/>
          <w:sz w:val="20"/>
        </w:rPr>
        <w:t> </w:t>
      </w:r>
      <w:r>
        <w:rPr>
          <w:rFonts w:ascii="Arial" w:hAnsi="Arial"/>
          <w:sz w:val="21"/>
        </w:rPr>
        <w:t>the</w:t>
      </w:r>
      <w:r>
        <w:rPr>
          <w:rFonts w:ascii="Arial" w:hAnsi="Arial"/>
          <w:sz w:val="20"/>
        </w:rPr>
        <w:t> </w:t>
      </w:r>
      <w:r>
        <w:rPr>
          <w:rFonts w:ascii="Arial" w:hAnsi="Arial"/>
          <w:sz w:val="21"/>
        </w:rPr>
        <w:t>compliance with which is secured by it;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(m)</w:t>
      </w:r>
      <w:r>
        <w:rPr>
          <w:rFonts w:ascii="Arial" w:hAnsi="Arial"/>
          <w:b/>
          <w:sz w:val="21"/>
        </w:rPr>
        <w:t>undertaking:</w:t>
      </w:r>
      <w:r>
        <w:rPr>
          <w:rFonts w:ascii="Arial" w:hAnsi="Arial"/>
          <w:sz w:val="20"/>
        </w:rPr>
        <w:t> </w:t>
      </w:r>
      <w:r>
        <w:rPr>
          <w:rFonts w:ascii="Arial" w:hAnsi="Arial"/>
          <w:sz w:val="21"/>
        </w:rPr>
        <w:t>an</w:t>
      </w:r>
      <w:r>
        <w:rPr>
          <w:rFonts w:ascii="Arial" w:hAnsi="Arial"/>
          <w:sz w:val="20"/>
        </w:rPr>
        <w:t> </w:t>
      </w:r>
      <w:r>
        <w:rPr>
          <w:rFonts w:ascii="Arial" w:hAnsi="Arial"/>
          <w:sz w:val="21"/>
        </w:rPr>
        <w:t>undertaking</w:t>
      </w:r>
      <w:r>
        <w:rPr>
          <w:rFonts w:ascii="Arial" w:hAnsi="Arial"/>
          <w:sz w:val="20"/>
        </w:rPr>
        <w:t> </w:t>
      </w:r>
      <w:r>
        <w:rPr>
          <w:rFonts w:ascii="Arial" w:hAnsi="Arial"/>
          <w:sz w:val="21"/>
        </w:rPr>
        <w:t>given</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(or</w:t>
      </w:r>
      <w:r>
        <w:rPr>
          <w:rFonts w:ascii="Arial" w:hAnsi="Arial"/>
          <w:sz w:val="20"/>
        </w:rPr>
        <w:t> </w:t>
      </w:r>
      <w:r>
        <w:rPr>
          <w:rFonts w:ascii="Arial" w:hAnsi="Arial"/>
          <w:sz w:val="21"/>
        </w:rPr>
        <w:t>its</w:t>
      </w:r>
      <w:r>
        <w:rPr>
          <w:rFonts w:ascii="Arial" w:hAnsi="Arial"/>
          <w:sz w:val="20"/>
        </w:rPr>
        <w:t> </w:t>
      </w:r>
      <w:r>
        <w:rPr>
          <w:rFonts w:ascii="Arial" w:hAnsi="Arial"/>
          <w:sz w:val="21"/>
        </w:rPr>
        <w:t>lawyers)</w:t>
      </w:r>
      <w:r>
        <w:rPr>
          <w:rFonts w:ascii="Arial" w:hAnsi="Arial"/>
          <w:sz w:val="20"/>
        </w:rPr>
        <w:t> </w:t>
      </w:r>
      <w:r>
        <w:rPr>
          <w:rFonts w:ascii="Arial" w:hAnsi="Arial"/>
          <w:sz w:val="21"/>
        </w:rPr>
        <w:t>by</w:t>
      </w:r>
      <w:r>
        <w:rPr>
          <w:rFonts w:ascii="Arial" w:hAnsi="Arial"/>
          <w:sz w:val="20"/>
        </w:rPr>
        <w:t> </w:t>
      </w:r>
      <w:r>
        <w:rPr>
          <w:rFonts w:ascii="Arial" w:hAnsi="Arial"/>
          <w:sz w:val="21"/>
        </w:rPr>
        <w:t>or</w:t>
      </w:r>
      <w:r>
        <w:rPr>
          <w:rFonts w:ascii="Arial" w:hAnsi="Arial"/>
          <w:sz w:val="20"/>
        </w:rPr>
        <w:t> </w:t>
      </w:r>
      <w:r>
        <w:rPr>
          <w:rFonts w:ascii="Arial" w:hAnsi="Arial"/>
          <w:sz w:val="21"/>
        </w:rPr>
        <w:t>on behalf of a Transaction Party (or its lawyers) is not honoured in accordance with its terms and if capable of rectification, is not rectified</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46" w:right="1471" w:hanging="0"/>
        <w:jc w:val="left"/>
        <w:rPr>
          <w:rFonts w:ascii="Arial" w:hAnsi="Arial"/>
          <w:sz w:val="22"/>
        </w:rPr>
      </w:pPr>
      <w:r>
        <w:rPr>
          <w:rFonts w:ascii="Arial" w:hAnsi="Arial"/>
          <w:sz w:val="22"/>
        </w:rPr>
        <w:t xml:space="preserve">within three Business Days (or any other longer period agreed by the Bank) after its occurrence; </w:t>
      </w:r>
    </w:p>
    <w:p>
      <w:pPr>
        <w:pStyle w:val="TextBody"/>
        <w:bidi w:val="0"/>
        <w:spacing w:lineRule="auto" w:line="266" w:before="118" w:after="0"/>
        <w:ind w:left="3687" w:right="854" w:hanging="0"/>
        <w:jc w:val="left"/>
        <w:rPr>
          <w:rFonts w:ascii="Arial" w:hAnsi="Arial"/>
          <w:sz w:val="20"/>
        </w:rPr>
      </w:pPr>
      <w:r>
        <w:rPr>
          <w:rFonts w:ascii="Arial" w:hAnsi="Arial"/>
          <w:sz w:val="21"/>
        </w:rPr>
        <w:t>(n)</w:t>
      </w:r>
      <w:r>
        <w:rPr>
          <w:rFonts w:ascii="Arial" w:hAnsi="Arial"/>
          <w:b/>
          <w:sz w:val="21"/>
        </w:rPr>
        <w:t>reduction</w:t>
      </w:r>
      <w:r>
        <w:rPr>
          <w:rFonts w:ascii="Arial" w:hAnsi="Arial"/>
          <w:sz w:val="20"/>
        </w:rPr>
        <w:t> </w:t>
      </w:r>
      <w:r>
        <w:rPr>
          <w:rFonts w:ascii="Arial" w:hAnsi="Arial"/>
          <w:b/>
          <w:sz w:val="21"/>
        </w:rPr>
        <w:t>of</w:t>
      </w:r>
      <w:r>
        <w:rPr>
          <w:rFonts w:ascii="Arial" w:hAnsi="Arial"/>
          <w:sz w:val="20"/>
        </w:rPr>
        <w:t> </w:t>
      </w:r>
      <w:r>
        <w:rPr>
          <w:rFonts w:ascii="Arial" w:hAnsi="Arial"/>
          <w:b/>
          <w:sz w:val="21"/>
        </w:rPr>
        <w:t>capital:</w:t>
      </w:r>
      <w:r>
        <w:rPr>
          <w:rFonts w:ascii="Arial" w:hAnsi="Arial"/>
          <w:sz w:val="20"/>
        </w:rPr>
        <w:t> </w:t>
      </w:r>
      <w:r>
        <w:rPr>
          <w:rFonts w:ascii="Arial" w:hAnsi="Arial"/>
          <w:sz w:val="21"/>
        </w:rPr>
        <w:t>if</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corporation:</w:t>
      </w:r>
      <w:r>
        <w:rPr>
          <w:rFonts w:ascii="Arial" w:hAnsi="Arial"/>
          <w:sz w:val="20"/>
        </w:rPr>
        <w:t xml:space="preserve"> </w:t>
      </w:r>
    </w:p>
    <w:p>
      <w:pPr>
        <w:pStyle w:val="TextBody"/>
        <w:bidi w:val="0"/>
        <w:spacing w:lineRule="auto" w:line="266" w:before="147" w:after="0"/>
        <w:ind w:left="4275" w:right="1736" w:hanging="0"/>
        <w:jc w:val="left"/>
        <w:rPr>
          <w:rFonts w:ascii="Arial" w:hAnsi="Arial"/>
          <w:sz w:val="20"/>
        </w:rPr>
      </w:pPr>
      <w:r>
        <w:rPr>
          <w:rFonts w:ascii="Arial" w:hAnsi="Arial"/>
          <w:sz w:val="21"/>
        </w:rPr>
        <w:t>(i)it</w:t>
      </w:r>
      <w:r>
        <w:rPr>
          <w:rFonts w:ascii="Arial" w:hAnsi="Arial"/>
          <w:sz w:val="20"/>
        </w:rPr>
        <w:t> </w:t>
      </w:r>
      <w:r>
        <w:rPr>
          <w:rFonts w:ascii="Arial" w:hAnsi="Arial"/>
          <w:sz w:val="21"/>
        </w:rPr>
        <w:t>reduces</w:t>
      </w:r>
      <w:r>
        <w:rPr>
          <w:rFonts w:ascii="Arial" w:hAnsi="Arial"/>
          <w:sz w:val="20"/>
        </w:rPr>
        <w:t> </w:t>
      </w:r>
      <w:r>
        <w:rPr>
          <w:rFonts w:ascii="Arial" w:hAnsi="Arial"/>
          <w:sz w:val="21"/>
        </w:rPr>
        <w:t>or</w:t>
      </w:r>
      <w:r>
        <w:rPr>
          <w:rFonts w:ascii="Arial" w:hAnsi="Arial"/>
          <w:sz w:val="20"/>
        </w:rPr>
        <w:t> </w:t>
      </w:r>
      <w:r>
        <w:rPr>
          <w:rFonts w:ascii="Arial" w:hAnsi="Arial"/>
          <w:sz w:val="21"/>
        </w:rPr>
        <w:t>takes</w:t>
      </w:r>
      <w:r>
        <w:rPr>
          <w:rFonts w:ascii="Arial" w:hAnsi="Arial"/>
          <w:sz w:val="20"/>
        </w:rPr>
        <w:t> </w:t>
      </w:r>
      <w:r>
        <w:rPr>
          <w:rFonts w:ascii="Arial" w:hAnsi="Arial"/>
          <w:sz w:val="21"/>
        </w:rPr>
        <w:t>any</w:t>
      </w:r>
      <w:r>
        <w:rPr>
          <w:rFonts w:ascii="Arial" w:hAnsi="Arial"/>
          <w:sz w:val="20"/>
        </w:rPr>
        <w:t> </w:t>
      </w:r>
      <w:r>
        <w:rPr>
          <w:rFonts w:ascii="Arial" w:hAnsi="Arial"/>
          <w:sz w:val="21"/>
        </w:rPr>
        <w:t>action</w:t>
      </w:r>
      <w:r>
        <w:rPr>
          <w:rFonts w:ascii="Arial" w:hAnsi="Arial"/>
          <w:sz w:val="20"/>
        </w:rPr>
        <w:t> </w:t>
      </w:r>
      <w:r>
        <w:rPr>
          <w:rFonts w:ascii="Arial" w:hAnsi="Arial"/>
          <w:sz w:val="21"/>
        </w:rPr>
        <w:t>to</w:t>
      </w:r>
      <w:r>
        <w:rPr>
          <w:rFonts w:ascii="Arial" w:hAnsi="Arial"/>
          <w:sz w:val="20"/>
        </w:rPr>
        <w:t> </w:t>
      </w:r>
      <w:r>
        <w:rPr>
          <w:rFonts w:ascii="Arial" w:hAnsi="Arial"/>
          <w:sz w:val="21"/>
        </w:rPr>
        <w:t>reduce</w:t>
      </w:r>
      <w:r>
        <w:rPr>
          <w:rFonts w:ascii="Arial" w:hAnsi="Arial"/>
          <w:sz w:val="20"/>
        </w:rPr>
        <w:t> </w:t>
      </w:r>
      <w:r>
        <w:rPr>
          <w:rFonts w:ascii="Arial" w:hAnsi="Arial"/>
          <w:sz w:val="21"/>
        </w:rPr>
        <w:t>its</w:t>
      </w:r>
      <w:r>
        <w:rPr>
          <w:rFonts w:ascii="Arial" w:hAnsi="Arial"/>
          <w:sz w:val="20"/>
        </w:rPr>
        <w:t> </w:t>
      </w:r>
      <w:r>
        <w:rPr>
          <w:rFonts w:ascii="Arial" w:hAnsi="Arial"/>
          <w:sz w:val="21"/>
        </w:rPr>
        <w:t>capital</w:t>
      </w:r>
      <w:r>
        <w:rPr>
          <w:rFonts w:ascii="Arial" w:hAnsi="Arial"/>
          <w:sz w:val="20"/>
        </w:rPr>
        <w:t> </w:t>
      </w:r>
      <w:r>
        <w:rPr>
          <w:rFonts w:ascii="Arial" w:hAnsi="Arial"/>
          <w:sz w:val="21"/>
        </w:rPr>
        <w:t>other</w:t>
      </w:r>
      <w:r>
        <w:rPr>
          <w:rFonts w:ascii="Arial" w:hAnsi="Arial"/>
          <w:sz w:val="20"/>
        </w:rPr>
        <w:t> </w:t>
      </w:r>
      <w:r>
        <w:rPr>
          <w:rFonts w:ascii="Arial" w:hAnsi="Arial"/>
          <w:sz w:val="21"/>
        </w:rPr>
        <w:t>than</w:t>
      </w:r>
      <w:r>
        <w:rPr>
          <w:rFonts w:ascii="Arial" w:hAnsi="Arial"/>
          <w:sz w:val="20"/>
        </w:rPr>
        <w:t> </w:t>
      </w:r>
      <w:r>
        <w:rPr>
          <w:rFonts w:ascii="Arial" w:hAnsi="Arial"/>
          <w:sz w:val="21"/>
        </w:rPr>
        <w:t>by the redemption of redeemable preference shares;</w:t>
      </w:r>
      <w:r>
        <w:rPr>
          <w:rFonts w:ascii="Arial" w:hAnsi="Arial"/>
          <w:sz w:val="20"/>
        </w:rPr>
        <w:t xml:space="preserve"> </w:t>
      </w:r>
    </w:p>
    <w:p>
      <w:pPr>
        <w:pStyle w:val="TextBody"/>
        <w:bidi w:val="0"/>
        <w:spacing w:lineRule="auto" w:line="268" w:before="0" w:after="0"/>
        <w:ind w:left="4275" w:right="2050" w:hanging="0"/>
        <w:jc w:val="left"/>
        <w:rPr>
          <w:rFonts w:ascii="Arial" w:hAnsi="Arial"/>
          <w:sz w:val="20"/>
        </w:rPr>
      </w:pPr>
      <w:r>
        <w:rPr>
          <w:rFonts w:ascii="Arial" w:hAnsi="Arial"/>
          <w:sz w:val="21"/>
        </w:rPr>
        <w:t>(ii)it</w:t>
      </w:r>
      <w:r>
        <w:rPr>
          <w:rFonts w:ascii="Arial" w:hAnsi="Arial"/>
          <w:sz w:val="20"/>
        </w:rPr>
        <w:t> </w:t>
      </w:r>
      <w:r>
        <w:rPr>
          <w:rFonts w:ascii="Arial" w:hAnsi="Arial"/>
          <w:sz w:val="21"/>
        </w:rPr>
        <w:t>passes</w:t>
      </w:r>
      <w:r>
        <w:rPr>
          <w:rFonts w:ascii="Arial" w:hAnsi="Arial"/>
          <w:sz w:val="20"/>
        </w:rPr>
        <w:t> </w:t>
      </w:r>
      <w:r>
        <w:rPr>
          <w:rFonts w:ascii="Arial" w:hAnsi="Arial"/>
          <w:sz w:val="21"/>
        </w:rPr>
        <w:t>or</w:t>
      </w:r>
      <w:r>
        <w:rPr>
          <w:rFonts w:ascii="Arial" w:hAnsi="Arial"/>
          <w:sz w:val="20"/>
        </w:rPr>
        <w:t> </w:t>
      </w:r>
      <w:r>
        <w:rPr>
          <w:rFonts w:ascii="Arial" w:hAnsi="Arial"/>
          <w:sz w:val="21"/>
        </w:rPr>
        <w:t>takes</w:t>
      </w:r>
      <w:r>
        <w:rPr>
          <w:rFonts w:ascii="Arial" w:hAnsi="Arial"/>
          <w:sz w:val="20"/>
        </w:rPr>
        <w:t> </w:t>
      </w:r>
      <w:r>
        <w:rPr>
          <w:rFonts w:ascii="Arial" w:hAnsi="Arial"/>
          <w:sz w:val="21"/>
        </w:rPr>
        <w:t>any</w:t>
      </w:r>
      <w:r>
        <w:rPr>
          <w:rFonts w:ascii="Arial" w:hAnsi="Arial"/>
          <w:sz w:val="20"/>
        </w:rPr>
        <w:t> </w:t>
      </w:r>
      <w:r>
        <w:rPr>
          <w:rFonts w:ascii="Arial" w:hAnsi="Arial"/>
          <w:sz w:val="21"/>
        </w:rPr>
        <w:t>action</w:t>
      </w:r>
      <w:r>
        <w:rPr>
          <w:rFonts w:ascii="Arial" w:hAnsi="Arial"/>
          <w:sz w:val="20"/>
        </w:rPr>
        <w:t> </w:t>
      </w:r>
      <w:r>
        <w:rPr>
          <w:rFonts w:ascii="Arial" w:hAnsi="Arial"/>
          <w:sz w:val="21"/>
        </w:rPr>
        <w:t>to</w:t>
      </w:r>
      <w:r>
        <w:rPr>
          <w:rFonts w:ascii="Arial" w:hAnsi="Arial"/>
          <w:sz w:val="20"/>
        </w:rPr>
        <w:t> </w:t>
      </w:r>
      <w:r>
        <w:rPr>
          <w:rFonts w:ascii="Arial" w:hAnsi="Arial"/>
          <w:sz w:val="21"/>
        </w:rPr>
        <w:t>pass</w:t>
      </w:r>
      <w:r>
        <w:rPr>
          <w:rFonts w:ascii="Arial" w:hAnsi="Arial"/>
          <w:sz w:val="20"/>
        </w:rPr>
        <w:t> </w:t>
      </w:r>
      <w:r>
        <w:rPr>
          <w:rFonts w:ascii="Arial" w:hAnsi="Arial"/>
          <w:sz w:val="21"/>
        </w:rPr>
        <w:t>a</w:t>
      </w:r>
      <w:r>
        <w:rPr>
          <w:rFonts w:ascii="Arial" w:hAnsi="Arial"/>
          <w:sz w:val="20"/>
        </w:rPr>
        <w:t> </w:t>
      </w:r>
      <w:r>
        <w:rPr>
          <w:rFonts w:ascii="Arial" w:hAnsi="Arial"/>
          <w:sz w:val="21"/>
        </w:rPr>
        <w:t>resolution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type referred to in section 254N of the Corporations Act;</w:t>
      </w:r>
      <w:r>
        <w:rPr>
          <w:rFonts w:ascii="Arial" w:hAnsi="Arial"/>
          <w:sz w:val="20"/>
        </w:rPr>
        <w:t xml:space="preserve"> </w:t>
      </w:r>
    </w:p>
    <w:p>
      <w:pPr>
        <w:pStyle w:val="TextBody"/>
        <w:bidi w:val="0"/>
        <w:spacing w:before="115" w:after="0"/>
        <w:ind w:left="4275" w:right="700" w:hanging="0"/>
        <w:jc w:val="left"/>
        <w:rPr>
          <w:rFonts w:ascii="Arial" w:hAnsi="Arial"/>
          <w:sz w:val="20"/>
        </w:rPr>
      </w:pPr>
      <w:r>
        <w:rPr>
          <w:rFonts w:ascii="Arial" w:hAnsi="Arial"/>
          <w:sz w:val="21"/>
        </w:rPr>
        <w:t>(iii)it:</w:t>
      </w:r>
      <w:r>
        <w:rPr>
          <w:rFonts w:ascii="Arial" w:hAnsi="Arial"/>
          <w:sz w:val="20"/>
        </w:rPr>
        <w:t xml:space="preserve"> </w:t>
      </w:r>
    </w:p>
    <w:p>
      <w:pPr>
        <w:pStyle w:val="TextBody"/>
        <w:bidi w:val="0"/>
        <w:spacing w:before="150" w:after="0"/>
        <w:ind w:left="4820" w:right="700" w:hanging="0"/>
        <w:jc w:val="left"/>
        <w:rPr>
          <w:rFonts w:ascii="Arial" w:hAnsi="Arial"/>
          <w:sz w:val="20"/>
        </w:rPr>
      </w:pPr>
      <w:r>
        <w:rPr>
          <w:rFonts w:ascii="Arial" w:hAnsi="Arial"/>
          <w:sz w:val="21"/>
        </w:rPr>
        <w:t>(A)buys</w:t>
      </w:r>
      <w:r>
        <w:rPr>
          <w:rFonts w:ascii="Arial" w:hAnsi="Arial"/>
          <w:sz w:val="20"/>
        </w:rPr>
        <w:t> </w:t>
      </w:r>
      <w:r>
        <w:rPr>
          <w:rFonts w:ascii="Arial" w:hAnsi="Arial"/>
          <w:sz w:val="21"/>
        </w:rPr>
        <w:t>or</w:t>
      </w:r>
      <w:r>
        <w:rPr>
          <w:rFonts w:ascii="Arial" w:hAnsi="Arial"/>
          <w:sz w:val="20"/>
        </w:rPr>
        <w:t> </w:t>
      </w:r>
      <w:r>
        <w:rPr>
          <w:rFonts w:ascii="Arial" w:hAnsi="Arial"/>
          <w:sz w:val="21"/>
        </w:rPr>
        <w:t>takes</w:t>
      </w:r>
      <w:r>
        <w:rPr>
          <w:rFonts w:ascii="Arial" w:hAnsi="Arial"/>
          <w:sz w:val="20"/>
        </w:rPr>
        <w:t> </w:t>
      </w:r>
      <w:r>
        <w:rPr>
          <w:rFonts w:ascii="Arial" w:hAnsi="Arial"/>
          <w:sz w:val="21"/>
        </w:rPr>
        <w:t>any</w:t>
      </w:r>
      <w:r>
        <w:rPr>
          <w:rFonts w:ascii="Arial" w:hAnsi="Arial"/>
          <w:sz w:val="20"/>
        </w:rPr>
        <w:t> </w:t>
      </w:r>
      <w:r>
        <w:rPr>
          <w:rFonts w:ascii="Arial" w:hAnsi="Arial"/>
          <w:sz w:val="21"/>
        </w:rPr>
        <w:t>action</w:t>
      </w:r>
      <w:r>
        <w:rPr>
          <w:rFonts w:ascii="Arial" w:hAnsi="Arial"/>
          <w:sz w:val="20"/>
        </w:rPr>
        <w:t> </w:t>
      </w:r>
      <w:r>
        <w:rPr>
          <w:rFonts w:ascii="Arial" w:hAnsi="Arial"/>
          <w:sz w:val="21"/>
        </w:rPr>
        <w:t>to</w:t>
      </w:r>
      <w:r>
        <w:rPr>
          <w:rFonts w:ascii="Arial" w:hAnsi="Arial"/>
          <w:sz w:val="20"/>
        </w:rPr>
        <w:t> </w:t>
      </w:r>
      <w:r>
        <w:rPr>
          <w:rFonts w:ascii="Arial" w:hAnsi="Arial"/>
          <w:sz w:val="21"/>
        </w:rPr>
        <w:t>buy,</w:t>
      </w:r>
      <w:r>
        <w:rPr>
          <w:rFonts w:ascii="Arial" w:hAnsi="Arial"/>
          <w:sz w:val="20"/>
        </w:rPr>
        <w:t> </w:t>
      </w:r>
      <w:r>
        <w:rPr>
          <w:rFonts w:ascii="Arial" w:hAnsi="Arial"/>
          <w:sz w:val="21"/>
        </w:rPr>
        <w:t>or</w:t>
      </w:r>
      <w:r>
        <w:rPr>
          <w:rFonts w:ascii="Arial" w:hAnsi="Arial"/>
          <w:sz w:val="20"/>
        </w:rPr>
        <w:t xml:space="preserve"> </w:t>
      </w:r>
    </w:p>
    <w:p>
      <w:pPr>
        <w:pStyle w:val="TextBody"/>
        <w:bidi w:val="0"/>
        <w:spacing w:lineRule="auto" w:line="266" w:before="147" w:after="0"/>
        <w:ind w:left="4820" w:right="1414" w:hanging="0"/>
        <w:jc w:val="left"/>
        <w:rPr>
          <w:rFonts w:ascii="Arial" w:hAnsi="Arial"/>
          <w:sz w:val="20"/>
        </w:rPr>
      </w:pPr>
      <w:r>
        <w:rPr>
          <w:rFonts w:ascii="Arial" w:hAnsi="Arial"/>
          <w:sz w:val="21"/>
        </w:rPr>
        <w:t>(B)financially assists (within the meaning of section 260A of the Corporations</w:t>
      </w:r>
      <w:r>
        <w:rPr>
          <w:rFonts w:ascii="Arial" w:hAnsi="Arial"/>
          <w:sz w:val="20"/>
        </w:rPr>
        <w:t> </w:t>
      </w:r>
      <w:r>
        <w:rPr>
          <w:rFonts w:ascii="Arial" w:hAnsi="Arial"/>
          <w:sz w:val="21"/>
        </w:rPr>
        <w:t>Act)</w:t>
      </w:r>
      <w:r>
        <w:rPr>
          <w:rFonts w:ascii="Arial" w:hAnsi="Arial"/>
          <w:sz w:val="20"/>
        </w:rPr>
        <w:t> </w:t>
      </w:r>
      <w:r>
        <w:rPr>
          <w:rFonts w:ascii="Arial" w:hAnsi="Arial"/>
          <w:sz w:val="21"/>
        </w:rPr>
        <w:t>or</w:t>
      </w:r>
      <w:r>
        <w:rPr>
          <w:rFonts w:ascii="Arial" w:hAnsi="Arial"/>
          <w:sz w:val="20"/>
        </w:rPr>
        <w:t> </w:t>
      </w:r>
      <w:r>
        <w:rPr>
          <w:rFonts w:ascii="Arial" w:hAnsi="Arial"/>
          <w:sz w:val="21"/>
        </w:rPr>
        <w:t>takes</w:t>
      </w:r>
      <w:r>
        <w:rPr>
          <w:rFonts w:ascii="Arial" w:hAnsi="Arial"/>
          <w:sz w:val="20"/>
        </w:rPr>
        <w:t> </w:t>
      </w:r>
      <w:r>
        <w:rPr>
          <w:rFonts w:ascii="Arial" w:hAnsi="Arial"/>
          <w:sz w:val="21"/>
        </w:rPr>
        <w:t>any</w:t>
      </w:r>
      <w:r>
        <w:rPr>
          <w:rFonts w:ascii="Arial" w:hAnsi="Arial"/>
          <w:sz w:val="20"/>
        </w:rPr>
        <w:t> </w:t>
      </w:r>
      <w:r>
        <w:rPr>
          <w:rFonts w:ascii="Arial" w:hAnsi="Arial"/>
          <w:sz w:val="21"/>
        </w:rPr>
        <w:t>action</w:t>
      </w:r>
      <w:r>
        <w:rPr>
          <w:rFonts w:ascii="Arial" w:hAnsi="Arial"/>
          <w:sz w:val="20"/>
        </w:rPr>
        <w:t> </w:t>
      </w:r>
      <w:r>
        <w:rPr>
          <w:rFonts w:ascii="Arial" w:hAnsi="Arial"/>
          <w:sz w:val="21"/>
        </w:rPr>
        <w:t>to</w:t>
      </w:r>
      <w:r>
        <w:rPr>
          <w:rFonts w:ascii="Arial" w:hAnsi="Arial"/>
          <w:sz w:val="20"/>
        </w:rPr>
        <w:t> </w:t>
      </w:r>
      <w:r>
        <w:rPr>
          <w:rFonts w:ascii="Arial" w:hAnsi="Arial"/>
          <w:sz w:val="21"/>
        </w:rPr>
        <w:t>financially</w:t>
      </w:r>
      <w:r>
        <w:rPr>
          <w:rFonts w:ascii="Arial" w:hAnsi="Arial"/>
          <w:sz w:val="20"/>
        </w:rPr>
        <w:t> </w:t>
      </w:r>
      <w:r>
        <w:rPr>
          <w:rFonts w:ascii="Arial" w:hAnsi="Arial"/>
          <w:sz w:val="21"/>
        </w:rPr>
        <w:t>assist</w:t>
      </w:r>
      <w:r>
        <w:rPr>
          <w:rFonts w:ascii="Arial" w:hAnsi="Arial"/>
          <w:sz w:val="20"/>
        </w:rPr>
        <w:t> </w:t>
      </w:r>
      <w:r>
        <w:rPr>
          <w:rFonts w:ascii="Arial" w:hAnsi="Arial"/>
          <w:sz w:val="21"/>
        </w:rPr>
        <w:t>any person to acquire,</w:t>
      </w:r>
      <w:r>
        <w:rPr>
          <w:rFonts w:ascii="Arial" w:hAnsi="Arial"/>
          <w:sz w:val="20"/>
        </w:rPr>
        <w:t xml:space="preserve"> </w:t>
      </w:r>
    </w:p>
    <w:p>
      <w:pPr>
        <w:pStyle w:val="TextBody"/>
        <w:bidi w:val="0"/>
        <w:spacing w:before="120" w:after="0"/>
        <w:ind w:left="4253" w:right="700" w:hanging="0"/>
        <w:jc w:val="left"/>
        <w:rPr>
          <w:rFonts w:ascii="Arial" w:hAnsi="Arial"/>
          <w:sz w:val="22"/>
        </w:rPr>
      </w:pPr>
      <w:r>
        <w:rPr>
          <w:rFonts w:ascii="Arial" w:hAnsi="Arial"/>
          <w:sz w:val="22"/>
        </w:rPr>
        <w:t xml:space="preserve">shares in itself or in a holding company of it, </w:t>
      </w:r>
    </w:p>
    <w:p>
      <w:pPr>
        <w:pStyle w:val="TextBody"/>
        <w:bidi w:val="0"/>
        <w:spacing w:lineRule="auto" w:line="266" w:before="118" w:after="0"/>
        <w:ind w:left="3687" w:right="854" w:hanging="0"/>
        <w:jc w:val="left"/>
        <w:rPr>
          <w:rFonts w:ascii="Arial" w:hAnsi="Arial"/>
          <w:sz w:val="20"/>
        </w:rPr>
      </w:pPr>
      <w:r>
        <w:rPr>
          <w:rFonts w:ascii="Arial" w:hAnsi="Arial"/>
          <w:sz w:val="21"/>
        </w:rPr>
        <w:t>(o)</w:t>
      </w:r>
      <w:r>
        <w:rPr>
          <w:rFonts w:ascii="Arial" w:hAnsi="Arial"/>
          <w:b/>
          <w:sz w:val="21"/>
        </w:rPr>
        <w:t>investigation:</w:t>
      </w:r>
      <w:r>
        <w:rPr>
          <w:rFonts w:ascii="Arial" w:hAnsi="Arial"/>
          <w:sz w:val="20"/>
        </w:rPr>
        <w:t> </w:t>
      </w:r>
      <w:r>
        <w:rPr>
          <w:rFonts w:ascii="Arial" w:hAnsi="Arial"/>
          <w:sz w:val="21"/>
        </w:rPr>
        <w:t>if</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corporation,</w:t>
      </w:r>
      <w:r>
        <w:rPr>
          <w:rFonts w:ascii="Arial" w:hAnsi="Arial"/>
          <w:sz w:val="20"/>
        </w:rPr>
        <w:t> </w:t>
      </w:r>
      <w:r>
        <w:rPr>
          <w:rFonts w:ascii="Arial" w:hAnsi="Arial"/>
          <w:sz w:val="21"/>
        </w:rPr>
        <w:t>an</w:t>
      </w:r>
      <w:r>
        <w:rPr>
          <w:rFonts w:ascii="Arial" w:hAnsi="Arial"/>
          <w:sz w:val="20"/>
        </w:rPr>
        <w:t> </w:t>
      </w:r>
      <w:r>
        <w:rPr>
          <w:rFonts w:ascii="Arial" w:hAnsi="Arial"/>
          <w:sz w:val="21"/>
        </w:rPr>
        <w:t>investigation</w:t>
      </w:r>
      <w:r>
        <w:rPr>
          <w:rFonts w:ascii="Arial" w:hAnsi="Arial"/>
          <w:sz w:val="20"/>
        </w:rPr>
        <w:t> </w:t>
      </w:r>
      <w:r>
        <w:rPr>
          <w:rFonts w:ascii="Arial" w:hAnsi="Arial"/>
          <w:sz w:val="21"/>
        </w:rPr>
        <w:t>is instituted under the Corporations Act or other legislation into, or an inspector is appointed to investigate, its affairs, which would have a Material Adverse Effect;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(p)</w:t>
      </w:r>
      <w:r>
        <w:rPr>
          <w:rFonts w:ascii="Arial" w:hAnsi="Arial"/>
          <w:b/>
          <w:sz w:val="21"/>
        </w:rPr>
        <w:t>environmental claim</w:t>
      </w:r>
      <w:r>
        <w:rPr>
          <w:rFonts w:ascii="Arial" w:hAnsi="Arial"/>
          <w:sz w:val="21"/>
        </w:rPr>
        <w:t>:</w:t>
      </w:r>
      <w:r>
        <w:rPr>
          <w:rFonts w:ascii="Arial" w:hAnsi="Arial"/>
          <w:sz w:val="20"/>
        </w:rPr>
        <w:t> </w:t>
      </w:r>
      <w:r>
        <w:rPr>
          <w:rFonts w:ascii="Arial" w:hAnsi="Arial"/>
          <w:sz w:val="21"/>
        </w:rPr>
        <w:t>a Government Body takes any action, there is a legally valid claim or there is a legally enforceable requirement for expenditure or for cessation or alteration of activity under an Environmental</w:t>
      </w:r>
      <w:r>
        <w:rPr>
          <w:rFonts w:ascii="Arial" w:hAnsi="Arial"/>
          <w:sz w:val="20"/>
        </w:rPr>
        <w:t> </w:t>
      </w:r>
      <w:r>
        <w:rPr>
          <w:rFonts w:ascii="Arial" w:hAnsi="Arial"/>
          <w:sz w:val="21"/>
        </w:rPr>
        <w:t>Law,</w:t>
      </w:r>
      <w:r>
        <w:rPr>
          <w:rFonts w:ascii="Arial" w:hAnsi="Arial"/>
          <w:sz w:val="20"/>
        </w:rPr>
        <w:t> </w:t>
      </w:r>
      <w:r>
        <w:rPr>
          <w:rFonts w:ascii="Arial" w:hAnsi="Arial"/>
          <w:sz w:val="21"/>
        </w:rPr>
        <w:t>which,</w:t>
      </w:r>
      <w:r>
        <w:rPr>
          <w:rFonts w:ascii="Arial" w:hAnsi="Arial"/>
          <w:sz w:val="20"/>
        </w:rPr>
        <w:t> </w:t>
      </w:r>
      <w:r>
        <w:rPr>
          <w:rFonts w:ascii="Arial" w:hAnsi="Arial"/>
          <w:sz w:val="21"/>
        </w:rPr>
        <w:t>in</w:t>
      </w:r>
      <w:r>
        <w:rPr>
          <w:rFonts w:ascii="Arial" w:hAnsi="Arial"/>
          <w:sz w:val="20"/>
        </w:rPr>
        <w:t> </w:t>
      </w:r>
      <w:r>
        <w:rPr>
          <w:rFonts w:ascii="Arial" w:hAnsi="Arial"/>
          <w:sz w:val="21"/>
        </w:rPr>
        <w:t>the reasonable</w:t>
      </w:r>
      <w:r>
        <w:rPr>
          <w:rFonts w:ascii="Arial" w:hAnsi="Arial"/>
          <w:sz w:val="20"/>
        </w:rPr>
        <w:t> </w:t>
      </w:r>
      <w:r>
        <w:rPr>
          <w:rFonts w:ascii="Arial" w:hAnsi="Arial"/>
          <w:sz w:val="21"/>
        </w:rPr>
        <w:t>opinion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would have a Material Adverse Effect;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(q)</w:t>
      </w:r>
      <w:r>
        <w:rPr>
          <w:rFonts w:ascii="Arial" w:hAnsi="Arial"/>
          <w:b/>
          <w:sz w:val="21"/>
        </w:rPr>
        <w:t>Trust:</w:t>
      </w:r>
      <w:r>
        <w:rPr>
          <w:rFonts w:ascii="Arial" w:hAnsi="Arial"/>
          <w:sz w:val="20"/>
        </w:rPr>
        <w:t> </w:t>
      </w:r>
      <w:r>
        <w:rPr>
          <w:rFonts w:ascii="Arial" w:hAnsi="Arial"/>
          <w:sz w:val="21"/>
        </w:rPr>
        <w:t>if</w:t>
      </w:r>
      <w:r>
        <w:rPr>
          <w:rFonts w:ascii="Arial" w:hAnsi="Arial"/>
          <w:sz w:val="20"/>
        </w:rPr>
        <w:t> </w:t>
      </w:r>
      <w:r>
        <w:rPr>
          <w:rFonts w:ascii="Arial" w:hAnsi="Arial"/>
          <w:sz w:val="21"/>
        </w:rPr>
        <w:t>a</w:t>
      </w:r>
      <w:r>
        <w:rPr>
          <w:rFonts w:ascii="Arial" w:hAnsi="Arial"/>
          <w:sz w:val="20"/>
        </w:rPr>
        <w:t> </w:t>
      </w:r>
      <w:r>
        <w:rPr>
          <w:rFonts w:ascii="Arial" w:hAnsi="Arial"/>
          <w:sz w:val="21"/>
        </w:rPr>
        <w:t>Transaction</w:t>
      </w:r>
      <w:r>
        <w:rPr>
          <w:rFonts w:ascii="Arial" w:hAnsi="Arial"/>
          <w:sz w:val="20"/>
        </w:rPr>
        <w:t> </w:t>
      </w:r>
      <w:r>
        <w:rPr>
          <w:rFonts w:ascii="Arial" w:hAnsi="Arial"/>
          <w:sz w:val="21"/>
        </w:rPr>
        <w:t>Party</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Trustee:</w:t>
      </w:r>
      <w:r>
        <w:rPr>
          <w:rFonts w:ascii="Arial" w:hAnsi="Arial"/>
          <w:sz w:val="20"/>
        </w:rPr>
        <w:t xml:space="preserve"> </w:t>
      </w:r>
    </w:p>
    <w:p>
      <w:pPr>
        <w:pStyle w:val="TextBody"/>
        <w:bidi w:val="0"/>
        <w:spacing w:lineRule="auto" w:line="266" w:before="147" w:after="0"/>
        <w:ind w:left="4275" w:right="1697" w:hanging="0"/>
        <w:jc w:val="left"/>
        <w:rPr>
          <w:rFonts w:ascii="Arial" w:hAnsi="Arial"/>
          <w:sz w:val="20"/>
        </w:rPr>
      </w:pPr>
      <w:r>
        <w:rPr>
          <w:rFonts w:ascii="Arial" w:hAnsi="Arial"/>
          <w:sz w:val="21"/>
        </w:rPr>
        <w:t>(i)the Trustee ceases to be the trustee or the only trustee of the Trust or any action is taken for the removal of the Trustee as trustee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or</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appointment</w:t>
      </w:r>
      <w:r>
        <w:rPr>
          <w:rFonts w:ascii="Arial" w:hAnsi="Arial"/>
          <w:sz w:val="20"/>
        </w:rPr>
        <w:t> </w:t>
      </w:r>
      <w:r>
        <w:rPr>
          <w:rFonts w:ascii="Arial" w:hAnsi="Arial"/>
          <w:sz w:val="21"/>
        </w:rPr>
        <w:t>of</w:t>
      </w:r>
      <w:r>
        <w:rPr>
          <w:rFonts w:ascii="Arial" w:hAnsi="Arial"/>
          <w:sz w:val="20"/>
        </w:rPr>
        <w:t> </w:t>
      </w:r>
      <w:r>
        <w:rPr>
          <w:rFonts w:ascii="Arial" w:hAnsi="Arial"/>
          <w:sz w:val="21"/>
        </w:rPr>
        <w:t>another</w:t>
      </w:r>
      <w:r>
        <w:rPr>
          <w:rFonts w:ascii="Arial" w:hAnsi="Arial"/>
          <w:sz w:val="20"/>
        </w:rPr>
        <w:t> </w:t>
      </w:r>
      <w:r>
        <w:rPr>
          <w:rFonts w:ascii="Arial" w:hAnsi="Arial"/>
          <w:sz w:val="21"/>
        </w:rPr>
        <w:t>person</w:t>
      </w:r>
      <w:r>
        <w:rPr>
          <w:rFonts w:ascii="Arial" w:hAnsi="Arial"/>
          <w:sz w:val="20"/>
        </w:rPr>
        <w:t> </w:t>
      </w:r>
      <w:r>
        <w:rPr>
          <w:rFonts w:ascii="Arial" w:hAnsi="Arial"/>
          <w:sz w:val="21"/>
        </w:rPr>
        <w:t>as trustee in addition to the Trustee;</w:t>
      </w:r>
      <w:r>
        <w:rPr>
          <w:rFonts w:ascii="Arial" w:hAnsi="Arial"/>
          <w:sz w:val="20"/>
        </w:rPr>
        <w:t xml:space="preserve"> </w:t>
      </w:r>
    </w:p>
    <w:p>
      <w:pPr>
        <w:pStyle w:val="TextBody"/>
        <w:bidi w:val="0"/>
        <w:spacing w:lineRule="auto" w:line="266" w:before="0" w:after="0"/>
        <w:ind w:left="4275" w:right="1440" w:hanging="0"/>
        <w:jc w:val="left"/>
        <w:rPr>
          <w:rFonts w:ascii="Arial" w:hAnsi="Arial"/>
          <w:sz w:val="20"/>
        </w:rPr>
      </w:pPr>
      <w:r>
        <w:rPr>
          <w:rFonts w:ascii="Arial" w:hAnsi="Arial"/>
          <w:sz w:val="21"/>
        </w:rPr>
        <w:t>(ii)an</w:t>
      </w:r>
      <w:r>
        <w:rPr>
          <w:rFonts w:ascii="Arial" w:hAnsi="Arial"/>
          <w:sz w:val="20"/>
        </w:rPr>
        <w:t> </w:t>
      </w:r>
      <w:r>
        <w:rPr>
          <w:rFonts w:ascii="Arial" w:hAnsi="Arial"/>
          <w:sz w:val="21"/>
        </w:rPr>
        <w:t>application</w:t>
      </w:r>
      <w:r>
        <w:rPr>
          <w:rFonts w:ascii="Arial" w:hAnsi="Arial"/>
          <w:sz w:val="20"/>
        </w:rPr>
        <w:t> </w:t>
      </w:r>
      <w:r>
        <w:rPr>
          <w:rFonts w:ascii="Arial" w:hAnsi="Arial"/>
          <w:sz w:val="21"/>
        </w:rPr>
        <w:t>or</w:t>
      </w:r>
      <w:r>
        <w:rPr>
          <w:rFonts w:ascii="Arial" w:hAnsi="Arial"/>
          <w:sz w:val="20"/>
        </w:rPr>
        <w:t> </w:t>
      </w:r>
      <w:r>
        <w:rPr>
          <w:rFonts w:ascii="Arial" w:hAnsi="Arial"/>
          <w:sz w:val="21"/>
        </w:rPr>
        <w:t>order</w:t>
      </w:r>
      <w:r>
        <w:rPr>
          <w:rFonts w:ascii="Arial" w:hAnsi="Arial"/>
          <w:sz w:val="20"/>
        </w:rPr>
        <w:t> </w:t>
      </w:r>
      <w:r>
        <w:rPr>
          <w:rFonts w:ascii="Arial" w:hAnsi="Arial"/>
          <w:sz w:val="21"/>
        </w:rPr>
        <w:t>is</w:t>
      </w:r>
      <w:r>
        <w:rPr>
          <w:rFonts w:ascii="Arial" w:hAnsi="Arial"/>
          <w:sz w:val="20"/>
        </w:rPr>
        <w:t> </w:t>
      </w:r>
      <w:r>
        <w:rPr>
          <w:rFonts w:ascii="Arial" w:hAnsi="Arial"/>
          <w:sz w:val="21"/>
        </w:rPr>
        <w:t>sought</w:t>
      </w:r>
      <w:r>
        <w:rPr>
          <w:rFonts w:ascii="Arial" w:hAnsi="Arial"/>
          <w:sz w:val="20"/>
        </w:rPr>
        <w:t> </w:t>
      </w:r>
      <w:r>
        <w:rPr>
          <w:rFonts w:ascii="Arial" w:hAnsi="Arial"/>
          <w:sz w:val="21"/>
        </w:rPr>
        <w:t>or</w:t>
      </w:r>
      <w:r>
        <w:rPr>
          <w:rFonts w:ascii="Arial" w:hAnsi="Arial"/>
          <w:sz w:val="20"/>
        </w:rPr>
        <w:t> </w:t>
      </w:r>
      <w:r>
        <w:rPr>
          <w:rFonts w:ascii="Arial" w:hAnsi="Arial"/>
          <w:sz w:val="21"/>
        </w:rPr>
        <w:t>made</w:t>
      </w:r>
      <w:r>
        <w:rPr>
          <w:rFonts w:ascii="Arial" w:hAnsi="Arial"/>
          <w:sz w:val="20"/>
        </w:rPr>
        <w:t> </w:t>
      </w:r>
      <w:r>
        <w:rPr>
          <w:rFonts w:ascii="Arial" w:hAnsi="Arial"/>
          <w:sz w:val="21"/>
        </w:rPr>
        <w:t>in</w:t>
      </w:r>
      <w:r>
        <w:rPr>
          <w:rFonts w:ascii="Arial" w:hAnsi="Arial"/>
          <w:sz w:val="20"/>
        </w:rPr>
        <w:t> </w:t>
      </w:r>
      <w:r>
        <w:rPr>
          <w:rFonts w:ascii="Arial" w:hAnsi="Arial"/>
          <w:sz w:val="21"/>
        </w:rPr>
        <w:t>any</w:t>
      </w:r>
      <w:r>
        <w:rPr>
          <w:rFonts w:ascii="Arial" w:hAnsi="Arial"/>
          <w:sz w:val="20"/>
        </w:rPr>
        <w:t> </w:t>
      </w:r>
      <w:r>
        <w:rPr>
          <w:rFonts w:ascii="Arial" w:hAnsi="Arial"/>
          <w:sz w:val="21"/>
        </w:rPr>
        <w:t>court,</w:t>
      </w:r>
      <w:r>
        <w:rPr>
          <w:rFonts w:ascii="Arial" w:hAnsi="Arial"/>
          <w:sz w:val="20"/>
        </w:rPr>
        <w:t> </w:t>
      </w:r>
      <w:r>
        <w:rPr>
          <w:rFonts w:ascii="Arial" w:hAnsi="Arial"/>
          <w:sz w:val="21"/>
        </w:rPr>
        <w:t>which</w:t>
      </w:r>
      <w:r>
        <w:rPr>
          <w:rFonts w:ascii="Arial" w:hAnsi="Arial"/>
          <w:sz w:val="20"/>
        </w:rPr>
        <w:t> </w:t>
      </w:r>
      <w:r>
        <w:rPr>
          <w:rFonts w:ascii="Arial" w:hAnsi="Arial"/>
          <w:sz w:val="21"/>
        </w:rPr>
        <w:t>is</w:t>
      </w:r>
      <w:r>
        <w:rPr>
          <w:rFonts w:ascii="Arial" w:hAnsi="Arial"/>
          <w:sz w:val="20"/>
        </w:rPr>
        <w:t> </w:t>
      </w:r>
      <w:r>
        <w:rPr>
          <w:rFonts w:ascii="Arial" w:hAnsi="Arial"/>
          <w:sz w:val="21"/>
        </w:rPr>
        <w:t>not withdrawn or dismissed within ten Business Days, for:</w:t>
      </w:r>
      <w:r>
        <w:rPr>
          <w:rFonts w:ascii="Arial" w:hAnsi="Arial"/>
          <w:sz w:val="20"/>
        </w:rPr>
        <w:t xml:space="preserve"> </w:t>
      </w:r>
    </w:p>
    <w:p>
      <w:pPr>
        <w:pStyle w:val="TextBody"/>
        <w:bidi w:val="0"/>
        <w:spacing w:before="0" w:after="0"/>
        <w:ind w:left="4820" w:right="700" w:hanging="0"/>
        <w:jc w:val="left"/>
        <w:rPr>
          <w:rFonts w:ascii="Arial" w:hAnsi="Arial"/>
          <w:sz w:val="20"/>
        </w:rPr>
      </w:pPr>
      <w:r>
        <w:rPr>
          <w:rFonts w:ascii="Arial" w:hAnsi="Arial"/>
          <w:sz w:val="21"/>
        </w:rPr>
        <w:t>(A)the</w:t>
      </w:r>
      <w:r>
        <w:rPr>
          <w:rFonts w:ascii="Arial" w:hAnsi="Arial"/>
          <w:sz w:val="20"/>
        </w:rPr>
        <w:t> </w:t>
      </w:r>
      <w:r>
        <w:rPr>
          <w:rFonts w:ascii="Arial" w:hAnsi="Arial"/>
          <w:sz w:val="21"/>
        </w:rPr>
        <w:t>property</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administered</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court;</w:t>
      </w:r>
      <w:r>
        <w:rPr>
          <w:rFonts w:ascii="Arial" w:hAnsi="Arial"/>
          <w:sz w:val="20"/>
        </w:rPr>
        <w:t xml:space="preserve"> </w:t>
      </w:r>
      <w:r>
        <w:rPr>
          <w:rFonts w:ascii="Arial" w:hAnsi="Arial"/>
          <w:sz w:val="21"/>
        </w:rPr>
        <w:t>or</w:t>
      </w:r>
      <w:r>
        <w:rPr>
          <w:rFonts w:ascii="Arial" w:hAnsi="Arial"/>
          <w:sz w:val="20"/>
        </w:rPr>
        <w:t xml:space="preserve"> </w:t>
      </w:r>
    </w:p>
    <w:p>
      <w:pPr>
        <w:pStyle w:val="TextBody"/>
        <w:bidi w:val="0"/>
        <w:spacing w:before="150" w:after="0"/>
        <w:ind w:left="4820" w:right="700" w:hanging="0"/>
        <w:jc w:val="left"/>
        <w:rPr>
          <w:rFonts w:ascii="Arial" w:hAnsi="Arial"/>
          <w:sz w:val="20"/>
        </w:rPr>
      </w:pPr>
      <w:r>
        <w:rPr>
          <w:rFonts w:ascii="Arial" w:hAnsi="Arial"/>
          <w:sz w:val="21"/>
        </w:rPr>
        <w:t>(B)an</w:t>
      </w:r>
      <w:r>
        <w:rPr>
          <w:rFonts w:ascii="Arial" w:hAnsi="Arial"/>
          <w:sz w:val="20"/>
        </w:rPr>
        <w:t> </w:t>
      </w:r>
      <w:r>
        <w:rPr>
          <w:rFonts w:ascii="Arial" w:hAnsi="Arial"/>
          <w:sz w:val="21"/>
        </w:rPr>
        <w:t>account</w:t>
      </w:r>
      <w:r>
        <w:rPr>
          <w:rFonts w:ascii="Arial" w:hAnsi="Arial"/>
          <w:sz w:val="20"/>
        </w:rPr>
        <w:t> </w:t>
      </w:r>
      <w:r>
        <w:rPr>
          <w:rFonts w:ascii="Arial" w:hAnsi="Arial"/>
          <w:sz w:val="21"/>
        </w:rPr>
        <w:t>to</w:t>
      </w:r>
      <w:r>
        <w:rPr>
          <w:rFonts w:ascii="Arial" w:hAnsi="Arial"/>
          <w:sz w:val="20"/>
        </w:rPr>
        <w:t> </w:t>
      </w:r>
      <w:r>
        <w:rPr>
          <w:rFonts w:ascii="Arial" w:hAnsi="Arial"/>
          <w:sz w:val="21"/>
        </w:rPr>
        <w:t>be</w:t>
      </w:r>
      <w:r>
        <w:rPr>
          <w:rFonts w:ascii="Arial" w:hAnsi="Arial"/>
          <w:sz w:val="20"/>
        </w:rPr>
        <w:t> </w:t>
      </w:r>
      <w:r>
        <w:rPr>
          <w:rFonts w:ascii="Arial" w:hAnsi="Arial"/>
          <w:sz w:val="21"/>
        </w:rPr>
        <w:t>taken</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or</w:t>
      </w:r>
      <w:r>
        <w:rPr>
          <w:rFonts w:ascii="Arial" w:hAnsi="Arial"/>
          <w:sz w:val="20"/>
        </w:rPr>
        <w:t xml:space="preserve"> </w:t>
      </w:r>
    </w:p>
    <w:p>
      <w:pPr>
        <w:pStyle w:val="TextBody"/>
        <w:bidi w:val="0"/>
        <w:spacing w:lineRule="auto" w:line="266" w:before="147" w:after="0"/>
        <w:ind w:left="4275" w:right="1996" w:hanging="0"/>
        <w:jc w:val="left"/>
        <w:rPr>
          <w:rFonts w:ascii="Arial" w:hAnsi="Arial"/>
          <w:sz w:val="20"/>
        </w:rPr>
      </w:pPr>
      <w:r>
        <w:rPr>
          <w:rFonts w:ascii="Arial" w:hAnsi="Arial"/>
          <w:sz w:val="21"/>
        </w:rPr>
        <w:t>(iii)non-compliance</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Trustee</w:t>
      </w:r>
      <w:r>
        <w:rPr>
          <w:rFonts w:ascii="Arial" w:hAnsi="Arial"/>
          <w:sz w:val="20"/>
        </w:rPr>
        <w:t> </w:t>
      </w:r>
      <w:r>
        <w:rPr>
          <w:rFonts w:ascii="Arial" w:hAnsi="Arial"/>
          <w:sz w:val="21"/>
        </w:rPr>
        <w:t>with</w:t>
      </w:r>
      <w:r>
        <w:rPr>
          <w:rFonts w:ascii="Arial" w:hAnsi="Arial"/>
          <w:sz w:val="20"/>
        </w:rPr>
        <w:t> </w:t>
      </w:r>
      <w:r>
        <w:rPr>
          <w:rFonts w:ascii="Arial" w:hAnsi="Arial"/>
          <w:sz w:val="21"/>
        </w:rPr>
        <w:t>its</w:t>
      </w:r>
      <w:r>
        <w:rPr>
          <w:rFonts w:ascii="Arial" w:hAnsi="Arial"/>
          <w:sz w:val="20"/>
        </w:rPr>
        <w:t> </w:t>
      </w:r>
      <w:r>
        <w:rPr>
          <w:rFonts w:ascii="Arial" w:hAnsi="Arial"/>
          <w:sz w:val="21"/>
        </w:rPr>
        <w:t>obligations</w:t>
      </w:r>
      <w:r>
        <w:rPr>
          <w:rFonts w:ascii="Arial" w:hAnsi="Arial"/>
          <w:sz w:val="20"/>
        </w:rPr>
        <w:t> </w:t>
      </w:r>
      <w:r>
        <w:rPr>
          <w:rFonts w:ascii="Arial" w:hAnsi="Arial"/>
          <w:sz w:val="21"/>
        </w:rPr>
        <w:t>as</w:t>
      </w:r>
      <w:r>
        <w:rPr>
          <w:rFonts w:ascii="Arial" w:hAnsi="Arial"/>
          <w:sz w:val="20"/>
        </w:rPr>
        <w:t> </w:t>
      </w:r>
      <w:r>
        <w:rPr>
          <w:rFonts w:ascii="Arial" w:hAnsi="Arial"/>
          <w:sz w:val="21"/>
        </w:rPr>
        <w:t>trustee under the Trust Deed which has a Material Adverse Effect.</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64" w:name="Effect_of_Event_of_Default1021"/>
      <w:bookmarkEnd w:id="464"/>
      <w:r>
        <w:rPr>
          <w:rFonts w:ascii="Arial" w:hAnsi="Arial"/>
          <w:b/>
          <w:color w:val="000000"/>
          <w:sz w:val="24"/>
        </w:rPr>
        <w:t>10.2Effect of Event of Default</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(a)If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Borrower do any or all of the following:</w:t>
      </w:r>
      <w:r>
        <w:rPr>
          <w:rFonts w:ascii="Arial" w:hAnsi="Arial"/>
          <w:sz w:val="20"/>
        </w:rPr>
        <w:t xml:space="preserve"> </w:t>
      </w:r>
    </w:p>
    <w:p>
      <w:pPr>
        <w:pStyle w:val="TextBody"/>
        <w:bidi w:val="0"/>
        <w:spacing w:lineRule="auto" w:line="266" w:before="0" w:after="0"/>
        <w:ind w:left="4275" w:right="1608" w:hanging="0"/>
        <w:jc w:val="left"/>
        <w:rPr>
          <w:rFonts w:ascii="Arial" w:hAnsi="Arial"/>
          <w:sz w:val="20"/>
        </w:rPr>
      </w:pPr>
      <w:r>
        <w:rPr>
          <w:rFonts w:ascii="Arial" w:hAnsi="Arial"/>
          <w:color w:val="000000"/>
          <w:sz w:val="21"/>
        </w:rPr>
        <w:t>(i)</w:t>
      </w:r>
      <w:r>
        <w:rPr>
          <w:rFonts w:ascii="Arial" w:hAnsi="Arial"/>
          <w:b/>
          <w:color w:val="000000"/>
          <w:sz w:val="21"/>
        </w:rPr>
        <w:t>cancel</w:t>
      </w:r>
      <w:r>
        <w:rPr>
          <w:rFonts w:ascii="Arial" w:hAnsi="Arial"/>
          <w:color w:val="000000"/>
          <w:sz w:val="20"/>
        </w:rPr>
        <w:t> </w:t>
      </w:r>
      <w:r>
        <w:rPr>
          <w:rFonts w:ascii="Arial" w:hAnsi="Arial"/>
          <w:b/>
          <w:color w:val="000000"/>
          <w:sz w:val="21"/>
        </w:rPr>
        <w:t>Facility:</w:t>
      </w:r>
      <w:r>
        <w:rPr>
          <w:rFonts w:ascii="Arial" w:hAnsi="Arial"/>
          <w:color w:val="000000"/>
          <w:sz w:val="20"/>
        </w:rPr>
        <w:t> </w:t>
      </w:r>
      <w:r>
        <w:rPr>
          <w:rFonts w:ascii="Arial" w:hAnsi="Arial"/>
          <w:color w:val="000000"/>
          <w:sz w:val="21"/>
        </w:rPr>
        <w:t>cancel</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Facilities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 Facility, specified in the notice;</w:t>
      </w:r>
      <w:r>
        <w:rPr>
          <w:rFonts w:ascii="Arial" w:hAnsi="Arial"/>
          <w:sz w:val="20"/>
        </w:rPr>
        <w:t xml:space="preserve"> </w:t>
      </w:r>
    </w:p>
    <w:p>
      <w:pPr>
        <w:pStyle w:val="TextBody"/>
        <w:bidi w:val="0"/>
        <w:spacing w:lineRule="auto" w:line="266" w:before="120" w:after="0"/>
        <w:ind w:left="4275" w:right="1698" w:hanging="0"/>
        <w:jc w:val="left"/>
        <w:rPr>
          <w:rFonts w:ascii="Arial" w:hAnsi="Arial"/>
          <w:sz w:val="20"/>
        </w:rPr>
      </w:pPr>
      <w:r>
        <w:rPr>
          <w:rFonts w:ascii="Arial" w:hAnsi="Arial"/>
          <w:color w:val="000000"/>
          <w:sz w:val="21"/>
        </w:rPr>
        <w:t>(ii)</w:t>
      </w:r>
      <w:r>
        <w:rPr>
          <w:rFonts w:ascii="Arial" w:hAnsi="Arial"/>
          <w:b/>
          <w:color w:val="000000"/>
          <w:sz w:val="21"/>
        </w:rPr>
        <w:t>accelerate:</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so</w:t>
      </w:r>
      <w:r>
        <w:rPr>
          <w:rFonts w:ascii="Arial" w:hAnsi="Arial"/>
          <w:color w:val="000000"/>
          <w:sz w:val="20"/>
        </w:rPr>
        <w:t> </w:t>
      </w:r>
      <w:r>
        <w:rPr>
          <w:rFonts w:ascii="Arial" w:hAnsi="Arial"/>
          <w:color w:val="000000"/>
          <w:sz w:val="21"/>
        </w:rPr>
        <w:t>much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 which is not then immediately due and payable, any unpaid</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4275" w:right="1471" w:hanging="0"/>
        <w:jc w:val="left"/>
        <w:rPr>
          <w:rFonts w:ascii="Arial" w:hAnsi="Arial"/>
          <w:sz w:val="22"/>
        </w:rPr>
      </w:pPr>
      <w:r>
        <w:rPr>
          <w:rFonts w:ascii="Arial" w:hAnsi="Arial"/>
          <w:sz w:val="22"/>
        </w:rPr>
        <w:t xml:space="preserve">accrued interest or fees and any other money owing by the Borrower to the Bank in relation to the Transaction Documents either: </w:t>
      </w:r>
    </w:p>
    <w:p>
      <w:pPr>
        <w:pStyle w:val="TextBody"/>
        <w:bidi w:val="0"/>
        <w:spacing w:before="120" w:after="0"/>
        <w:ind w:left="4820" w:right="700" w:hanging="0"/>
        <w:jc w:val="left"/>
        <w:rPr>
          <w:rFonts w:ascii="Arial" w:hAnsi="Arial"/>
          <w:sz w:val="20"/>
        </w:rPr>
      </w:pPr>
      <w:r>
        <w:rPr>
          <w:rFonts w:ascii="Arial" w:hAnsi="Arial"/>
          <w:sz w:val="21"/>
        </w:rPr>
        <w:t>(A)payable</w:t>
      </w:r>
      <w:r>
        <w:rPr>
          <w:rFonts w:ascii="Arial" w:hAnsi="Arial"/>
          <w:sz w:val="20"/>
        </w:rPr>
        <w:t> </w:t>
      </w:r>
      <w:r>
        <w:rPr>
          <w:rFonts w:ascii="Arial" w:hAnsi="Arial"/>
          <w:sz w:val="21"/>
        </w:rPr>
        <w:t>on</w:t>
      </w:r>
      <w:r>
        <w:rPr>
          <w:rFonts w:ascii="Arial" w:hAnsi="Arial"/>
          <w:sz w:val="20"/>
        </w:rPr>
        <w:t> </w:t>
      </w:r>
      <w:r>
        <w:rPr>
          <w:rFonts w:ascii="Arial" w:hAnsi="Arial"/>
          <w:sz w:val="21"/>
        </w:rPr>
        <w:t>demand;</w:t>
      </w:r>
      <w:r>
        <w:rPr>
          <w:rFonts w:ascii="Arial" w:hAnsi="Arial"/>
          <w:sz w:val="20"/>
        </w:rPr>
        <w:t> </w:t>
      </w:r>
      <w:r>
        <w:rPr>
          <w:rFonts w:ascii="Arial" w:hAnsi="Arial"/>
          <w:sz w:val="21"/>
        </w:rPr>
        <w:t>or</w:t>
      </w:r>
      <w:r>
        <w:rPr>
          <w:rFonts w:ascii="Arial" w:hAnsi="Arial"/>
          <w:sz w:val="20"/>
        </w:rPr>
        <w:t xml:space="preserve"> </w:t>
      </w:r>
    </w:p>
    <w:p>
      <w:pPr>
        <w:pStyle w:val="TextBody"/>
        <w:bidi w:val="0"/>
        <w:spacing w:before="150" w:after="0"/>
        <w:ind w:left="4820" w:right="700" w:hanging="0"/>
        <w:jc w:val="left"/>
        <w:rPr>
          <w:rFonts w:ascii="Arial" w:hAnsi="Arial"/>
          <w:sz w:val="20"/>
        </w:rPr>
      </w:pPr>
      <w:r>
        <w:rPr>
          <w:rFonts w:ascii="Arial" w:hAnsi="Arial"/>
          <w:sz w:val="21"/>
        </w:rPr>
        <w:t>(B)immediately</w:t>
      </w:r>
      <w:r>
        <w:rPr>
          <w:rFonts w:ascii="Arial" w:hAnsi="Arial"/>
          <w:sz w:val="20"/>
        </w:rPr>
        <w:t> </w:t>
      </w:r>
      <w:r>
        <w:rPr>
          <w:rFonts w:ascii="Arial" w:hAnsi="Arial"/>
          <w:sz w:val="21"/>
        </w:rPr>
        <w:t>due</w:t>
      </w:r>
      <w:r>
        <w:rPr>
          <w:rFonts w:ascii="Arial" w:hAnsi="Arial"/>
          <w:sz w:val="20"/>
        </w:rPr>
        <w:t> </w:t>
      </w:r>
      <w:r>
        <w:rPr>
          <w:rFonts w:ascii="Arial" w:hAnsi="Arial"/>
          <w:sz w:val="21"/>
        </w:rPr>
        <w:t>for</w:t>
      </w:r>
      <w:r>
        <w:rPr>
          <w:rFonts w:ascii="Arial" w:hAnsi="Arial"/>
          <w:sz w:val="20"/>
        </w:rPr>
        <w:t> </w:t>
      </w:r>
      <w:r>
        <w:rPr>
          <w:rFonts w:ascii="Arial" w:hAnsi="Arial"/>
          <w:sz w:val="21"/>
        </w:rPr>
        <w:t>payment;</w:t>
      </w:r>
      <w:r>
        <w:rPr>
          <w:rFonts w:ascii="Arial" w:hAnsi="Arial"/>
          <w:sz w:val="20"/>
        </w:rPr>
        <w:t xml:space="preserve"> </w:t>
      </w:r>
    </w:p>
    <w:p>
      <w:pPr>
        <w:pStyle w:val="TextBody"/>
        <w:pBdr/>
        <w:bidi w:val="0"/>
        <w:spacing w:before="147" w:after="0"/>
        <w:ind w:left="4275" w:right="700" w:hanging="0"/>
        <w:jc w:val="left"/>
        <w:rPr>
          <w:rFonts w:ascii="Arial" w:hAnsi="Arial"/>
          <w:b/>
          <w:sz w:val="22"/>
        </w:rPr>
      </w:pPr>
      <w:r>
        <w:rPr>
          <w:rFonts w:ascii="Arial" w:hAnsi="Arial"/>
          <w:b w:val="false"/>
          <w:sz w:val="22"/>
        </w:rPr>
        <w:t>(iii)</w:t>
      </w:r>
      <w:r>
        <w:rPr>
          <w:rFonts w:ascii="Arial" w:hAnsi="Arial"/>
          <w:b/>
          <w:sz w:val="22"/>
        </w:rPr>
        <w:t xml:space="preserve">Not used </w:t>
      </w:r>
    </w:p>
    <w:p>
      <w:pPr>
        <w:pStyle w:val="TextBody"/>
        <w:pBdr/>
        <w:bidi w:val="0"/>
        <w:spacing w:before="150" w:after="0"/>
        <w:ind w:left="4275" w:right="700" w:hanging="0"/>
        <w:jc w:val="left"/>
        <w:rPr>
          <w:rFonts w:ascii="Arial" w:hAnsi="Arial"/>
          <w:b/>
          <w:sz w:val="22"/>
        </w:rPr>
      </w:pPr>
      <w:r>
        <w:rPr>
          <w:rFonts w:ascii="Arial" w:hAnsi="Arial"/>
          <w:b w:val="false"/>
          <w:sz w:val="22"/>
        </w:rPr>
        <w:t>(iv)</w:t>
      </w:r>
      <w:r>
        <w:rPr>
          <w:rFonts w:ascii="Arial" w:hAnsi="Arial"/>
          <w:b/>
          <w:sz w:val="22"/>
        </w:rPr>
        <w:t xml:space="preserve">Bank Guarantees: </w:t>
      </w:r>
    </w:p>
    <w:p>
      <w:pPr>
        <w:pStyle w:val="TextBody"/>
        <w:bidi w:val="0"/>
        <w:spacing w:lineRule="auto" w:line="266" w:before="148" w:after="0"/>
        <w:ind w:left="4820" w:right="1515" w:hanging="0"/>
        <w:jc w:val="left"/>
        <w:rPr>
          <w:rFonts w:ascii="Arial" w:hAnsi="Arial"/>
          <w:sz w:val="20"/>
        </w:rPr>
      </w:pPr>
      <w:r>
        <w:rPr>
          <w:rFonts w:ascii="Arial" w:hAnsi="Arial"/>
          <w:sz w:val="21"/>
        </w:rPr>
        <w:t>(A)by notice to the Borrower require the Borrower to pay immediately to the Bank the aggregate of the Face Values for</w:t>
      </w:r>
      <w:r>
        <w:rPr>
          <w:rFonts w:ascii="Arial" w:hAnsi="Arial"/>
          <w:sz w:val="20"/>
        </w:rPr>
        <w:t> </w:t>
      </w:r>
      <w:r>
        <w:rPr>
          <w:rFonts w:ascii="Arial" w:hAnsi="Arial"/>
          <w:sz w:val="21"/>
        </w:rPr>
        <w:t>all</w:t>
      </w:r>
      <w:r>
        <w:rPr>
          <w:rFonts w:ascii="Arial" w:hAnsi="Arial"/>
          <w:sz w:val="20"/>
        </w:rPr>
        <w:t> </w:t>
      </w:r>
      <w:r>
        <w:rPr>
          <w:rFonts w:ascii="Arial" w:hAnsi="Arial"/>
          <w:sz w:val="21"/>
        </w:rPr>
        <w:t>Current</w:t>
      </w:r>
      <w:r>
        <w:rPr>
          <w:rFonts w:ascii="Arial" w:hAnsi="Arial"/>
          <w:sz w:val="20"/>
        </w:rPr>
        <w:t> </w:t>
      </w:r>
      <w:r>
        <w:rPr>
          <w:rFonts w:ascii="Arial" w:hAnsi="Arial"/>
          <w:sz w:val="21"/>
        </w:rPr>
        <w:t>Bank</w:t>
      </w:r>
      <w:r>
        <w:rPr>
          <w:rFonts w:ascii="Arial" w:hAnsi="Arial"/>
          <w:sz w:val="20"/>
        </w:rPr>
        <w:t> </w:t>
      </w:r>
      <w:r>
        <w:rPr>
          <w:rFonts w:ascii="Arial" w:hAnsi="Arial"/>
          <w:sz w:val="21"/>
        </w:rPr>
        <w:t>Guarantees</w:t>
      </w:r>
      <w:r>
        <w:rPr>
          <w:rFonts w:ascii="Arial" w:hAnsi="Arial"/>
          <w:sz w:val="20"/>
        </w:rPr>
        <w:t> </w:t>
      </w:r>
      <w:r>
        <w:rPr>
          <w:rFonts w:ascii="Arial" w:hAnsi="Arial"/>
          <w:sz w:val="21"/>
        </w:rPr>
        <w:t>as</w:t>
      </w:r>
      <w:r>
        <w:rPr>
          <w:rFonts w:ascii="Arial" w:hAnsi="Arial"/>
          <w:sz w:val="20"/>
        </w:rPr>
        <w:t> </w:t>
      </w:r>
      <w:r>
        <w:rPr>
          <w:rFonts w:ascii="Arial" w:hAnsi="Arial"/>
          <w:sz w:val="21"/>
        </w:rPr>
        <w:t>at</w:t>
      </w:r>
      <w:r>
        <w:rPr>
          <w:rFonts w:ascii="Arial" w:hAnsi="Arial"/>
          <w:sz w:val="20"/>
        </w:rPr>
        <w:t> </w:t>
      </w:r>
      <w:r>
        <w:rPr>
          <w:rFonts w:ascii="Arial" w:hAnsi="Arial"/>
          <w:sz w:val="21"/>
        </w:rPr>
        <w:t>the</w:t>
      </w:r>
      <w:r>
        <w:rPr>
          <w:rFonts w:ascii="Arial" w:hAnsi="Arial"/>
          <w:sz w:val="20"/>
        </w:rPr>
        <w:t> </w:t>
      </w:r>
      <w:r>
        <w:rPr>
          <w:rFonts w:ascii="Arial" w:hAnsi="Arial"/>
          <w:sz w:val="21"/>
        </w:rPr>
        <w:t>date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notice, together with any unpaid accrued interest or fees and any other</w:t>
      </w:r>
      <w:r>
        <w:rPr>
          <w:rFonts w:ascii="Arial" w:hAnsi="Arial"/>
          <w:sz w:val="20"/>
        </w:rPr>
        <w:t> </w:t>
      </w:r>
      <w:r>
        <w:rPr>
          <w:rFonts w:ascii="Arial" w:hAnsi="Arial"/>
          <w:sz w:val="21"/>
        </w:rPr>
        <w:t>money</w:t>
      </w:r>
      <w:r>
        <w:rPr>
          <w:rFonts w:ascii="Arial" w:hAnsi="Arial"/>
          <w:sz w:val="20"/>
        </w:rPr>
        <w:t> </w:t>
      </w:r>
      <w:r>
        <w:rPr>
          <w:rFonts w:ascii="Arial" w:hAnsi="Arial"/>
          <w:sz w:val="21"/>
        </w:rPr>
        <w:t>(including</w:t>
      </w:r>
      <w:r>
        <w:rPr>
          <w:rFonts w:ascii="Arial" w:hAnsi="Arial"/>
          <w:sz w:val="20"/>
        </w:rPr>
        <w:t> </w:t>
      </w:r>
      <w:r>
        <w:rPr>
          <w:rFonts w:ascii="Arial" w:hAnsi="Arial"/>
          <w:sz w:val="21"/>
        </w:rPr>
        <w:t>all</w:t>
      </w:r>
      <w:r>
        <w:rPr>
          <w:rFonts w:ascii="Arial" w:hAnsi="Arial"/>
          <w:sz w:val="20"/>
        </w:rPr>
        <w:t> </w:t>
      </w:r>
      <w:r>
        <w:rPr>
          <w:rFonts w:ascii="Arial" w:hAnsi="Arial"/>
          <w:sz w:val="21"/>
        </w:rPr>
        <w:t>Indemnity</w:t>
      </w:r>
      <w:r>
        <w:rPr>
          <w:rFonts w:ascii="Arial" w:hAnsi="Arial"/>
          <w:sz w:val="20"/>
        </w:rPr>
        <w:t> </w:t>
      </w:r>
      <w:r>
        <w:rPr>
          <w:rFonts w:ascii="Arial" w:hAnsi="Arial"/>
          <w:sz w:val="21"/>
        </w:rPr>
        <w:t>Amounts)</w:t>
      </w:r>
      <w:r>
        <w:rPr>
          <w:rFonts w:ascii="Arial" w:hAnsi="Arial"/>
          <w:sz w:val="20"/>
        </w:rPr>
        <w:t> </w:t>
      </w:r>
      <w:r>
        <w:rPr>
          <w:rFonts w:ascii="Arial" w:hAnsi="Arial"/>
          <w:sz w:val="21"/>
        </w:rPr>
        <w:t>owing</w:t>
      </w:r>
      <w:r>
        <w:rPr>
          <w:rFonts w:ascii="Arial" w:hAnsi="Arial"/>
          <w:sz w:val="20"/>
        </w:rPr>
        <w:t> </w:t>
      </w:r>
      <w:r>
        <w:rPr>
          <w:rFonts w:ascii="Arial" w:hAnsi="Arial"/>
          <w:sz w:val="21"/>
        </w:rPr>
        <w:t>by</w:t>
      </w:r>
      <w:r>
        <w:rPr>
          <w:rFonts w:ascii="Arial" w:hAnsi="Arial"/>
          <w:sz w:val="20"/>
        </w:rPr>
        <w:t> </w:t>
      </w:r>
      <w:r>
        <w:rPr>
          <w:rFonts w:ascii="Arial" w:hAnsi="Arial"/>
          <w:sz w:val="21"/>
        </w:rPr>
        <w:t>the Borrower to the Bank in relation to the Transaction Documents;</w:t>
      </w:r>
      <w:r>
        <w:rPr>
          <w:rFonts w:ascii="Arial" w:hAnsi="Arial"/>
          <w:sz w:val="20"/>
        </w:rPr>
        <w:t xml:space="preserve"> </w:t>
      </w:r>
    </w:p>
    <w:p>
      <w:pPr>
        <w:pStyle w:val="TextBody"/>
        <w:bidi w:val="0"/>
        <w:spacing w:lineRule="auto" w:line="266" w:before="115" w:after="0"/>
        <w:ind w:left="4820" w:right="1421" w:hanging="0"/>
        <w:jc w:val="left"/>
        <w:rPr>
          <w:rFonts w:ascii="Arial" w:hAnsi="Arial"/>
          <w:sz w:val="20"/>
        </w:rPr>
      </w:pPr>
      <w:r>
        <w:rPr>
          <w:rFonts w:ascii="Arial" w:hAnsi="Arial"/>
          <w:sz w:val="21"/>
        </w:rPr>
        <w:t>(B)pay</w:t>
      </w:r>
      <w:r>
        <w:rPr>
          <w:rFonts w:ascii="Arial" w:hAnsi="Arial"/>
          <w:sz w:val="20"/>
        </w:rPr>
        <w:t> </w:t>
      </w:r>
      <w:r>
        <w:rPr>
          <w:rFonts w:ascii="Arial" w:hAnsi="Arial"/>
          <w:sz w:val="21"/>
        </w:rPr>
        <w:t>the</w:t>
      </w:r>
      <w:r>
        <w:rPr>
          <w:rFonts w:ascii="Arial" w:hAnsi="Arial"/>
          <w:sz w:val="20"/>
        </w:rPr>
        <w:t> </w:t>
      </w:r>
      <w:r>
        <w:rPr>
          <w:rFonts w:ascii="Arial" w:hAnsi="Arial"/>
          <w:sz w:val="21"/>
        </w:rPr>
        <w:t>Beneficiaries</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one</w:t>
      </w:r>
      <w:r>
        <w:rPr>
          <w:rFonts w:ascii="Arial" w:hAnsi="Arial"/>
          <w:sz w:val="20"/>
        </w:rPr>
        <w:t> </w:t>
      </w:r>
      <w:r>
        <w:rPr>
          <w:rFonts w:ascii="Arial" w:hAnsi="Arial"/>
          <w:sz w:val="21"/>
        </w:rPr>
        <w:t>or</w:t>
      </w:r>
      <w:r>
        <w:rPr>
          <w:rFonts w:ascii="Arial" w:hAnsi="Arial"/>
          <w:sz w:val="20"/>
        </w:rPr>
        <w:t> </w:t>
      </w:r>
      <w:r>
        <w:rPr>
          <w:rFonts w:ascii="Arial" w:hAnsi="Arial"/>
          <w:sz w:val="21"/>
        </w:rPr>
        <w:t>more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Current</w:t>
      </w:r>
      <w:r>
        <w:rPr>
          <w:rFonts w:ascii="Arial" w:hAnsi="Arial"/>
          <w:sz w:val="20"/>
        </w:rPr>
        <w:t> </w:t>
      </w:r>
      <w:r>
        <w:rPr>
          <w:rFonts w:ascii="Arial" w:hAnsi="Arial"/>
          <w:sz w:val="21"/>
        </w:rPr>
        <w:t>Bank Guarantees the amount agreed between the Bank and the relevant Beneficiary sufficient to obtain from the Beneficiary an unconditional release of the Bank’s obligations under the relevant Bank Guarantee on terms satisfactory to the Bank (acting reasonably).</w:t>
      </w:r>
      <w:r>
        <w:rPr>
          <w:rFonts w:ascii="Arial" w:hAnsi="Arial"/>
          <w:sz w:val="20"/>
        </w:rPr>
        <w:t xml:space="preserve"> </w:t>
      </w:r>
    </w:p>
    <w:p>
      <w:pPr>
        <w:pStyle w:val="TextBody"/>
        <w:bidi w:val="0"/>
        <w:spacing w:lineRule="auto" w:line="266" w:before="118" w:after="0"/>
        <w:ind w:left="4275" w:right="1464" w:hanging="0"/>
        <w:jc w:val="left"/>
        <w:rPr>
          <w:rFonts w:ascii="Arial" w:hAnsi="Arial"/>
          <w:sz w:val="20"/>
        </w:rPr>
      </w:pPr>
      <w:r>
        <w:rPr>
          <w:rFonts w:ascii="Arial" w:hAnsi="Arial"/>
          <w:sz w:val="21"/>
        </w:rPr>
        <w:t>(v)</w:t>
      </w:r>
      <w:r>
        <w:rPr>
          <w:rFonts w:ascii="Arial" w:hAnsi="Arial"/>
          <w:b/>
          <w:sz w:val="21"/>
        </w:rPr>
        <w:t xml:space="preserve">engage consultants: </w:t>
      </w:r>
      <w:r>
        <w:rPr>
          <w:rFonts w:ascii="Arial" w:hAnsi="Arial"/>
          <w:sz w:val="21"/>
        </w:rPr>
        <w:t>at the cost of the Borrower, appoint (or require the Borrower to appoint) such accountancy, financial management and other consultants as the Bank may nominate to investigate the business affairs and financial condition of any Transaction Party and whether each Transaction Party has complied with each Transaction Document to which it is a party and</w:t>
      </w:r>
      <w:r>
        <w:rPr>
          <w:rFonts w:ascii="Arial" w:hAnsi="Arial"/>
          <w:sz w:val="20"/>
        </w:rPr>
        <w:t> </w:t>
      </w:r>
      <w:r>
        <w:rPr>
          <w:rFonts w:ascii="Arial" w:hAnsi="Arial"/>
          <w:sz w:val="21"/>
        </w:rPr>
        <w:t>to</w:t>
      </w:r>
      <w:r>
        <w:rPr>
          <w:rFonts w:ascii="Arial" w:hAnsi="Arial"/>
          <w:sz w:val="20"/>
        </w:rPr>
        <w:t> </w:t>
      </w:r>
      <w:r>
        <w:rPr>
          <w:rFonts w:ascii="Arial" w:hAnsi="Arial"/>
          <w:sz w:val="21"/>
        </w:rPr>
        <w:t>make</w:t>
      </w:r>
      <w:r>
        <w:rPr>
          <w:rFonts w:ascii="Arial" w:hAnsi="Arial"/>
          <w:sz w:val="20"/>
        </w:rPr>
        <w:t> </w:t>
      </w:r>
      <w:r>
        <w:rPr>
          <w:rFonts w:ascii="Arial" w:hAnsi="Arial"/>
          <w:sz w:val="21"/>
        </w:rPr>
        <w:t>recommendations</w:t>
      </w:r>
      <w:r>
        <w:rPr>
          <w:rFonts w:ascii="Arial" w:hAnsi="Arial"/>
          <w:sz w:val="20"/>
        </w:rPr>
        <w:t> </w:t>
      </w:r>
      <w:r>
        <w:rPr>
          <w:rFonts w:ascii="Arial" w:hAnsi="Arial"/>
          <w:sz w:val="21"/>
        </w:rPr>
        <w:t>relating</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manner</w:t>
      </w:r>
      <w:r>
        <w:rPr>
          <w:rFonts w:ascii="Arial" w:hAnsi="Arial"/>
          <w:sz w:val="20"/>
        </w:rPr>
        <w:t> </w:t>
      </w:r>
      <w:r>
        <w:rPr>
          <w:rFonts w:ascii="Arial" w:hAnsi="Arial"/>
          <w:sz w:val="21"/>
        </w:rPr>
        <w:t>in</w:t>
      </w:r>
      <w:r>
        <w:rPr>
          <w:rFonts w:ascii="Arial" w:hAnsi="Arial"/>
          <w:sz w:val="20"/>
        </w:rPr>
        <w:t> </w:t>
      </w:r>
      <w:r>
        <w:rPr>
          <w:rFonts w:ascii="Arial" w:hAnsi="Arial"/>
          <w:sz w:val="21"/>
        </w:rPr>
        <w:t>which</w:t>
      </w:r>
      <w:r>
        <w:rPr>
          <w:rFonts w:ascii="Arial" w:hAnsi="Arial"/>
          <w:sz w:val="20"/>
        </w:rPr>
        <w:t> </w:t>
      </w:r>
      <w:r>
        <w:rPr>
          <w:rFonts w:ascii="Arial" w:hAnsi="Arial"/>
          <w:sz w:val="21"/>
        </w:rPr>
        <w:t>the Transaction</w:t>
      </w:r>
      <w:r>
        <w:rPr>
          <w:rFonts w:ascii="Arial" w:hAnsi="Arial"/>
          <w:sz w:val="20"/>
        </w:rPr>
        <w:t> </w:t>
      </w:r>
      <w:r>
        <w:rPr>
          <w:rFonts w:ascii="Arial" w:hAnsi="Arial"/>
          <w:sz w:val="21"/>
        </w:rPr>
        <w:t>Party</w:t>
      </w:r>
      <w:r>
        <w:rPr>
          <w:rFonts w:ascii="Arial" w:hAnsi="Arial"/>
          <w:sz w:val="20"/>
        </w:rPr>
        <w:t> </w:t>
      </w:r>
      <w:r>
        <w:rPr>
          <w:rFonts w:ascii="Arial" w:hAnsi="Arial"/>
          <w:sz w:val="21"/>
        </w:rPr>
        <w:t>carries</w:t>
      </w:r>
      <w:r>
        <w:rPr>
          <w:rFonts w:ascii="Arial" w:hAnsi="Arial"/>
          <w:sz w:val="20"/>
        </w:rPr>
        <w:t> </w:t>
      </w:r>
      <w:r>
        <w:rPr>
          <w:rFonts w:ascii="Arial" w:hAnsi="Arial"/>
          <w:sz w:val="21"/>
        </w:rPr>
        <w:t>on</w:t>
      </w:r>
      <w:r>
        <w:rPr>
          <w:rFonts w:ascii="Arial" w:hAnsi="Arial"/>
          <w:sz w:val="20"/>
        </w:rPr>
        <w:t> </w:t>
      </w:r>
      <w:r>
        <w:rPr>
          <w:rFonts w:ascii="Arial" w:hAnsi="Arial"/>
          <w:sz w:val="21"/>
        </w:rPr>
        <w:t>its</w:t>
      </w:r>
      <w:r>
        <w:rPr>
          <w:rFonts w:ascii="Arial" w:hAnsi="Arial"/>
          <w:sz w:val="20"/>
        </w:rPr>
        <w:t> </w:t>
      </w:r>
      <w:r>
        <w:rPr>
          <w:rFonts w:ascii="Arial" w:hAnsi="Arial"/>
          <w:sz w:val="21"/>
        </w:rPr>
        <w:t>business.</w:t>
      </w:r>
      <w:r>
        <w:rPr>
          <w:rFonts w:ascii="Arial" w:hAnsi="Arial"/>
          <w:sz w:val="20"/>
        </w:rPr>
        <w:t> </w:t>
      </w:r>
      <w:r>
        <w:rPr>
          <w:rFonts w:ascii="Arial" w:hAnsi="Arial"/>
          <w:sz w:val="21"/>
        </w:rPr>
        <w:t>Each</w:t>
      </w:r>
      <w:r>
        <w:rPr>
          <w:rFonts w:ascii="Arial" w:hAnsi="Arial"/>
          <w:sz w:val="20"/>
        </w:rPr>
        <w:t> </w:t>
      </w:r>
      <w:r>
        <w:rPr>
          <w:rFonts w:ascii="Arial" w:hAnsi="Arial"/>
          <w:sz w:val="21"/>
        </w:rPr>
        <w:t>Transaction</w:t>
      </w:r>
      <w:r>
        <w:rPr>
          <w:rFonts w:ascii="Arial" w:hAnsi="Arial"/>
          <w:sz w:val="20"/>
        </w:rPr>
        <w:t> </w:t>
      </w:r>
      <w:r>
        <w:rPr>
          <w:rFonts w:ascii="Arial" w:hAnsi="Arial"/>
          <w:sz w:val="21"/>
        </w:rPr>
        <w:t>Party agrees to provide all assistance and information required by the consultants (including making all financial records available and giving access to all premises and records) to enable the consultants</w:t>
      </w:r>
      <w:r>
        <w:rPr>
          <w:rFonts w:ascii="Arial" w:hAnsi="Arial"/>
          <w:sz w:val="20"/>
        </w:rPr>
        <w:t> </w:t>
      </w:r>
      <w:r>
        <w:rPr>
          <w:rFonts w:ascii="Arial" w:hAnsi="Arial"/>
          <w:sz w:val="21"/>
        </w:rPr>
        <w:t>to</w:t>
      </w:r>
      <w:r>
        <w:rPr>
          <w:rFonts w:ascii="Arial" w:hAnsi="Arial"/>
          <w:sz w:val="20"/>
        </w:rPr>
        <w:t> </w:t>
      </w:r>
      <w:r>
        <w:rPr>
          <w:rFonts w:ascii="Arial" w:hAnsi="Arial"/>
          <w:sz w:val="21"/>
        </w:rPr>
        <w:t>conduct</w:t>
      </w:r>
      <w:r>
        <w:rPr>
          <w:rFonts w:ascii="Arial" w:hAnsi="Arial"/>
          <w:sz w:val="20"/>
        </w:rPr>
        <w:t> </w:t>
      </w:r>
      <w:r>
        <w:rPr>
          <w:rFonts w:ascii="Arial" w:hAnsi="Arial"/>
          <w:sz w:val="21"/>
        </w:rPr>
        <w:t>their</w:t>
      </w:r>
      <w:r>
        <w:rPr>
          <w:rFonts w:ascii="Arial" w:hAnsi="Arial"/>
          <w:sz w:val="20"/>
        </w:rPr>
        <w:t> </w:t>
      </w:r>
      <w:r>
        <w:rPr>
          <w:rFonts w:ascii="Arial" w:hAnsi="Arial"/>
          <w:sz w:val="21"/>
        </w:rPr>
        <w:t>examination</w:t>
      </w:r>
      <w:r>
        <w:rPr>
          <w:rFonts w:ascii="Arial" w:hAnsi="Arial"/>
          <w:sz w:val="20"/>
        </w:rPr>
        <w:t> </w:t>
      </w:r>
      <w:r>
        <w:rPr>
          <w:rFonts w:ascii="Arial" w:hAnsi="Arial"/>
          <w:sz w:val="21"/>
        </w:rPr>
        <w:t>promptly,</w:t>
      </w:r>
      <w:r>
        <w:rPr>
          <w:rFonts w:ascii="Arial" w:hAnsi="Arial"/>
          <w:sz w:val="20"/>
        </w:rPr>
        <w:t> </w:t>
      </w:r>
      <w:r>
        <w:rPr>
          <w:rFonts w:ascii="Arial" w:hAnsi="Arial"/>
          <w:sz w:val="21"/>
        </w:rPr>
        <w:t>completely</w:t>
      </w:r>
      <w:r>
        <w:rPr>
          <w:rFonts w:ascii="Arial" w:hAnsi="Arial"/>
          <w:sz w:val="20"/>
        </w:rPr>
        <w:t> </w:t>
      </w:r>
      <w:r>
        <w:rPr>
          <w:rFonts w:ascii="Arial" w:hAnsi="Arial"/>
          <w:sz w:val="21"/>
        </w:rPr>
        <w:t>and accurately.</w:t>
      </w:r>
      <w:r>
        <w:rPr>
          <w:rFonts w:ascii="Arial" w:hAnsi="Arial"/>
          <w:sz w:val="20"/>
        </w:rPr>
        <w:t> </w:t>
      </w:r>
      <w:r>
        <w:rPr>
          <w:rFonts w:ascii="Arial" w:hAnsi="Arial"/>
          <w:sz w:val="21"/>
        </w:rPr>
        <w:t>No Transaction Party is obliged to accept the recommendations of any consultant, and the Bank will assume no liability with respect to any actions a Transaction Party takes, or does not take, as a result of those recommendations; or</w:t>
      </w:r>
      <w:r>
        <w:rPr>
          <w:rFonts w:ascii="Arial" w:hAnsi="Arial"/>
          <w:sz w:val="20"/>
        </w:rPr>
        <w:t xml:space="preserve"> </w:t>
      </w:r>
    </w:p>
    <w:p>
      <w:pPr>
        <w:pStyle w:val="TextBody"/>
        <w:bidi w:val="0"/>
        <w:spacing w:lineRule="auto" w:line="266" w:before="113" w:after="0"/>
        <w:ind w:left="4275" w:right="1443" w:hanging="0"/>
        <w:jc w:val="left"/>
        <w:rPr>
          <w:rFonts w:ascii="Arial" w:hAnsi="Arial"/>
          <w:sz w:val="20"/>
        </w:rPr>
      </w:pPr>
      <w:r>
        <w:rPr>
          <w:rFonts w:ascii="Arial" w:hAnsi="Arial"/>
          <w:sz w:val="21"/>
        </w:rPr>
        <w:t>(vi)</w:t>
      </w:r>
      <w:r>
        <w:rPr>
          <w:rFonts w:ascii="Arial" w:hAnsi="Arial"/>
          <w:b/>
          <w:sz w:val="21"/>
        </w:rPr>
        <w:t>treasury related transactions</w:t>
      </w:r>
      <w:r>
        <w:rPr>
          <w:rFonts w:ascii="Arial" w:hAnsi="Arial"/>
          <w:sz w:val="21"/>
        </w:rPr>
        <w:t>: if there are any Hedging Transactions</w:t>
      </w:r>
      <w:r>
        <w:rPr>
          <w:rFonts w:ascii="Arial" w:hAnsi="Arial"/>
          <w:sz w:val="20"/>
        </w:rPr>
        <w:t> </w:t>
      </w:r>
      <w:r>
        <w:rPr>
          <w:rFonts w:ascii="Arial" w:hAnsi="Arial"/>
          <w:sz w:val="21"/>
        </w:rPr>
        <w:t>or</w:t>
      </w:r>
      <w:r>
        <w:rPr>
          <w:rFonts w:ascii="Arial" w:hAnsi="Arial"/>
          <w:sz w:val="20"/>
        </w:rPr>
        <w:t> </w:t>
      </w:r>
      <w:r>
        <w:rPr>
          <w:rFonts w:ascii="Arial" w:hAnsi="Arial"/>
          <w:sz w:val="21"/>
        </w:rPr>
        <w:t>treasury</w:t>
      </w:r>
      <w:r>
        <w:rPr>
          <w:rFonts w:ascii="Arial" w:hAnsi="Arial"/>
          <w:sz w:val="20"/>
        </w:rPr>
        <w:t> </w:t>
      </w:r>
      <w:r>
        <w:rPr>
          <w:rFonts w:ascii="Arial" w:hAnsi="Arial"/>
          <w:sz w:val="21"/>
        </w:rPr>
        <w:t>related</w:t>
      </w:r>
      <w:r>
        <w:rPr>
          <w:rFonts w:ascii="Arial" w:hAnsi="Arial"/>
          <w:sz w:val="20"/>
        </w:rPr>
        <w:t> </w:t>
      </w:r>
      <w:r>
        <w:rPr>
          <w:rFonts w:ascii="Arial" w:hAnsi="Arial"/>
          <w:sz w:val="21"/>
        </w:rPr>
        <w:t>transactions</w:t>
      </w:r>
      <w:r>
        <w:rPr>
          <w:rFonts w:ascii="Arial" w:hAnsi="Arial"/>
          <w:sz w:val="20"/>
        </w:rPr>
        <w:t> </w:t>
      </w:r>
      <w:r>
        <w:rPr>
          <w:rFonts w:ascii="Arial" w:hAnsi="Arial"/>
          <w:sz w:val="21"/>
        </w:rPr>
        <w:t>in</w:t>
      </w:r>
      <w:r>
        <w:rPr>
          <w:rFonts w:ascii="Arial" w:hAnsi="Arial"/>
          <w:sz w:val="20"/>
        </w:rPr>
        <w:t> </w:t>
      </w:r>
      <w:r>
        <w:rPr>
          <w:rFonts w:ascii="Arial" w:hAnsi="Arial"/>
          <w:sz w:val="21"/>
        </w:rPr>
        <w:t>existence</w:t>
      </w:r>
      <w:r>
        <w:rPr>
          <w:rFonts w:ascii="Arial" w:hAnsi="Arial"/>
          <w:sz w:val="20"/>
        </w:rPr>
        <w:t> </w:t>
      </w:r>
      <w:r>
        <w:rPr>
          <w:rFonts w:ascii="Arial" w:hAnsi="Arial"/>
          <w:sz w:val="21"/>
        </w:rPr>
        <w:t>between the Bank and the Borrower (</w:t>
      </w:r>
      <w:r>
        <w:rPr>
          <w:rFonts w:ascii="Arial" w:hAnsi="Arial"/>
          <w:b/>
          <w:sz w:val="21"/>
        </w:rPr>
        <w:t>Open Positions</w:t>
      </w:r>
      <w:r>
        <w:rPr>
          <w:rFonts w:ascii="Arial" w:hAnsi="Arial"/>
          <w:sz w:val="21"/>
        </w:rPr>
        <w:t>) then:</w:t>
      </w:r>
      <w:r>
        <w:rPr>
          <w:rFonts w:ascii="Arial" w:hAnsi="Arial"/>
          <w:sz w:val="20"/>
        </w:rPr>
        <w:t xml:space="preserve"> </w:t>
      </w:r>
    </w:p>
    <w:p>
      <w:pPr>
        <w:pStyle w:val="TextBody"/>
        <w:bidi w:val="0"/>
        <w:spacing w:lineRule="auto" w:line="266" w:before="120" w:after="0"/>
        <w:ind w:left="4820" w:right="1506" w:hanging="0"/>
        <w:jc w:val="left"/>
        <w:rPr>
          <w:rFonts w:ascii="Arial" w:hAnsi="Arial"/>
          <w:sz w:val="20"/>
        </w:rPr>
      </w:pPr>
      <w:r>
        <w:rPr>
          <w:rFonts w:ascii="Arial" w:hAnsi="Arial"/>
          <w:sz w:val="21"/>
        </w:rPr>
        <w:t>(A)the</w:t>
      </w:r>
      <w:r>
        <w:rPr>
          <w:rFonts w:ascii="Arial" w:hAnsi="Arial"/>
          <w:sz w:val="20"/>
        </w:rPr>
        <w:t> </w:t>
      </w:r>
      <w:r>
        <w:rPr>
          <w:rFonts w:ascii="Arial" w:hAnsi="Arial"/>
          <w:sz w:val="21"/>
        </w:rPr>
        <w:t>Bank</w:t>
      </w:r>
      <w:r>
        <w:rPr>
          <w:rFonts w:ascii="Arial" w:hAnsi="Arial"/>
          <w:sz w:val="20"/>
        </w:rPr>
        <w:t> </w:t>
      </w:r>
      <w:r>
        <w:rPr>
          <w:rFonts w:ascii="Arial" w:hAnsi="Arial"/>
          <w:sz w:val="21"/>
        </w:rPr>
        <w:t>may</w:t>
      </w:r>
      <w:r>
        <w:rPr>
          <w:rFonts w:ascii="Arial" w:hAnsi="Arial"/>
          <w:sz w:val="20"/>
        </w:rPr>
        <w:t> </w:t>
      </w:r>
      <w:r>
        <w:rPr>
          <w:rFonts w:ascii="Arial" w:hAnsi="Arial"/>
          <w:sz w:val="21"/>
        </w:rPr>
        <w:t>close</w:t>
      </w:r>
      <w:r>
        <w:rPr>
          <w:rFonts w:ascii="Arial" w:hAnsi="Arial"/>
          <w:sz w:val="20"/>
        </w:rPr>
        <w:t> </w:t>
      </w:r>
      <w:r>
        <w:rPr>
          <w:rFonts w:ascii="Arial" w:hAnsi="Arial"/>
          <w:sz w:val="21"/>
        </w:rPr>
        <w:t>out</w:t>
      </w:r>
      <w:r>
        <w:rPr>
          <w:rFonts w:ascii="Arial" w:hAnsi="Arial"/>
          <w:sz w:val="20"/>
        </w:rPr>
        <w:t> </w:t>
      </w:r>
      <w:r>
        <w:rPr>
          <w:rFonts w:ascii="Arial" w:hAnsi="Arial"/>
          <w:sz w:val="21"/>
        </w:rPr>
        <w:t>the</w:t>
      </w:r>
      <w:r>
        <w:rPr>
          <w:rFonts w:ascii="Arial" w:hAnsi="Arial"/>
          <w:sz w:val="20"/>
        </w:rPr>
        <w:t> </w:t>
      </w:r>
      <w:r>
        <w:rPr>
          <w:rFonts w:ascii="Arial" w:hAnsi="Arial"/>
          <w:sz w:val="21"/>
        </w:rPr>
        <w:t>Open</w:t>
      </w:r>
      <w:r>
        <w:rPr>
          <w:rFonts w:ascii="Arial" w:hAnsi="Arial"/>
          <w:sz w:val="20"/>
        </w:rPr>
        <w:t> </w:t>
      </w:r>
      <w:r>
        <w:rPr>
          <w:rFonts w:ascii="Arial" w:hAnsi="Arial"/>
          <w:sz w:val="21"/>
        </w:rPr>
        <w:t>Positions,</w:t>
      </w:r>
      <w:r>
        <w:rPr>
          <w:rFonts w:ascii="Arial" w:hAnsi="Arial"/>
          <w:sz w:val="20"/>
        </w:rPr>
        <w:t> </w:t>
      </w:r>
      <w:r>
        <w:rPr>
          <w:rFonts w:ascii="Arial" w:hAnsi="Arial"/>
          <w:sz w:val="21"/>
        </w:rPr>
        <w:t>by</w:t>
      </w:r>
      <w:r>
        <w:rPr>
          <w:rFonts w:ascii="Arial" w:hAnsi="Arial"/>
          <w:sz w:val="20"/>
        </w:rPr>
        <w:t> </w:t>
      </w:r>
      <w:r>
        <w:rPr>
          <w:rFonts w:ascii="Arial" w:hAnsi="Arial"/>
          <w:sz w:val="21"/>
        </w:rPr>
        <w:t>entering</w:t>
      </w:r>
      <w:r>
        <w:rPr>
          <w:rFonts w:ascii="Arial" w:hAnsi="Arial"/>
          <w:sz w:val="20"/>
        </w:rPr>
        <w:t> </w:t>
      </w:r>
      <w:r>
        <w:rPr>
          <w:rFonts w:ascii="Arial" w:hAnsi="Arial"/>
          <w:sz w:val="21"/>
        </w:rPr>
        <w:t>into opposite positions for the balance of the unexpired term, or by such other means as may be usual in the relevant market. Any such close out must be at market rates prevailing at the time;</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820" w:right="1437" w:hanging="0"/>
        <w:jc w:val="left"/>
        <w:rPr>
          <w:rFonts w:ascii="Arial" w:hAnsi="Arial"/>
          <w:sz w:val="20"/>
        </w:rPr>
      </w:pPr>
      <w:r>
        <w:rPr>
          <w:rFonts w:ascii="Arial" w:hAnsi="Arial"/>
          <w:sz w:val="21"/>
        </w:rPr>
        <w:t>(B)any</w:t>
      </w:r>
      <w:r>
        <w:rPr>
          <w:rFonts w:ascii="Arial" w:hAnsi="Arial"/>
          <w:sz w:val="20"/>
        </w:rPr>
        <w:t> </w:t>
      </w:r>
      <w:r>
        <w:rPr>
          <w:rFonts w:ascii="Arial" w:hAnsi="Arial"/>
          <w:sz w:val="21"/>
        </w:rPr>
        <w:t>costs</w:t>
      </w:r>
      <w:r>
        <w:rPr>
          <w:rFonts w:ascii="Arial" w:hAnsi="Arial"/>
          <w:sz w:val="20"/>
        </w:rPr>
        <w:t> </w:t>
      </w:r>
      <w:r>
        <w:rPr>
          <w:rFonts w:ascii="Arial" w:hAnsi="Arial"/>
          <w:sz w:val="21"/>
        </w:rPr>
        <w:t>incurred</w:t>
      </w:r>
      <w:r>
        <w:rPr>
          <w:rFonts w:ascii="Arial" w:hAnsi="Arial"/>
          <w:sz w:val="20"/>
        </w:rPr>
        <w:t> </w:t>
      </w:r>
      <w:r>
        <w:rPr>
          <w:rFonts w:ascii="Arial" w:hAnsi="Arial"/>
          <w:sz w:val="21"/>
        </w:rPr>
        <w:t>by</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in</w:t>
      </w:r>
      <w:r>
        <w:rPr>
          <w:rFonts w:ascii="Arial" w:hAnsi="Arial"/>
          <w:sz w:val="20"/>
        </w:rPr>
        <w:t> </w:t>
      </w:r>
      <w:r>
        <w:rPr>
          <w:rFonts w:ascii="Arial" w:hAnsi="Arial"/>
          <w:sz w:val="21"/>
        </w:rPr>
        <w:t>closing</w:t>
      </w:r>
      <w:r>
        <w:rPr>
          <w:rFonts w:ascii="Arial" w:hAnsi="Arial"/>
          <w:sz w:val="20"/>
        </w:rPr>
        <w:t> </w:t>
      </w:r>
      <w:r>
        <w:rPr>
          <w:rFonts w:ascii="Arial" w:hAnsi="Arial"/>
          <w:sz w:val="21"/>
        </w:rPr>
        <w:t>out</w:t>
      </w:r>
      <w:r>
        <w:rPr>
          <w:rFonts w:ascii="Arial" w:hAnsi="Arial"/>
          <w:sz w:val="20"/>
        </w:rPr>
        <w:t> </w:t>
      </w:r>
      <w:r>
        <w:rPr>
          <w:rFonts w:ascii="Arial" w:hAnsi="Arial"/>
          <w:sz w:val="21"/>
        </w:rPr>
        <w:t>Open</w:t>
      </w:r>
      <w:r>
        <w:rPr>
          <w:rFonts w:ascii="Arial" w:hAnsi="Arial"/>
          <w:sz w:val="20"/>
        </w:rPr>
        <w:t> </w:t>
      </w:r>
      <w:r>
        <w:rPr>
          <w:rFonts w:ascii="Arial" w:hAnsi="Arial"/>
          <w:sz w:val="21"/>
        </w:rPr>
        <w:t>Positions must be paid by the Borrower to the Bank immediately upon demand by the Bank;</w:t>
      </w:r>
      <w:r>
        <w:rPr>
          <w:rFonts w:ascii="Arial" w:hAnsi="Arial"/>
          <w:sz w:val="20"/>
        </w:rPr>
        <w:t xml:space="preserve"> </w:t>
      </w:r>
    </w:p>
    <w:p>
      <w:pPr>
        <w:pStyle w:val="TextBody"/>
        <w:bidi w:val="0"/>
        <w:spacing w:lineRule="auto" w:line="266" w:before="120" w:after="0"/>
        <w:ind w:left="4820" w:right="1574" w:hanging="0"/>
        <w:jc w:val="left"/>
        <w:rPr>
          <w:rFonts w:ascii="Arial" w:hAnsi="Arial"/>
          <w:sz w:val="20"/>
        </w:rPr>
      </w:pPr>
      <w:r>
        <w:rPr>
          <w:rFonts w:ascii="Arial" w:hAnsi="Arial"/>
          <w:sz w:val="21"/>
        </w:rPr>
        <w:t>(C)any</w:t>
      </w:r>
      <w:r>
        <w:rPr>
          <w:rFonts w:ascii="Arial" w:hAnsi="Arial"/>
          <w:sz w:val="20"/>
        </w:rPr>
        <w:t> </w:t>
      </w:r>
      <w:r>
        <w:rPr>
          <w:rFonts w:ascii="Arial" w:hAnsi="Arial"/>
          <w:sz w:val="21"/>
        </w:rPr>
        <w:t>gain</w:t>
      </w:r>
      <w:r>
        <w:rPr>
          <w:rFonts w:ascii="Arial" w:hAnsi="Arial"/>
          <w:sz w:val="20"/>
        </w:rPr>
        <w:t> </w:t>
      </w:r>
      <w:r>
        <w:rPr>
          <w:rFonts w:ascii="Arial" w:hAnsi="Arial"/>
          <w:sz w:val="21"/>
        </w:rPr>
        <w:t>derived</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closing</w:t>
      </w:r>
      <w:r>
        <w:rPr>
          <w:rFonts w:ascii="Arial" w:hAnsi="Arial"/>
          <w:sz w:val="20"/>
        </w:rPr>
        <w:t> </w:t>
      </w:r>
      <w:r>
        <w:rPr>
          <w:rFonts w:ascii="Arial" w:hAnsi="Arial"/>
          <w:sz w:val="21"/>
        </w:rPr>
        <w:t>out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Open</w:t>
      </w:r>
      <w:r>
        <w:rPr>
          <w:rFonts w:ascii="Arial" w:hAnsi="Arial"/>
          <w:sz w:val="20"/>
        </w:rPr>
        <w:t> </w:t>
      </w:r>
      <w:r>
        <w:rPr>
          <w:rFonts w:ascii="Arial" w:hAnsi="Arial"/>
          <w:sz w:val="21"/>
        </w:rPr>
        <w:t>Positions will be credited to the Borrower and set off against the Amount Owing; and</w:t>
      </w:r>
      <w:r>
        <w:rPr>
          <w:rFonts w:ascii="Arial" w:hAnsi="Arial"/>
          <w:sz w:val="20"/>
        </w:rPr>
        <w:t xml:space="preserve"> </w:t>
      </w:r>
    </w:p>
    <w:p>
      <w:pPr>
        <w:pStyle w:val="TextBody"/>
        <w:bidi w:val="0"/>
        <w:spacing w:lineRule="auto" w:line="266" w:before="117" w:after="0"/>
        <w:ind w:left="4820" w:right="1484" w:hanging="0"/>
        <w:jc w:val="left"/>
        <w:rPr>
          <w:rFonts w:ascii="Arial" w:hAnsi="Arial"/>
          <w:sz w:val="20"/>
        </w:rPr>
      </w:pPr>
      <w:r>
        <w:rPr>
          <w:rFonts w:ascii="Arial" w:hAnsi="Arial"/>
          <w:sz w:val="21"/>
        </w:rPr>
        <w:t>(D)the</w:t>
      </w:r>
      <w:r>
        <w:rPr>
          <w:rFonts w:ascii="Arial" w:hAnsi="Arial"/>
          <w:sz w:val="20"/>
        </w:rPr>
        <w:t> </w:t>
      </w:r>
      <w:r>
        <w:rPr>
          <w:rFonts w:ascii="Arial" w:hAnsi="Arial"/>
          <w:sz w:val="21"/>
        </w:rPr>
        <w:t>Bank</w:t>
      </w:r>
      <w:r>
        <w:rPr>
          <w:rFonts w:ascii="Arial" w:hAnsi="Arial"/>
          <w:sz w:val="20"/>
        </w:rPr>
        <w:t> </w:t>
      </w:r>
      <w:r>
        <w:rPr>
          <w:rFonts w:ascii="Arial" w:hAnsi="Arial"/>
          <w:sz w:val="21"/>
        </w:rPr>
        <w:t>will</w:t>
      </w:r>
      <w:r>
        <w:rPr>
          <w:rFonts w:ascii="Arial" w:hAnsi="Arial"/>
          <w:sz w:val="20"/>
        </w:rPr>
        <w:t> </w:t>
      </w:r>
      <w:r>
        <w:rPr>
          <w:rFonts w:ascii="Arial" w:hAnsi="Arial"/>
          <w:sz w:val="21"/>
        </w:rPr>
        <w:t>give</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reasonable</w:t>
      </w:r>
      <w:r>
        <w:rPr>
          <w:rFonts w:ascii="Arial" w:hAnsi="Arial"/>
          <w:sz w:val="20"/>
        </w:rPr>
        <w:t> </w:t>
      </w:r>
      <w:r>
        <w:rPr>
          <w:rFonts w:ascii="Arial" w:hAnsi="Arial"/>
          <w:sz w:val="21"/>
        </w:rPr>
        <w:t>particulars</w:t>
      </w:r>
      <w:r>
        <w:rPr>
          <w:rFonts w:ascii="Arial" w:hAnsi="Arial"/>
          <w:sz w:val="20"/>
        </w:rPr>
        <w:t> </w:t>
      </w:r>
      <w:r>
        <w:rPr>
          <w:rFonts w:ascii="Arial" w:hAnsi="Arial"/>
          <w:sz w:val="21"/>
        </w:rPr>
        <w:t>of</w:t>
      </w:r>
      <w:r>
        <w:rPr>
          <w:rFonts w:ascii="Arial" w:hAnsi="Arial"/>
          <w:sz w:val="20"/>
        </w:rPr>
        <w:t> </w:t>
      </w:r>
      <w:r>
        <w:rPr>
          <w:rFonts w:ascii="Arial" w:hAnsi="Arial"/>
          <w:sz w:val="21"/>
        </w:rPr>
        <w:t>the manner of close out of the Open Positions and the basis of calculation of any amounts payable by or to the relevant Borrower arising from that close out.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(b)On</w:t>
      </w:r>
      <w:r>
        <w:rPr>
          <w:rFonts w:ascii="Arial" w:hAnsi="Arial"/>
          <w:sz w:val="20"/>
        </w:rPr>
        <w:t> </w:t>
      </w:r>
      <w:r>
        <w:rPr>
          <w:rFonts w:ascii="Arial" w:hAnsi="Arial"/>
          <w:sz w:val="21"/>
        </w:rPr>
        <w:t>receipt</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notice</w:t>
      </w:r>
      <w:r>
        <w:rPr>
          <w:rFonts w:ascii="Arial" w:hAnsi="Arial"/>
          <w:sz w:val="20"/>
        </w:rPr>
        <w:t> </w:t>
      </w:r>
      <w:r>
        <w:rPr>
          <w:rFonts w:ascii="Arial" w:hAnsi="Arial"/>
          <w:sz w:val="21"/>
        </w:rPr>
        <w:t>under</w:t>
      </w:r>
      <w:r>
        <w:rPr>
          <w:rFonts w:ascii="Arial" w:hAnsi="Arial"/>
          <w:sz w:val="20"/>
        </w:rPr>
        <w:t> </w:t>
      </w:r>
      <w:r>
        <w:rPr>
          <w:rFonts w:ascii="Arial" w:hAnsi="Arial"/>
          <w:b/>
          <w:sz w:val="21"/>
        </w:rPr>
        <w:t>clause</w:t>
      </w:r>
      <w:r>
        <w:rPr>
          <w:rFonts w:ascii="Arial" w:hAnsi="Arial"/>
          <w:sz w:val="20"/>
        </w:rPr>
        <w:t> </w:t>
      </w:r>
      <w:hyperlink w:anchor="_bookmark106">
        <w:r>
          <w:rPr>
            <w:rStyle w:val="InternetLink"/>
            <w:rFonts w:ascii="Arial" w:hAnsi="Arial"/>
            <w:b/>
            <w:sz w:val="21"/>
          </w:rPr>
          <w:t>10.2</w:t>
        </w:r>
      </w:hyperlink>
      <w:hyperlink w:anchor="_bookmark107">
        <w:r>
          <w:rPr>
            <w:rStyle w:val="InternetLink"/>
            <w:rFonts w:ascii="Arial" w:hAnsi="Arial"/>
            <w:b/>
            <w:sz w:val="21"/>
          </w:rPr>
          <w:t>(a)</w:t>
        </w:r>
      </w:hyperlink>
      <w:hyperlink w:anchor="_bookmark108">
        <w:r>
          <w:rPr>
            <w:rStyle w:val="InternetLink"/>
            <w:rFonts w:ascii="Arial" w:hAnsi="Arial"/>
            <w:b/>
            <w:sz w:val="21"/>
          </w:rPr>
          <w:t>(ii)</w:t>
        </w:r>
      </w:hyperlink>
      <w:hyperlink w:anchor="_bookmark109">
        <w:r>
          <w:rPr>
            <w:rStyle w:val="InternetLink"/>
            <w:rFonts w:ascii="Arial" w:hAnsi="Arial"/>
            <w:b/>
            <w:sz w:val="21"/>
          </w:rPr>
          <w:t>(A)</w:t>
        </w:r>
      </w:hyperlink>
      <w:r>
        <w:rPr>
          <w:rFonts w:ascii="Arial" w:hAnsi="Arial"/>
          <w:sz w:val="20"/>
        </w:rPr>
        <w:t> </w:t>
      </w:r>
      <w:r>
        <w:rPr>
          <w:rFonts w:ascii="Arial" w:hAnsi="Arial"/>
          <w:sz w:val="21"/>
        </w:rPr>
        <w:t>or</w:t>
      </w:r>
      <w:r>
        <w:rPr>
          <w:rFonts w:ascii="Arial" w:hAnsi="Arial"/>
          <w:sz w:val="20"/>
        </w:rPr>
        <w:t> </w:t>
      </w:r>
      <w:hyperlink w:anchor="_bookmark106">
        <w:r>
          <w:rPr>
            <w:rStyle w:val="InternetLink"/>
            <w:rFonts w:ascii="Arial" w:hAnsi="Arial"/>
            <w:b/>
            <w:sz w:val="21"/>
          </w:rPr>
          <w:t>10.2</w:t>
        </w:r>
      </w:hyperlink>
      <w:hyperlink w:anchor="_bookmark107">
        <w:r>
          <w:rPr>
            <w:rStyle w:val="InternetLink"/>
            <w:rFonts w:ascii="Arial" w:hAnsi="Arial"/>
            <w:b/>
            <w:sz w:val="21"/>
          </w:rPr>
          <w:t>(a)</w:t>
        </w:r>
      </w:hyperlink>
      <w:hyperlink w:anchor="_bookmark108">
        <w:r>
          <w:rPr>
            <w:rStyle w:val="InternetLink"/>
            <w:rFonts w:ascii="Arial" w:hAnsi="Arial"/>
            <w:b/>
            <w:sz w:val="21"/>
          </w:rPr>
          <w:t>(ii)</w:t>
        </w:r>
      </w:hyperlink>
      <w:hyperlink w:anchor="_bookmark110">
        <w:r>
          <w:rPr>
            <w:rStyle w:val="InternetLink"/>
            <w:rFonts w:ascii="Arial" w:hAnsi="Arial"/>
            <w:b/>
            <w:sz w:val="21"/>
          </w:rPr>
          <w:t>(B)</w:t>
        </w:r>
      </w:hyperlink>
      <w:r>
        <w:rPr>
          <w:rFonts w:ascii="Arial" w:hAnsi="Arial"/>
          <w:sz w:val="21"/>
        </w:rPr>
        <w:t>,</w:t>
      </w:r>
      <w:r>
        <w:rPr>
          <w:rFonts w:ascii="Arial" w:hAnsi="Arial"/>
          <w:sz w:val="20"/>
        </w:rPr>
        <w:t> </w:t>
      </w:r>
      <w:r>
        <w:rPr>
          <w:rFonts w:ascii="Arial" w:hAnsi="Arial"/>
          <w:sz w:val="21"/>
        </w:rPr>
        <w:t>the Borrower must immediately pay in full the amounts referred to in that notice.</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65" w:name="Cash_Cover103"/>
      <w:bookmarkEnd w:id="465"/>
      <w:r>
        <w:rPr>
          <w:rFonts w:ascii="Arial" w:hAnsi="Arial"/>
          <w:b/>
          <w:color w:val="000000"/>
          <w:sz w:val="24"/>
        </w:rPr>
        <w:t>10.3Cash Cover Account regarding Bank Guarantees</w:t>
      </w:r>
      <w:r>
        <w:rPr>
          <w:rFonts w:ascii="Arial" w:hAnsi="Arial"/>
          <w:b/>
          <w:sz w:val="24"/>
        </w:rPr>
        <w:t xml:space="preserve"> </w:t>
      </w:r>
    </w:p>
    <w:p>
      <w:pPr>
        <w:pStyle w:val="TextBody"/>
        <w:bidi w:val="0"/>
        <w:spacing w:lineRule="auto" w:line="266" w:before="118" w:after="0"/>
        <w:ind w:left="3687" w:right="854" w:hanging="0"/>
        <w:jc w:val="left"/>
        <w:rPr/>
      </w:pPr>
      <w:r>
        <w:rPr>
          <w:rFonts w:ascii="Arial" w:hAnsi="Arial"/>
          <w:color w:val="000000"/>
          <w:sz w:val="21"/>
        </w:rPr>
        <w:t>(a)The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so</w:t>
      </w:r>
      <w:r>
        <w:rPr>
          <w:rFonts w:ascii="Arial" w:hAnsi="Arial"/>
          <w:color w:val="000000"/>
          <w:sz w:val="20"/>
        </w:rPr>
        <w:t> </w:t>
      </w:r>
      <w:r>
        <w:rPr>
          <w:rFonts w:ascii="Arial" w:hAnsi="Arial"/>
          <w:color w:val="000000"/>
          <w:sz w:val="21"/>
        </w:rPr>
        <w:t>much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 xml:space="preserve">under </w:t>
      </w:r>
      <w:r>
        <w:rPr>
          <w:rFonts w:ascii="Arial" w:hAnsi="Arial"/>
          <w:b/>
          <w:color w:val="000000"/>
          <w:sz w:val="21"/>
        </w:rPr>
        <w:t xml:space="preserve">clause </w:t>
      </w:r>
      <w:hyperlink w:anchor="_bookmark106">
        <w:r>
          <w:rPr>
            <w:rStyle w:val="InternetLink"/>
          </w:rPr>
          <w:t>10.2</w:t>
        </w:r>
      </w:hyperlink>
      <w:hyperlink w:anchor="_bookmark107">
        <w:r>
          <w:rPr>
            <w:rStyle w:val="InternetLink"/>
          </w:rPr>
          <w:t>(a)</w:t>
        </w:r>
      </w:hyperlink>
      <w:hyperlink w:anchor="_bookmark111">
        <w:r>
          <w:rPr>
            <w:rStyle w:val="InternetLink"/>
          </w:rPr>
          <w:t>(iv)</w:t>
        </w:r>
      </w:hyperlink>
      <w:hyperlink w:anchor="_bookmark112">
        <w:r>
          <w:rPr>
            <w:rStyle w:val="InternetLink"/>
          </w:rPr>
          <w:t>(A)</w:t>
        </w:r>
      </w:hyperlink>
      <w:r>
        <w:rPr>
          <w:rFonts w:ascii="Arial" w:hAnsi="Arial"/>
          <w:color w:val="000000"/>
          <w:sz w:val="20"/>
        </w:rPr>
        <w:t> </w:t>
      </w:r>
      <w:r>
        <w:rPr>
          <w:rFonts w:ascii="Arial" w:hAnsi="Arial"/>
          <w:color w:val="000000"/>
          <w:sz w:val="21"/>
        </w:rPr>
        <w:t>which the Bank appropriates towards the Face Values of Current Bank Guarantees to an account maintained by the Bank for this purpose (</w:t>
      </w:r>
      <w:r>
        <w:rPr>
          <w:rFonts w:ascii="Arial" w:hAnsi="Arial"/>
          <w:b/>
          <w:color w:val="000000"/>
          <w:sz w:val="21"/>
        </w:rPr>
        <w:t>Cash Cover Account</w:t>
      </w:r>
      <w:r>
        <w:rPr>
          <w:rFonts w:ascii="Arial" w:hAnsi="Arial"/>
          <w:color w:val="000000"/>
          <w:sz w:val="21"/>
        </w:rPr>
        <w: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provisions</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Cover</w:t>
      </w:r>
      <w:r>
        <w:rPr>
          <w:rFonts w:ascii="Arial" w:hAnsi="Arial"/>
          <w:color w:val="000000"/>
          <w:sz w:val="20"/>
        </w:rPr>
        <w:t> </w:t>
      </w:r>
      <w:r>
        <w:rPr>
          <w:rFonts w:ascii="Arial" w:hAnsi="Arial"/>
          <w:color w:val="000000"/>
          <w:sz w:val="21"/>
        </w:rPr>
        <w:t>Account:</w:t>
      </w:r>
      <w:r>
        <w:rPr>
          <w:rFonts w:ascii="Arial" w:hAnsi="Arial"/>
          <w:sz w:val="20"/>
        </w:rPr>
        <w:t xml:space="preserve"> </w:t>
      </w:r>
    </w:p>
    <w:p>
      <w:pPr>
        <w:pStyle w:val="TextBody"/>
        <w:bidi w:val="0"/>
        <w:spacing w:before="147" w:after="0"/>
        <w:ind w:left="4275" w:right="700" w:hanging="0"/>
        <w:jc w:val="left"/>
        <w:rPr>
          <w:rFonts w:ascii="Arial" w:hAnsi="Arial"/>
          <w:sz w:val="20"/>
        </w:rPr>
      </w:pPr>
      <w:r>
        <w:rPr>
          <w:rFonts w:ascii="Arial" w:hAnsi="Arial"/>
          <w:color w:val="000000"/>
          <w:sz w:val="21"/>
        </w:rPr>
        <w:t>(i)the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xml:space="preserve"> </w:t>
      </w:r>
      <w:r>
        <w:rPr>
          <w:rFonts w:ascii="Arial" w:hAnsi="Arial"/>
          <w:color w:val="000000"/>
          <w:sz w:val="21"/>
        </w:rPr>
        <w:t>Borrower;</w:t>
      </w:r>
      <w:r>
        <w:rPr>
          <w:rFonts w:ascii="Arial" w:hAnsi="Arial"/>
          <w:sz w:val="20"/>
        </w:rPr>
        <w:t xml:space="preserve"> </w:t>
      </w:r>
    </w:p>
    <w:p>
      <w:pPr>
        <w:pStyle w:val="TextBody"/>
        <w:bidi w:val="0"/>
        <w:spacing w:lineRule="auto" w:line="266" w:before="147" w:after="0"/>
        <w:ind w:left="4275" w:right="1510" w:hanging="0"/>
        <w:jc w:val="left"/>
        <w:rPr>
          <w:rFonts w:ascii="Arial" w:hAnsi="Arial"/>
          <w:sz w:val="20"/>
        </w:rPr>
      </w:pPr>
      <w:r>
        <w:rPr>
          <w:rFonts w:ascii="Arial" w:hAnsi="Arial"/>
          <w:color w:val="000000"/>
          <w:sz w:val="21"/>
        </w:rPr>
        <w:t>(ii)despite the Cash Cover Account being in the name of the Borrower,</w:t>
      </w:r>
      <w:r>
        <w:rPr>
          <w:rFonts w:ascii="Arial" w:hAnsi="Arial"/>
          <w:color w:val="000000"/>
          <w:sz w:val="20"/>
        </w:rPr>
        <w:t> </w:t>
      </w:r>
      <w:r>
        <w:rPr>
          <w:rFonts w:ascii="Arial" w:hAnsi="Arial"/>
          <w:color w:val="000000"/>
          <w:sz w:val="21"/>
        </w:rPr>
        <w:t>until</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Release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held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is not owed by the Bank to the Borrower and the Borrower is not entitled to withdraw or be paid any of that money (including interest credited to the account);</w:t>
      </w:r>
      <w:r>
        <w:rPr>
          <w:rFonts w:ascii="Arial" w:hAnsi="Arial"/>
          <w:sz w:val="20"/>
        </w:rPr>
        <w:t xml:space="preserve"> </w:t>
      </w:r>
    </w:p>
    <w:p>
      <w:pPr>
        <w:pStyle w:val="TextBody"/>
        <w:bidi w:val="0"/>
        <w:spacing w:lineRule="auto" w:line="266" w:before="0" w:after="0"/>
        <w:ind w:left="4275" w:right="1828" w:hanging="0"/>
        <w:jc w:val="left"/>
        <w:rPr>
          <w:rFonts w:ascii="Arial" w:hAnsi="Arial"/>
          <w:sz w:val="20"/>
        </w:rPr>
      </w:pPr>
      <w:r>
        <w:rPr>
          <w:rFonts w:ascii="Arial" w:hAnsi="Arial"/>
          <w:color w:val="000000"/>
          <w:sz w:val="21"/>
        </w:rPr>
        <w:t>(iii)the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Cover Rate from time to time and that interest will be credited to the account monthly and on the Release Date; and</w:t>
      </w:r>
      <w:r>
        <w:rPr>
          <w:rFonts w:ascii="Arial" w:hAnsi="Arial"/>
          <w:sz w:val="20"/>
        </w:rPr>
        <w:t xml:space="preserve"> </w:t>
      </w:r>
    </w:p>
    <w:p>
      <w:pPr>
        <w:pStyle w:val="TextBody"/>
        <w:bidi w:val="0"/>
        <w:spacing w:lineRule="auto" w:line="266" w:before="116" w:after="0"/>
        <w:ind w:left="4275" w:right="1455" w:hanging="0"/>
        <w:jc w:val="left"/>
        <w:rPr/>
      </w:pPr>
      <w:r>
        <w:rPr>
          <w:rFonts w:ascii="Arial" w:hAnsi="Arial"/>
          <w:color w:val="000000"/>
          <w:sz w:val="21"/>
        </w:rPr>
        <w:t>(iv)without</w:t>
      </w:r>
      <w:r>
        <w:rPr>
          <w:rFonts w:ascii="Arial" w:hAnsi="Arial"/>
          <w:color w:val="000000"/>
          <w:sz w:val="20"/>
        </w:rPr>
        <w:t> </w:t>
      </w:r>
      <w:r>
        <w:rPr>
          <w:rFonts w:ascii="Arial" w:hAnsi="Arial"/>
          <w:color w:val="000000"/>
          <w:sz w:val="21"/>
        </w:rPr>
        <w:t>limiting</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114">
        <w:r>
          <w:rPr>
            <w:rStyle w:val="InternetLink"/>
            <w:rFonts w:ascii="Arial" w:hAnsi="Arial"/>
            <w:b/>
            <w:color w:val="000000"/>
            <w:sz w:val="21"/>
          </w:rPr>
          <w:t>10.3</w:t>
        </w:r>
      </w:hyperlink>
      <w:r>
        <w:rPr>
          <w:rFonts w:ascii="Arial" w:hAnsi="Arial"/>
          <w:color w:val="000000"/>
          <w:sz w:val="21"/>
        </w:rPr>
        <w: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amounts from time to time held in the account towards payment of any amounts</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from 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 Transaction Document.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Release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credit balance of the Cash Cover Account.</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66" w:name="Review_Events1041"/>
      <w:bookmarkEnd w:id="466"/>
      <w:r>
        <w:rPr>
          <w:rFonts w:ascii="Arial" w:hAnsi="Arial"/>
          <w:b/>
          <w:color w:val="000000"/>
          <w:sz w:val="24"/>
        </w:rPr>
        <w:t>10.4Review Events</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Each of the following is a Review Event (whether or not caused by anything outside the control of any Transaction Party):</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(a)there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Insolvency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International</w:t>
      </w:r>
      <w:r>
        <w:rPr>
          <w:rFonts w:ascii="Arial" w:hAnsi="Arial"/>
          <w:color w:val="000000"/>
          <w:sz w:val="20"/>
        </w:rPr>
        <w:t> </w:t>
      </w:r>
      <w:r>
        <w:rPr>
          <w:rFonts w:ascii="Arial" w:hAnsi="Arial"/>
          <w:color w:val="000000"/>
          <w:sz w:val="21"/>
        </w:rPr>
        <w:t>Inc;</w:t>
      </w:r>
      <w:r>
        <w:rPr>
          <w:rFonts w:ascii="Arial" w:hAnsi="Arial"/>
          <w:color w:val="000000"/>
          <w:sz w:val="20"/>
        </w:rPr>
        <w:t xml:space="preserve"> </w:t>
      </w:r>
      <w:r>
        <w:rPr>
          <w:rFonts w:ascii="Arial" w:hAnsi="Arial"/>
          <w:color w:val="000000"/>
          <w:sz w:val="21"/>
        </w:rPr>
        <w:t>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Control</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bookmarkStart w:id="467" w:name="Reviews1051"/>
      <w:bookmarkEnd w:id="467"/>
      <w:r>
        <w:rPr>
          <w:rFonts w:ascii="Arial" w:hAnsi="Arial"/>
          <w:b/>
          <w:color w:val="000000"/>
          <w:sz w:val="24"/>
        </w:rPr>
        <w:t>10.5Reviews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(a)In addition to 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review rights the Bank has under this document, 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conduct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Event.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occurred,</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w:t>
      </w:r>
      <w:r>
        <w:rPr>
          <w:rFonts w:ascii="Arial" w:hAnsi="Arial"/>
          <w:sz w:val="20"/>
        </w:rPr>
        <w:t xml:space="preserve"> </w:t>
      </w:r>
    </w:p>
    <w:p>
      <w:pPr>
        <w:pStyle w:val="TextBody"/>
        <w:bidi w:val="0"/>
        <w:spacing w:lineRule="auto" w:line="266" w:before="147" w:after="0"/>
        <w:ind w:left="4275" w:right="1466" w:hanging="0"/>
        <w:jc w:val="left"/>
        <w:rPr>
          <w:rFonts w:ascii="Arial" w:hAnsi="Arial"/>
          <w:sz w:val="20"/>
        </w:rPr>
      </w:pPr>
      <w:r>
        <w:rPr>
          <w:rFonts w:ascii="Arial" w:hAnsi="Arial"/>
          <w:color w:val="000000"/>
          <w:sz w:val="21"/>
        </w:rPr>
        <w:t>(i)the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conditions</w:t>
      </w:r>
      <w:r>
        <w:rPr>
          <w:rFonts w:ascii="Arial" w:hAnsi="Arial"/>
          <w:color w:val="000000"/>
          <w:sz w:val="20"/>
        </w:rPr>
        <w:t> </w:t>
      </w:r>
      <w:r>
        <w:rPr>
          <w:rFonts w:ascii="Arial" w:hAnsi="Arial"/>
          <w:color w:val="000000"/>
          <w:sz w:val="21"/>
        </w:rPr>
        <w:t>applying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 including, but not limited to, increasing or otherwise varying the fees payable in connection with the Facility; and/or</w:t>
      </w:r>
      <w:r>
        <w:rPr>
          <w:rFonts w:ascii="Arial" w:hAnsi="Arial"/>
          <w:sz w:val="20"/>
        </w:rPr>
        <w:t xml:space="preserve"> </w:t>
      </w:r>
    </w:p>
    <w:p>
      <w:pPr>
        <w:pStyle w:val="TextBody"/>
        <w:bidi w:val="0"/>
        <w:spacing w:lineRule="auto" w:line="266" w:before="120" w:after="0"/>
        <w:ind w:left="4275" w:right="1480" w:hanging="0"/>
        <w:jc w:val="left"/>
        <w:rPr>
          <w:rFonts w:ascii="Arial" w:hAnsi="Arial"/>
          <w:sz w:val="20"/>
        </w:rPr>
      </w:pPr>
      <w:r>
        <w:rPr>
          <w:rFonts w:ascii="Arial" w:hAnsi="Arial"/>
          <w:color w:val="000000"/>
          <w:sz w:val="21"/>
        </w:rPr>
        <w:t>(ii)the Bank may terminate the Facility.</w:t>
      </w:r>
      <w:r>
        <w:rPr>
          <w:rFonts w:ascii="Arial" w:hAnsi="Arial"/>
          <w:color w:val="000000"/>
          <w:sz w:val="20"/>
        </w:rPr>
        <w:t> </w:t>
      </w:r>
      <w:r>
        <w:rPr>
          <w:rFonts w:ascii="Arial" w:hAnsi="Arial"/>
          <w:color w:val="000000"/>
          <w:sz w:val="21"/>
        </w:rPr>
        <w:t>If the Bank terminates the Facility,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 date the Bank notifies the Borrower that it wishes to terminate the Facility.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conditions</w:t>
      </w:r>
      <w:r>
        <w:rPr>
          <w:rFonts w:ascii="Arial" w:hAnsi="Arial"/>
          <w:color w:val="000000"/>
          <w:sz w:val="20"/>
        </w:rPr>
        <w:t> </w:t>
      </w:r>
      <w:r>
        <w:rPr>
          <w:rFonts w:ascii="Arial" w:hAnsi="Arial"/>
          <w:color w:val="000000"/>
          <w:sz w:val="21"/>
        </w:rPr>
        <w:t>applying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 unless it has first given 30 days prior notice to the Borrower of the intended change.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(d)If</w:t>
      </w:r>
      <w:r>
        <w:rPr>
          <w:rFonts w:ascii="Arial" w:hAnsi="Arial"/>
          <w:color w:val="000000"/>
          <w:sz w:val="20"/>
        </w:rPr>
        <w:t> </w:t>
      </w:r>
      <w:r>
        <w:rPr>
          <w:rFonts w:ascii="Arial" w:hAnsi="Arial"/>
          <w:color w:val="000000"/>
          <w:sz w:val="21"/>
        </w:rPr>
        <w:t>the Bank gives notice of</w:t>
      </w:r>
      <w:r>
        <w:rPr>
          <w:rFonts w:ascii="Arial" w:hAnsi="Arial"/>
          <w:color w:val="000000"/>
          <w:sz w:val="20"/>
        </w:rPr>
        <w:t> </w:t>
      </w:r>
      <w:r>
        <w:rPr>
          <w:rFonts w:ascii="Arial" w:hAnsi="Arial"/>
          <w:color w:val="000000"/>
          <w:sz w:val="21"/>
        </w:rPr>
        <w:t>any change to the conditions of</w:t>
      </w:r>
      <w:r>
        <w:rPr>
          <w:rFonts w:ascii="Arial" w:hAnsi="Arial"/>
          <w:color w:val="000000"/>
          <w:sz w:val="20"/>
        </w:rPr>
        <w:t> </w:t>
      </w:r>
      <w:r>
        <w:rPr>
          <w:rFonts w:ascii="Arial" w:hAnsi="Arial"/>
          <w:color w:val="000000"/>
          <w:sz w:val="21"/>
        </w:rPr>
        <w:t>any Facility and the Borrower refuses</w:t>
      </w:r>
      <w:r>
        <w:rPr>
          <w:rFonts w:ascii="Arial" w:hAnsi="Arial"/>
          <w:color w:val="000000"/>
          <w:sz w:val="20"/>
        </w:rPr>
        <w:t> </w:t>
      </w:r>
      <w:r>
        <w:rPr>
          <w:rFonts w:ascii="Arial" w:hAnsi="Arial"/>
          <w:color w:val="000000"/>
          <w:sz w:val="21"/>
        </w:rPr>
        <w:t>to accept the changes before the end of</w:t>
      </w:r>
      <w:r>
        <w:rPr>
          <w:rFonts w:ascii="Arial" w:hAnsi="Arial"/>
          <w:color w:val="000000"/>
          <w:sz w:val="20"/>
        </w:rPr>
        <w:t> </w:t>
      </w:r>
      <w:r>
        <w:rPr>
          <w:rFonts w:ascii="Arial" w:hAnsi="Arial"/>
          <w:color w:val="000000"/>
          <w:sz w:val="21"/>
        </w:rPr>
        <w:t>the period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become repayable within 30 days of any demand by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(e)Nothing</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clause</w:t>
      </w:r>
      <w:r>
        <w:rPr>
          <w:rFonts w:ascii="Arial" w:hAnsi="Arial"/>
          <w:color w:val="000000"/>
          <w:sz w:val="20"/>
        </w:rPr>
        <w:t> </w:t>
      </w:r>
      <w:r>
        <w:rPr>
          <w:rFonts w:ascii="Arial" w:hAnsi="Arial"/>
          <w:color w:val="000000"/>
          <w:sz w:val="21"/>
        </w:rPr>
        <w:t>affects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 occurs.</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68" w:name="Equity_Cure1061"/>
      <w:bookmarkEnd w:id="468"/>
      <w:r>
        <w:rPr>
          <w:rFonts w:ascii="Arial" w:hAnsi="Arial"/>
          <w:b/>
          <w:color w:val="000000"/>
          <w:sz w:val="24"/>
        </w:rPr>
        <w:t>10.6Equity Cure</w:t>
      </w:r>
      <w:r>
        <w:rPr>
          <w:rFonts w:ascii="Arial" w:hAnsi="Arial"/>
          <w:b/>
          <w:sz w:val="24"/>
        </w:rPr>
        <w:t xml:space="preserve"> </w:t>
      </w:r>
    </w:p>
    <w:p>
      <w:pPr>
        <w:pStyle w:val="TextBody"/>
        <w:bidi w:val="0"/>
        <w:spacing w:lineRule="auto" w:line="266" w:before="118" w:after="0"/>
        <w:ind w:left="3687" w:right="854" w:hanging="0"/>
        <w:jc w:val="left"/>
        <w:rPr/>
      </w:pPr>
      <w:r>
        <w:rPr>
          <w:rFonts w:ascii="Arial" w:hAnsi="Arial"/>
          <w:color w:val="000000"/>
          <w:sz w:val="21"/>
        </w:rPr>
        <w:t xml:space="preserve">(a)If a breach of a Financial Ratio (other than the Fixed Charges Cover Ratio) occurs, the Borrower will have the right subject to </w:t>
      </w:r>
      <w:r>
        <w:rPr>
          <w:rFonts w:ascii="Arial" w:hAnsi="Arial"/>
          <w:b/>
          <w:color w:val="000000"/>
          <w:sz w:val="21"/>
        </w:rPr>
        <w:t xml:space="preserve">clause </w:t>
      </w:r>
      <w:hyperlink w:anchor="_bookmark118">
        <w:r>
          <w:rPr>
            <w:rStyle w:val="InternetLink"/>
          </w:rPr>
          <w:t>10.6(b)</w:t>
        </w:r>
      </w:hyperlink>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cure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breach</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procuring</w:t>
      </w:r>
      <w:r>
        <w:rPr>
          <w:rFonts w:ascii="Arial" w:hAnsi="Arial"/>
          <w:color w:val="000000"/>
          <w:sz w:val="20"/>
        </w:rPr>
        <w:t> </w:t>
      </w:r>
      <w:r>
        <w:rPr>
          <w:rFonts w:ascii="Arial" w:hAnsi="Arial"/>
          <w:color w:val="000000"/>
          <w:sz w:val="21"/>
        </w:rPr>
        <w:t>additional</w:t>
      </w:r>
      <w:r>
        <w:rPr>
          <w:rFonts w:ascii="Arial" w:hAnsi="Arial"/>
          <w:color w:val="000000"/>
          <w:sz w:val="20"/>
        </w:rPr>
        <w:t> </w:t>
      </w:r>
      <w:r>
        <w:rPr>
          <w:rFonts w:ascii="Arial" w:hAnsi="Arial"/>
          <w:color w:val="000000"/>
          <w:sz w:val="21"/>
        </w:rPr>
        <w:t>Subordinated</w:t>
      </w:r>
      <w:r>
        <w:rPr>
          <w:rFonts w:ascii="Arial" w:hAnsi="Arial"/>
          <w:color w:val="000000"/>
          <w:sz w:val="20"/>
        </w:rPr>
        <w:t> </w:t>
      </w:r>
      <w:r>
        <w:rPr>
          <w:rFonts w:ascii="Arial" w:hAnsi="Arial"/>
          <w:color w:val="000000"/>
          <w:sz w:val="21"/>
        </w:rPr>
        <w:t>Debt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equity contribution by way of subscription for new shares in the Borrower (or a combination of both) in an amount sufficient to cure the breach when applied in prepayment of the Outstanding Accommodation (Equity Cure).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(b)Equity</w:t>
      </w:r>
      <w:r>
        <w:rPr>
          <w:rFonts w:ascii="Arial" w:hAnsi="Arial"/>
          <w:color w:val="000000"/>
          <w:sz w:val="20"/>
        </w:rPr>
        <w:t> </w:t>
      </w:r>
      <w:r>
        <w:rPr>
          <w:rFonts w:ascii="Arial" w:hAnsi="Arial"/>
          <w:color w:val="000000"/>
          <w:sz w:val="21"/>
        </w:rPr>
        <w:t>Cure</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used:</w:t>
      </w:r>
      <w:r>
        <w:rPr>
          <w:rFonts w:ascii="Arial" w:hAnsi="Arial"/>
          <w:sz w:val="20"/>
        </w:rPr>
        <w:t xml:space="preserve"> </w:t>
      </w:r>
    </w:p>
    <w:p>
      <w:pPr>
        <w:pStyle w:val="TextBody"/>
        <w:bidi w:val="0"/>
        <w:spacing w:before="147" w:after="0"/>
        <w:ind w:left="4253" w:right="700" w:hanging="0"/>
        <w:jc w:val="left"/>
        <w:rPr>
          <w:rFonts w:ascii="Arial" w:hAnsi="Arial"/>
          <w:sz w:val="20"/>
        </w:rPr>
      </w:pPr>
      <w:r>
        <w:rPr>
          <w:rFonts w:ascii="Arial" w:hAnsi="Arial"/>
          <w:color w:val="000000"/>
          <w:sz w:val="21"/>
        </w:rPr>
        <w:t>(i)more</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3</w:t>
      </w:r>
      <w:r>
        <w:rPr>
          <w:rFonts w:ascii="Arial" w:hAnsi="Arial"/>
          <w:color w:val="000000"/>
          <w:sz w:val="20"/>
        </w:rPr>
        <w:t> </w:t>
      </w:r>
      <w:r>
        <w:rPr>
          <w:rFonts w:ascii="Arial" w:hAnsi="Arial"/>
          <w:color w:val="000000"/>
          <w:sz w:val="21"/>
        </w:rPr>
        <w:t>times</w:t>
      </w:r>
      <w:r>
        <w:rPr>
          <w:rFonts w:ascii="Arial" w:hAnsi="Arial"/>
          <w:color w:val="000000"/>
          <w:sz w:val="20"/>
        </w:rPr>
        <w:t> </w:t>
      </w:r>
      <w:r>
        <w:rPr>
          <w:rFonts w:ascii="Arial" w:hAnsi="Arial"/>
          <w:color w:val="000000"/>
          <w:sz w:val="21"/>
        </w:rPr>
        <w:t>during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Facilities;</w:t>
      </w:r>
      <w:r>
        <w:rPr>
          <w:rFonts w:ascii="Arial" w:hAnsi="Arial"/>
          <w:color w:val="000000"/>
          <w:sz w:val="20"/>
        </w:rPr>
        <w:t xml:space="preserve"> </w:t>
      </w:r>
      <w:r>
        <w:rPr>
          <w:rFonts w:ascii="Arial" w:hAnsi="Arial"/>
          <w:color w:val="000000"/>
          <w:sz w:val="21"/>
        </w:rPr>
        <w:t>or</w:t>
      </w:r>
      <w:r>
        <w:rPr>
          <w:rFonts w:ascii="Arial" w:hAnsi="Arial"/>
          <w:sz w:val="20"/>
        </w:rPr>
        <w:t xml:space="preserve"> </w:t>
      </w:r>
    </w:p>
    <w:p>
      <w:pPr>
        <w:pStyle w:val="TextBody"/>
        <w:bidi w:val="0"/>
        <w:spacing w:lineRule="auto" w:line="266" w:before="147" w:after="0"/>
        <w:ind w:left="4275" w:right="1815" w:hanging="0"/>
        <w:jc w:val="left"/>
        <w:rPr>
          <w:rFonts w:ascii="Arial" w:hAnsi="Arial"/>
          <w:sz w:val="20"/>
        </w:rPr>
      </w:pPr>
      <w:r>
        <w:rPr>
          <w:rFonts w:ascii="Arial" w:hAnsi="Arial"/>
          <w:color w:val="000000"/>
          <w:sz w:val="21"/>
        </w:rPr>
        <w:t>(ii)in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breach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Ratio</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Date, where Equity Cure has been used to cure a breach on the preceding Calculation Date.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 Borrower must notify the Bank of its intention to provide an Equity Cure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Equity</w:t>
      </w:r>
      <w:r>
        <w:rPr>
          <w:rFonts w:ascii="Arial" w:hAnsi="Arial"/>
          <w:color w:val="000000"/>
          <w:sz w:val="20"/>
        </w:rPr>
        <w:t> </w:t>
      </w:r>
      <w:r>
        <w:rPr>
          <w:rFonts w:ascii="Arial" w:hAnsi="Arial"/>
          <w:color w:val="000000"/>
          <w:sz w:val="21"/>
        </w:rPr>
        <w:t>Cure,</w:t>
      </w:r>
      <w:r>
        <w:rPr>
          <w:rFonts w:ascii="Arial" w:hAnsi="Arial"/>
          <w:color w:val="000000"/>
          <w:sz w:val="20"/>
        </w:rPr>
        <w:t> </w:t>
      </w:r>
      <w:r>
        <w:rPr>
          <w:rFonts w:ascii="Arial" w:hAnsi="Arial"/>
          <w:color w:val="000000"/>
          <w:sz w:val="21"/>
        </w:rPr>
        <w:t>within</w:t>
      </w:r>
      <w:r>
        <w:rPr>
          <w:rFonts w:ascii="Arial" w:hAnsi="Arial"/>
          <w:color w:val="000000"/>
          <w:sz w:val="20"/>
        </w:rPr>
        <w:t> </w:t>
      </w:r>
      <w:r>
        <w:rPr>
          <w:rFonts w:ascii="Arial" w:hAnsi="Arial"/>
          <w:color w:val="000000"/>
          <w:sz w:val="21"/>
        </w:rPr>
        <w:t>10</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delivery of the Compliance Certificate that identified the breach.</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(d)The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Equity</w:t>
      </w:r>
      <w:r>
        <w:rPr>
          <w:rFonts w:ascii="Arial" w:hAnsi="Arial"/>
          <w:color w:val="000000"/>
          <w:sz w:val="20"/>
        </w:rPr>
        <w:t> </w:t>
      </w:r>
      <w:r>
        <w:rPr>
          <w:rFonts w:ascii="Arial" w:hAnsi="Arial"/>
          <w:color w:val="000000"/>
          <w:sz w:val="21"/>
        </w:rPr>
        <w:t>Cure</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deemed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applied</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 day of the relevant test period in prepayment of the Outstanding Accommodation. The breach of the Financial Ratio will be taken to have been cured immediately upon the requisite proceeds being applied in prepayment and the Borrower confirming to the Bank that the amount prepaid when the Financial Ratio is recalculated is sufficient to ensure that the relevant Financial Ratio is met.</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 xml:space="preserve">(e)Notwithstanding </w:t>
      </w:r>
      <w:r>
        <w:rPr>
          <w:rFonts w:ascii="Arial" w:hAnsi="Arial"/>
          <w:b/>
          <w:sz w:val="21"/>
        </w:rPr>
        <w:t>clause 10.6(d)</w:t>
      </w:r>
      <w:r>
        <w:rPr>
          <w:rFonts w:ascii="Arial" w:hAnsi="Arial"/>
          <w:sz w:val="21"/>
        </w:rPr>
        <w:t>, any Equity Cure will be disregarded when</w:t>
      </w:r>
      <w:r>
        <w:rPr>
          <w:rFonts w:ascii="Arial" w:hAnsi="Arial"/>
          <w:sz w:val="20"/>
        </w:rPr>
        <w:t> </w:t>
      </w:r>
      <w:r>
        <w:rPr>
          <w:rFonts w:ascii="Arial" w:hAnsi="Arial"/>
          <w:sz w:val="21"/>
        </w:rPr>
        <w:t>calculating</w:t>
      </w:r>
      <w:r>
        <w:rPr>
          <w:rFonts w:ascii="Arial" w:hAnsi="Arial"/>
          <w:sz w:val="20"/>
        </w:rPr>
        <w:t> </w:t>
      </w:r>
      <w:r>
        <w:rPr>
          <w:rFonts w:ascii="Arial" w:hAnsi="Arial"/>
          <w:sz w:val="21"/>
        </w:rPr>
        <w:t>the</w:t>
      </w:r>
      <w:r>
        <w:rPr>
          <w:rFonts w:ascii="Arial" w:hAnsi="Arial"/>
          <w:sz w:val="20"/>
        </w:rPr>
        <w:t> </w:t>
      </w:r>
      <w:r>
        <w:rPr>
          <w:rFonts w:ascii="Arial" w:hAnsi="Arial"/>
          <w:sz w:val="21"/>
        </w:rPr>
        <w:t>Leverage</w:t>
      </w:r>
      <w:r>
        <w:rPr>
          <w:rFonts w:ascii="Arial" w:hAnsi="Arial"/>
          <w:sz w:val="20"/>
        </w:rPr>
        <w:t> </w:t>
      </w:r>
      <w:r>
        <w:rPr>
          <w:rFonts w:ascii="Arial" w:hAnsi="Arial"/>
          <w:sz w:val="21"/>
        </w:rPr>
        <w:t>Ratio</w:t>
      </w:r>
      <w:r>
        <w:rPr>
          <w:rFonts w:ascii="Arial" w:hAnsi="Arial"/>
          <w:sz w:val="20"/>
        </w:rPr>
        <w:t> </w:t>
      </w:r>
      <w:r>
        <w:rPr>
          <w:rFonts w:ascii="Arial" w:hAnsi="Arial"/>
          <w:sz w:val="21"/>
        </w:rPr>
        <w:t>for</w:t>
      </w:r>
      <w:r>
        <w:rPr>
          <w:rFonts w:ascii="Arial" w:hAnsi="Arial"/>
          <w:sz w:val="20"/>
        </w:rPr>
        <w:t> </w:t>
      </w:r>
      <w:r>
        <w:rPr>
          <w:rFonts w:ascii="Arial" w:hAnsi="Arial"/>
          <w:sz w:val="21"/>
        </w:rPr>
        <w:t>the</w:t>
      </w:r>
      <w:r>
        <w:rPr>
          <w:rFonts w:ascii="Arial" w:hAnsi="Arial"/>
          <w:sz w:val="20"/>
        </w:rPr>
        <w:t> </w:t>
      </w:r>
      <w:r>
        <w:rPr>
          <w:rFonts w:ascii="Arial" w:hAnsi="Arial"/>
          <w:sz w:val="21"/>
        </w:rPr>
        <w:t>purposes</w:t>
      </w:r>
      <w:r>
        <w:rPr>
          <w:rFonts w:ascii="Arial" w:hAnsi="Arial"/>
          <w:sz w:val="20"/>
        </w:rPr>
        <w:t> </w:t>
      </w:r>
      <w:r>
        <w:rPr>
          <w:rFonts w:ascii="Arial" w:hAnsi="Arial"/>
          <w:sz w:val="21"/>
        </w:rPr>
        <w:t>of</w:t>
      </w:r>
      <w:r>
        <w:rPr>
          <w:rFonts w:ascii="Arial" w:hAnsi="Arial"/>
          <w:sz w:val="20"/>
        </w:rPr>
        <w:t> </w:t>
      </w:r>
      <w:r>
        <w:rPr>
          <w:rFonts w:ascii="Arial" w:hAnsi="Arial"/>
          <w:sz w:val="21"/>
        </w:rPr>
        <w:t>determining</w:t>
      </w:r>
      <w:r>
        <w:rPr>
          <w:rFonts w:ascii="Arial" w:hAnsi="Arial"/>
          <w:sz w:val="20"/>
        </w:rPr>
        <w:t> </w:t>
      </w:r>
      <w:r>
        <w:rPr>
          <w:rFonts w:ascii="Arial" w:hAnsi="Arial"/>
          <w:sz w:val="21"/>
        </w:rPr>
        <w:t>the Margin.</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88" w:after="0"/>
        <w:ind w:left="1700" w:right="700" w:hanging="0"/>
        <w:jc w:val="left"/>
        <w:rPr>
          <w:rFonts w:cs="Arial"/>
          <w:szCs w:val="22"/>
        </w:rPr>
      </w:pPr>
      <w:r>
        <w:rPr>
          <w:rFonts w:cs="Arial"/>
          <w:szCs w:val="22"/>
        </w:rPr>
        <w:t xml:space="preserve">﻿ </w:t>
      </w:r>
    </w:p>
    <w:p>
      <w:pPr>
        <w:pStyle w:val="TextBody"/>
        <w:bidi w:val="0"/>
        <w:spacing w:before="0" w:after="0"/>
        <w:ind w:left="3230" w:right="700" w:hanging="0"/>
        <w:jc w:val="left"/>
        <w:rPr>
          <w:rFonts w:ascii="Arial" w:hAnsi="Arial"/>
          <w:sz w:val="32"/>
        </w:rPr>
      </w:pPr>
      <w:bookmarkStart w:id="469" w:name="Costs_and_expenses111"/>
      <w:bookmarkEnd w:id="469"/>
      <w:r>
        <w:rPr>
          <w:rFonts w:ascii="Arial" w:hAnsi="Arial"/>
          <w:color w:val="000000"/>
          <w:sz w:val="32"/>
        </w:rPr>
        <w:t>11Costs and expenses</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70" w:name="Interpretation1111"/>
      <w:bookmarkEnd w:id="470"/>
      <w:r>
        <w:rPr>
          <w:rFonts w:ascii="Arial" w:hAnsi="Arial"/>
          <w:b/>
          <w:color w:val="000000"/>
          <w:sz w:val="24"/>
        </w:rPr>
        <w:t>11.1Interpretation</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A reference to “costs and expenses” in a Transaction Document includes legal costs and expenses on a full indemnity basis.</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71" w:name="Nature1121"/>
      <w:bookmarkEnd w:id="471"/>
      <w:r>
        <w:rPr>
          <w:rFonts w:ascii="Arial" w:hAnsi="Arial"/>
          <w:b/>
          <w:color w:val="000000"/>
          <w:sz w:val="24"/>
        </w:rPr>
        <w:t>11.2Nature</w:t>
      </w:r>
      <w:r>
        <w:rPr>
          <w:rFonts w:ascii="Arial" w:hAnsi="Arial"/>
          <w:b/>
          <w:sz w:val="24"/>
        </w:rPr>
        <w:t xml:space="preserve"> </w:t>
      </w:r>
    </w:p>
    <w:p>
      <w:pPr>
        <w:pStyle w:val="TextBody"/>
        <w:bidi w:val="0"/>
        <w:spacing w:lineRule="auto" w:line="266" w:before="93" w:after="0"/>
        <w:ind w:left="3118" w:right="1471" w:hanging="0"/>
        <w:jc w:val="left"/>
        <w:rPr>
          <w:rFonts w:ascii="Arial" w:hAnsi="Arial"/>
          <w:sz w:val="22"/>
        </w:rPr>
      </w:pPr>
      <w:r>
        <w:rPr>
          <w:rFonts w:ascii="Arial" w:hAnsi="Arial"/>
          <w:color w:val="000000"/>
          <w:sz w:val="22"/>
        </w:rPr>
        <w:t>The Borrower must on demand pay and if paid by the Bank reimburse to the Bank:</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reasonable</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expenses</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sz w:val="20"/>
        </w:rPr>
        <w:t xml:space="preserve"> </w:t>
      </w:r>
    </w:p>
    <w:p>
      <w:pPr>
        <w:pStyle w:val="TextBody"/>
        <w:bidi w:val="0"/>
        <w:spacing w:lineRule="auto" w:line="266" w:before="147" w:after="0"/>
        <w:ind w:left="4275" w:right="2121" w:hanging="0"/>
        <w:jc w:val="both"/>
        <w:rPr>
          <w:rFonts w:ascii="Arial" w:hAnsi="Arial"/>
          <w:sz w:val="20"/>
        </w:rPr>
      </w:pPr>
      <w:r>
        <w:rPr>
          <w:rFonts w:ascii="Arial" w:hAnsi="Arial"/>
          <w:color w:val="000000"/>
          <w:sz w:val="21"/>
        </w:rPr>
        <w:t>(i)any</w:t>
      </w:r>
      <w:r>
        <w:rPr>
          <w:rFonts w:ascii="Arial" w:hAnsi="Arial"/>
          <w:color w:val="000000"/>
          <w:sz w:val="20"/>
        </w:rPr>
        <w:t> </w:t>
      </w:r>
      <w:r>
        <w:rPr>
          <w:rFonts w:ascii="Arial" w:hAnsi="Arial"/>
          <w:color w:val="000000"/>
          <w:sz w:val="21"/>
        </w:rPr>
        <w:t>Valuation</w:t>
      </w:r>
      <w:r>
        <w:rPr>
          <w:rFonts w:ascii="Arial" w:hAnsi="Arial"/>
          <w:color w:val="000000"/>
          <w:sz w:val="20"/>
        </w:rPr>
        <w:t> </w:t>
      </w:r>
      <w:r>
        <w:rPr>
          <w:rFonts w:ascii="Arial" w:hAnsi="Arial"/>
          <w:color w:val="000000"/>
          <w:sz w:val="21"/>
        </w:rPr>
        <w:t>obtained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 Document;</w:t>
      </w:r>
      <w:r>
        <w:rPr>
          <w:rFonts w:ascii="Arial" w:hAnsi="Arial"/>
          <w:sz w:val="20"/>
        </w:rPr>
        <w:t xml:space="preserve"> </w:t>
      </w:r>
    </w:p>
    <w:p>
      <w:pPr>
        <w:pStyle w:val="TextBody"/>
        <w:bidi w:val="0"/>
        <w:spacing w:lineRule="auto" w:line="266" w:before="120" w:after="0"/>
        <w:ind w:left="4275" w:right="1571" w:hanging="0"/>
        <w:jc w:val="both"/>
        <w:rPr>
          <w:rFonts w:ascii="Arial" w:hAnsi="Arial"/>
          <w:sz w:val="20"/>
        </w:rPr>
      </w:pPr>
      <w:r>
        <w:rPr>
          <w:rFonts w:ascii="Arial" w:hAnsi="Arial"/>
          <w:color w:val="000000"/>
          <w:sz w:val="21"/>
        </w:rPr>
        <w:t>(ii)the</w:t>
      </w:r>
      <w:r>
        <w:rPr>
          <w:rFonts w:ascii="Arial" w:hAnsi="Arial"/>
          <w:color w:val="000000"/>
          <w:sz w:val="20"/>
        </w:rPr>
        <w:t> </w:t>
      </w:r>
      <w:r>
        <w:rPr>
          <w:rFonts w:ascii="Arial" w:hAnsi="Arial"/>
          <w:color w:val="000000"/>
          <w:sz w:val="21"/>
        </w:rPr>
        <w:t>negotiation,</w:t>
      </w:r>
      <w:r>
        <w:rPr>
          <w:rFonts w:ascii="Arial" w:hAnsi="Arial"/>
          <w:color w:val="000000"/>
          <w:sz w:val="20"/>
        </w:rPr>
        <w:t> </w:t>
      </w:r>
      <w:r>
        <w:rPr>
          <w:rFonts w:ascii="Arial" w:hAnsi="Arial"/>
          <w:color w:val="000000"/>
          <w:sz w:val="21"/>
        </w:rPr>
        <w:t>preparation,</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stamping</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registration 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contemplated</w:t>
      </w:r>
      <w:r>
        <w:rPr>
          <w:rFonts w:ascii="Arial" w:hAnsi="Arial"/>
          <w:color w:val="000000"/>
          <w:sz w:val="20"/>
        </w:rPr>
        <w:t> </w:t>
      </w:r>
      <w:r>
        <w:rPr>
          <w:rFonts w:ascii="Arial" w:hAnsi="Arial"/>
          <w:color w:val="000000"/>
          <w:sz w:val="21"/>
        </w:rPr>
        <w:t>by them;</w:t>
      </w:r>
      <w:r>
        <w:rPr>
          <w:rFonts w:ascii="Arial" w:hAnsi="Arial"/>
          <w:sz w:val="20"/>
        </w:rPr>
        <w:t xml:space="preserve"> </w:t>
      </w:r>
    </w:p>
    <w:p>
      <w:pPr>
        <w:pStyle w:val="TextBody"/>
        <w:bidi w:val="0"/>
        <w:spacing w:lineRule="auto" w:line="266" w:before="117" w:after="0"/>
        <w:ind w:left="4275" w:right="1420" w:hanging="0"/>
        <w:jc w:val="left"/>
        <w:rPr>
          <w:rFonts w:ascii="Arial" w:hAnsi="Arial"/>
          <w:sz w:val="20"/>
        </w:rPr>
      </w:pPr>
      <w:r>
        <w:rPr>
          <w:rFonts w:ascii="Arial" w:hAnsi="Arial"/>
          <w:color w:val="000000"/>
          <w:sz w:val="21"/>
        </w:rPr>
        <w:t>(iii)any consent, request for consent (whether or not given), communication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waiver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variation,</w:t>
      </w:r>
      <w:r>
        <w:rPr>
          <w:rFonts w:ascii="Arial" w:hAnsi="Arial"/>
          <w:color w:val="000000"/>
          <w:sz w:val="20"/>
        </w:rPr>
        <w:t> </w:t>
      </w:r>
      <w:r>
        <w:rPr>
          <w:rFonts w:ascii="Arial" w:hAnsi="Arial"/>
          <w:color w:val="000000"/>
          <w:sz w:val="21"/>
        </w:rPr>
        <w:t>replacement or discharge of any Transaction Document or any document contemplated by it;</w:t>
      </w:r>
      <w:r>
        <w:rPr>
          <w:rFonts w:ascii="Arial" w:hAnsi="Arial"/>
          <w:sz w:val="20"/>
        </w:rPr>
        <w:t xml:space="preserve"> </w:t>
      </w:r>
    </w:p>
    <w:p>
      <w:pPr>
        <w:pStyle w:val="TextBody"/>
        <w:bidi w:val="0"/>
        <w:spacing w:lineRule="auto" w:line="266" w:before="118" w:after="0"/>
        <w:ind w:left="4275" w:right="1592" w:hanging="0"/>
        <w:jc w:val="left"/>
        <w:rPr>
          <w:rFonts w:ascii="Arial" w:hAnsi="Arial"/>
          <w:sz w:val="20"/>
        </w:rPr>
      </w:pPr>
      <w:r>
        <w:rPr>
          <w:rFonts w:ascii="Arial" w:hAnsi="Arial"/>
          <w:color w:val="000000"/>
          <w:sz w:val="21"/>
        </w:rPr>
        <w:t>(iv)the</w:t>
      </w:r>
      <w:r>
        <w:rPr>
          <w:rFonts w:ascii="Arial" w:hAnsi="Arial"/>
          <w:color w:val="000000"/>
          <w:sz w:val="20"/>
        </w:rPr>
        <w:t> </w:t>
      </w:r>
      <w:r>
        <w:rPr>
          <w:rFonts w:ascii="Arial" w:hAnsi="Arial"/>
          <w:color w:val="000000"/>
          <w:sz w:val="21"/>
        </w:rPr>
        <w:t>enforcement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attempted</w:t>
      </w:r>
      <w:r>
        <w:rPr>
          <w:rFonts w:ascii="Arial" w:hAnsi="Arial"/>
          <w:color w:val="000000"/>
          <w:sz w:val="20"/>
        </w:rPr>
        <w:t> </w:t>
      </w:r>
      <w:r>
        <w:rPr>
          <w:rFonts w:ascii="Arial" w:hAnsi="Arial"/>
          <w:color w:val="000000"/>
          <w:sz w:val="21"/>
        </w:rPr>
        <w:t>enforcement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preservation</w:t>
      </w:r>
      <w:r>
        <w:rPr>
          <w:rFonts w:ascii="Arial" w:hAnsi="Arial"/>
          <w:color w:val="000000"/>
          <w:sz w:val="20"/>
        </w:rPr>
        <w:t> </w:t>
      </w:r>
      <w:r>
        <w:rPr>
          <w:rFonts w:ascii="Arial" w:hAnsi="Arial"/>
          <w:color w:val="000000"/>
          <w:sz w:val="21"/>
        </w:rPr>
        <w:t>of any rights of the Bank under the Transaction Documents;</w:t>
      </w:r>
      <w:r>
        <w:rPr>
          <w:rFonts w:ascii="Arial" w:hAnsi="Arial"/>
          <w:sz w:val="20"/>
        </w:rPr>
        <w:t xml:space="preserve"> </w:t>
      </w:r>
    </w:p>
    <w:p>
      <w:pPr>
        <w:pStyle w:val="TextBody"/>
        <w:bidi w:val="0"/>
        <w:spacing w:lineRule="auto" w:line="268" w:before="0" w:after="0"/>
        <w:ind w:left="4275" w:right="2097" w:hanging="0"/>
        <w:jc w:val="left"/>
        <w:rPr>
          <w:rFonts w:ascii="Arial" w:hAnsi="Arial"/>
          <w:sz w:val="20"/>
        </w:rPr>
      </w:pPr>
      <w:r>
        <w:rPr>
          <w:rFonts w:ascii="Arial" w:hAnsi="Arial"/>
          <w:color w:val="000000"/>
          <w:sz w:val="21"/>
        </w:rPr>
        <w:t>(v)the</w:t>
      </w:r>
      <w:r>
        <w:rPr>
          <w:rFonts w:ascii="Arial" w:hAnsi="Arial"/>
          <w:color w:val="000000"/>
          <w:sz w:val="20"/>
        </w:rPr>
        <w:t> </w:t>
      </w:r>
      <w:r>
        <w:rPr>
          <w:rFonts w:ascii="Arial" w:hAnsi="Arial"/>
          <w:color w:val="000000"/>
          <w:sz w:val="21"/>
        </w:rPr>
        <w:t>occurrence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 Default; and</w:t>
      </w:r>
      <w:r>
        <w:rPr>
          <w:rFonts w:ascii="Arial" w:hAnsi="Arial"/>
          <w:sz w:val="20"/>
        </w:rPr>
        <w:t xml:space="preserve"> </w:t>
      </w:r>
    </w:p>
    <w:p>
      <w:pPr>
        <w:pStyle w:val="TextBody"/>
        <w:bidi w:val="0"/>
        <w:spacing w:lineRule="auto" w:line="266" w:before="115" w:after="0"/>
        <w:ind w:left="4275" w:right="1885" w:hanging="0"/>
        <w:jc w:val="left"/>
        <w:rPr>
          <w:rFonts w:ascii="Arial" w:hAnsi="Arial"/>
          <w:sz w:val="20"/>
        </w:rPr>
      </w:pPr>
      <w:r>
        <w:rPr>
          <w:rFonts w:ascii="Arial" w:hAnsi="Arial"/>
          <w:color w:val="000000"/>
          <w:sz w:val="21"/>
        </w:rPr>
        <w:t>(vi)the</w:t>
      </w:r>
      <w:r>
        <w:rPr>
          <w:rFonts w:ascii="Arial" w:hAnsi="Arial"/>
          <w:color w:val="000000"/>
          <w:sz w:val="20"/>
        </w:rPr>
        <w:t> </w:t>
      </w:r>
      <w:r>
        <w:rPr>
          <w:rFonts w:ascii="Arial" w:hAnsi="Arial"/>
          <w:color w:val="000000"/>
          <w:sz w:val="21"/>
        </w:rPr>
        <w:t>lodgment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removal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Encumbrance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Secured Property by any person; and</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 xml:space="preserve">(b)subject to </w:t>
      </w:r>
      <w:r>
        <w:rPr>
          <w:rFonts w:ascii="Arial" w:hAnsi="Arial"/>
          <w:b/>
          <w:color w:val="000000"/>
          <w:sz w:val="21"/>
        </w:rPr>
        <w:t xml:space="preserve">clause </w:t>
      </w:r>
      <w:hyperlink w:anchor="_bookmark180">
        <w:r>
          <w:rPr>
            <w:rStyle w:val="InternetLink"/>
          </w:rPr>
          <w:t>18.14</w:t>
        </w:r>
      </w:hyperlink>
      <w:hyperlink w:anchor="_bookmark181">
        <w:r>
          <w:rPr>
            <w:rStyle w:val="InternetLink"/>
          </w:rPr>
          <w:t>(d)</w:t>
        </w:r>
      </w:hyperlink>
      <w:r>
        <w:rPr>
          <w:rFonts w:ascii="Arial" w:hAnsi="Arial"/>
          <w:color w:val="000000"/>
          <w:sz w:val="21"/>
        </w:rPr>
        <w:t>, any Taxes and registration or other fees (including fines and penalties relating to the Taxes and fees) which are payable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assessed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Body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person to be payable in relation to the Transaction Documents or any document or transaction contemplated by them.</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72" w:name="Remuneration1131"/>
      <w:bookmarkEnd w:id="472"/>
      <w:r>
        <w:rPr>
          <w:rFonts w:ascii="Arial" w:hAnsi="Arial"/>
          <w:b/>
          <w:color w:val="000000"/>
          <w:sz w:val="24"/>
        </w:rPr>
        <w:t>11.3Remuneration</w:t>
      </w:r>
      <w:r>
        <w:rPr>
          <w:rFonts w:ascii="Arial" w:hAnsi="Arial"/>
          <w:b/>
          <w:sz w:val="24"/>
        </w:rPr>
        <w:t xml:space="preserve"> </w:t>
      </w:r>
    </w:p>
    <w:p>
      <w:pPr>
        <w:pStyle w:val="TextBody"/>
        <w:pBdr/>
        <w:bidi w:val="0"/>
        <w:spacing w:lineRule="auto" w:line="266" w:before="93" w:after="0"/>
        <w:ind w:left="3120" w:right="1471" w:hanging="0"/>
        <w:jc w:val="left"/>
        <w:rPr>
          <w:rFonts w:ascii="Arial" w:hAnsi="Arial"/>
          <w:sz w:val="22"/>
        </w:rPr>
      </w:pPr>
      <w:r>
        <w:rPr>
          <w:rFonts w:ascii="Arial" w:hAnsi="Arial"/>
          <w:color w:val="000000"/>
          <w:sz w:val="22"/>
        </w:rPr>
        <w:t>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43" w:after="0"/>
        <w:ind w:left="1700" w:right="700" w:hanging="0"/>
        <w:jc w:val="left"/>
        <w:rPr>
          <w:rFonts w:cs="Arial"/>
          <w:szCs w:val="32"/>
        </w:rPr>
      </w:pPr>
      <w:r>
        <w:rPr>
          <w:rFonts w:cs="Arial"/>
          <w:szCs w:val="32"/>
        </w:rPr>
        <w:t xml:space="preserve">﻿ </w:t>
      </w:r>
    </w:p>
    <w:p>
      <w:pPr>
        <w:pStyle w:val="TextBody"/>
        <w:bidi w:val="0"/>
        <w:spacing w:before="0" w:after="0"/>
        <w:ind w:left="3230" w:right="700" w:hanging="0"/>
        <w:jc w:val="left"/>
        <w:rPr>
          <w:rFonts w:ascii="Arial" w:hAnsi="Arial"/>
          <w:sz w:val="32"/>
        </w:rPr>
      </w:pPr>
      <w:bookmarkStart w:id="473" w:name="Indemnities121"/>
      <w:bookmarkEnd w:id="473"/>
      <w:r>
        <w:rPr>
          <w:rFonts w:ascii="Arial" w:hAnsi="Arial"/>
          <w:color w:val="000000"/>
          <w:sz w:val="32"/>
        </w:rPr>
        <w:t>12Indemnities</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74" w:name="Nature1211"/>
      <w:bookmarkEnd w:id="474"/>
      <w:r>
        <w:rPr>
          <w:rFonts w:ascii="Arial" w:hAnsi="Arial"/>
          <w:b/>
          <w:color w:val="000000"/>
          <w:sz w:val="24"/>
        </w:rPr>
        <w:t>12.1Nature</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The Borrower indemnifies the Bank on demand against any liability, loss, cost or expense (including Break Costs) caused or contributed to by:</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(a)any</w:t>
      </w:r>
      <w:r>
        <w:rPr>
          <w:rFonts w:ascii="Arial" w:hAnsi="Arial"/>
          <w:color w:val="000000"/>
          <w:sz w:val="20"/>
        </w:rPr>
        <w:t> </w:t>
      </w:r>
      <w:r>
        <w:rPr>
          <w:rFonts w:ascii="Arial" w:hAnsi="Arial"/>
          <w:color w:val="000000"/>
          <w:sz w:val="21"/>
        </w:rPr>
        <w:t>failure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under any Transaction Document;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(b)any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xml:space="preserve"> </w:t>
      </w:r>
      <w:r>
        <w:rPr>
          <w:rFonts w:ascii="Arial" w:hAnsi="Arial"/>
          <w:color w:val="000000"/>
          <w:sz w:val="21"/>
        </w:rPr>
        <w:t>Default;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enforcement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attempted</w:t>
      </w:r>
      <w:r>
        <w:rPr>
          <w:rFonts w:ascii="Arial" w:hAnsi="Arial"/>
          <w:color w:val="000000"/>
          <w:sz w:val="20"/>
        </w:rPr>
        <w:t> </w:t>
      </w:r>
      <w:r>
        <w:rPr>
          <w:rFonts w:ascii="Arial" w:hAnsi="Arial"/>
          <w:color w:val="000000"/>
          <w:sz w:val="21"/>
        </w:rPr>
        <w:t>enforcement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any Receiver or any Attorney under the Transaction Documents;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(d)any</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requested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granted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for any reason other than a default by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(e)any</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 Transaction Document;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(f)any</w:t>
      </w:r>
      <w:r>
        <w:rPr>
          <w:rFonts w:ascii="Arial" w:hAnsi="Arial"/>
          <w:color w:val="000000"/>
          <w:sz w:val="20"/>
        </w:rPr>
        <w:t> </w:t>
      </w:r>
      <w:r>
        <w:rPr>
          <w:rFonts w:ascii="Arial" w:hAnsi="Arial"/>
          <w:color w:val="000000"/>
          <w:sz w:val="21"/>
        </w:rPr>
        <w:t>act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reliance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communication</w:t>
      </w:r>
      <w:r>
        <w:rPr>
          <w:rFonts w:ascii="Arial" w:hAnsi="Arial"/>
          <w:color w:val="000000"/>
          <w:sz w:val="20"/>
        </w:rPr>
        <w:t> </w:t>
      </w:r>
      <w:r>
        <w:rPr>
          <w:rFonts w:ascii="Arial" w:hAnsi="Arial"/>
          <w:color w:val="000000"/>
          <w:sz w:val="21"/>
        </w:rPr>
        <w:t>purporting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 from the Borrower or to be given on behalf of the Borrower.</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75" w:name="Representatives1221"/>
      <w:bookmarkEnd w:id="475"/>
      <w:r>
        <w:rPr>
          <w:rFonts w:ascii="Arial" w:hAnsi="Arial"/>
          <w:b/>
          <w:color w:val="000000"/>
          <w:sz w:val="24"/>
        </w:rPr>
        <w:t>12.2Representatives</w:t>
      </w:r>
      <w:r>
        <w:rPr>
          <w:rFonts w:ascii="Arial" w:hAnsi="Arial"/>
          <w:b/>
          <w:sz w:val="24"/>
        </w:rPr>
        <w:t xml:space="preserve"> </w:t>
      </w:r>
    </w:p>
    <w:p>
      <w:pPr>
        <w:pStyle w:val="TextBody"/>
        <w:bidi w:val="0"/>
        <w:spacing w:lineRule="auto" w:line="266" w:before="93" w:after="0"/>
        <w:ind w:left="3120" w:right="1412" w:hanging="0"/>
        <w:jc w:val="left"/>
        <w:rPr>
          <w:rFonts w:ascii="Arial" w:hAnsi="Arial"/>
          <w:sz w:val="22"/>
        </w:rPr>
      </w:pPr>
      <w:r>
        <w:rPr>
          <w:rFonts w:ascii="Arial" w:hAnsi="Arial"/>
          <w:color w:val="000000"/>
          <w:sz w:val="22"/>
        </w:rPr>
        <w:t xml:space="preserve">The Borrower indemnifies each Receiver and Attorney and their respective Representatives and the Representatives of the Bank against any liability, loss, cost and expense caused by anything the Bank is indemnified against under </w:t>
      </w:r>
      <w:r>
        <w:rPr>
          <w:rFonts w:ascii="Arial" w:hAnsi="Arial"/>
          <w:b/>
          <w:color w:val="000000"/>
          <w:sz w:val="22"/>
        </w:rPr>
        <w:t xml:space="preserve">clause 12.1 </w:t>
      </w:r>
      <w:r>
        <w:rPr>
          <w:rFonts w:ascii="Arial" w:hAnsi="Arial"/>
          <w:color w:val="000000"/>
          <w:sz w:val="22"/>
        </w:rPr>
        <w:t xml:space="preserve">and the Bank holds the benefit of this </w:t>
      </w:r>
      <w:r>
        <w:rPr>
          <w:rFonts w:ascii="Arial" w:hAnsi="Arial"/>
          <w:b/>
          <w:color w:val="000000"/>
          <w:sz w:val="22"/>
        </w:rPr>
        <w:t xml:space="preserve">clause 12.2 </w:t>
      </w:r>
      <w:r>
        <w:rPr>
          <w:rFonts w:ascii="Arial" w:hAnsi="Arial"/>
          <w:color w:val="000000"/>
          <w:sz w:val="22"/>
        </w:rPr>
        <w:t>on trust for those persons.</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76" w:name="Currency_deficiency1231"/>
      <w:bookmarkEnd w:id="476"/>
      <w:r>
        <w:rPr>
          <w:rFonts w:ascii="Arial" w:hAnsi="Arial"/>
          <w:b/>
          <w:color w:val="000000"/>
          <w:sz w:val="24"/>
        </w:rPr>
        <w:t>12.3Currency deficiency</w:t>
      </w:r>
      <w:r>
        <w:rPr>
          <w:rFonts w:ascii="Arial" w:hAnsi="Arial"/>
          <w:b/>
          <w:sz w:val="24"/>
        </w:rPr>
        <w:t xml:space="preserve"> </w:t>
      </w:r>
    </w:p>
    <w:p>
      <w:pPr>
        <w:pStyle w:val="TextBody"/>
        <w:bidi w:val="0"/>
        <w:spacing w:before="95" w:after="0"/>
        <w:ind w:left="3120" w:right="700" w:hanging="0"/>
        <w:jc w:val="left"/>
        <w:rPr>
          <w:rFonts w:ascii="Arial" w:hAnsi="Arial"/>
          <w:sz w:val="22"/>
        </w:rPr>
      </w:pPr>
      <w:r>
        <w:rPr>
          <w:rFonts w:ascii="Arial" w:hAnsi="Arial"/>
          <w:color w:val="000000"/>
          <w:sz w:val="22"/>
        </w:rPr>
        <w:t>If there is any deficiency between:</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(a)an amount payable by a Transaction Party under a Transaction Document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received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currency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the currency payable under the Transaction Document because of a judgment, order or otherwise;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 amount produced by converting the payment received from the currency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currency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agreed</w:t>
      </w:r>
      <w:r>
        <w:rPr>
          <w:rFonts w:ascii="Arial" w:hAnsi="Arial"/>
          <w:color w:val="000000"/>
          <w:sz w:val="20"/>
        </w:rPr>
        <w:t> </w:t>
      </w:r>
      <w:r>
        <w:rPr>
          <w:rFonts w:ascii="Arial" w:hAnsi="Arial"/>
          <w:color w:val="000000"/>
          <w:sz w:val="21"/>
        </w:rPr>
        <w:t>to be paid either directly or through a currency other than that in which it was agreed to be paid,</w:t>
      </w:r>
      <w:r>
        <w:rPr>
          <w:rFonts w:ascii="Arial" w:hAnsi="Arial"/>
          <w:sz w:val="20"/>
        </w:rPr>
        <w:t xml:space="preserve"> </w:t>
      </w:r>
    </w:p>
    <w:p>
      <w:pPr>
        <w:pStyle w:val="TextBody"/>
        <w:bidi w:val="0"/>
        <w:spacing w:lineRule="auto" w:line="266" w:before="118" w:after="0"/>
        <w:ind w:left="3120" w:right="1471" w:hanging="0"/>
        <w:jc w:val="left"/>
        <w:rPr>
          <w:rFonts w:ascii="Arial" w:hAnsi="Arial"/>
          <w:sz w:val="22"/>
        </w:rPr>
      </w:pPr>
      <w:r>
        <w:rPr>
          <w:rFonts w:ascii="Arial" w:hAnsi="Arial"/>
          <w:color w:val="000000"/>
          <w:sz w:val="22"/>
        </w:rPr>
        <w:t>the Borrower must pay to the Bank the deficiency and any loss, costs or expenses resulting from it.</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77" w:name="Independence_and_survival1241"/>
      <w:bookmarkEnd w:id="477"/>
      <w:r>
        <w:rPr>
          <w:rFonts w:ascii="Arial" w:hAnsi="Arial"/>
          <w:b/>
          <w:color w:val="000000"/>
          <w:sz w:val="24"/>
        </w:rPr>
        <w:t>12.4Independence and survival</w:t>
      </w:r>
      <w:r>
        <w:rPr>
          <w:rFonts w:ascii="Arial" w:hAnsi="Arial"/>
          <w:b/>
          <w:sz w:val="24"/>
        </w:rPr>
        <w:t xml:space="preserve"> </w:t>
      </w:r>
    </w:p>
    <w:p>
      <w:pPr>
        <w:pStyle w:val="TextBody"/>
        <w:pBdr/>
        <w:bidi w:val="0"/>
        <w:spacing w:lineRule="auto" w:line="266" w:before="93" w:after="0"/>
        <w:ind w:left="3120" w:right="1471" w:hanging="0"/>
        <w:jc w:val="left"/>
        <w:rPr>
          <w:rFonts w:ascii="Arial" w:hAnsi="Arial"/>
          <w:sz w:val="22"/>
        </w:rPr>
      </w:pPr>
      <w:r>
        <w:rPr>
          <w:rFonts w:ascii="Arial" w:hAnsi="Arial"/>
          <w:color w:val="000000"/>
          <w:sz w:val="22"/>
        </w:rPr>
        <w:t>Each indemnity in a Transaction Document is a continuing obligation, separate and independent from the other obligations of the Borrower and survives the termination of that Transaction Document.</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bookmarkStart w:id="478" w:name="Accounting_for_transactions1251"/>
      <w:bookmarkEnd w:id="478"/>
      <w:r>
        <w:rPr>
          <w:rFonts w:ascii="Arial" w:hAnsi="Arial"/>
          <w:b/>
          <w:color w:val="000000"/>
          <w:sz w:val="24"/>
        </w:rPr>
        <w:t>12.5Accounting for transactions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authorises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open</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accounts</w:t>
      </w:r>
      <w:r>
        <w:rPr>
          <w:rFonts w:ascii="Arial" w:hAnsi="Arial"/>
          <w:color w:val="000000"/>
          <w:sz w:val="20"/>
        </w:rPr>
        <w:t> </w:t>
      </w:r>
      <w:r>
        <w:rPr>
          <w:rFonts w:ascii="Arial" w:hAnsi="Arial"/>
          <w:color w:val="000000"/>
          <w:sz w:val="21"/>
        </w:rPr>
        <w:t>as the Bank requires in connection with a Facility.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 Borrower irrevocably authorises the Bank to debit from any account 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opens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Borrower’s name) any amounts payable by the Borrower in relation to that Facility or account, including interest, costs, Taxes, enforcement expenses and any amount payable under an indemnity.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authorises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debit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(d)Where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debits</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opened by:</w:t>
      </w:r>
      <w:r>
        <w:rPr>
          <w:rFonts w:ascii="Arial" w:hAnsi="Arial"/>
          <w:sz w:val="20"/>
        </w:rPr>
        <w:t xml:space="preserve"> </w:t>
      </w:r>
    </w:p>
    <w:p>
      <w:pPr>
        <w:pStyle w:val="TextBody"/>
        <w:bidi w:val="0"/>
        <w:spacing w:lineRule="auto" w:line="266" w:before="0" w:after="0"/>
        <w:ind w:left="4275" w:right="1597" w:hanging="0"/>
        <w:jc w:val="both"/>
        <w:rPr>
          <w:rFonts w:ascii="Arial" w:hAnsi="Arial"/>
          <w:sz w:val="20"/>
        </w:rPr>
      </w:pPr>
      <w:r>
        <w:rPr>
          <w:rFonts w:ascii="Arial" w:hAnsi="Arial"/>
          <w:color w:val="000000"/>
          <w:sz w:val="21"/>
        </w:rPr>
        <w:t>(i)the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(including default interest if applicable) on any debit balance in</w:t>
      </w:r>
      <w:r>
        <w:rPr>
          <w:rFonts w:ascii="Arial" w:hAnsi="Arial"/>
          <w:color w:val="000000"/>
          <w:sz w:val="20"/>
        </w:rPr>
        <w:t> </w:t>
      </w:r>
      <w:r>
        <w:rPr>
          <w:rFonts w:ascii="Arial" w:hAnsi="Arial"/>
          <w:color w:val="000000"/>
          <w:sz w:val="21"/>
        </w:rPr>
        <w:t>accordance with the terms of that account;</w:t>
      </w:r>
      <w:r>
        <w:rPr>
          <w:rFonts w:ascii="Arial" w:hAnsi="Arial"/>
          <w:sz w:val="20"/>
        </w:rPr>
        <w:t xml:space="preserve"> </w:t>
      </w:r>
    </w:p>
    <w:p>
      <w:pPr>
        <w:pStyle w:val="TextBody"/>
        <w:bidi w:val="0"/>
        <w:spacing w:lineRule="auto" w:line="266" w:before="120" w:after="0"/>
        <w:ind w:left="4275" w:right="1618" w:hanging="0"/>
        <w:jc w:val="left"/>
        <w:rPr>
          <w:rFonts w:ascii="Arial" w:hAnsi="Arial"/>
          <w:sz w:val="20"/>
        </w:rPr>
      </w:pPr>
      <w:r>
        <w:rPr>
          <w:rFonts w:ascii="Arial" w:hAnsi="Arial"/>
          <w:color w:val="000000"/>
          <w:sz w:val="21"/>
        </w:rPr>
        <w:t>(ii)the Bank, the Borrower must pay the Bank interest on the overdrawn</w:t>
      </w:r>
      <w:r>
        <w:rPr>
          <w:rFonts w:ascii="Arial" w:hAnsi="Arial"/>
          <w:color w:val="000000"/>
          <w:sz w:val="20"/>
        </w:rPr>
        <w:t> </w:t>
      </w:r>
      <w:r>
        <w:rPr>
          <w:rFonts w:ascii="Arial" w:hAnsi="Arial"/>
          <w:color w:val="000000"/>
          <w:sz w:val="21"/>
        </w:rPr>
        <w:t>balance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Overdue</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applying 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there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none,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 terms normally applied by the Bank to accounts of that type; or</w:t>
      </w:r>
      <w:r>
        <w:rPr>
          <w:rFonts w:ascii="Arial" w:hAnsi="Arial"/>
          <w:sz w:val="20"/>
        </w:rPr>
        <w:t xml:space="preserve"> </w:t>
      </w:r>
    </w:p>
    <w:p>
      <w:pPr>
        <w:pStyle w:val="TextBody"/>
        <w:bidi w:val="0"/>
        <w:spacing w:lineRule="auto" w:line="266" w:before="118" w:after="0"/>
        <w:ind w:left="4275" w:right="1761" w:hanging="0"/>
        <w:jc w:val="left"/>
        <w:rPr>
          <w:rFonts w:ascii="Arial" w:hAnsi="Arial"/>
          <w:sz w:val="20"/>
        </w:rPr>
      </w:pPr>
      <w:r>
        <w:rPr>
          <w:rFonts w:ascii="Arial" w:hAnsi="Arial"/>
          <w:color w:val="000000"/>
          <w:sz w:val="21"/>
        </w:rPr>
        <w:t>(iii)either the Borrower or the Bank, the overdrawn balance of the account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excess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Limit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immediately payable without further notice.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(e)Unless</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provided,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 connection with this document towards satisfying obligations under this document as the Bank sees fit.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(f)Where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authorised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debit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under this document, it can do so without prior notice.</w:t>
      </w:r>
      <w:r>
        <w:rPr>
          <w:rFonts w:ascii="Arial" w:hAnsi="Arial"/>
          <w:sz w:val="20"/>
        </w:rPr>
        <w:t xml:space="preserve"> </w:t>
      </w:r>
    </w:p>
    <w:p>
      <w:pPr>
        <w:pStyle w:val="TextBody"/>
        <w:bidi w:val="0"/>
        <w:spacing w:before="214" w:after="0"/>
        <w:ind w:left="3725" w:right="700" w:hanging="0"/>
        <w:jc w:val="both"/>
        <w:rPr>
          <w:rFonts w:ascii="Arial" w:hAnsi="Arial"/>
          <w:b/>
          <w:sz w:val="24"/>
        </w:rPr>
      </w:pPr>
      <w:bookmarkStart w:id="479" w:name="Liability126"/>
      <w:bookmarkEnd w:id="479"/>
      <w:r>
        <w:rPr>
          <w:rFonts w:ascii="Arial" w:hAnsi="Arial"/>
          <w:b/>
          <w:color w:val="000000"/>
          <w:sz w:val="24"/>
        </w:rPr>
        <w:t>12.6Liability for Regulatory Events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 Borrower acknowledges that the Services may be interrupted, prevented,</w:t>
      </w:r>
      <w:r>
        <w:rPr>
          <w:rFonts w:ascii="Arial" w:hAnsi="Arial"/>
          <w:color w:val="000000"/>
          <w:sz w:val="20"/>
        </w:rPr>
        <w:t> </w:t>
      </w:r>
      <w:r>
        <w:rPr>
          <w:rFonts w:ascii="Arial" w:hAnsi="Arial"/>
          <w:color w:val="000000"/>
          <w:sz w:val="21"/>
        </w:rPr>
        <w:t>delayed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adversely</w:t>
      </w:r>
      <w:r>
        <w:rPr>
          <w:rFonts w:ascii="Arial" w:hAnsi="Arial"/>
          <w:color w:val="000000"/>
          <w:sz w:val="20"/>
        </w:rPr>
        <w:t> </w:t>
      </w:r>
      <w:r>
        <w:rPr>
          <w:rFonts w:ascii="Arial" w:hAnsi="Arial"/>
          <w:color w:val="000000"/>
          <w:sz w:val="21"/>
        </w:rPr>
        <w:t>affected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Regulatory Event.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extent</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Law:</w:t>
      </w:r>
      <w:r>
        <w:rPr>
          <w:rFonts w:ascii="Arial" w:hAnsi="Arial"/>
          <w:sz w:val="20"/>
        </w:rPr>
        <w:t xml:space="preserve"> </w:t>
      </w:r>
    </w:p>
    <w:p>
      <w:pPr>
        <w:pStyle w:val="TextBody"/>
        <w:bidi w:val="0"/>
        <w:spacing w:lineRule="auto" w:line="266" w:before="148" w:after="0"/>
        <w:ind w:left="4275" w:right="1617" w:hanging="0"/>
        <w:jc w:val="left"/>
        <w:rPr/>
      </w:pPr>
      <w:r>
        <w:rPr>
          <w:rFonts w:ascii="Arial" w:hAnsi="Arial"/>
          <w:color w:val="000000"/>
          <w:sz w:val="21"/>
        </w:rPr>
        <w:t xml:space="preserve">(i)the Bank is not liable for any loss incurred by a Borrower or any other person if an event described in </w:t>
      </w:r>
      <w:r>
        <w:rPr>
          <w:rFonts w:ascii="Arial" w:hAnsi="Arial"/>
          <w:b/>
          <w:color w:val="000000"/>
          <w:sz w:val="21"/>
        </w:rPr>
        <w:t xml:space="preserve">clause </w:t>
      </w:r>
      <w:hyperlink w:anchor="_bookmark129">
        <w:r>
          <w:rPr>
            <w:rStyle w:val="InternetLink"/>
          </w:rPr>
          <w:t>12.6</w:t>
        </w:r>
      </w:hyperlink>
      <w:hyperlink w:anchor="_bookmark130">
        <w:r>
          <w:rPr>
            <w:rStyle w:val="InternetLink"/>
          </w:rPr>
          <w:t>(a)</w:t>
        </w:r>
      </w:hyperlink>
      <w:r>
        <w:rPr>
          <w:rFonts w:ascii="Arial" w:hAnsi="Arial"/>
          <w:color w:val="000000"/>
          <w:sz w:val="20"/>
        </w:rPr>
        <w:t> </w:t>
      </w:r>
      <w:r>
        <w:rPr>
          <w:rFonts w:ascii="Arial" w:hAnsi="Arial"/>
          <w:color w:val="000000"/>
          <w:sz w:val="21"/>
        </w:rPr>
        <w:t>occurs, irrespective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nature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cause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 no obligation to contest any Regulatory Event or to mitigate its impact on the Borrower or the Bank; and</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275" w:right="1516" w:hanging="0"/>
        <w:jc w:val="left"/>
        <w:rPr/>
      </w:pPr>
      <w:r>
        <w:rPr>
          <w:rFonts w:ascii="Arial" w:hAnsi="Arial"/>
          <w:sz w:val="21"/>
        </w:rPr>
        <w:t>(ii)the</w:t>
      </w:r>
      <w:r>
        <w:rPr>
          <w:rFonts w:ascii="Arial" w:hAnsi="Arial"/>
          <w:sz w:val="20"/>
        </w:rPr>
        <w:t> </w:t>
      </w:r>
      <w:r>
        <w:rPr>
          <w:rFonts w:ascii="Arial" w:hAnsi="Arial"/>
          <w:sz w:val="21"/>
        </w:rPr>
        <w:t>Borrower</w:t>
      </w:r>
      <w:r>
        <w:rPr>
          <w:rFonts w:ascii="Arial" w:hAnsi="Arial"/>
          <w:sz w:val="20"/>
        </w:rPr>
        <w:t> </w:t>
      </w:r>
      <w:r>
        <w:rPr>
          <w:rFonts w:ascii="Arial" w:hAnsi="Arial"/>
          <w:sz w:val="21"/>
        </w:rPr>
        <w:t>releases</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from</w:t>
      </w:r>
      <w:r>
        <w:rPr>
          <w:rFonts w:ascii="Arial" w:hAnsi="Arial"/>
          <w:sz w:val="20"/>
        </w:rPr>
        <w:t> </w:t>
      </w:r>
      <w:r>
        <w:rPr>
          <w:rFonts w:ascii="Arial" w:hAnsi="Arial"/>
          <w:sz w:val="21"/>
        </w:rPr>
        <w:t>all</w:t>
      </w:r>
      <w:r>
        <w:rPr>
          <w:rFonts w:ascii="Arial" w:hAnsi="Arial"/>
          <w:sz w:val="20"/>
        </w:rPr>
        <w:t> </w:t>
      </w:r>
      <w:r>
        <w:rPr>
          <w:rFonts w:ascii="Arial" w:hAnsi="Arial"/>
          <w:sz w:val="21"/>
        </w:rPr>
        <w:t>liability</w:t>
      </w:r>
      <w:r>
        <w:rPr>
          <w:rFonts w:ascii="Arial" w:hAnsi="Arial"/>
          <w:sz w:val="20"/>
        </w:rPr>
        <w:t> </w:t>
      </w:r>
      <w:r>
        <w:rPr>
          <w:rFonts w:ascii="Arial" w:hAnsi="Arial"/>
          <w:sz w:val="21"/>
        </w:rPr>
        <w:t>in</w:t>
      </w:r>
      <w:r>
        <w:rPr>
          <w:rFonts w:ascii="Arial" w:hAnsi="Arial"/>
          <w:sz w:val="20"/>
        </w:rPr>
        <w:t> </w:t>
      </w:r>
      <w:r>
        <w:rPr>
          <w:rFonts w:ascii="Arial" w:hAnsi="Arial"/>
          <w:sz w:val="21"/>
        </w:rPr>
        <w:t>connection</w:t>
      </w:r>
      <w:r>
        <w:rPr>
          <w:rFonts w:ascii="Arial" w:hAnsi="Arial"/>
          <w:sz w:val="20"/>
        </w:rPr>
        <w:t> </w:t>
      </w:r>
      <w:r>
        <w:rPr>
          <w:rFonts w:ascii="Arial" w:hAnsi="Arial"/>
          <w:sz w:val="21"/>
        </w:rPr>
        <w:t xml:space="preserve">with any loss incurred by a Borrower or any other person if an event described in </w:t>
      </w:r>
      <w:r>
        <w:rPr>
          <w:rFonts w:ascii="Arial" w:hAnsi="Arial"/>
          <w:b/>
          <w:sz w:val="21"/>
        </w:rPr>
        <w:t xml:space="preserve">clause </w:t>
      </w:r>
      <w:hyperlink w:anchor="_bookmark129">
        <w:r>
          <w:rPr>
            <w:rStyle w:val="InternetLink"/>
            <w:rFonts w:ascii="Arial" w:hAnsi="Arial"/>
            <w:b/>
            <w:sz w:val="21"/>
          </w:rPr>
          <w:t>12.6</w:t>
        </w:r>
      </w:hyperlink>
      <w:hyperlink w:anchor="_bookmark130">
        <w:r>
          <w:rPr>
            <w:rStyle w:val="InternetLink"/>
            <w:rFonts w:ascii="Arial" w:hAnsi="Arial"/>
            <w:b/>
            <w:sz w:val="21"/>
          </w:rPr>
          <w:t>(a)</w:t>
        </w:r>
      </w:hyperlink>
      <w:r>
        <w:rPr>
          <w:rFonts w:ascii="Arial" w:hAnsi="Arial"/>
          <w:sz w:val="20"/>
        </w:rPr>
        <w:t> </w:t>
      </w:r>
      <w:r>
        <w:rPr>
          <w:rFonts w:ascii="Arial" w:hAnsi="Arial"/>
          <w:sz w:val="21"/>
        </w:rPr>
        <w:t>occurs.</w:t>
      </w:r>
      <w:r>
        <w:rPr>
          <w:rFonts w:ascii="Arial" w:hAnsi="Arial"/>
          <w:sz w:val="20"/>
        </w:rPr>
        <w:t xml:space="preserve"> </w:t>
      </w:r>
    </w:p>
    <w:p>
      <w:pPr>
        <w:pStyle w:val="TextBody"/>
        <w:bidi w:val="0"/>
        <w:spacing w:lineRule="auto" w:line="266" w:before="120" w:after="0"/>
        <w:ind w:left="3646" w:right="1908" w:hanging="0"/>
        <w:jc w:val="left"/>
        <w:rPr>
          <w:rFonts w:ascii="Arial" w:hAnsi="Arial"/>
          <w:sz w:val="20"/>
        </w:rPr>
      </w:pPr>
      <w:r>
        <w:rPr>
          <w:rFonts w:ascii="Arial" w:hAnsi="Arial"/>
          <w:sz w:val="21"/>
        </w:rPr>
        <w:t>(c)To</w:t>
      </w:r>
      <w:r>
        <w:rPr>
          <w:rFonts w:ascii="Arial" w:hAnsi="Arial"/>
          <w:sz w:val="20"/>
        </w:rPr>
        <w:t> </w:t>
      </w:r>
      <w:r>
        <w:rPr>
          <w:rFonts w:ascii="Arial" w:hAnsi="Arial"/>
          <w:sz w:val="21"/>
        </w:rPr>
        <w:t>the</w:t>
      </w:r>
      <w:r>
        <w:rPr>
          <w:rFonts w:ascii="Arial" w:hAnsi="Arial"/>
          <w:sz w:val="20"/>
        </w:rPr>
        <w:t> </w:t>
      </w:r>
      <w:r>
        <w:rPr>
          <w:rFonts w:ascii="Arial" w:hAnsi="Arial"/>
          <w:sz w:val="21"/>
        </w:rPr>
        <w:t>extent</w:t>
      </w:r>
      <w:r>
        <w:rPr>
          <w:rFonts w:ascii="Arial" w:hAnsi="Arial"/>
          <w:sz w:val="20"/>
        </w:rPr>
        <w:t> </w:t>
      </w:r>
      <w:r>
        <w:rPr>
          <w:rFonts w:ascii="Arial" w:hAnsi="Arial"/>
          <w:sz w:val="21"/>
        </w:rPr>
        <w:t>that</w:t>
      </w:r>
      <w:r>
        <w:rPr>
          <w:rFonts w:ascii="Arial" w:hAnsi="Arial"/>
          <w:sz w:val="20"/>
        </w:rPr>
        <w:t> </w:t>
      </w:r>
      <w:r>
        <w:rPr>
          <w:rFonts w:ascii="Arial" w:hAnsi="Arial"/>
          <w:sz w:val="21"/>
        </w:rPr>
        <w:t>the</w:t>
      </w:r>
      <w:r>
        <w:rPr>
          <w:rFonts w:ascii="Arial" w:hAnsi="Arial"/>
          <w:sz w:val="20"/>
        </w:rPr>
        <w:t> </w:t>
      </w:r>
      <w:r>
        <w:rPr>
          <w:rFonts w:ascii="Arial" w:hAnsi="Arial"/>
          <w:sz w:val="21"/>
        </w:rPr>
        <w:t>Bank’s</w:t>
      </w:r>
      <w:r>
        <w:rPr>
          <w:rFonts w:ascii="Arial" w:hAnsi="Arial"/>
          <w:sz w:val="20"/>
        </w:rPr>
        <w:t> </w:t>
      </w:r>
      <w:r>
        <w:rPr>
          <w:rFonts w:ascii="Arial" w:hAnsi="Arial"/>
          <w:sz w:val="21"/>
        </w:rPr>
        <w:t>liability</w:t>
      </w:r>
      <w:r>
        <w:rPr>
          <w:rFonts w:ascii="Arial" w:hAnsi="Arial"/>
          <w:sz w:val="20"/>
        </w:rPr>
        <w:t> </w:t>
      </w:r>
      <w:r>
        <w:rPr>
          <w:rFonts w:ascii="Arial" w:hAnsi="Arial"/>
          <w:sz w:val="21"/>
        </w:rPr>
        <w:t>cannot</w:t>
      </w:r>
      <w:r>
        <w:rPr>
          <w:rFonts w:ascii="Arial" w:hAnsi="Arial"/>
          <w:sz w:val="20"/>
        </w:rPr>
        <w:t> </w:t>
      </w:r>
      <w:r>
        <w:rPr>
          <w:rFonts w:ascii="Arial" w:hAnsi="Arial"/>
          <w:sz w:val="21"/>
        </w:rPr>
        <w:t>be</w:t>
      </w:r>
      <w:r>
        <w:rPr>
          <w:rFonts w:ascii="Arial" w:hAnsi="Arial"/>
          <w:sz w:val="20"/>
        </w:rPr>
        <w:t> </w:t>
      </w:r>
      <w:r>
        <w:rPr>
          <w:rFonts w:ascii="Arial" w:hAnsi="Arial"/>
          <w:sz w:val="21"/>
        </w:rPr>
        <w:t>excluded,</w:t>
      </w:r>
      <w:r>
        <w:rPr>
          <w:rFonts w:ascii="Arial" w:hAnsi="Arial"/>
          <w:sz w:val="20"/>
        </w:rPr>
        <w:t> </w:t>
      </w:r>
      <w:r>
        <w:rPr>
          <w:rFonts w:ascii="Arial" w:hAnsi="Arial"/>
          <w:sz w:val="21"/>
        </w:rPr>
        <w:t>the</w:t>
      </w:r>
      <w:r>
        <w:rPr>
          <w:rFonts w:ascii="Arial" w:hAnsi="Arial"/>
          <w:sz w:val="20"/>
        </w:rPr>
        <w:t> </w:t>
      </w:r>
      <w:r>
        <w:rPr>
          <w:rFonts w:ascii="Arial" w:hAnsi="Arial"/>
          <w:sz w:val="21"/>
        </w:rPr>
        <w:t>Bank’s liability is limited to the cost of having the Service supplied again.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(d)The Bank may use and disclose to any other financial institution or agency, any information about any Borrower, the Services or any person connected</w:t>
      </w:r>
      <w:r>
        <w:rPr>
          <w:rFonts w:ascii="Arial" w:hAnsi="Arial"/>
          <w:sz w:val="20"/>
        </w:rPr>
        <w:t> </w:t>
      </w:r>
      <w:r>
        <w:rPr>
          <w:rFonts w:ascii="Arial" w:hAnsi="Arial"/>
          <w:sz w:val="21"/>
        </w:rPr>
        <w:t>with</w:t>
      </w:r>
      <w:r>
        <w:rPr>
          <w:rFonts w:ascii="Arial" w:hAnsi="Arial"/>
          <w:sz w:val="20"/>
        </w:rPr>
        <w:t> </w:t>
      </w:r>
      <w:r>
        <w:rPr>
          <w:rFonts w:ascii="Arial" w:hAnsi="Arial"/>
          <w:sz w:val="21"/>
        </w:rPr>
        <w:t>it</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Services,</w:t>
      </w:r>
      <w:r>
        <w:rPr>
          <w:rFonts w:ascii="Arial" w:hAnsi="Arial"/>
          <w:sz w:val="20"/>
        </w:rPr>
        <w:t> </w:t>
      </w:r>
      <w:r>
        <w:rPr>
          <w:rFonts w:ascii="Arial" w:hAnsi="Arial"/>
          <w:sz w:val="21"/>
        </w:rPr>
        <w:t>for</w:t>
      </w:r>
      <w:r>
        <w:rPr>
          <w:rFonts w:ascii="Arial" w:hAnsi="Arial"/>
          <w:sz w:val="20"/>
        </w:rPr>
        <w:t> </w:t>
      </w:r>
      <w:r>
        <w:rPr>
          <w:rFonts w:ascii="Arial" w:hAnsi="Arial"/>
          <w:sz w:val="21"/>
        </w:rPr>
        <w:t>any</w:t>
      </w:r>
      <w:r>
        <w:rPr>
          <w:rFonts w:ascii="Arial" w:hAnsi="Arial"/>
          <w:sz w:val="20"/>
        </w:rPr>
        <w:t> </w:t>
      </w:r>
      <w:r>
        <w:rPr>
          <w:rFonts w:ascii="Arial" w:hAnsi="Arial"/>
          <w:sz w:val="21"/>
        </w:rPr>
        <w:t>purpose</w:t>
      </w:r>
      <w:r>
        <w:rPr>
          <w:rFonts w:ascii="Arial" w:hAnsi="Arial"/>
          <w:sz w:val="20"/>
        </w:rPr>
        <w:t> </w:t>
      </w:r>
      <w:r>
        <w:rPr>
          <w:rFonts w:ascii="Arial" w:hAnsi="Arial"/>
          <w:sz w:val="21"/>
        </w:rPr>
        <w:t>which</w:t>
      </w:r>
      <w:r>
        <w:rPr>
          <w:rFonts w:ascii="Arial" w:hAnsi="Arial"/>
          <w:sz w:val="20"/>
        </w:rPr>
        <w:t> </w:t>
      </w:r>
      <w:r>
        <w:rPr>
          <w:rFonts w:ascii="Arial" w:hAnsi="Arial"/>
          <w:sz w:val="21"/>
        </w:rPr>
        <w:t>the Bank,</w:t>
      </w:r>
      <w:r>
        <w:rPr>
          <w:rFonts w:ascii="Arial" w:hAnsi="Arial"/>
          <w:sz w:val="20"/>
        </w:rPr>
        <w:t> </w:t>
      </w:r>
      <w:r>
        <w:rPr>
          <w:rFonts w:ascii="Arial" w:hAnsi="Arial"/>
          <w:sz w:val="21"/>
        </w:rPr>
        <w:t>or</w:t>
      </w:r>
      <w:r>
        <w:rPr>
          <w:rFonts w:ascii="Arial" w:hAnsi="Arial"/>
          <w:sz w:val="20"/>
        </w:rPr>
        <w:t> </w:t>
      </w:r>
      <w:r>
        <w:rPr>
          <w:rFonts w:ascii="Arial" w:hAnsi="Arial"/>
          <w:sz w:val="21"/>
        </w:rPr>
        <w:t>any other financial institution, considers appropriate or necessary in connection</w:t>
      </w:r>
      <w:r>
        <w:rPr>
          <w:rFonts w:ascii="Arial" w:hAnsi="Arial"/>
          <w:sz w:val="20"/>
        </w:rPr>
        <w:t> </w:t>
      </w:r>
      <w:r>
        <w:rPr>
          <w:rFonts w:ascii="Arial" w:hAnsi="Arial"/>
          <w:sz w:val="21"/>
        </w:rPr>
        <w:t>with</w:t>
      </w:r>
      <w:r>
        <w:rPr>
          <w:rFonts w:ascii="Arial" w:hAnsi="Arial"/>
          <w:sz w:val="20"/>
        </w:rPr>
        <w:t> </w:t>
      </w:r>
      <w:r>
        <w:rPr>
          <w:rFonts w:ascii="Arial" w:hAnsi="Arial"/>
          <w:sz w:val="21"/>
        </w:rPr>
        <w:t>any</w:t>
      </w:r>
      <w:r>
        <w:rPr>
          <w:rFonts w:ascii="Arial" w:hAnsi="Arial"/>
          <w:sz w:val="20"/>
        </w:rPr>
        <w:t> </w:t>
      </w:r>
      <w:r>
        <w:rPr>
          <w:rFonts w:ascii="Arial" w:hAnsi="Arial"/>
          <w:sz w:val="21"/>
        </w:rPr>
        <w:t>Regulatory</w:t>
      </w:r>
      <w:r>
        <w:rPr>
          <w:rFonts w:ascii="Arial" w:hAnsi="Arial"/>
          <w:sz w:val="20"/>
        </w:rPr>
        <w:t> </w:t>
      </w:r>
      <w:r>
        <w:rPr>
          <w:rFonts w:ascii="Arial" w:hAnsi="Arial"/>
          <w:sz w:val="21"/>
        </w:rPr>
        <w:t>Event</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Services</w:t>
      </w:r>
      <w:r>
        <w:rPr>
          <w:rFonts w:ascii="Arial" w:hAnsi="Arial"/>
          <w:sz w:val="20"/>
        </w:rPr>
        <w:t> </w:t>
      </w:r>
      <w:r>
        <w:rPr>
          <w:rFonts w:ascii="Arial" w:hAnsi="Arial"/>
          <w:sz w:val="21"/>
        </w:rPr>
        <w:t>and</w:t>
      </w:r>
      <w:r>
        <w:rPr>
          <w:rFonts w:ascii="Arial" w:hAnsi="Arial"/>
          <w:sz w:val="20"/>
        </w:rPr>
        <w:t> </w:t>
      </w:r>
      <w:r>
        <w:rPr>
          <w:rFonts w:ascii="Arial" w:hAnsi="Arial"/>
          <w:sz w:val="21"/>
        </w:rPr>
        <w:t>this</w:t>
      </w:r>
      <w:r>
        <w:rPr>
          <w:rFonts w:ascii="Arial" w:hAnsi="Arial"/>
          <w:sz w:val="20"/>
        </w:rPr>
        <w:t> </w:t>
      </w:r>
      <w:r>
        <w:rPr>
          <w:rFonts w:ascii="Arial" w:hAnsi="Arial"/>
          <w:sz w:val="21"/>
        </w:rPr>
        <w:t>may</w:t>
      </w:r>
      <w:r>
        <w:rPr>
          <w:rFonts w:ascii="Arial" w:hAnsi="Arial"/>
          <w:sz w:val="20"/>
        </w:rPr>
        <w:t> </w:t>
      </w:r>
      <w:r>
        <w:rPr>
          <w:rFonts w:ascii="Arial" w:hAnsi="Arial"/>
          <w:sz w:val="21"/>
        </w:rPr>
        <w:t>result in information being transmitted overseas.</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(e)The Borrower agrees to provide information to the Bank about it, the Services</w:t>
      </w:r>
      <w:r>
        <w:rPr>
          <w:rFonts w:ascii="Arial" w:hAnsi="Arial"/>
          <w:sz w:val="20"/>
        </w:rPr>
        <w:t> </w:t>
      </w:r>
      <w:r>
        <w:rPr>
          <w:rFonts w:ascii="Arial" w:hAnsi="Arial"/>
          <w:sz w:val="21"/>
        </w:rPr>
        <w:t>or</w:t>
      </w:r>
      <w:r>
        <w:rPr>
          <w:rFonts w:ascii="Arial" w:hAnsi="Arial"/>
          <w:sz w:val="20"/>
        </w:rPr>
        <w:t> </w:t>
      </w:r>
      <w:r>
        <w:rPr>
          <w:rFonts w:ascii="Arial" w:hAnsi="Arial"/>
          <w:sz w:val="21"/>
        </w:rPr>
        <w:t>any</w:t>
      </w:r>
      <w:r>
        <w:rPr>
          <w:rFonts w:ascii="Arial" w:hAnsi="Arial"/>
          <w:sz w:val="20"/>
        </w:rPr>
        <w:t> </w:t>
      </w:r>
      <w:r>
        <w:rPr>
          <w:rFonts w:ascii="Arial" w:hAnsi="Arial"/>
          <w:sz w:val="21"/>
        </w:rPr>
        <w:t>person</w:t>
      </w:r>
      <w:r>
        <w:rPr>
          <w:rFonts w:ascii="Arial" w:hAnsi="Arial"/>
          <w:sz w:val="20"/>
        </w:rPr>
        <w:t> </w:t>
      </w:r>
      <w:r>
        <w:rPr>
          <w:rFonts w:ascii="Arial" w:hAnsi="Arial"/>
          <w:sz w:val="21"/>
        </w:rPr>
        <w:t>connected</w:t>
      </w:r>
      <w:r>
        <w:rPr>
          <w:rFonts w:ascii="Arial" w:hAnsi="Arial"/>
          <w:sz w:val="20"/>
        </w:rPr>
        <w:t> </w:t>
      </w:r>
      <w:r>
        <w:rPr>
          <w:rFonts w:ascii="Arial" w:hAnsi="Arial"/>
          <w:sz w:val="21"/>
        </w:rPr>
        <w:t>with</w:t>
      </w:r>
      <w:r>
        <w:rPr>
          <w:rFonts w:ascii="Arial" w:hAnsi="Arial"/>
          <w:sz w:val="20"/>
        </w:rPr>
        <w:t> </w:t>
      </w:r>
      <w:r>
        <w:rPr>
          <w:rFonts w:ascii="Arial" w:hAnsi="Arial"/>
          <w:sz w:val="21"/>
        </w:rPr>
        <w:t>it</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Services</w:t>
      </w:r>
      <w:r>
        <w:rPr>
          <w:rFonts w:ascii="Arial" w:hAnsi="Arial"/>
          <w:sz w:val="20"/>
        </w:rPr>
        <w:t> </w:t>
      </w:r>
      <w:r>
        <w:rPr>
          <w:rFonts w:ascii="Arial" w:hAnsi="Arial"/>
          <w:sz w:val="21"/>
        </w:rPr>
        <w:t>on</w:t>
      </w:r>
      <w:r>
        <w:rPr>
          <w:rFonts w:ascii="Arial" w:hAnsi="Arial"/>
          <w:sz w:val="20"/>
        </w:rPr>
        <w:t> </w:t>
      </w:r>
      <w:r>
        <w:rPr>
          <w:rFonts w:ascii="Arial" w:hAnsi="Arial"/>
          <w:sz w:val="21"/>
        </w:rPr>
        <w:t>request,</w:t>
      </w:r>
      <w:r>
        <w:rPr>
          <w:rFonts w:ascii="Arial" w:hAnsi="Arial"/>
          <w:sz w:val="20"/>
        </w:rPr>
        <w:t> </w:t>
      </w:r>
      <w:r>
        <w:rPr>
          <w:rFonts w:ascii="Arial" w:hAnsi="Arial"/>
          <w:sz w:val="21"/>
        </w:rPr>
        <w:t xml:space="preserve">and to promptly procure any consents the Bank requires to give effect to </w:t>
      </w:r>
      <w:r>
        <w:rPr>
          <w:rFonts w:ascii="Arial" w:hAnsi="Arial"/>
          <w:b/>
          <w:sz w:val="21"/>
        </w:rPr>
        <w:t xml:space="preserve">clause </w:t>
      </w:r>
      <w:hyperlink w:anchor="_bookmark129">
        <w:r>
          <w:rPr>
            <w:rStyle w:val="InternetLink"/>
            <w:rFonts w:ascii="Arial" w:hAnsi="Arial"/>
            <w:b/>
            <w:sz w:val="21"/>
          </w:rPr>
          <w:t>12.6</w:t>
        </w:r>
      </w:hyperlink>
      <w:hyperlink w:anchor="_bookmark131">
        <w:r>
          <w:rPr>
            <w:rStyle w:val="InternetLink"/>
            <w:rFonts w:ascii="Arial" w:hAnsi="Arial"/>
            <w:b/>
            <w:sz w:val="21"/>
          </w:rPr>
          <w:t>(d)</w:t>
        </w:r>
      </w:hyperlink>
      <w:r>
        <w:rPr>
          <w:rFonts w:ascii="Arial" w:hAnsi="Arial"/>
          <w:sz w:val="21"/>
        </w:rPr>
        <w:t>.</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87" w:after="0"/>
        <w:ind w:left="1700" w:right="700" w:hanging="0"/>
        <w:jc w:val="left"/>
        <w:rPr>
          <w:rFonts w:cs="Arial"/>
          <w:szCs w:val="22"/>
        </w:rPr>
      </w:pPr>
      <w:r>
        <w:rPr>
          <w:rFonts w:cs="Arial"/>
          <w:szCs w:val="22"/>
        </w:rPr>
        <w:t xml:space="preserve">﻿ </w:t>
      </w:r>
    </w:p>
    <w:p>
      <w:pPr>
        <w:pStyle w:val="TextBody"/>
        <w:bidi w:val="0"/>
        <w:spacing w:before="0" w:after="0"/>
        <w:ind w:left="3230" w:right="700" w:hanging="0"/>
        <w:jc w:val="left"/>
        <w:rPr>
          <w:rFonts w:ascii="Arial" w:hAnsi="Arial"/>
          <w:sz w:val="32"/>
        </w:rPr>
      </w:pPr>
      <w:bookmarkStart w:id="480" w:name="Goods_and_Services_Tax131"/>
      <w:bookmarkEnd w:id="480"/>
      <w:r>
        <w:rPr>
          <w:rFonts w:ascii="Arial" w:hAnsi="Arial"/>
          <w:color w:val="000000"/>
          <w:sz w:val="32"/>
        </w:rPr>
        <w:t>13Goods and Services Tax</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81" w:name="Taxable_supply1311"/>
      <w:bookmarkEnd w:id="481"/>
      <w:r>
        <w:rPr>
          <w:rFonts w:ascii="Arial" w:hAnsi="Arial"/>
          <w:b/>
          <w:color w:val="000000"/>
          <w:sz w:val="24"/>
        </w:rPr>
        <w:t>13.1Taxable supply</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(a)If</w:t>
      </w:r>
      <w:r>
        <w:rPr>
          <w:rFonts w:ascii="Arial" w:hAnsi="Arial"/>
          <w:color w:val="000000"/>
          <w:sz w:val="20"/>
        </w:rPr>
        <w:t> </w:t>
      </w:r>
      <w:r>
        <w:rPr>
          <w:rFonts w:ascii="Arial" w:hAnsi="Arial"/>
          <w:color w:val="000000"/>
          <w:sz w:val="21"/>
        </w:rPr>
        <w:t>GST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supply</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 Document, the Borrower must pay to the Bank an amount equal to the GST payable on the supply.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(b)That</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consideration</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 supply is to be provided under the Transaction Document and must be paid in addition to the consideration expressed elsewhere in the Transaction Document.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(c)On</w:t>
      </w:r>
      <w:r>
        <w:rPr>
          <w:rFonts w:ascii="Arial" w:hAnsi="Arial"/>
          <w:color w:val="000000"/>
          <w:sz w:val="20"/>
        </w:rPr>
        <w:t> </w:t>
      </w:r>
      <w:r>
        <w:rPr>
          <w:rFonts w:ascii="Arial" w:hAnsi="Arial"/>
          <w:color w:val="000000"/>
          <w:sz w:val="21"/>
        </w:rPr>
        <w:t>receiving</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the Borrower with a tax invoice for the supply.</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82" w:name="Adjustment_events1321"/>
      <w:bookmarkEnd w:id="482"/>
      <w:r>
        <w:rPr>
          <w:rFonts w:ascii="Arial" w:hAnsi="Arial"/>
          <w:b/>
          <w:color w:val="000000"/>
          <w:sz w:val="24"/>
        </w:rPr>
        <w:t>13.2Adjustment events</w:t>
      </w:r>
      <w:r>
        <w:rPr>
          <w:rFonts w:ascii="Arial" w:hAnsi="Arial"/>
          <w:b/>
          <w:sz w:val="24"/>
        </w:rPr>
        <w:t xml:space="preserve"> </w:t>
      </w:r>
    </w:p>
    <w:p>
      <w:pPr>
        <w:pStyle w:val="TextBody"/>
        <w:bidi w:val="0"/>
        <w:spacing w:lineRule="auto" w:line="266" w:before="93" w:after="0"/>
        <w:ind w:left="3120" w:right="1366" w:hanging="0"/>
        <w:jc w:val="left"/>
        <w:rPr>
          <w:rFonts w:ascii="Arial" w:hAnsi="Arial"/>
          <w:sz w:val="22"/>
        </w:rPr>
      </w:pPr>
      <w:r>
        <w:rPr>
          <w:rFonts w:ascii="Arial" w:hAnsi="Arial"/>
          <w:color w:val="000000"/>
          <w:sz w:val="22"/>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w:t>
      </w:r>
      <w:r>
        <w:rPr>
          <w:rFonts w:ascii="Arial" w:hAnsi="Arial"/>
          <w:b/>
          <w:color w:val="000000"/>
          <w:sz w:val="22"/>
        </w:rPr>
        <w:t xml:space="preserve">clause 13.1 </w:t>
      </w:r>
      <w:r>
        <w:rPr>
          <w:rFonts w:ascii="Arial" w:hAnsi="Arial"/>
          <w:color w:val="000000"/>
          <w:sz w:val="22"/>
        </w:rPr>
        <w:t>and payments to give effect to the adjustment must be made.</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483" w:name="Payments1331"/>
      <w:bookmarkEnd w:id="483"/>
      <w:r>
        <w:rPr>
          <w:rFonts w:ascii="Arial" w:hAnsi="Arial"/>
          <w:b/>
          <w:color w:val="000000"/>
          <w:sz w:val="24"/>
        </w:rPr>
        <w:t>13.3Payments</w:t>
      </w:r>
      <w:r>
        <w:rPr>
          <w:rFonts w:ascii="Arial" w:hAnsi="Arial"/>
          <w:b/>
          <w:sz w:val="24"/>
        </w:rPr>
        <w:t xml:space="preserve"> </w:t>
      </w:r>
    </w:p>
    <w:p>
      <w:pPr>
        <w:pStyle w:val="TextBody"/>
        <w:bidi w:val="0"/>
        <w:spacing w:lineRule="auto" w:line="266" w:before="93" w:after="0"/>
        <w:ind w:left="3120" w:right="1424" w:hanging="0"/>
        <w:jc w:val="left"/>
        <w:rPr>
          <w:rFonts w:ascii="Arial" w:hAnsi="Arial"/>
          <w:sz w:val="22"/>
        </w:rPr>
      </w:pPr>
      <w:r>
        <w:rPr>
          <w:rFonts w:ascii="Arial" w:hAnsi="Arial"/>
          <w:color w:val="000000"/>
          <w:sz w:val="22"/>
        </w:rPr>
        <w:t>If the Borrower is required under a Transaction Document to pay for or reimburse an expense or outgoing of the Bank or is required to make a payment under an indemnity in relation to an expense or outgoing of the Bank, the amount to be paid by the Borrower is the sum of:</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expense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outgoing</w:t>
      </w:r>
      <w:r>
        <w:rPr>
          <w:rFonts w:ascii="Arial" w:hAnsi="Arial"/>
          <w:color w:val="000000"/>
          <w:sz w:val="20"/>
        </w:rPr>
        <w:t> </w:t>
      </w:r>
      <w:r>
        <w:rPr>
          <w:rFonts w:ascii="Arial" w:hAnsi="Arial"/>
          <w:color w:val="000000"/>
          <w:sz w:val="21"/>
        </w:rPr>
        <w:t>less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input</w:t>
      </w:r>
      <w:r>
        <w:rPr>
          <w:rFonts w:ascii="Arial" w:hAnsi="Arial"/>
          <w:color w:val="000000"/>
          <w:sz w:val="20"/>
        </w:rPr>
        <w:t> </w:t>
      </w:r>
      <w:r>
        <w:rPr>
          <w:rFonts w:ascii="Arial" w:hAnsi="Arial"/>
          <w:color w:val="000000"/>
          <w:sz w:val="21"/>
        </w:rPr>
        <w:t>tax</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 to that expense or outgoing that the Bank is entitled to; and</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(b)if</w:t>
      </w:r>
      <w:r>
        <w:rPr>
          <w:rFonts w:ascii="Arial" w:hAnsi="Arial"/>
          <w:sz w:val="20"/>
        </w:rPr>
        <w:t> </w:t>
      </w:r>
      <w:r>
        <w:rPr>
          <w:rFonts w:ascii="Arial" w:hAnsi="Arial"/>
          <w:sz w:val="21"/>
        </w:rPr>
        <w:t>the</w:t>
      </w:r>
      <w:r>
        <w:rPr>
          <w:rFonts w:ascii="Arial" w:hAnsi="Arial"/>
          <w:sz w:val="20"/>
        </w:rPr>
        <w:t> </w:t>
      </w:r>
      <w:r>
        <w:rPr>
          <w:rFonts w:ascii="Arial" w:hAnsi="Arial"/>
          <w:sz w:val="21"/>
        </w:rPr>
        <w:t>Bank’s</w:t>
      </w:r>
      <w:r>
        <w:rPr>
          <w:rFonts w:ascii="Arial" w:hAnsi="Arial"/>
          <w:sz w:val="20"/>
        </w:rPr>
        <w:t> </w:t>
      </w:r>
      <w:r>
        <w:rPr>
          <w:rFonts w:ascii="Arial" w:hAnsi="Arial"/>
          <w:sz w:val="21"/>
        </w:rPr>
        <w:t>recovery</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is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taxable</w:t>
      </w:r>
      <w:r>
        <w:rPr>
          <w:rFonts w:ascii="Arial" w:hAnsi="Arial"/>
          <w:sz w:val="20"/>
        </w:rPr>
        <w:t> </w:t>
      </w:r>
      <w:r>
        <w:rPr>
          <w:rFonts w:ascii="Arial" w:hAnsi="Arial"/>
          <w:sz w:val="21"/>
        </w:rPr>
        <w:t>supply, an amount equal to the GST payable by the Bank in relation to that recovery.</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88" w:after="0"/>
        <w:ind w:left="1700" w:right="700" w:hanging="0"/>
        <w:jc w:val="left"/>
        <w:rPr>
          <w:rFonts w:cs="Arial"/>
          <w:szCs w:val="22"/>
        </w:rPr>
      </w:pPr>
      <w:r>
        <w:rPr>
          <w:rFonts w:cs="Arial"/>
          <w:szCs w:val="22"/>
        </w:rPr>
        <w:t xml:space="preserve">﻿ </w:t>
      </w:r>
    </w:p>
    <w:p>
      <w:pPr>
        <w:pStyle w:val="TextBody"/>
        <w:bidi w:val="0"/>
        <w:spacing w:before="0" w:after="0"/>
        <w:ind w:left="3230" w:right="700" w:hanging="0"/>
        <w:jc w:val="left"/>
        <w:rPr>
          <w:rFonts w:ascii="Arial" w:hAnsi="Arial"/>
          <w:sz w:val="32"/>
        </w:rPr>
      </w:pPr>
      <w:bookmarkStart w:id="484" w:name="Increased_costs141"/>
      <w:bookmarkEnd w:id="484"/>
      <w:r>
        <w:rPr>
          <w:rFonts w:ascii="Arial" w:hAnsi="Arial"/>
          <w:color w:val="000000"/>
          <w:sz w:val="32"/>
        </w:rPr>
        <w:t>14Increased costs</w:t>
      </w:r>
      <w:r>
        <w:rPr>
          <w:rFonts w:ascii="Arial" w:hAnsi="Arial"/>
          <w:sz w:val="32"/>
        </w:rPr>
        <w:t xml:space="preserve"> </w:t>
      </w:r>
    </w:p>
    <w:p>
      <w:pPr>
        <w:pStyle w:val="TextBody"/>
        <w:bidi w:val="0"/>
        <w:spacing w:before="91" w:after="0"/>
        <w:ind w:left="3120" w:right="700" w:hanging="0"/>
        <w:jc w:val="left"/>
        <w:rPr>
          <w:rFonts w:ascii="Arial" w:hAnsi="Arial"/>
          <w:sz w:val="22"/>
        </w:rPr>
      </w:pPr>
      <w:r>
        <w:rPr>
          <w:rFonts w:ascii="Arial" w:hAnsi="Arial"/>
          <w:color w:val="000000"/>
          <w:sz w:val="22"/>
        </w:rPr>
        <w:t>If the Bank determines that:</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cost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providing,</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maintaining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is</w:t>
      </w:r>
      <w:r>
        <w:rPr>
          <w:rFonts w:ascii="Arial" w:hAnsi="Arial"/>
          <w:color w:val="000000"/>
          <w:sz w:val="20"/>
        </w:rPr>
        <w:t xml:space="preserve"> </w:t>
      </w:r>
      <w:r>
        <w:rPr>
          <w:rFonts w:ascii="Arial" w:hAnsi="Arial"/>
          <w:color w:val="000000"/>
          <w:sz w:val="21"/>
        </w:rPr>
        <w:t>increased;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return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 Transaction Document is reduced;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return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 proportion of the capital of the Bank is reduced;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(d)the Bank must make a payment or forego any interest or other return calculated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reference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received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receivable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from any Transaction Party under a Transaction Document,</w:t>
      </w:r>
      <w:r>
        <w:rPr>
          <w:rFonts w:ascii="Arial" w:hAnsi="Arial"/>
          <w:sz w:val="20"/>
        </w:rPr>
        <w:t xml:space="preserve"> </w:t>
      </w:r>
    </w:p>
    <w:p>
      <w:pPr>
        <w:pStyle w:val="TextBody"/>
        <w:bidi w:val="0"/>
        <w:spacing w:before="120" w:after="0"/>
        <w:ind w:left="3120" w:right="700" w:hanging="0"/>
        <w:jc w:val="left"/>
        <w:rPr>
          <w:rFonts w:ascii="Arial" w:hAnsi="Arial"/>
          <w:sz w:val="22"/>
        </w:rPr>
      </w:pPr>
      <w:r>
        <w:rPr>
          <w:rFonts w:ascii="Arial" w:hAnsi="Arial"/>
          <w:color w:val="000000"/>
          <w:sz w:val="22"/>
        </w:rPr>
        <w:t>because of:</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(e)any</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regulation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Body</w:t>
      </w:r>
      <w:r>
        <w:rPr>
          <w:rFonts w:ascii="Arial" w:hAnsi="Arial"/>
          <w:color w:val="000000"/>
          <w:sz w:val="20"/>
        </w:rPr>
        <w:t> </w:t>
      </w:r>
      <w:r>
        <w:rPr>
          <w:rFonts w:ascii="Arial" w:hAnsi="Arial"/>
          <w:color w:val="000000"/>
          <w:sz w:val="21"/>
        </w:rPr>
        <w:t>directive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request</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or not having the force of law) introduced or made after the date of this document, including those relating to taxation, capital adequacy or reserve requirements or banking or monetary controls;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(f)any</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interpretation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application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them,</w:t>
      </w:r>
      <w:r>
        <w:rPr>
          <w:rFonts w:ascii="Arial" w:hAnsi="Arial"/>
          <w:sz w:val="20"/>
        </w:rPr>
        <w:t xml:space="preserve"> </w:t>
      </w:r>
    </w:p>
    <w:p>
      <w:pPr>
        <w:pStyle w:val="TextBody"/>
        <w:pBdr/>
        <w:bidi w:val="0"/>
        <w:spacing w:lineRule="auto" w:line="266" w:before="148" w:after="0"/>
        <w:ind w:left="3120" w:right="1471" w:hanging="0"/>
        <w:jc w:val="left"/>
        <w:rPr>
          <w:rFonts w:ascii="Arial" w:hAnsi="Arial"/>
          <w:sz w:val="22"/>
        </w:rPr>
      </w:pPr>
      <w:r>
        <w:rPr>
          <w:rFonts w:ascii="Arial" w:hAnsi="Arial"/>
          <w:color w:val="000000"/>
          <w:sz w:val="22"/>
        </w:rPr>
        <w:t>the Borrower must, within two Business Days after a demand by the Bank, pay to the Bank the amount which, in the Bank’s reasonable opinion, will compensate the Bank for the increased cost, reduction, payment or foregone interest or other return.</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6"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85" w:name="Illegality151"/>
      <w:bookmarkEnd w:id="485"/>
      <w:r>
        <w:rPr>
          <w:rFonts w:ascii="Arial" w:hAnsi="Arial"/>
          <w:color w:val="000000"/>
          <w:sz w:val="32"/>
        </w:rPr>
        <w:t>15Illegality</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86" w:name="Prepayment1511"/>
      <w:bookmarkEnd w:id="486"/>
      <w:r>
        <w:rPr>
          <w:rFonts w:ascii="Arial" w:hAnsi="Arial"/>
          <w:b/>
          <w:color w:val="000000"/>
          <w:sz w:val="24"/>
        </w:rPr>
        <w:t>15.1Prepayment</w:t>
      </w:r>
      <w:r>
        <w:rPr>
          <w:rFonts w:ascii="Arial" w:hAnsi="Arial"/>
          <w:b/>
          <w:sz w:val="24"/>
        </w:rPr>
        <w:t xml:space="preserve"> </w:t>
      </w:r>
    </w:p>
    <w:p>
      <w:pPr>
        <w:pStyle w:val="TextBody"/>
        <w:bidi w:val="0"/>
        <w:spacing w:before="93" w:after="0"/>
        <w:ind w:left="3120" w:right="700" w:hanging="0"/>
        <w:jc w:val="left"/>
        <w:rPr>
          <w:rFonts w:ascii="Arial" w:hAnsi="Arial"/>
          <w:sz w:val="22"/>
        </w:rPr>
      </w:pPr>
      <w:r>
        <w:rPr>
          <w:rFonts w:ascii="Arial" w:hAnsi="Arial"/>
          <w:color w:val="000000"/>
          <w:sz w:val="22"/>
        </w:rPr>
        <w:t>If because of any change after the date of this document in:</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 law, regulation or a Government Body directive or request which is legally</w:t>
      </w:r>
      <w:r>
        <w:rPr>
          <w:rFonts w:ascii="Arial" w:hAnsi="Arial"/>
          <w:color w:val="000000"/>
          <w:sz w:val="20"/>
        </w:rPr>
        <w:t> </w:t>
      </w:r>
      <w:r>
        <w:rPr>
          <w:rFonts w:ascii="Arial" w:hAnsi="Arial"/>
          <w:color w:val="000000"/>
          <w:sz w:val="21"/>
        </w:rPr>
        <w:t>enforceable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 practice of responsible Banks in the relevant jurisdiction;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interpretation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application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them,</w:t>
      </w:r>
      <w:r>
        <w:rPr>
          <w:rFonts w:ascii="Arial" w:hAnsi="Arial"/>
          <w:sz w:val="20"/>
        </w:rPr>
        <w:t xml:space="preserve"> </w:t>
      </w:r>
    </w:p>
    <w:p>
      <w:pPr>
        <w:pStyle w:val="TextBody"/>
        <w:bidi w:val="0"/>
        <w:spacing w:lineRule="auto" w:line="266" w:before="148" w:after="0"/>
        <w:ind w:left="3120" w:right="1471" w:hanging="0"/>
        <w:jc w:val="left"/>
        <w:rPr>
          <w:rFonts w:ascii="Arial" w:hAnsi="Arial"/>
          <w:sz w:val="22"/>
        </w:rPr>
      </w:pPr>
      <w:r>
        <w:rPr>
          <w:rFonts w:ascii="Arial" w:hAnsi="Arial"/>
          <w:color w:val="000000"/>
          <w:sz w:val="22"/>
        </w:rPr>
        <w:t>the Bank determines that it is or it will become impossible or illegal or contrary to that Government Body directive or request for:</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fund,</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maintain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comply with its obligations under the Transaction Documents;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whom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raised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proposes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raise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in relation to the Facility to fund, provide or maintain that money,</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59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120" w:right="1471" w:hanging="0"/>
        <w:jc w:val="left"/>
        <w:rPr/>
      </w:pP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must,</w:t>
      </w:r>
      <w:r>
        <w:rPr>
          <w:rFonts w:ascii="Arial" w:hAnsi="Arial"/>
          <w:sz w:val="20"/>
        </w:rPr>
        <w:t> </w:t>
      </w:r>
      <w:r>
        <w:rPr>
          <w:rFonts w:ascii="Arial" w:hAnsi="Arial"/>
          <w:sz w:val="21"/>
        </w:rPr>
        <w:t>within</w:t>
      </w:r>
      <w:r>
        <w:rPr>
          <w:rFonts w:ascii="Arial" w:hAnsi="Arial"/>
          <w:sz w:val="20"/>
        </w:rPr>
        <w:t> </w:t>
      </w:r>
      <w:r>
        <w:rPr>
          <w:rFonts w:ascii="Arial" w:hAnsi="Arial"/>
          <w:sz w:val="21"/>
        </w:rPr>
        <w:t>five</w:t>
      </w:r>
      <w:r>
        <w:rPr>
          <w:rFonts w:ascii="Arial" w:hAnsi="Arial"/>
          <w:sz w:val="20"/>
        </w:rPr>
        <w:t> </w:t>
      </w:r>
      <w:r>
        <w:rPr>
          <w:rFonts w:ascii="Arial" w:hAnsi="Arial"/>
          <w:sz w:val="21"/>
        </w:rPr>
        <w:t>Business</w:t>
      </w:r>
      <w:r>
        <w:rPr>
          <w:rFonts w:ascii="Arial" w:hAnsi="Arial"/>
          <w:sz w:val="20"/>
        </w:rPr>
        <w:t> </w:t>
      </w:r>
      <w:r>
        <w:rPr>
          <w:rFonts w:ascii="Arial" w:hAnsi="Arial"/>
          <w:sz w:val="21"/>
        </w:rPr>
        <w:t>Days</w:t>
      </w:r>
      <w:r>
        <w:rPr>
          <w:rFonts w:ascii="Arial" w:hAnsi="Arial"/>
          <w:sz w:val="20"/>
        </w:rPr>
        <w:t> </w:t>
      </w:r>
      <w:r>
        <w:rPr>
          <w:rFonts w:ascii="Arial" w:hAnsi="Arial"/>
          <w:sz w:val="21"/>
        </w:rPr>
        <w:t>after</w:t>
      </w:r>
      <w:r>
        <w:rPr>
          <w:rFonts w:ascii="Arial" w:hAnsi="Arial"/>
          <w:sz w:val="20"/>
        </w:rPr>
        <w:t> </w:t>
      </w:r>
      <w:r>
        <w:rPr>
          <w:rFonts w:ascii="Arial" w:hAnsi="Arial"/>
          <w:sz w:val="21"/>
        </w:rPr>
        <w:t>receipt</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notice</w:t>
      </w:r>
      <w:r>
        <w:rPr>
          <w:rFonts w:ascii="Arial" w:hAnsi="Arial"/>
          <w:sz w:val="20"/>
        </w:rPr>
        <w:t> </w:t>
      </w:r>
      <w:r>
        <w:rPr>
          <w:rFonts w:ascii="Arial" w:hAnsi="Arial"/>
          <w:sz w:val="21"/>
        </w:rPr>
        <w:t>from</w:t>
      </w:r>
      <w:r>
        <w:rPr>
          <w:rFonts w:ascii="Arial" w:hAnsi="Arial"/>
          <w:sz w:val="20"/>
        </w:rPr>
        <w:t> </w:t>
      </w:r>
      <w:r>
        <w:rPr>
          <w:rFonts w:ascii="Arial" w:hAnsi="Arial"/>
          <w:sz w:val="21"/>
        </w:rPr>
        <w:t xml:space="preserve">the Bank to do so, pay the amount referred to in </w:t>
      </w:r>
      <w:r>
        <w:rPr>
          <w:rFonts w:ascii="Arial" w:hAnsi="Arial"/>
          <w:b/>
          <w:sz w:val="21"/>
        </w:rPr>
        <w:t xml:space="preserve">clause </w:t>
      </w:r>
      <w:hyperlink w:anchor="_bookmark109">
        <w:r>
          <w:rPr>
            <w:rStyle w:val="InternetLink"/>
            <w:rFonts w:ascii="Arial" w:hAnsi="Arial"/>
            <w:b/>
            <w:sz w:val="21"/>
          </w:rPr>
          <w:t>10.2(a)(ii)(A)</w:t>
        </w:r>
      </w:hyperlink>
      <w:r>
        <w:rPr>
          <w:rFonts w:ascii="Arial" w:hAnsi="Arial"/>
          <w:sz w:val="20"/>
        </w:rPr>
        <w:t> </w:t>
      </w:r>
      <w:r>
        <w:rPr>
          <w:rFonts w:ascii="Arial" w:hAnsi="Arial"/>
          <w:sz w:val="21"/>
        </w:rPr>
        <w:t xml:space="preserve">or </w:t>
      </w:r>
      <w:hyperlink w:anchor="_bookmark110">
        <w:r>
          <w:rPr>
            <w:rStyle w:val="InternetLink"/>
            <w:rFonts w:ascii="Arial" w:hAnsi="Arial"/>
            <w:b/>
            <w:sz w:val="21"/>
          </w:rPr>
          <w:t>10.2(a)(ii)(B)</w:t>
        </w:r>
      </w:hyperlink>
      <w:r>
        <w:rPr>
          <w:rFonts w:ascii="Arial" w:hAnsi="Arial"/>
          <w:sz w:val="20"/>
        </w:rPr>
        <w:t> </w:t>
      </w:r>
      <w:r>
        <w:rPr>
          <w:rFonts w:ascii="Arial" w:hAnsi="Arial"/>
          <w:sz w:val="21"/>
        </w:rPr>
        <w:t xml:space="preserve">as if that notice were a notice under </w:t>
      </w:r>
      <w:r>
        <w:rPr>
          <w:rFonts w:ascii="Arial" w:hAnsi="Arial"/>
          <w:b/>
          <w:sz w:val="21"/>
        </w:rPr>
        <w:t xml:space="preserve">clause </w:t>
      </w:r>
      <w:hyperlink w:anchor="_bookmark109">
        <w:r>
          <w:rPr>
            <w:rStyle w:val="InternetLink"/>
            <w:rFonts w:ascii="Arial" w:hAnsi="Arial"/>
            <w:b/>
            <w:sz w:val="21"/>
          </w:rPr>
          <w:t>10.2(a)(ii)(A)</w:t>
        </w:r>
      </w:hyperlink>
      <w:r>
        <w:rPr>
          <w:rFonts w:ascii="Arial" w:hAnsi="Arial"/>
          <w:sz w:val="20"/>
        </w:rPr>
        <w:t> </w:t>
      </w:r>
      <w:r>
        <w:rPr>
          <w:rFonts w:ascii="Arial" w:hAnsi="Arial"/>
          <w:sz w:val="21"/>
        </w:rPr>
        <w:t xml:space="preserve">or </w:t>
      </w:r>
      <w:hyperlink w:anchor="_bookmark110">
        <w:r>
          <w:rPr>
            <w:rStyle w:val="InternetLink"/>
            <w:rFonts w:ascii="Arial" w:hAnsi="Arial"/>
            <w:b/>
            <w:sz w:val="21"/>
          </w:rPr>
          <w:t>10.2(a)(ii)(B)</w:t>
        </w:r>
      </w:hyperlink>
      <w:r>
        <w:rPr>
          <w:rFonts w:ascii="Arial" w:hAnsi="Arial"/>
          <w:sz w:val="21"/>
        </w:rPr>
        <w:t>.</w:t>
      </w:r>
      <w:r>
        <w:rPr>
          <w:rFonts w:ascii="Arial" w:hAnsi="Arial"/>
          <w:sz w:val="20"/>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15.2</w:t>
      </w:r>
      <w:bookmarkStart w:id="487" w:name="Facility_terminated1521"/>
      <w:bookmarkEnd w:id="487"/>
      <w:r>
        <w:rPr>
          <w:rFonts w:ascii="Arial" w:hAnsi="Arial"/>
          <w:b/>
          <w:color w:val="000000"/>
          <w:sz w:val="24"/>
        </w:rPr>
        <w:t>Facility terminated</w:t>
      </w:r>
      <w:r>
        <w:rPr>
          <w:rFonts w:ascii="Arial" w:hAnsi="Arial"/>
          <w:b/>
          <w:sz w:val="24"/>
        </w:rPr>
        <w:t xml:space="preserve"> </w:t>
      </w:r>
    </w:p>
    <w:p>
      <w:pPr>
        <w:pStyle w:val="TextBody"/>
        <w:pBdr/>
        <w:bidi w:val="0"/>
        <w:spacing w:lineRule="auto" w:line="266" w:before="93" w:after="0"/>
        <w:ind w:left="3120" w:right="1471" w:hanging="0"/>
        <w:jc w:val="left"/>
        <w:rPr>
          <w:rFonts w:ascii="Arial" w:hAnsi="Arial"/>
          <w:sz w:val="22"/>
        </w:rPr>
      </w:pPr>
      <w:r>
        <w:rPr>
          <w:rFonts w:ascii="Arial" w:hAnsi="Arial"/>
          <w:color w:val="000000"/>
          <w:sz w:val="22"/>
        </w:rPr>
        <w:t xml:space="preserve">The Bank’s obligation to make Advances or Drawings under this document terminates on the giving of a notice under </w:t>
      </w:r>
      <w:r>
        <w:rPr>
          <w:rFonts w:ascii="Arial" w:hAnsi="Arial"/>
          <w:b/>
          <w:color w:val="000000"/>
          <w:sz w:val="22"/>
        </w:rPr>
        <w:t>clause 15.1</w:t>
      </w:r>
      <w:r>
        <w:rPr>
          <w:rFonts w:ascii="Arial" w:hAnsi="Arial"/>
          <w:color w:val="000000"/>
          <w:sz w:val="22"/>
        </w:rPr>
        <w:t>.</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488" w:name="Guarantee_and_indemnity161"/>
      <w:bookmarkEnd w:id="488"/>
      <w:r>
        <w:rPr>
          <w:rFonts w:ascii="Arial" w:hAnsi="Arial"/>
          <w:color w:val="000000"/>
          <w:sz w:val="32"/>
        </w:rPr>
        <w:t>16Guarantee and indemnity</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489" w:name="_Hlk206078556"/>
      <w:bookmarkStart w:id="490" w:name="Guarantee1611"/>
      <w:bookmarkEnd w:id="489"/>
      <w:bookmarkEnd w:id="490"/>
      <w:r>
        <w:rPr>
          <w:rFonts w:ascii="Arial" w:hAnsi="Arial"/>
          <w:b/>
          <w:color w:val="000000"/>
          <w:sz w:val="24"/>
        </w:rPr>
        <w:t>16.1Guarantee</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unconditionally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guarantees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payment to the Bank of the Guaranteed Money.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(b)If the Borrower does not pay the Guaranteed Money on time and in 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Guarantors</w:t>
      </w:r>
      <w:r>
        <w:rPr>
          <w:rFonts w:ascii="Arial" w:hAnsi="Arial"/>
          <w:color w:val="000000"/>
          <w:sz w:val="20"/>
        </w:rPr>
        <w:t> </w:t>
      </w:r>
      <w:r>
        <w:rPr>
          <w:rFonts w:ascii="Arial" w:hAnsi="Arial"/>
          <w:color w:val="000000"/>
          <w:sz w:val="21"/>
        </w:rPr>
        <w:t>agree to pay the Guaranteed Money on demand from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(c)A</w:t>
      </w:r>
      <w:r>
        <w:rPr>
          <w:rFonts w:ascii="Arial" w:hAnsi="Arial"/>
          <w:color w:val="000000"/>
          <w:sz w:val="20"/>
        </w:rPr>
        <w:t> </w:t>
      </w:r>
      <w:r>
        <w:rPr>
          <w:rFonts w:ascii="Arial" w:hAnsi="Arial"/>
          <w:color w:val="000000"/>
          <w:sz w:val="21"/>
        </w:rPr>
        <w:t>demand</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from 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whether or not the Bank or the Bank has made demand on the Borrower or any other Transaction Party.</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91" w:name="_Hlk206078573"/>
      <w:bookmarkStart w:id="492" w:name="Nature_of_guarantee1621"/>
      <w:bookmarkEnd w:id="491"/>
      <w:bookmarkEnd w:id="492"/>
      <w:r>
        <w:rPr>
          <w:rFonts w:ascii="Arial" w:hAnsi="Arial"/>
          <w:b/>
          <w:color w:val="000000"/>
          <w:sz w:val="24"/>
        </w:rPr>
        <w:t>16.2Nature of guarantee</w:t>
      </w:r>
      <w:r>
        <w:rPr>
          <w:rFonts w:ascii="Arial" w:hAnsi="Arial"/>
          <w:b/>
          <w:sz w:val="24"/>
        </w:rPr>
        <w:t xml:space="preserve"> </w:t>
      </w:r>
    </w:p>
    <w:p>
      <w:pPr>
        <w:pStyle w:val="TextBody"/>
        <w:bidi w:val="0"/>
        <w:spacing w:lineRule="auto" w:line="266" w:before="118" w:after="0"/>
        <w:ind w:left="3687" w:right="854" w:hanging="0"/>
        <w:jc w:val="left"/>
        <w:rPr/>
      </w:pPr>
      <w:r>
        <w:rPr>
          <w:rFonts w:ascii="Arial" w:hAnsi="Arial"/>
          <w:color w:val="000000"/>
          <w:sz w:val="21"/>
        </w:rPr>
        <w:t xml:space="preserve">(a)The guarantee in </w:t>
      </w:r>
      <w:r>
        <w:rPr>
          <w:rFonts w:ascii="Arial" w:hAnsi="Arial"/>
          <w:b/>
          <w:color w:val="000000"/>
          <w:sz w:val="21"/>
        </w:rPr>
        <w:t xml:space="preserve">clause </w:t>
      </w:r>
      <w:hyperlink w:anchor="_bookmark141">
        <w:r>
          <w:rPr>
            <w:rStyle w:val="InternetLink"/>
          </w:rPr>
          <w:t>16.1</w:t>
        </w:r>
      </w:hyperlink>
      <w:r>
        <w:rPr>
          <w:rFonts w:ascii="Arial" w:hAnsi="Arial"/>
          <w:color w:val="000000"/>
          <w:sz w:val="20"/>
        </w:rPr>
        <w:t> </w:t>
      </w:r>
      <w:r>
        <w:rPr>
          <w:rFonts w:ascii="Arial" w:hAnsi="Arial"/>
          <w:color w:val="000000"/>
          <w:sz w:val="21"/>
        </w:rPr>
        <w:t>is a continuing obligation despite any intervening</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settlement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thing</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extends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Guaranteed Money.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(b)As between each Guarantor and the Bank (but without affecting the obligations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liable</w:t>
      </w:r>
      <w:r>
        <w:rPr>
          <w:rFonts w:ascii="Arial" w:hAnsi="Arial"/>
          <w:color w:val="000000"/>
          <w:sz w:val="20"/>
        </w:rPr>
        <w:t> </w:t>
      </w:r>
      <w:r>
        <w:rPr>
          <w:rFonts w:ascii="Arial" w:hAnsi="Arial"/>
          <w:color w:val="000000"/>
          <w:sz w:val="21"/>
        </w:rPr>
        <w:t>under this document in relation to the Guaranteed Money as a sole and</w:t>
      </w:r>
      <w:r>
        <w:rPr>
          <w:rFonts w:ascii="Arial" w:hAnsi="Arial"/>
          <w:color w:val="000000"/>
          <w:sz w:val="20"/>
        </w:rPr>
        <w:t> </w:t>
      </w:r>
      <w:r>
        <w:rPr>
          <w:rFonts w:ascii="Arial" w:hAnsi="Arial"/>
          <w:color w:val="000000"/>
          <w:sz w:val="21"/>
        </w:rPr>
        <w:t>principal debtor and not as surety.</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93" w:name="_Hlk206078586"/>
      <w:bookmarkStart w:id="494" w:name="Indemnity1631"/>
      <w:bookmarkEnd w:id="493"/>
      <w:bookmarkEnd w:id="494"/>
      <w:r>
        <w:rPr>
          <w:rFonts w:ascii="Arial" w:hAnsi="Arial"/>
          <w:b/>
          <w:color w:val="000000"/>
          <w:sz w:val="24"/>
        </w:rPr>
        <w:t>16.3Indemnity</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indemnifies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arising and any costs it suffers or incurs:</w:t>
      </w:r>
      <w:r>
        <w:rPr>
          <w:rFonts w:ascii="Arial" w:hAnsi="Arial"/>
          <w:sz w:val="20"/>
        </w:rPr>
        <w:t xml:space="preserve"> </w:t>
      </w:r>
    </w:p>
    <w:p>
      <w:pPr>
        <w:pStyle w:val="TextBody"/>
        <w:bidi w:val="0"/>
        <w:spacing w:lineRule="auto" w:line="266" w:before="0" w:after="0"/>
        <w:ind w:left="4275" w:right="1408" w:hanging="0"/>
        <w:jc w:val="left"/>
        <w:rPr>
          <w:rFonts w:ascii="Arial" w:hAnsi="Arial"/>
          <w:sz w:val="20"/>
        </w:rPr>
      </w:pPr>
      <w:r>
        <w:rPr>
          <w:rFonts w:ascii="Arial" w:hAnsi="Arial"/>
          <w:color w:val="000000"/>
          <w:sz w:val="21"/>
        </w:rPr>
        <w:t>(i)if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unable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pay the Guaranteed Money in accordance with the Transaction Documents;</w:t>
      </w:r>
      <w:r>
        <w:rPr>
          <w:rFonts w:ascii="Arial" w:hAnsi="Arial"/>
          <w:sz w:val="20"/>
        </w:rPr>
        <w:t xml:space="preserve"> </w:t>
      </w:r>
    </w:p>
    <w:p>
      <w:pPr>
        <w:pStyle w:val="TextBody"/>
        <w:bidi w:val="0"/>
        <w:spacing w:before="118" w:after="0"/>
        <w:ind w:left="4275" w:right="700" w:hanging="0"/>
        <w:jc w:val="left"/>
        <w:rPr>
          <w:rFonts w:ascii="Arial" w:hAnsi="Arial"/>
          <w:sz w:val="20"/>
        </w:rPr>
      </w:pPr>
      <w:r>
        <w:rPr>
          <w:rFonts w:ascii="Arial" w:hAnsi="Arial"/>
          <w:color w:val="000000"/>
          <w:sz w:val="21"/>
        </w:rPr>
        <w:t>(ii)if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under</w:t>
      </w:r>
      <w:r>
        <w:rPr>
          <w:rFonts w:ascii="Arial" w:hAnsi="Arial"/>
          <w:sz w:val="20"/>
        </w:rPr>
        <w:t xml:space="preserve"> </w:t>
      </w:r>
    </w:p>
    <w:p>
      <w:pPr>
        <w:pStyle w:val="TextBody"/>
        <w:bidi w:val="0"/>
        <w:spacing w:before="27" w:after="0"/>
        <w:ind w:left="4275" w:right="700" w:hanging="0"/>
        <w:jc w:val="left"/>
        <w:rPr/>
      </w:pPr>
      <w:r>
        <w:rPr>
          <w:rFonts w:ascii="Arial" w:hAnsi="Arial"/>
          <w:b/>
          <w:color w:val="000000"/>
          <w:sz w:val="22"/>
        </w:rPr>
        <w:t>clause </w:t>
      </w:r>
      <w:hyperlink w:anchor="_bookmark140">
        <w:r>
          <w:rPr>
            <w:rStyle w:val="InternetLink"/>
          </w:rPr>
          <w:t>16</w:t>
        </w:r>
      </w:hyperlink>
      <w:r>
        <w:rPr>
          <w:rFonts w:ascii="Arial" w:hAnsi="Arial"/>
          <w:b w:val="false"/>
          <w:color w:val="000000"/>
          <w:sz w:val="22"/>
        </w:rPr>
        <w:t>;</w:t>
      </w:r>
      <w:r>
        <w:rPr>
          <w:rFonts w:ascii="Arial" w:hAnsi="Arial"/>
          <w:b/>
          <w:sz w:val="22"/>
        </w:rPr>
        <w:t xml:space="preserve"> </w:t>
      </w:r>
    </w:p>
    <w:p>
      <w:pPr>
        <w:pStyle w:val="TextBody"/>
        <w:bidi w:val="0"/>
        <w:spacing w:lineRule="auto" w:line="266" w:before="150" w:after="0"/>
        <w:ind w:left="4275" w:right="1456" w:hanging="0"/>
        <w:jc w:val="left"/>
        <w:rPr>
          <w:rFonts w:ascii="Arial" w:hAnsi="Arial"/>
          <w:sz w:val="20"/>
        </w:rPr>
      </w:pPr>
      <w:r>
        <w:rPr>
          <w:rFonts w:ascii="Arial" w:hAnsi="Arial"/>
          <w:color w:val="000000"/>
          <w:sz w:val="21"/>
        </w:rPr>
        <w:t>(iii)if the Bank is obliged, or agrees, to pay an amount to a trustee in bankruptcy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liquidator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insolvent</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 a payment by a Transaction Party under or in connection with a Transaction Document;</w:t>
      </w:r>
      <w:r>
        <w:rPr>
          <w:rFonts w:ascii="Arial" w:hAnsi="Arial"/>
          <w:sz w:val="20"/>
        </w:rPr>
        <w:t xml:space="preserve"> </w:t>
      </w:r>
    </w:p>
    <w:p>
      <w:pPr>
        <w:pStyle w:val="TextBody"/>
        <w:bidi w:val="0"/>
        <w:spacing w:before="118" w:after="0"/>
        <w:ind w:left="4275" w:right="700" w:hanging="0"/>
        <w:jc w:val="left"/>
        <w:rPr/>
      </w:pPr>
      <w:r>
        <w:rPr>
          <w:rFonts w:ascii="Arial" w:hAnsi="Arial"/>
          <w:color w:val="000000"/>
          <w:sz w:val="21"/>
        </w:rPr>
        <w:t>(iv)if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defaults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141">
        <w:r>
          <w:rPr>
            <w:rStyle w:val="InternetLink"/>
            <w:rFonts w:ascii="Arial" w:hAnsi="Arial"/>
            <w:b/>
            <w:color w:val="000000"/>
            <w:sz w:val="21"/>
          </w:rPr>
          <w:t>16.1</w:t>
        </w:r>
      </w:hyperlink>
      <w:r>
        <w:rPr>
          <w:rFonts w:ascii="Arial" w:hAnsi="Arial"/>
          <w:color w:val="000000"/>
          <w:sz w:val="21"/>
        </w:rPr>
        <w:t>;</w:t>
      </w:r>
      <w:r>
        <w:rPr>
          <w:rFonts w:ascii="Arial" w:hAnsi="Arial"/>
          <w:color w:val="000000"/>
          <w:sz w:val="20"/>
        </w:rPr>
        <w:t xml:space="preserve"> </w:t>
      </w:r>
      <w:r>
        <w:rPr>
          <w:rFonts w:ascii="Arial" w:hAnsi="Arial"/>
          <w:color w:val="000000"/>
          <w:sz w:val="21"/>
        </w:rPr>
        <w:t>or</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4" w:before="0" w:after="0"/>
        <w:ind w:left="4275" w:right="1562" w:hanging="0"/>
        <w:jc w:val="left"/>
        <w:rPr/>
      </w:pPr>
      <w:r>
        <w:rPr>
          <w:rFonts w:ascii="Arial" w:hAnsi="Arial"/>
          <w:sz w:val="21"/>
        </w:rPr>
        <w:t>(v)in</w:t>
      </w:r>
      <w:r>
        <w:rPr>
          <w:rFonts w:ascii="Arial" w:hAnsi="Arial"/>
          <w:sz w:val="20"/>
        </w:rPr>
        <w:t> </w:t>
      </w:r>
      <w:r>
        <w:rPr>
          <w:rFonts w:ascii="Arial" w:hAnsi="Arial"/>
          <w:sz w:val="21"/>
        </w:rPr>
        <w:t>connection</w:t>
      </w:r>
      <w:r>
        <w:rPr>
          <w:rFonts w:ascii="Arial" w:hAnsi="Arial"/>
          <w:sz w:val="20"/>
        </w:rPr>
        <w:t> </w:t>
      </w:r>
      <w:r>
        <w:rPr>
          <w:rFonts w:ascii="Arial" w:hAnsi="Arial"/>
          <w:sz w:val="21"/>
        </w:rPr>
        <w:t>with</w:t>
      </w:r>
      <w:r>
        <w:rPr>
          <w:rFonts w:ascii="Arial" w:hAnsi="Arial"/>
          <w:sz w:val="20"/>
        </w:rPr>
        <w:t> </w:t>
      </w:r>
      <w:r>
        <w:rPr>
          <w:rFonts w:ascii="Arial" w:hAnsi="Arial"/>
          <w:sz w:val="21"/>
        </w:rPr>
        <w:t>any</w:t>
      </w:r>
      <w:r>
        <w:rPr>
          <w:rFonts w:ascii="Arial" w:hAnsi="Arial"/>
          <w:sz w:val="20"/>
        </w:rPr>
        <w:t> </w:t>
      </w:r>
      <w:r>
        <w:rPr>
          <w:rFonts w:ascii="Arial" w:hAnsi="Arial"/>
          <w:sz w:val="21"/>
        </w:rPr>
        <w:t>person</w:t>
      </w:r>
      <w:r>
        <w:rPr>
          <w:rFonts w:ascii="Arial" w:hAnsi="Arial"/>
          <w:sz w:val="20"/>
        </w:rPr>
        <w:t> </w:t>
      </w:r>
      <w:r>
        <w:rPr>
          <w:rFonts w:ascii="Arial" w:hAnsi="Arial"/>
          <w:sz w:val="21"/>
        </w:rPr>
        <w:t>exercising,</w:t>
      </w:r>
      <w:r>
        <w:rPr>
          <w:rFonts w:ascii="Arial" w:hAnsi="Arial"/>
          <w:sz w:val="20"/>
        </w:rPr>
        <w:t> </w:t>
      </w:r>
      <w:r>
        <w:rPr>
          <w:rFonts w:ascii="Arial" w:hAnsi="Arial"/>
          <w:sz w:val="21"/>
        </w:rPr>
        <w:t>or</w:t>
      </w:r>
      <w:r>
        <w:rPr>
          <w:rFonts w:ascii="Arial" w:hAnsi="Arial"/>
          <w:sz w:val="20"/>
        </w:rPr>
        <w:t> </w:t>
      </w:r>
      <w:r>
        <w:rPr>
          <w:rFonts w:ascii="Arial" w:hAnsi="Arial"/>
          <w:sz w:val="21"/>
        </w:rPr>
        <w:t>not</w:t>
      </w:r>
      <w:r>
        <w:rPr>
          <w:rFonts w:ascii="Arial" w:hAnsi="Arial"/>
          <w:sz w:val="20"/>
        </w:rPr>
        <w:t> </w:t>
      </w:r>
      <w:r>
        <w:rPr>
          <w:rFonts w:ascii="Arial" w:hAnsi="Arial"/>
          <w:sz w:val="21"/>
        </w:rPr>
        <w:t>exercising,</w:t>
      </w:r>
      <w:r>
        <w:rPr>
          <w:rFonts w:ascii="Arial" w:hAnsi="Arial"/>
          <w:sz w:val="20"/>
        </w:rPr>
        <w:t> </w:t>
      </w:r>
      <w:r>
        <w:rPr>
          <w:rFonts w:ascii="Arial" w:hAnsi="Arial"/>
          <w:sz w:val="21"/>
        </w:rPr>
        <w:t xml:space="preserve">rights under the Guarantee in </w:t>
      </w:r>
      <w:r>
        <w:rPr>
          <w:rFonts w:ascii="Arial" w:hAnsi="Arial"/>
          <w:b/>
          <w:sz w:val="21"/>
        </w:rPr>
        <w:t xml:space="preserve">clause </w:t>
      </w:r>
      <w:hyperlink w:anchor="_bookmark141">
        <w:r>
          <w:rPr>
            <w:rStyle w:val="InternetLink"/>
            <w:rFonts w:ascii="Arial" w:hAnsi="Arial"/>
            <w:b/>
            <w:sz w:val="21"/>
          </w:rPr>
          <w:t>16.1</w:t>
        </w:r>
      </w:hyperlink>
      <w:r>
        <w:rPr>
          <w:rFonts w:ascii="Arial" w:hAnsi="Arial"/>
          <w:sz w:val="21"/>
        </w:rPr>
        <w: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(b)Each</w:t>
      </w:r>
      <w:r>
        <w:rPr>
          <w:rFonts w:ascii="Arial" w:hAnsi="Arial"/>
          <w:sz w:val="20"/>
        </w:rPr>
        <w:t> </w:t>
      </w:r>
      <w:r>
        <w:rPr>
          <w:rFonts w:ascii="Arial" w:hAnsi="Arial"/>
          <w:sz w:val="21"/>
        </w:rPr>
        <w:t>Guarantor</w:t>
      </w:r>
      <w:r>
        <w:rPr>
          <w:rFonts w:ascii="Arial" w:hAnsi="Arial"/>
          <w:sz w:val="20"/>
        </w:rPr>
        <w:t> </w:t>
      </w:r>
      <w:r>
        <w:rPr>
          <w:rFonts w:ascii="Arial" w:hAnsi="Arial"/>
          <w:sz w:val="21"/>
        </w:rPr>
        <w:t>agrees</w:t>
      </w:r>
      <w:r>
        <w:rPr>
          <w:rFonts w:ascii="Arial" w:hAnsi="Arial"/>
          <w:sz w:val="20"/>
        </w:rPr>
        <w:t> </w:t>
      </w:r>
      <w:r>
        <w:rPr>
          <w:rFonts w:ascii="Arial" w:hAnsi="Arial"/>
          <w:sz w:val="21"/>
        </w:rPr>
        <w:t>to</w:t>
      </w:r>
      <w:r>
        <w:rPr>
          <w:rFonts w:ascii="Arial" w:hAnsi="Arial"/>
          <w:sz w:val="20"/>
        </w:rPr>
        <w:t> </w:t>
      </w:r>
      <w:r>
        <w:rPr>
          <w:rFonts w:ascii="Arial" w:hAnsi="Arial"/>
          <w:sz w:val="21"/>
        </w:rPr>
        <w:t>pay</w:t>
      </w:r>
      <w:r>
        <w:rPr>
          <w:rFonts w:ascii="Arial" w:hAnsi="Arial"/>
          <w:sz w:val="20"/>
        </w:rPr>
        <w:t> </w:t>
      </w:r>
      <w:r>
        <w:rPr>
          <w:rFonts w:ascii="Arial" w:hAnsi="Arial"/>
          <w:sz w:val="21"/>
        </w:rPr>
        <w:t>amounts</w:t>
      </w:r>
      <w:r>
        <w:rPr>
          <w:rFonts w:ascii="Arial" w:hAnsi="Arial"/>
          <w:sz w:val="20"/>
        </w:rPr>
        <w:t> </w:t>
      </w:r>
      <w:r>
        <w:rPr>
          <w:rFonts w:ascii="Arial" w:hAnsi="Arial"/>
          <w:sz w:val="21"/>
        </w:rPr>
        <w:t>due</w:t>
      </w:r>
      <w:r>
        <w:rPr>
          <w:rFonts w:ascii="Arial" w:hAnsi="Arial"/>
          <w:sz w:val="20"/>
        </w:rPr>
        <w:t> </w:t>
      </w:r>
      <w:r>
        <w:rPr>
          <w:rFonts w:ascii="Arial" w:hAnsi="Arial"/>
          <w:sz w:val="21"/>
        </w:rPr>
        <w:t>under</w:t>
      </w:r>
      <w:r>
        <w:rPr>
          <w:rFonts w:ascii="Arial" w:hAnsi="Arial"/>
          <w:sz w:val="20"/>
        </w:rPr>
        <w:t> </w:t>
      </w:r>
      <w:r>
        <w:rPr>
          <w:rFonts w:ascii="Arial" w:hAnsi="Arial"/>
          <w:sz w:val="21"/>
        </w:rPr>
        <w:t>this</w:t>
      </w:r>
      <w:r>
        <w:rPr>
          <w:rFonts w:ascii="Arial" w:hAnsi="Arial"/>
          <w:sz w:val="20"/>
        </w:rPr>
        <w:t> </w:t>
      </w:r>
      <w:r>
        <w:rPr>
          <w:rFonts w:ascii="Arial" w:hAnsi="Arial"/>
          <w:sz w:val="21"/>
        </w:rPr>
        <w:t>indemnity immediately on demand from the Bank.</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95" w:name="_Hlk206078600"/>
      <w:bookmarkStart w:id="496" w:name="Reinstatement_of_rights1641"/>
      <w:bookmarkEnd w:id="495"/>
      <w:bookmarkEnd w:id="496"/>
      <w:r>
        <w:rPr>
          <w:rFonts w:ascii="Arial" w:hAnsi="Arial"/>
          <w:b/>
          <w:color w:val="000000"/>
          <w:sz w:val="24"/>
        </w:rPr>
        <w:t>16.4Reinstatement of rights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(a)Following</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Insolvency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 may claim that a transaction (including a payment) in connection with this Guarantee or the Guaranteed Money is void or voidable.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claim</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upheld,</w:t>
      </w:r>
      <w:r>
        <w:rPr>
          <w:rFonts w:ascii="Arial" w:hAnsi="Arial"/>
          <w:color w:val="000000"/>
          <w:sz w:val="20"/>
        </w:rPr>
        <w:t> </w:t>
      </w:r>
      <w:r>
        <w:rPr>
          <w:rFonts w:ascii="Arial" w:hAnsi="Arial"/>
          <w:color w:val="000000"/>
          <w:sz w:val="21"/>
        </w:rPr>
        <w:t>conceded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comprised:</w:t>
      </w:r>
      <w:r>
        <w:rPr>
          <w:rFonts w:ascii="Arial" w:hAnsi="Arial"/>
          <w:sz w:val="20"/>
        </w:rPr>
        <w:t xml:space="preserve"> </w:t>
      </w:r>
    </w:p>
    <w:p>
      <w:pPr>
        <w:pStyle w:val="TextBody"/>
        <w:bidi w:val="0"/>
        <w:spacing w:lineRule="auto" w:line="266" w:before="147" w:after="0"/>
        <w:ind w:left="4275" w:right="1537" w:hanging="0"/>
        <w:jc w:val="left"/>
        <w:rPr>
          <w:rFonts w:ascii="Arial" w:hAnsi="Arial"/>
          <w:sz w:val="20"/>
        </w:rPr>
      </w:pPr>
      <w:r>
        <w:rPr>
          <w:rFonts w:ascii="Arial" w:hAnsi="Arial"/>
          <w:color w:val="000000"/>
          <w:sz w:val="21"/>
        </w:rPr>
        <w:t>(i)the Bank is immediately entitled as against the Guarantors to the rights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entitled immediately before the transaction; and</w:t>
      </w:r>
      <w:r>
        <w:rPr>
          <w:rFonts w:ascii="Arial" w:hAnsi="Arial"/>
          <w:sz w:val="20"/>
        </w:rPr>
        <w:t xml:space="preserve"> </w:t>
      </w:r>
    </w:p>
    <w:p>
      <w:pPr>
        <w:pStyle w:val="TextBody"/>
        <w:bidi w:val="0"/>
        <w:spacing w:lineRule="auto" w:line="266" w:before="118" w:after="0"/>
        <w:ind w:left="4275" w:right="1603" w:hanging="0"/>
        <w:jc w:val="left"/>
        <w:rPr>
          <w:rFonts w:ascii="Arial" w:hAnsi="Arial"/>
          <w:sz w:val="20"/>
        </w:rPr>
      </w:pPr>
      <w:r>
        <w:rPr>
          <w:rFonts w:ascii="Arial" w:hAnsi="Arial"/>
          <w:color w:val="000000"/>
          <w:sz w:val="21"/>
        </w:rPr>
        <w:t>(ii)on</w:t>
      </w:r>
      <w:r>
        <w:rPr>
          <w:rFonts w:ascii="Arial" w:hAnsi="Arial"/>
          <w:color w:val="000000"/>
          <w:sz w:val="20"/>
        </w:rPr>
        <w:t> </w:t>
      </w:r>
      <w:r>
        <w:rPr>
          <w:rFonts w:ascii="Arial" w:hAnsi="Arial"/>
          <w:color w:val="000000"/>
          <w:sz w:val="21"/>
        </w:rPr>
        <w:t>request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agrees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do</w:t>
      </w:r>
      <w:r>
        <w:rPr>
          <w:rFonts w:ascii="Arial" w:hAnsi="Arial"/>
          <w:color w:val="000000"/>
          <w:sz w:val="20"/>
        </w:rPr>
        <w:t> </w:t>
      </w:r>
      <w:r>
        <w:rPr>
          <w:rFonts w:ascii="Arial" w:hAnsi="Arial"/>
          <w:color w:val="000000"/>
          <w:sz w:val="21"/>
        </w:rPr>
        <w:t>anything (including signing any document) to restore to the Bank any Security Interest (including this Guarantee) held by it from the Guarantors immediately before the transaction.</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97" w:name="_Hlk206078625"/>
      <w:bookmarkStart w:id="498" w:name="Rights_of_the_Bank_are_protected165"/>
      <w:bookmarkEnd w:id="497"/>
      <w:bookmarkEnd w:id="498"/>
      <w:r>
        <w:rPr>
          <w:rFonts w:ascii="Arial" w:hAnsi="Arial"/>
          <w:b/>
          <w:color w:val="000000"/>
          <w:sz w:val="24"/>
        </w:rPr>
        <w:t>16.5Rights of the Bank are protected</w:t>
      </w:r>
      <w:r>
        <w:rPr>
          <w:rFonts w:ascii="Arial" w:hAnsi="Arial"/>
          <w:b/>
          <w:sz w:val="24"/>
        </w:rPr>
        <w:t xml:space="preserve"> </w:t>
      </w:r>
    </w:p>
    <w:p>
      <w:pPr>
        <w:pStyle w:val="TextBody"/>
        <w:bidi w:val="0"/>
        <w:spacing w:lineRule="auto" w:line="266" w:before="93" w:after="0"/>
        <w:ind w:left="3118" w:right="1441" w:hanging="0"/>
        <w:jc w:val="left"/>
        <w:rPr>
          <w:rFonts w:ascii="Arial" w:hAnsi="Arial"/>
          <w:sz w:val="22"/>
        </w:rPr>
      </w:pPr>
      <w:r>
        <w:rPr>
          <w:rFonts w:ascii="Arial" w:hAnsi="Arial"/>
          <w:color w:val="000000"/>
          <w:sz w:val="22"/>
        </w:rPr>
        <w:t>Rights given to the Bank under this Guarantee (and each Guarantor’s liabilities under it) are not affected by any act or omission by the Bank or by anything else that might otherwise affect them under law or otherwise, including:</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 fact that it varies or novates any agreement under which the 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expressed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increasing</w:t>
      </w:r>
      <w:r>
        <w:rPr>
          <w:rFonts w:ascii="Arial" w:hAnsi="Arial"/>
          <w:color w:val="000000"/>
          <w:sz w:val="20"/>
        </w:rPr>
        <w:t> </w:t>
      </w:r>
      <w:r>
        <w:rPr>
          <w:rFonts w:ascii="Arial" w:hAnsi="Arial"/>
          <w:color w:val="000000"/>
          <w:sz w:val="21"/>
        </w:rPr>
        <w:t>the Facility Limit or extending the term;</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gives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concession, such as more time to pay;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opens</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with</w:t>
      </w:r>
      <w:r>
        <w:rPr>
          <w:rFonts w:ascii="Arial" w:hAnsi="Arial"/>
          <w:color w:val="000000"/>
          <w:sz w:val="20"/>
        </w:rPr>
        <w:t xml:space="preserve"> </w:t>
      </w:r>
      <w:r>
        <w:rPr>
          <w:rFonts w:ascii="Arial" w:hAnsi="Arial"/>
          <w:color w:val="000000"/>
          <w:sz w:val="21"/>
        </w:rPr>
        <w:t>it;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loses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obtain</w:t>
      </w:r>
      <w:r>
        <w:rPr>
          <w:rFonts w:ascii="Arial" w:hAnsi="Arial"/>
          <w:color w:val="000000"/>
          <w:sz w:val="20"/>
        </w:rPr>
        <w:t> </w:t>
      </w:r>
      <w:r>
        <w:rPr>
          <w:rFonts w:ascii="Arial" w:hAnsi="Arial"/>
          <w:color w:val="000000"/>
          <w:sz w:val="21"/>
        </w:rPr>
        <w:t>any Security Interest;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(e)the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register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could</w:t>
      </w:r>
      <w:r>
        <w:rPr>
          <w:rFonts w:ascii="Arial" w:hAnsi="Arial"/>
          <w:color w:val="000000"/>
          <w:sz w:val="20"/>
        </w:rPr>
        <w:t> </w:t>
      </w:r>
      <w:r>
        <w:rPr>
          <w:rFonts w:ascii="Arial" w:hAnsi="Arial"/>
          <w:color w:val="000000"/>
          <w:sz w:val="21"/>
        </w:rPr>
        <w:t>be registered;</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(f)the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gives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indemnity</w:t>
      </w:r>
      <w:r>
        <w:rPr>
          <w:rFonts w:ascii="Arial" w:hAnsi="Arial"/>
          <w:color w:val="000000"/>
          <w:sz w:val="20"/>
        </w:rPr>
        <w:t> </w:t>
      </w:r>
      <w:r>
        <w:rPr>
          <w:rFonts w:ascii="Arial" w:hAnsi="Arial"/>
          <w:color w:val="000000"/>
          <w:sz w:val="21"/>
        </w:rPr>
        <w:t xml:space="preserve">in connection with any Transaction Party’s obligations (including under </w:t>
      </w:r>
      <w:r>
        <w:rPr>
          <w:rFonts w:ascii="Arial" w:hAnsi="Arial"/>
          <w:b/>
          <w:color w:val="000000"/>
          <w:sz w:val="21"/>
        </w:rPr>
        <w:t xml:space="preserve">clause </w:t>
      </w:r>
      <w:hyperlink w:anchor="_bookmark154">
        <w:r>
          <w:rPr>
            <w:rStyle w:val="InternetLink"/>
          </w:rPr>
          <w:t>16.13</w:t>
        </w:r>
      </w:hyperlink>
      <w:r>
        <w:rPr>
          <w:rFonts w:ascii="Arial" w:hAnsi="Arial"/>
          <w:color w:val="000000"/>
          <w:sz w:val="21"/>
        </w:rPr>
        <w: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(g)the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 xml:space="preserve">this document (including under </w:t>
      </w:r>
      <w:r>
        <w:rPr>
          <w:rFonts w:ascii="Arial" w:hAnsi="Arial"/>
          <w:b/>
          <w:color w:val="000000"/>
          <w:sz w:val="21"/>
        </w:rPr>
        <w:t xml:space="preserve">clause </w:t>
      </w:r>
      <w:hyperlink w:anchor="_bookmark155">
        <w:r>
          <w:rPr>
            <w:rStyle w:val="InternetLink"/>
          </w:rPr>
          <w:t>16.14</w:t>
        </w:r>
      </w:hyperlink>
      <w:r>
        <w:rPr>
          <w:rFonts w:ascii="Arial" w:hAnsi="Arial"/>
          <w:color w:val="000000"/>
          <w:sz w:val="21"/>
        </w:rPr>
        <w: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(h)the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guarantees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 Party’s obligations (including under this Guarantee) may not be enforceable;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(i)the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intended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 Party’s obligations does not do so or does not do so effectively;</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(j)changes</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membership,</w:t>
      </w:r>
      <w:r>
        <w:rPr>
          <w:rFonts w:ascii="Arial" w:hAnsi="Arial"/>
          <w:sz w:val="20"/>
        </w:rPr>
        <w:t> </w:t>
      </w:r>
      <w:r>
        <w:rPr>
          <w:rFonts w:ascii="Arial" w:hAnsi="Arial"/>
          <w:sz w:val="21"/>
        </w:rPr>
        <w:t>name</w:t>
      </w:r>
      <w:r>
        <w:rPr>
          <w:rFonts w:ascii="Arial" w:hAnsi="Arial"/>
          <w:sz w:val="20"/>
        </w:rPr>
        <w:t> </w:t>
      </w:r>
      <w:r>
        <w:rPr>
          <w:rFonts w:ascii="Arial" w:hAnsi="Arial"/>
          <w:sz w:val="21"/>
        </w:rPr>
        <w:t>or</w:t>
      </w:r>
      <w:r>
        <w:rPr>
          <w:rFonts w:ascii="Arial" w:hAnsi="Arial"/>
          <w:sz w:val="20"/>
        </w:rPr>
        <w:t> </w:t>
      </w:r>
      <w:r>
        <w:rPr>
          <w:rFonts w:ascii="Arial" w:hAnsi="Arial"/>
          <w:sz w:val="21"/>
        </w:rPr>
        <w:t>business</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person;</w:t>
      </w:r>
      <w:r>
        <w:rPr>
          <w:rFonts w:ascii="Arial" w:hAnsi="Arial"/>
          <w:sz w:val="20"/>
        </w:rPr>
        <w:t xml:space="preserve"> </w:t>
      </w:r>
      <w:r>
        <w:rPr>
          <w:rFonts w:ascii="Arial" w:hAnsi="Arial"/>
          <w:sz w:val="21"/>
        </w:rPr>
        <w:t>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(k)the</w:t>
      </w:r>
      <w:r>
        <w:rPr>
          <w:rFonts w:ascii="Arial" w:hAnsi="Arial"/>
          <w:sz w:val="20"/>
        </w:rPr>
        <w:t> </w:t>
      </w:r>
      <w:r>
        <w:rPr>
          <w:rFonts w:ascii="Arial" w:hAnsi="Arial"/>
          <w:sz w:val="21"/>
        </w:rPr>
        <w:t>fact</w:t>
      </w:r>
      <w:r>
        <w:rPr>
          <w:rFonts w:ascii="Arial" w:hAnsi="Arial"/>
          <w:sz w:val="20"/>
        </w:rPr>
        <w:t> </w:t>
      </w:r>
      <w:r>
        <w:rPr>
          <w:rFonts w:ascii="Arial" w:hAnsi="Arial"/>
          <w:sz w:val="21"/>
        </w:rPr>
        <w:t>that</w:t>
      </w:r>
      <w:r>
        <w:rPr>
          <w:rFonts w:ascii="Arial" w:hAnsi="Arial"/>
          <w:sz w:val="20"/>
        </w:rPr>
        <w:t> </w:t>
      </w:r>
      <w:r>
        <w:rPr>
          <w:rFonts w:ascii="Arial" w:hAnsi="Arial"/>
          <w:sz w:val="21"/>
        </w:rPr>
        <w:t>a</w:t>
      </w:r>
      <w:r>
        <w:rPr>
          <w:rFonts w:ascii="Arial" w:hAnsi="Arial"/>
          <w:sz w:val="20"/>
        </w:rPr>
        <w:t> </w:t>
      </w:r>
      <w:r>
        <w:rPr>
          <w:rFonts w:ascii="Arial" w:hAnsi="Arial"/>
          <w:sz w:val="21"/>
        </w:rPr>
        <w:t>person</w:t>
      </w:r>
      <w:r>
        <w:rPr>
          <w:rFonts w:ascii="Arial" w:hAnsi="Arial"/>
          <w:sz w:val="20"/>
        </w:rPr>
        <w:t> </w:t>
      </w:r>
      <w:r>
        <w:rPr>
          <w:rFonts w:ascii="Arial" w:hAnsi="Arial"/>
          <w:sz w:val="21"/>
        </w:rPr>
        <w:t>who</w:t>
      </w:r>
      <w:r>
        <w:rPr>
          <w:rFonts w:ascii="Arial" w:hAnsi="Arial"/>
          <w:sz w:val="20"/>
        </w:rPr>
        <w:t> </w:t>
      </w:r>
      <w:r>
        <w:rPr>
          <w:rFonts w:ascii="Arial" w:hAnsi="Arial"/>
          <w:sz w:val="21"/>
        </w:rPr>
        <w:t>is</w:t>
      </w:r>
      <w:r>
        <w:rPr>
          <w:rFonts w:ascii="Arial" w:hAnsi="Arial"/>
          <w:sz w:val="20"/>
        </w:rPr>
        <w:t> </w:t>
      </w:r>
      <w:r>
        <w:rPr>
          <w:rFonts w:ascii="Arial" w:hAnsi="Arial"/>
          <w:sz w:val="21"/>
        </w:rPr>
        <w:t>a</w:t>
      </w:r>
      <w:r>
        <w:rPr>
          <w:rFonts w:ascii="Arial" w:hAnsi="Arial"/>
          <w:sz w:val="20"/>
        </w:rPr>
        <w:t> </w:t>
      </w:r>
      <w:r>
        <w:rPr>
          <w:rFonts w:ascii="Arial" w:hAnsi="Arial"/>
          <w:sz w:val="21"/>
        </w:rPr>
        <w:t>co-surety</w:t>
      </w:r>
      <w:r>
        <w:rPr>
          <w:rFonts w:ascii="Arial" w:hAnsi="Arial"/>
          <w:sz w:val="20"/>
        </w:rPr>
        <w:t> </w:t>
      </w:r>
      <w:r>
        <w:rPr>
          <w:rFonts w:ascii="Arial" w:hAnsi="Arial"/>
          <w:sz w:val="21"/>
        </w:rPr>
        <w:t>or</w:t>
      </w:r>
      <w:r>
        <w:rPr>
          <w:rFonts w:ascii="Arial" w:hAnsi="Arial"/>
          <w:sz w:val="20"/>
        </w:rPr>
        <w:t> </w:t>
      </w:r>
      <w:r>
        <w:rPr>
          <w:rFonts w:ascii="Arial" w:hAnsi="Arial"/>
          <w:sz w:val="21"/>
        </w:rPr>
        <w:t>co-indemnifier</w:t>
      </w:r>
      <w:r>
        <w:rPr>
          <w:rFonts w:ascii="Arial" w:hAnsi="Arial"/>
          <w:sz w:val="20"/>
        </w:rPr>
        <w:t> </w:t>
      </w:r>
      <w:r>
        <w:rPr>
          <w:rFonts w:ascii="Arial" w:hAnsi="Arial"/>
          <w:sz w:val="21"/>
        </w:rPr>
        <w:t>for</w:t>
      </w:r>
      <w:r>
        <w:rPr>
          <w:rFonts w:ascii="Arial" w:hAnsi="Arial"/>
          <w:sz w:val="20"/>
        </w:rPr>
        <w:t> </w:t>
      </w:r>
      <w:r>
        <w:rPr>
          <w:rFonts w:ascii="Arial" w:hAnsi="Arial"/>
          <w:sz w:val="21"/>
        </w:rPr>
        <w:t>payment</w:t>
      </w:r>
      <w:r>
        <w:rPr>
          <w:rFonts w:ascii="Arial" w:hAnsi="Arial"/>
          <w:sz w:val="20"/>
        </w:rPr>
        <w:t> </w:t>
      </w:r>
      <w:r>
        <w:rPr>
          <w:rFonts w:ascii="Arial" w:hAnsi="Arial"/>
          <w:sz w:val="21"/>
        </w:rPr>
        <w:t>of the Guaranteed Money is discharged under an agreement or by operation of law.</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499" w:name="No_merger1661"/>
      <w:bookmarkEnd w:id="499"/>
      <w:r>
        <w:rPr>
          <w:rFonts w:ascii="Arial" w:hAnsi="Arial"/>
          <w:b/>
          <w:color w:val="000000"/>
          <w:sz w:val="24"/>
        </w:rPr>
        <w:t>16.6No merger</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(a)This</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merge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adversely</w:t>
      </w:r>
      <w:r>
        <w:rPr>
          <w:rFonts w:ascii="Arial" w:hAnsi="Arial"/>
          <w:color w:val="000000"/>
          <w:sz w:val="20"/>
        </w:rPr>
        <w:t> </w:t>
      </w:r>
      <w:r>
        <w:rPr>
          <w:rFonts w:ascii="Arial" w:hAnsi="Arial"/>
          <w:color w:val="000000"/>
          <w:sz w:val="21"/>
        </w:rPr>
        <w:t>affect,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 adversely affected by, any of the following:</w:t>
      </w:r>
      <w:r>
        <w:rPr>
          <w:rFonts w:ascii="Arial" w:hAnsi="Arial"/>
          <w:sz w:val="20"/>
        </w:rPr>
        <w:t xml:space="preserve"> </w:t>
      </w:r>
    </w:p>
    <w:p>
      <w:pPr>
        <w:pStyle w:val="TextBody"/>
        <w:bidi w:val="0"/>
        <w:spacing w:lineRule="auto" w:line="266" w:before="115" w:after="0"/>
        <w:ind w:left="4275" w:right="1538" w:hanging="0"/>
        <w:jc w:val="left"/>
        <w:rPr>
          <w:rFonts w:ascii="Arial" w:hAnsi="Arial"/>
          <w:sz w:val="20"/>
        </w:rPr>
      </w:pPr>
      <w:r>
        <w:rPr>
          <w:rFonts w:ascii="Arial" w:hAnsi="Arial"/>
          <w:color w:val="000000"/>
          <w:sz w:val="21"/>
        </w:rPr>
        <w:t>(i)any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indemnity,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right or remedy to which the Bank is entitled; or</w:t>
      </w:r>
      <w:r>
        <w:rPr>
          <w:rFonts w:ascii="Arial" w:hAnsi="Arial"/>
          <w:sz w:val="20"/>
        </w:rPr>
        <w:t xml:space="preserve"> </w:t>
      </w:r>
    </w:p>
    <w:p>
      <w:pPr>
        <w:pStyle w:val="TextBody"/>
        <w:bidi w:val="0"/>
        <w:spacing w:lineRule="auto" w:line="266" w:before="0" w:after="0"/>
        <w:ind w:left="4275" w:right="1942" w:hanging="0"/>
        <w:jc w:val="left"/>
        <w:rPr>
          <w:rFonts w:ascii="Arial" w:hAnsi="Arial"/>
          <w:sz w:val="20"/>
        </w:rPr>
      </w:pPr>
      <w:r>
        <w:rPr>
          <w:rFonts w:ascii="Arial" w:hAnsi="Arial"/>
          <w:color w:val="000000"/>
          <w:sz w:val="21"/>
        </w:rPr>
        <w:t>(ii)a</w:t>
      </w:r>
      <w:r>
        <w:rPr>
          <w:rFonts w:ascii="Arial" w:hAnsi="Arial"/>
          <w:color w:val="000000"/>
          <w:sz w:val="20"/>
        </w:rPr>
        <w:t> </w:t>
      </w:r>
      <w:r>
        <w:rPr>
          <w:rFonts w:ascii="Arial" w:hAnsi="Arial"/>
          <w:color w:val="000000"/>
          <w:sz w:val="21"/>
        </w:rPr>
        <w:t>judgment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obtains</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Guarantors</w:t>
      </w:r>
      <w:r>
        <w:rPr>
          <w:rFonts w:ascii="Arial" w:hAnsi="Arial"/>
          <w:color w:val="000000"/>
          <w:sz w:val="20"/>
        </w:rPr>
        <w:t> </w:t>
      </w:r>
      <w:r>
        <w:rPr>
          <w:rFonts w:ascii="Arial" w:hAnsi="Arial"/>
          <w:color w:val="000000"/>
          <w:sz w:val="21"/>
        </w:rPr>
        <w:t>in connection with the Guaranteed Money or any other amount payable under this Guarantee.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 still exercise rights under</w:t>
      </w:r>
      <w:r>
        <w:rPr>
          <w:rFonts w:ascii="Arial" w:hAnsi="Arial"/>
          <w:color w:val="000000"/>
          <w:sz w:val="20"/>
        </w:rPr>
        <w:t> </w:t>
      </w:r>
      <w:r>
        <w:rPr>
          <w:rFonts w:ascii="Arial" w:hAnsi="Arial"/>
          <w:color w:val="000000"/>
          <w:sz w:val="21"/>
        </w:rPr>
        <w:t>this Guarantee as well as under the</w:t>
      </w:r>
      <w:r>
        <w:rPr>
          <w:rFonts w:ascii="Arial" w:hAnsi="Arial"/>
          <w:color w:val="000000"/>
          <w:sz w:val="20"/>
        </w:rPr>
        <w:t> </w:t>
      </w:r>
      <w:r>
        <w:rPr>
          <w:rFonts w:ascii="Arial" w:hAnsi="Arial"/>
          <w:color w:val="000000"/>
          <w:sz w:val="21"/>
        </w:rPr>
        <w:t>judgment,</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indemnity,</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right or remedy.</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00" w:name="Extent_of_Guarantors_obligations1671"/>
      <w:bookmarkEnd w:id="500"/>
      <w:r>
        <w:rPr>
          <w:rFonts w:ascii="Arial" w:hAnsi="Arial"/>
          <w:b/>
          <w:color w:val="000000"/>
          <w:sz w:val="24"/>
        </w:rPr>
        <w:t>16.7Extent of Guarantor’s obligations</w:t>
      </w:r>
      <w:r>
        <w:rPr>
          <w:rFonts w:ascii="Arial" w:hAnsi="Arial"/>
          <w:b/>
          <w:sz w:val="24"/>
        </w:rPr>
        <w:t xml:space="preserve"> </w:t>
      </w:r>
    </w:p>
    <w:p>
      <w:pPr>
        <w:pStyle w:val="TextBody"/>
        <w:bidi w:val="0"/>
        <w:spacing w:lineRule="auto" w:line="266" w:before="93" w:after="0"/>
        <w:ind w:left="3120" w:right="1548" w:hanging="0"/>
        <w:jc w:val="both"/>
        <w:rPr>
          <w:rFonts w:ascii="Arial" w:hAnsi="Arial"/>
          <w:sz w:val="22"/>
        </w:rPr>
      </w:pPr>
      <w:r>
        <w:rPr>
          <w:rFonts w:ascii="Arial" w:hAnsi="Arial"/>
          <w:color w:val="000000"/>
          <w:sz w:val="22"/>
        </w:rPr>
        <w:t>If more than one person is named as “Guarantor”, each of them is liable for all the obligations under this Guarantee both individually and jointly with any one or more other persons named as “Guarantor”.</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01" w:name="Guarantors_rights_are_suspended1681"/>
      <w:bookmarkEnd w:id="501"/>
      <w:r>
        <w:rPr>
          <w:rFonts w:ascii="Arial" w:hAnsi="Arial"/>
          <w:b/>
          <w:color w:val="000000"/>
          <w:sz w:val="24"/>
        </w:rPr>
        <w:t>16.8Guarantor’s rights are suspended</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As long as any of the Guaranteed Money remains unpaid, the Guarantor may not, without the Bank’s consent:</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(a)reduce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claiming</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 Transaction Party or any other person has a right of set-off or counterclaim against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(b)exercise any legal right to claim to be entitled to the benefit of another guarantee, indemnity, or Security Interest given in connection with the 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Guarantee;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(c)claim</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of the Guaranteed Money (including a person who has signed this</w:t>
      </w:r>
      <w:r>
        <w:rPr>
          <w:rFonts w:ascii="Arial" w:hAnsi="Arial"/>
          <w:sz w:val="20"/>
        </w:rPr>
        <w:t xml:space="preserve"> </w:t>
      </w:r>
    </w:p>
    <w:p>
      <w:pPr>
        <w:pStyle w:val="TextBody"/>
        <w:bidi w:val="0"/>
        <w:spacing w:lineRule="auto" w:line="266" w:before="118" w:after="0"/>
        <w:ind w:left="3687" w:right="854" w:hanging="570"/>
        <w:jc w:val="left"/>
        <w:rPr>
          <w:rFonts w:ascii="Arial" w:hAnsi="Arial"/>
          <w:sz w:val="20"/>
        </w:rPr>
      </w:pPr>
      <w:r>
        <w:rPr>
          <w:rFonts w:ascii="Arial" w:hAnsi="Arial"/>
          <w:color w:val="000000"/>
          <w:sz w:val="21"/>
        </w:rPr>
        <w:t>document as a “Guarantor”), under a right of indemnity in respect of this guarantee;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(d)claim an amount in the insolvency of a Transaction Party or of another guarantor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signed this document as a “Guarantor”).</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02" w:name="_Hlk206078760"/>
      <w:bookmarkStart w:id="503" w:name="Guarantors_right_of_proof_limited1691"/>
      <w:bookmarkEnd w:id="502"/>
      <w:bookmarkEnd w:id="503"/>
      <w:r>
        <w:rPr>
          <w:rFonts w:ascii="Arial" w:hAnsi="Arial"/>
          <w:b/>
          <w:color w:val="000000"/>
          <w:sz w:val="24"/>
        </w:rPr>
        <w:t>16.9Guarantor’s right of proof limited</w:t>
      </w:r>
      <w:r>
        <w:rPr>
          <w:rFonts w:ascii="Arial" w:hAnsi="Arial"/>
          <w:b/>
          <w:sz w:val="24"/>
        </w:rPr>
        <w:t xml:space="preserve"> </w:t>
      </w:r>
    </w:p>
    <w:p>
      <w:pPr>
        <w:pStyle w:val="TextBody"/>
        <w:pBdr/>
        <w:bidi w:val="0"/>
        <w:spacing w:lineRule="auto" w:line="266" w:before="93" w:after="0"/>
        <w:ind w:left="3120" w:right="1471" w:hanging="0"/>
        <w:jc w:val="left"/>
        <w:rPr/>
      </w:pPr>
      <w:r>
        <w:rPr>
          <w:rFonts w:ascii="Arial" w:hAnsi="Arial"/>
          <w:color w:val="000000"/>
          <w:sz w:val="22"/>
        </w:rPr>
        <w:t xml:space="preserve">Each Guarantor agrees not to exercise a right of proof after an event occurs relating to the insolvency of a Transaction Party or another guarantor of the Guaranteed Money (including a person who has signed this document as a “Guarantor”) independently of an attorney appointed under </w:t>
      </w:r>
      <w:r>
        <w:rPr>
          <w:rFonts w:ascii="Arial" w:hAnsi="Arial"/>
          <w:b/>
          <w:color w:val="000000"/>
          <w:sz w:val="22"/>
        </w:rPr>
        <w:t xml:space="preserve">clause </w:t>
      </w:r>
      <w:hyperlink w:anchor="_bookmark152">
        <w:r>
          <w:rPr>
            <w:rStyle w:val="InternetLink"/>
          </w:rPr>
          <w:t>16.12</w:t>
        </w:r>
      </w:hyperlink>
      <w:r>
        <w:rPr>
          <w:rFonts w:ascii="Arial" w:hAnsi="Arial"/>
          <w:color w:val="000000"/>
          <w:sz w:val="22"/>
        </w:rPr>
        <w:t>.</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16.10</w:t>
      </w:r>
      <w:bookmarkStart w:id="504" w:name="No_setoff_against_assignees1610"/>
      <w:bookmarkEnd w:id="504"/>
      <w:r>
        <w:rPr>
          <w:rFonts w:ascii="Arial" w:hAnsi="Arial"/>
          <w:b/>
          <w:color w:val="000000"/>
          <w:sz w:val="24"/>
        </w:rPr>
        <w:t>No set-off against assignees</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If the Bank assigns or otherwise deals with its rights under this Guarantee, the Guarantors may not claim against any assignee (or any other person who has an interest in this Guarantee) any right of set-off or other right the Guarantors have against the Bank.</w:t>
      </w:r>
      <w:r>
        <w:rPr>
          <w:rFonts w:ascii="Arial" w:hAnsi="Arial"/>
          <w:sz w:val="22"/>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16.11</w:t>
      </w:r>
      <w:bookmarkStart w:id="505" w:name="Suspense_account16111"/>
      <w:bookmarkEnd w:id="505"/>
      <w:r>
        <w:rPr>
          <w:rFonts w:ascii="Arial" w:hAnsi="Arial"/>
          <w:b/>
          <w:color w:val="000000"/>
          <w:sz w:val="24"/>
        </w:rPr>
        <w:t>Suspense account</w:t>
      </w:r>
      <w:r>
        <w:rPr>
          <w:rFonts w:ascii="Arial" w:hAnsi="Arial"/>
          <w:b/>
          <w:sz w:val="24"/>
        </w:rPr>
        <w:t xml:space="preserve"> </w:t>
      </w:r>
    </w:p>
    <w:p>
      <w:pPr>
        <w:pStyle w:val="TextBody"/>
        <w:bidi w:val="0"/>
        <w:spacing w:lineRule="auto" w:line="266" w:before="93" w:after="0"/>
        <w:ind w:left="3120" w:right="1486" w:hanging="0"/>
        <w:jc w:val="left"/>
        <w:rPr>
          <w:rFonts w:ascii="Arial" w:hAnsi="Arial"/>
          <w:sz w:val="22"/>
        </w:rPr>
      </w:pPr>
      <w:r>
        <w:rPr>
          <w:rFonts w:ascii="Arial" w:hAnsi="Arial"/>
          <w:color w:val="000000"/>
          <w:sz w:val="22"/>
        </w:rPr>
        <w:t>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w:t>
      </w:r>
      <w:r>
        <w:rPr>
          <w:rFonts w:ascii="Arial" w:hAnsi="Arial"/>
          <w:sz w:val="22"/>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16.12</w:t>
      </w:r>
      <w:bookmarkStart w:id="506" w:name="Right_to_prove16121"/>
      <w:bookmarkEnd w:id="506"/>
      <w:r>
        <w:rPr>
          <w:rFonts w:ascii="Arial" w:hAnsi="Arial"/>
          <w:b/>
          <w:color w:val="000000"/>
          <w:sz w:val="24"/>
        </w:rPr>
        <w:t>Right to prove</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appoints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Authorised Representatives individually as its attorney and agrees to formally approve all action taken by an attorney under this clause 16.</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(b)Each</w:t>
      </w:r>
      <w:r>
        <w:rPr>
          <w:rFonts w:ascii="Arial" w:hAnsi="Arial"/>
          <w:color w:val="000000"/>
          <w:sz w:val="20"/>
        </w:rPr>
        <w:t> </w:t>
      </w:r>
      <w:r>
        <w:rPr>
          <w:rFonts w:ascii="Arial" w:hAnsi="Arial"/>
          <w:color w:val="000000"/>
          <w:sz w:val="21"/>
        </w:rPr>
        <w:t>attorney</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while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is outstanding:</w:t>
      </w:r>
      <w:r>
        <w:rPr>
          <w:rFonts w:ascii="Arial" w:hAnsi="Arial"/>
          <w:sz w:val="20"/>
        </w:rPr>
        <w:t xml:space="preserve"> </w:t>
      </w:r>
    </w:p>
    <w:p>
      <w:pPr>
        <w:pStyle w:val="TextBody"/>
        <w:bidi w:val="0"/>
        <w:spacing w:lineRule="auto" w:line="266" w:before="0" w:after="0"/>
        <w:ind w:left="4275" w:right="1504" w:hanging="0"/>
        <w:jc w:val="left"/>
        <w:rPr>
          <w:rFonts w:ascii="Arial" w:hAnsi="Arial"/>
          <w:sz w:val="20"/>
        </w:rPr>
      </w:pPr>
      <w:r>
        <w:rPr>
          <w:rFonts w:ascii="Arial" w:hAnsi="Arial"/>
          <w:color w:val="000000"/>
          <w:sz w:val="21"/>
        </w:rPr>
        <w:t>(i)do anything which a Guarantor may lawfully do to exercise their 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proof</w:t>
      </w:r>
      <w:r>
        <w:rPr>
          <w:rFonts w:ascii="Arial" w:hAnsi="Arial"/>
          <w:color w:val="000000"/>
          <w:sz w:val="20"/>
        </w:rPr>
        <w:t> </w:t>
      </w:r>
      <w:r>
        <w:rPr>
          <w:rFonts w:ascii="Arial" w:hAnsi="Arial"/>
          <w:color w:val="000000"/>
          <w:sz w:val="21"/>
        </w:rPr>
        <w:t>in 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 Transaction Party after</w:t>
      </w:r>
      <w:r>
        <w:rPr>
          <w:rFonts w:ascii="Arial" w:hAnsi="Arial"/>
          <w:color w:val="000000"/>
          <w:sz w:val="20"/>
        </w:rPr>
        <w:t> </w:t>
      </w:r>
      <w:r>
        <w:rPr>
          <w:rFonts w:ascii="Arial" w:hAnsi="Arial"/>
          <w:color w:val="000000"/>
          <w:sz w:val="21"/>
        </w:rPr>
        <w:t>an Insolvency Event occurs in respect of such Transaction Party.</w:t>
      </w:r>
      <w:r>
        <w:rPr>
          <w:rFonts w:ascii="Arial" w:hAnsi="Arial"/>
          <w:color w:val="000000"/>
          <w:sz w:val="20"/>
        </w:rPr>
        <w:t> </w:t>
      </w:r>
      <w:r>
        <w:rPr>
          <w:rFonts w:ascii="Arial" w:hAnsi="Arial"/>
          <w:color w:val="000000"/>
          <w:sz w:val="21"/>
        </w:rPr>
        <w:t>These things may be done in the Guarantor’s name or</w:t>
      </w:r>
      <w:r>
        <w:rPr>
          <w:rFonts w:ascii="Arial" w:hAnsi="Arial"/>
          <w:color w:val="000000"/>
          <w:sz w:val="20"/>
        </w:rPr>
        <w:t> </w:t>
      </w:r>
      <w:r>
        <w:rPr>
          <w:rFonts w:ascii="Arial" w:hAnsi="Arial"/>
          <w:color w:val="000000"/>
          <w:sz w:val="21"/>
        </w:rPr>
        <w:t>the attorney’s name and they</w:t>
      </w:r>
      <w:r>
        <w:rPr>
          <w:rFonts w:ascii="Arial" w:hAnsi="Arial"/>
          <w:color w:val="000000"/>
          <w:sz w:val="20"/>
        </w:rPr>
        <w:t> </w:t>
      </w:r>
      <w:r>
        <w:rPr>
          <w:rFonts w:ascii="Arial" w:hAnsi="Arial"/>
          <w:color w:val="000000"/>
          <w:sz w:val="21"/>
        </w:rPr>
        <w:t>include</w:t>
      </w:r>
      <w:r>
        <w:rPr>
          <w:rFonts w:ascii="Arial" w:hAnsi="Arial"/>
          <w:color w:val="000000"/>
          <w:sz w:val="20"/>
        </w:rPr>
        <w:t> </w:t>
      </w:r>
      <w:r>
        <w:rPr>
          <w:rFonts w:ascii="Arial" w:hAnsi="Arial"/>
          <w:color w:val="000000"/>
          <w:sz w:val="21"/>
        </w:rPr>
        <w:t>signing</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delivering</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taking</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legal proceedings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receiving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dividends</w:t>
      </w:r>
      <w:r>
        <w:rPr>
          <w:rFonts w:ascii="Arial" w:hAnsi="Arial"/>
          <w:color w:val="000000"/>
          <w:sz w:val="20"/>
        </w:rPr>
        <w:t> </w:t>
      </w:r>
      <w:r>
        <w:rPr>
          <w:rFonts w:ascii="Arial" w:hAnsi="Arial"/>
          <w:color w:val="000000"/>
          <w:sz w:val="21"/>
        </w:rPr>
        <w:t>arising</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of proof;</w:t>
      </w:r>
      <w:r>
        <w:rPr>
          <w:rFonts w:ascii="Arial" w:hAnsi="Arial"/>
          <w:sz w:val="20"/>
        </w:rPr>
        <w:t xml:space="preserve"> </w:t>
      </w:r>
    </w:p>
    <w:p>
      <w:pPr>
        <w:pStyle w:val="TextBody"/>
        <w:bidi w:val="0"/>
        <w:spacing w:lineRule="auto" w:line="266" w:before="118" w:after="0"/>
        <w:ind w:left="4275" w:right="1933" w:hanging="0"/>
        <w:jc w:val="left"/>
        <w:rPr>
          <w:rFonts w:ascii="Arial" w:hAnsi="Arial"/>
          <w:sz w:val="20"/>
        </w:rPr>
      </w:pPr>
      <w:r>
        <w:rPr>
          <w:rFonts w:ascii="Arial" w:hAnsi="Arial"/>
          <w:color w:val="000000"/>
          <w:sz w:val="21"/>
        </w:rPr>
        <w:t>(ii)delegates</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powers</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power)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revoke</w:t>
      </w:r>
      <w:r>
        <w:rPr>
          <w:rFonts w:ascii="Arial" w:hAnsi="Arial"/>
          <w:color w:val="000000"/>
          <w:sz w:val="20"/>
        </w:rPr>
        <w:t> </w:t>
      </w:r>
      <w:r>
        <w:rPr>
          <w:rFonts w:ascii="Arial" w:hAnsi="Arial"/>
          <w:color w:val="000000"/>
          <w:sz w:val="21"/>
        </w:rPr>
        <w:t>a delegation; and</w:t>
      </w:r>
      <w:r>
        <w:rPr>
          <w:rFonts w:ascii="Arial" w:hAnsi="Arial"/>
          <w:sz w:val="20"/>
        </w:rPr>
        <w:t xml:space="preserve"> </w:t>
      </w:r>
    </w:p>
    <w:p>
      <w:pPr>
        <w:pStyle w:val="TextBody"/>
        <w:bidi w:val="0"/>
        <w:spacing w:lineRule="auto" w:line="266" w:before="120" w:after="0"/>
        <w:ind w:left="4275" w:right="1454" w:hanging="0"/>
        <w:jc w:val="left"/>
        <w:rPr>
          <w:rFonts w:ascii="Arial" w:hAnsi="Arial"/>
          <w:sz w:val="20"/>
        </w:rPr>
      </w:pPr>
      <w:r>
        <w:rPr>
          <w:rFonts w:ascii="Arial" w:hAnsi="Arial"/>
          <w:color w:val="000000"/>
          <w:sz w:val="21"/>
        </w:rPr>
        <w:t>(iii)exercise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powers</w:t>
      </w:r>
      <w:r>
        <w:rPr>
          <w:rFonts w:ascii="Arial" w:hAnsi="Arial"/>
          <w:color w:val="000000"/>
          <w:sz w:val="20"/>
        </w:rPr>
        <w:t> </w:t>
      </w:r>
      <w:r>
        <w:rPr>
          <w:rFonts w:ascii="Arial" w:hAnsi="Arial"/>
          <w:color w:val="000000"/>
          <w:sz w:val="21"/>
        </w:rPr>
        <w:t>even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involves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conflict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duty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even if it has a personal interest in doing so.</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(c)The attorney need not account to a Guarantor for any dividend received on</w:t>
      </w:r>
      <w:r>
        <w:rPr>
          <w:rFonts w:ascii="Arial" w:hAnsi="Arial"/>
          <w:color w:val="000000"/>
          <w:sz w:val="20"/>
        </w:rPr>
        <w:t> </w:t>
      </w:r>
      <w:r>
        <w:rPr>
          <w:rFonts w:ascii="Arial" w:hAnsi="Arial"/>
          <w:color w:val="000000"/>
          <w:sz w:val="21"/>
        </w:rPr>
        <w:t>exercising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proof</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b/>
          <w:color w:val="000000"/>
          <w:sz w:val="21"/>
        </w:rPr>
        <w:t>clause</w:t>
      </w:r>
      <w:r>
        <w:rPr>
          <w:rFonts w:ascii="Arial" w:hAnsi="Arial"/>
          <w:color w:val="000000"/>
          <w:sz w:val="20"/>
        </w:rPr>
        <w:t> </w:t>
      </w:r>
      <w:hyperlink w:anchor="_bookmark152">
        <w:r>
          <w:rPr>
            <w:rStyle w:val="InternetLink"/>
          </w:rPr>
          <w:t>16.12</w:t>
        </w:r>
      </w:hyperlink>
      <w:hyperlink w:anchor="_bookmark153">
        <w:r>
          <w:rPr>
            <w:rStyle w:val="InternetLink"/>
          </w:rPr>
          <w:t>(i)</w:t>
        </w:r>
      </w:hyperlink>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extent that any dividend remains after the Bank has received all of the Guaranteed Money and all other amounts payable under the Guarantee.</w:t>
      </w:r>
      <w:r>
        <w:rPr>
          <w:rFonts w:ascii="Arial" w:hAnsi="Arial"/>
          <w:sz w:val="20"/>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16.13</w:t>
      </w:r>
      <w:bookmarkStart w:id="507" w:name="Release_of_Guarantors16131"/>
      <w:bookmarkEnd w:id="507"/>
      <w:r>
        <w:rPr>
          <w:rFonts w:ascii="Arial" w:hAnsi="Arial"/>
          <w:b/>
          <w:color w:val="000000"/>
          <w:sz w:val="24"/>
        </w:rPr>
        <w:t>Release of Guarantors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 Bank must, at the Borrower’s cost, execute any release documentation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16</w:t>
      </w:r>
      <w:r>
        <w:rPr>
          <w:rFonts w:ascii="Arial" w:hAnsi="Arial"/>
          <w:color w:val="000000"/>
          <w:sz w:val="21"/>
        </w:rPr>
        <w: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(b)As between the Transaction Parties and the Bank, the Bank is not obliged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consent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release</w:t>
      </w:r>
      <w:r>
        <w:rPr>
          <w:rFonts w:ascii="Arial" w:hAnsi="Arial"/>
          <w:color w:val="000000"/>
          <w:sz w:val="20"/>
        </w:rPr>
        <w:t> </w:t>
      </w:r>
      <w:r>
        <w:rPr>
          <w:rFonts w:ascii="Arial" w:hAnsi="Arial"/>
          <w:color w:val="000000"/>
          <w:sz w:val="21"/>
        </w:rPr>
        <w:t>unless</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do</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terms</w:t>
      </w:r>
      <w:r>
        <w:rPr>
          <w:rFonts w:ascii="Arial" w:hAnsi="Arial"/>
          <w:color w:val="000000"/>
          <w:sz w:val="20"/>
        </w:rPr>
        <w:t> </w:t>
      </w:r>
      <w:r>
        <w:rPr>
          <w:rFonts w:ascii="Arial" w:hAnsi="Arial"/>
          <w:color w:val="000000"/>
          <w:sz w:val="21"/>
        </w:rPr>
        <w:t>of another Transaction Document.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(c)The rights and obligations of the remaining Guarantors under the Guarantee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16.1</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continue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full</w:t>
      </w:r>
      <w:r>
        <w:rPr>
          <w:rFonts w:ascii="Arial" w:hAnsi="Arial"/>
          <w:color w:val="000000"/>
          <w:sz w:val="20"/>
        </w:rPr>
        <w:t> </w:t>
      </w:r>
      <w:r>
        <w:rPr>
          <w:rFonts w:ascii="Arial" w:hAnsi="Arial"/>
          <w:color w:val="000000"/>
          <w:sz w:val="21"/>
        </w:rPr>
        <w:t>force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despite</w:t>
      </w:r>
      <w:r>
        <w:rPr>
          <w:rFonts w:ascii="Arial" w:hAnsi="Arial"/>
          <w:color w:val="000000"/>
          <w:sz w:val="20"/>
        </w:rPr>
        <w:t> </w:t>
      </w:r>
      <w:r>
        <w:rPr>
          <w:rFonts w:ascii="Arial" w:hAnsi="Arial"/>
          <w:color w:val="000000"/>
          <w:sz w:val="21"/>
        </w:rPr>
        <w:t xml:space="preserve">the release of a Guarantor under this </w:t>
      </w:r>
      <w:r>
        <w:rPr>
          <w:rFonts w:ascii="Arial" w:hAnsi="Arial"/>
          <w:b/>
          <w:color w:val="000000"/>
          <w:sz w:val="21"/>
        </w:rPr>
        <w:t xml:space="preserve">clause </w:t>
      </w:r>
      <w:hyperlink w:anchor="_bookmark154">
        <w:r>
          <w:rPr>
            <w:rStyle w:val="InternetLink"/>
          </w:rPr>
          <w:t>16.13</w:t>
        </w:r>
      </w:hyperlink>
      <w:r>
        <w:rPr>
          <w:rFonts w:ascii="Arial" w:hAnsi="Arial"/>
          <w:color w:val="000000"/>
          <w:sz w:val="21"/>
        </w:rPr>
        <w:t>.</w:t>
      </w:r>
      <w:r>
        <w:rPr>
          <w:rFonts w:ascii="Arial" w:hAnsi="Arial"/>
          <w:sz w:val="20"/>
        </w:rPr>
        <w:t xml:space="preserve"> </w:t>
      </w:r>
    </w:p>
    <w:p>
      <w:pPr>
        <w:pStyle w:val="TextBody"/>
        <w:bidi w:val="0"/>
        <w:spacing w:lineRule="auto" w:line="264"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16.14</w:t>
      </w:r>
      <w:bookmarkStart w:id="508" w:name="New_Guarantors16141"/>
      <w:bookmarkEnd w:id="508"/>
      <w:r>
        <w:rPr>
          <w:rFonts w:ascii="Arial" w:hAnsi="Arial"/>
          <w:b/>
          <w:color w:val="000000"/>
          <w:sz w:val="24"/>
        </w:rPr>
        <w:t>New Guarantors</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If a Subsidiary of any Transaction Party is required by the terms of a Transaction Document to become a Guarantor, the Borrower must ensure that such subsidiary executes a Guarantor Accession Deed as a new Transaction Party.</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09" w:name="Consideration16151"/>
      <w:bookmarkEnd w:id="509"/>
      <w:r>
        <w:rPr>
          <w:rFonts w:ascii="Arial" w:hAnsi="Arial"/>
          <w:b/>
          <w:color w:val="000000"/>
          <w:sz w:val="24"/>
        </w:rPr>
        <w:t>16.15Consideration</w:t>
      </w:r>
      <w:r>
        <w:rPr>
          <w:rFonts w:ascii="Arial" w:hAnsi="Arial"/>
          <w:b/>
          <w:sz w:val="24"/>
        </w:rPr>
        <w:t xml:space="preserve"> </w:t>
      </w:r>
    </w:p>
    <w:p>
      <w:pPr>
        <w:pStyle w:val="TextBody"/>
        <w:bidi w:val="0"/>
        <w:spacing w:lineRule="auto" w:line="266" w:before="93" w:after="0"/>
        <w:ind w:left="3120" w:right="1466" w:hanging="0"/>
        <w:jc w:val="both"/>
        <w:rPr>
          <w:rFonts w:ascii="Arial" w:hAnsi="Arial"/>
          <w:sz w:val="22"/>
        </w:rPr>
      </w:pPr>
      <w:r>
        <w:rPr>
          <w:rFonts w:ascii="Arial" w:hAnsi="Arial"/>
          <w:color w:val="000000"/>
          <w:sz w:val="22"/>
        </w:rPr>
        <w:t>Each Guarantor acknowledges having executed this document in return for the Bank entering into the Transaction Documents at the request of the Guarantor and other valuable consideration.</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10" w:name="New_Guarantors16161"/>
      <w:bookmarkEnd w:id="510"/>
      <w:r>
        <w:rPr>
          <w:rFonts w:ascii="Arial" w:hAnsi="Arial"/>
          <w:b/>
          <w:color w:val="000000"/>
          <w:sz w:val="24"/>
        </w:rPr>
        <w:t>16.16New Guarantors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automatically</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 and Transaction Party (after the date of this document) by signing and delivering to the Bank a Guarantor Accession Deed and doing anything else which the Bank reasonably requests to ensure the enforceability of that person’s obligations as a Guarantor.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appoints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as its agent to sign on its behalf any Guarantor Accession Deed.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Accession</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operate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release any party from its obligations under any Transaction Document.</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90"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511" w:name="Attorney171"/>
      <w:bookmarkEnd w:id="511"/>
      <w:r>
        <w:rPr>
          <w:rFonts w:ascii="Arial" w:hAnsi="Arial"/>
          <w:color w:val="000000"/>
          <w:sz w:val="32"/>
        </w:rPr>
        <w:t>17Attorney</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512" w:name="Appointment1711"/>
      <w:bookmarkEnd w:id="512"/>
      <w:r>
        <w:rPr>
          <w:rFonts w:ascii="Arial" w:hAnsi="Arial"/>
          <w:b/>
          <w:color w:val="000000"/>
          <w:sz w:val="24"/>
        </w:rPr>
        <w:t>17.1Appointment</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If and for so long as an Event of Default occurred and is continuing, the Borrower irrevocably appoints the Bank its attorney with the power:</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to:</w:t>
      </w:r>
      <w:r>
        <w:rPr>
          <w:rFonts w:ascii="Arial" w:hAnsi="Arial"/>
          <w:sz w:val="20"/>
        </w:rPr>
        <w:t xml:space="preserve"> </w:t>
      </w:r>
    </w:p>
    <w:p>
      <w:pPr>
        <w:pStyle w:val="TextBody"/>
        <w:bidi w:val="0"/>
        <w:spacing w:lineRule="auto" w:line="266" w:before="147" w:after="0"/>
        <w:ind w:left="4275" w:right="1654" w:hanging="0"/>
        <w:jc w:val="left"/>
        <w:rPr>
          <w:rFonts w:ascii="Arial" w:hAnsi="Arial"/>
          <w:sz w:val="20"/>
        </w:rPr>
      </w:pPr>
      <w:r>
        <w:rPr>
          <w:rFonts w:ascii="Arial" w:hAnsi="Arial"/>
          <w:color w:val="000000"/>
          <w:sz w:val="21"/>
        </w:rPr>
        <w:t>(i)do everything which in the Attorney’s reasonable opinion is necessary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expedient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enable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Bank in relation to the Transaction Documents;</w:t>
      </w:r>
      <w:r>
        <w:rPr>
          <w:rFonts w:ascii="Arial" w:hAnsi="Arial"/>
          <w:sz w:val="20"/>
        </w:rPr>
        <w:t xml:space="preserve"> </w:t>
      </w:r>
    </w:p>
    <w:p>
      <w:pPr>
        <w:pStyle w:val="TextBody"/>
        <w:bidi w:val="0"/>
        <w:spacing w:before="120" w:after="0"/>
        <w:ind w:left="4275" w:right="700" w:hanging="0"/>
        <w:jc w:val="left"/>
        <w:rPr>
          <w:rFonts w:ascii="Arial" w:hAnsi="Arial"/>
          <w:sz w:val="20"/>
        </w:rPr>
      </w:pPr>
      <w:r>
        <w:rPr>
          <w:rFonts w:ascii="Arial" w:hAnsi="Arial"/>
          <w:color w:val="000000"/>
          <w:sz w:val="21"/>
        </w:rPr>
        <w:t>(ii)not</w:t>
      </w:r>
      <w:r>
        <w:rPr>
          <w:rFonts w:ascii="Arial" w:hAnsi="Arial"/>
          <w:color w:val="000000"/>
          <w:sz w:val="20"/>
        </w:rPr>
        <w:t xml:space="preserve"> </w:t>
      </w:r>
      <w:r>
        <w:rPr>
          <w:rFonts w:ascii="Arial" w:hAnsi="Arial"/>
          <w:color w:val="000000"/>
          <w:sz w:val="21"/>
        </w:rPr>
        <w:t>used;</w:t>
      </w:r>
      <w:r>
        <w:rPr>
          <w:rFonts w:ascii="Arial" w:hAnsi="Arial"/>
          <w:sz w:val="20"/>
        </w:rPr>
        <w:t xml:space="preserve"> </w:t>
      </w:r>
    </w:p>
    <w:p>
      <w:pPr>
        <w:pStyle w:val="TextBody"/>
        <w:bidi w:val="0"/>
        <w:spacing w:before="147" w:after="0"/>
        <w:ind w:left="4275" w:right="700" w:hanging="0"/>
        <w:jc w:val="left"/>
        <w:rPr>
          <w:rFonts w:ascii="Arial" w:hAnsi="Arial"/>
          <w:sz w:val="20"/>
        </w:rPr>
      </w:pPr>
      <w:r>
        <w:rPr>
          <w:rFonts w:ascii="Arial" w:hAnsi="Arial"/>
          <w:color w:val="000000"/>
          <w:sz w:val="21"/>
        </w:rPr>
        <w:t>(iii)complete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r>
        <w:rPr>
          <w:rFonts w:ascii="Arial" w:hAnsi="Arial"/>
          <w:color w:val="000000"/>
          <w:sz w:val="20"/>
        </w:rPr>
        <w:t xml:space="preserve"> </w:t>
      </w:r>
      <w:r>
        <w:rPr>
          <w:rFonts w:ascii="Arial" w:hAnsi="Arial"/>
          <w:color w:val="000000"/>
          <w:sz w:val="21"/>
        </w:rPr>
        <w:t>and</w:t>
      </w:r>
      <w:r>
        <w:rPr>
          <w:rFonts w:ascii="Arial" w:hAnsi="Arial"/>
          <w:sz w:val="20"/>
        </w:rPr>
        <w:t xml:space="preserve"> </w:t>
      </w:r>
    </w:p>
    <w:p>
      <w:pPr>
        <w:pStyle w:val="TextBody"/>
        <w:bidi w:val="0"/>
        <w:spacing w:lineRule="auto" w:line="266" w:before="148" w:after="0"/>
        <w:ind w:left="4275" w:right="1991" w:hanging="0"/>
        <w:jc w:val="left"/>
        <w:rPr>
          <w:rFonts w:ascii="Arial" w:hAnsi="Arial"/>
          <w:sz w:val="20"/>
        </w:rPr>
      </w:pPr>
      <w:r>
        <w:rPr>
          <w:rFonts w:ascii="Arial" w:hAnsi="Arial"/>
          <w:color w:val="000000"/>
          <w:sz w:val="21"/>
        </w:rPr>
        <w:t>(iv)appoint its directors, officers, employees and solicitors as substitutes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delegate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powers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them (except this power of delegation); and</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color w:val="000000"/>
          <w:sz w:val="21"/>
        </w:rPr>
        <w:t xml:space="preserve">(b)at any time after a notice is given under </w:t>
      </w:r>
      <w:r>
        <w:rPr>
          <w:rFonts w:ascii="Arial" w:hAnsi="Arial"/>
          <w:b/>
          <w:color w:val="000000"/>
          <w:sz w:val="21"/>
        </w:rPr>
        <w:t>clause 10.2(a)(ii)</w:t>
      </w:r>
      <w:hyperlink w:anchor="_bookmark109">
        <w:r>
          <w:rPr>
            <w:rStyle w:val="InternetLink"/>
          </w:rPr>
          <w:t>(A)</w:t>
        </w:r>
      </w:hyperlink>
      <w:r>
        <w:rPr>
          <w:rFonts w:ascii="Arial" w:hAnsi="Arial"/>
          <w:color w:val="000000"/>
          <w:sz w:val="20"/>
        </w:rPr>
        <w:t xml:space="preserve"> </w:t>
      </w:r>
      <w:r>
        <w:rPr>
          <w:rFonts w:ascii="Arial" w:hAnsi="Arial"/>
          <w:b/>
          <w:color w:val="000000"/>
          <w:sz w:val="21"/>
        </w:rPr>
        <w:t>or 10.2(a)</w:t>
      </w:r>
      <w:hyperlink w:anchor="_bookmark108">
        <w:r>
          <w:rPr>
            <w:rStyle w:val="InternetLink"/>
          </w:rPr>
          <w:t>(ii)</w:t>
        </w:r>
      </w:hyperlink>
      <w:hyperlink w:anchor="_bookmark110">
        <w:r>
          <w:rPr>
            <w:rStyle w:val="InternetLink"/>
          </w:rPr>
          <w:t>(B)</w:t>
        </w:r>
      </w:hyperlink>
      <w:hyperlink w:anchor="_bookmark110">
        <w:r>
          <w:rPr>
            <w:rStyle w:val="InternetLink"/>
            <w:rFonts w:ascii="Arial" w:hAnsi="Arial"/>
            <w:color w:val="000000"/>
            <w:sz w:val="21"/>
          </w:rPr>
          <w:t>,</w:t>
        </w:r>
      </w:hyperlink>
      <w:r>
        <w:rPr>
          <w:rFonts w:ascii="Arial" w:hAnsi="Arial"/>
          <w:color w:val="000000"/>
          <w:sz w:val="20"/>
        </w:rPr>
        <w:t xml:space="preserve"> </w:t>
      </w:r>
      <w:r>
        <w:rPr>
          <w:rFonts w:ascii="Arial" w:hAnsi="Arial"/>
          <w:color w:val="000000"/>
          <w:sz w:val="21"/>
        </w:rPr>
        <w:t>to</w:t>
      </w:r>
      <w:r>
        <w:rPr>
          <w:rFonts w:ascii="Arial" w:hAnsi="Arial"/>
          <w:color w:val="000000"/>
          <w:sz w:val="20"/>
        </w:rPr>
        <w:t> </w:t>
      </w:r>
      <w:r>
        <w:rPr>
          <w:rFonts w:ascii="Arial" w:hAnsi="Arial"/>
          <w:color w:val="000000"/>
          <w:sz w:val="21"/>
        </w:rPr>
        <w:t>do</w:t>
      </w:r>
      <w:r>
        <w:rPr>
          <w:rFonts w:ascii="Arial" w:hAnsi="Arial"/>
          <w:color w:val="000000"/>
          <w:sz w:val="20"/>
        </w:rPr>
        <w:t> </w:t>
      </w:r>
      <w:r>
        <w:rPr>
          <w:rFonts w:ascii="Arial" w:hAnsi="Arial"/>
          <w:color w:val="000000"/>
          <w:sz w:val="21"/>
        </w:rPr>
        <w:t>all acts</w:t>
      </w:r>
      <w:r>
        <w:rPr>
          <w:rFonts w:ascii="Arial" w:hAnsi="Arial"/>
          <w:color w:val="000000"/>
          <w:sz w:val="20"/>
        </w:rPr>
        <w:t> </w:t>
      </w:r>
      <w:r>
        <w:rPr>
          <w:rFonts w:ascii="Arial" w:hAnsi="Arial"/>
          <w:color w:val="000000"/>
          <w:sz w:val="21"/>
        </w:rPr>
        <w:t>and things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 Borrower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to do</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Attorney’s</w:t>
      </w:r>
      <w:r>
        <w:rPr>
          <w:rFonts w:ascii="Arial" w:hAnsi="Arial"/>
          <w:color w:val="000000"/>
          <w:sz w:val="20"/>
        </w:rPr>
        <w:t> </w:t>
      </w:r>
      <w:r>
        <w:rPr>
          <w:rFonts w:ascii="Arial" w:hAnsi="Arial"/>
          <w:color w:val="000000"/>
          <w:sz w:val="21"/>
        </w:rPr>
        <w:t>opinion are necessary or expedient to enable the exercise of any right of the Bank in relation to the Transaction Documents.</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pBdr/>
        <w:bidi w:val="0"/>
        <w:spacing w:before="214" w:after="0"/>
        <w:ind w:left="3725" w:right="700" w:hanging="0"/>
        <w:jc w:val="left"/>
        <w:rPr>
          <w:rFonts w:ascii="Arial" w:hAnsi="Arial"/>
          <w:b/>
          <w:sz w:val="24"/>
        </w:rPr>
      </w:pPr>
      <w:bookmarkStart w:id="513" w:name="Not_used1721"/>
      <w:bookmarkEnd w:id="513"/>
      <w:r>
        <w:rPr>
          <w:rFonts w:ascii="Arial" w:hAnsi="Arial"/>
          <w:b/>
          <w:color w:val="000000"/>
          <w:sz w:val="24"/>
        </w:rPr>
        <w:t>17.2Not used</w:t>
      </w:r>
      <w:r>
        <w:rPr>
          <w:rFonts w:ascii="Arial" w:hAnsi="Arial"/>
          <w:b/>
          <w:sz w:val="24"/>
        </w:rPr>
        <w:t xml:space="preserve"> </w:t>
      </w:r>
    </w:p>
    <w:p>
      <w:pPr>
        <w:pStyle w:val="TextBody"/>
        <w:pBdr/>
        <w:bidi w:val="0"/>
        <w:spacing w:before="214" w:after="0"/>
        <w:ind w:left="3725" w:right="700" w:hanging="0"/>
        <w:jc w:val="left"/>
        <w:rPr>
          <w:rFonts w:ascii="Arial" w:hAnsi="Arial"/>
          <w:b/>
          <w:sz w:val="24"/>
        </w:rPr>
      </w:pPr>
      <w:bookmarkStart w:id="514" w:name="General1731"/>
      <w:bookmarkEnd w:id="514"/>
      <w:r>
        <w:rPr>
          <w:rFonts w:ascii="Arial" w:hAnsi="Arial"/>
          <w:b/>
          <w:color w:val="000000"/>
          <w:sz w:val="24"/>
        </w:rPr>
        <w:t>17.3General</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(a)Any Attorney may exercise any right solely for the benefit of the Bank, even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constitutes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conflict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duty.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ratifies</w:t>
      </w:r>
      <w:r>
        <w:rPr>
          <w:rFonts w:ascii="Arial" w:hAnsi="Arial"/>
          <w:color w:val="000000"/>
          <w:sz w:val="20"/>
        </w:rPr>
        <w:t> </w:t>
      </w:r>
      <w:r>
        <w:rPr>
          <w:rFonts w:ascii="Arial" w:hAnsi="Arial"/>
          <w:color w:val="000000"/>
          <w:sz w:val="21"/>
        </w:rPr>
        <w:t>anything</w:t>
      </w:r>
      <w:r>
        <w:rPr>
          <w:rFonts w:ascii="Arial" w:hAnsi="Arial"/>
          <w:color w:val="000000"/>
          <w:sz w:val="20"/>
        </w:rPr>
        <w:t> </w:t>
      </w:r>
      <w:r>
        <w:rPr>
          <w:rFonts w:ascii="Arial" w:hAnsi="Arial"/>
          <w:color w:val="000000"/>
          <w:sz w:val="21"/>
        </w:rPr>
        <w:t>done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done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Attorney pursuant to the power of attorney.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w:t>
      </w:r>
      <w:r>
        <w:rPr>
          <w:rFonts w:ascii="Arial" w:hAnsi="Arial"/>
          <w:color w:val="000000"/>
          <w:sz w:val="20"/>
        </w:rPr>
        <w:t> </w:t>
      </w:r>
      <w:r>
        <w:rPr>
          <w:rFonts w:ascii="Arial" w:hAnsi="Arial"/>
          <w:color w:val="000000"/>
          <w:sz w:val="21"/>
        </w:rPr>
        <w:t>power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attorney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granted:</w:t>
      </w:r>
      <w:r>
        <w:rPr>
          <w:rFonts w:ascii="Arial" w:hAnsi="Arial"/>
          <w:sz w:val="20"/>
        </w:rPr>
        <w:t xml:space="preserve"> </w:t>
      </w:r>
    </w:p>
    <w:p>
      <w:pPr>
        <w:pStyle w:val="TextBody"/>
        <w:bidi w:val="0"/>
        <w:spacing w:lineRule="auto" w:line="266" w:before="148" w:after="0"/>
        <w:ind w:left="4275" w:right="1702" w:hanging="0"/>
        <w:jc w:val="both"/>
        <w:rPr>
          <w:rFonts w:ascii="Arial" w:hAnsi="Arial"/>
          <w:sz w:val="20"/>
        </w:rPr>
      </w:pPr>
      <w:r>
        <w:rPr>
          <w:rFonts w:ascii="Arial" w:hAnsi="Arial"/>
          <w:color w:val="000000"/>
          <w:sz w:val="21"/>
        </w:rPr>
        <w:t>(i)to secure the compliance by the Borrower</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 obligations to 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proprietary interests of the Bank under the Transaction Documents; and</w:t>
      </w:r>
      <w:r>
        <w:rPr>
          <w:rFonts w:ascii="Arial" w:hAnsi="Arial"/>
          <w:sz w:val="20"/>
        </w:rPr>
        <w:t xml:space="preserve"> </w:t>
      </w:r>
    </w:p>
    <w:p>
      <w:pPr>
        <w:pStyle w:val="TextBody"/>
        <w:bidi w:val="0"/>
        <w:spacing w:lineRule="auto" w:line="266" w:before="0" w:after="0"/>
        <w:ind w:left="4275" w:right="1957" w:hanging="0"/>
        <w:jc w:val="both"/>
        <w:rPr>
          <w:rFonts w:ascii="Arial" w:hAnsi="Arial"/>
          <w:sz w:val="20"/>
        </w:rPr>
      </w:pPr>
      <w:r>
        <w:rPr>
          <w:rFonts w:ascii="Arial" w:hAnsi="Arial"/>
          <w:color w:val="000000"/>
          <w:sz w:val="21"/>
        </w:rPr>
        <w:t>(ii)for</w:t>
      </w:r>
      <w:r>
        <w:rPr>
          <w:rFonts w:ascii="Arial" w:hAnsi="Arial"/>
          <w:color w:val="000000"/>
          <w:sz w:val="20"/>
        </w:rPr>
        <w:t> </w:t>
      </w:r>
      <w:r>
        <w:rPr>
          <w:rFonts w:ascii="Arial" w:hAnsi="Arial"/>
          <w:color w:val="000000"/>
          <w:sz w:val="21"/>
        </w:rPr>
        <w:t>valuable</w:t>
      </w:r>
      <w:r>
        <w:rPr>
          <w:rFonts w:ascii="Arial" w:hAnsi="Arial"/>
          <w:color w:val="000000"/>
          <w:sz w:val="20"/>
        </w:rPr>
        <w:t> </w:t>
      </w:r>
      <w:r>
        <w:rPr>
          <w:rFonts w:ascii="Arial" w:hAnsi="Arial"/>
          <w:color w:val="000000"/>
          <w:sz w:val="21"/>
        </w:rPr>
        <w:t>consideration</w:t>
      </w:r>
      <w:r>
        <w:rPr>
          <w:rFonts w:ascii="Arial" w:hAnsi="Arial"/>
          <w:color w:val="000000"/>
          <w:sz w:val="20"/>
        </w:rPr>
        <w:t> </w:t>
      </w:r>
      <w:r>
        <w:rPr>
          <w:rFonts w:ascii="Arial" w:hAnsi="Arial"/>
          <w:color w:val="000000"/>
          <w:sz w:val="21"/>
        </w:rPr>
        <w:t>(receipt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acknowledged) which</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entry</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at</w:t>
      </w:r>
      <w:r>
        <w:rPr>
          <w:rFonts w:ascii="Arial" w:hAnsi="Arial"/>
          <w:color w:val="000000"/>
          <w:sz w:val="20"/>
        </w:rPr>
        <w:t> </w:t>
      </w:r>
      <w:r>
        <w:rPr>
          <w:rFonts w:ascii="Arial" w:hAnsi="Arial"/>
          <w:color w:val="000000"/>
          <w:sz w:val="21"/>
        </w:rPr>
        <w:t>the Borrower’s request.</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8"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3230" w:right="700" w:hanging="0"/>
        <w:jc w:val="left"/>
        <w:rPr>
          <w:rFonts w:ascii="Arial" w:hAnsi="Arial"/>
          <w:sz w:val="32"/>
        </w:rPr>
      </w:pPr>
      <w:bookmarkStart w:id="515" w:name="General181"/>
      <w:bookmarkEnd w:id="515"/>
      <w:r>
        <w:rPr>
          <w:rFonts w:ascii="Arial" w:hAnsi="Arial"/>
          <w:color w:val="000000"/>
          <w:sz w:val="32"/>
        </w:rPr>
        <w:t>18General</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516" w:name="Setoff181"/>
      <w:bookmarkEnd w:id="516"/>
      <w:r>
        <w:rPr>
          <w:rFonts w:ascii="Arial" w:hAnsi="Arial"/>
          <w:b/>
          <w:color w:val="000000"/>
          <w:sz w:val="24"/>
        </w:rPr>
        <w:t>18.1Set-off</w:t>
      </w:r>
      <w:r>
        <w:rPr>
          <w:rFonts w:ascii="Arial" w:hAnsi="Arial"/>
          <w:b/>
          <w:sz w:val="24"/>
        </w:rPr>
        <w:t xml:space="preserve"> </w:t>
      </w:r>
    </w:p>
    <w:p>
      <w:pPr>
        <w:pStyle w:val="TextBody"/>
        <w:bidi w:val="0"/>
        <w:spacing w:lineRule="auto" w:line="266" w:before="93" w:after="0"/>
        <w:ind w:left="3120" w:right="1366" w:hanging="0"/>
        <w:jc w:val="left"/>
        <w:rPr>
          <w:rFonts w:ascii="Arial" w:hAnsi="Arial"/>
          <w:sz w:val="22"/>
        </w:rPr>
      </w:pPr>
      <w:r>
        <w:rPr>
          <w:rFonts w:ascii="Arial" w:hAnsi="Arial"/>
          <w:color w:val="000000"/>
          <w:sz w:val="22"/>
        </w:rPr>
        <w:t>The Bank may set off any money due for payment by the Bank to the Borrower, whatsoever, including any money in any currency held by the Bank for the account of the Borrower in any place, against any money due for payment by the Borrower to the Bank under a Transaction Document.</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17" w:name="Banks_certificate182"/>
      <w:bookmarkEnd w:id="517"/>
      <w:r>
        <w:rPr>
          <w:rFonts w:ascii="Arial" w:hAnsi="Arial"/>
          <w:b/>
          <w:color w:val="000000"/>
          <w:sz w:val="24"/>
        </w:rPr>
        <w:t>18.2Bank’s certificate</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 certificate by the Bank relating to any amount owing under a 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matter</w:t>
      </w:r>
      <w:r>
        <w:rPr>
          <w:rFonts w:ascii="Arial" w:hAnsi="Arial"/>
          <w:color w:val="000000"/>
          <w:sz w:val="20"/>
        </w:rPr>
        <w:t> </w:t>
      </w:r>
      <w:r>
        <w:rPr>
          <w:rFonts w:ascii="Arial" w:hAnsi="Arial"/>
          <w:color w:val="000000"/>
          <w:sz w:val="21"/>
        </w:rPr>
        <w:t>under 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is prima</w:t>
      </w:r>
      <w:r>
        <w:rPr>
          <w:rFonts w:ascii="Arial" w:hAnsi="Arial"/>
          <w:color w:val="000000"/>
          <w:sz w:val="20"/>
        </w:rPr>
        <w:t> </w:t>
      </w:r>
      <w:r>
        <w:rPr>
          <w:rFonts w:ascii="Arial" w:hAnsi="Arial"/>
          <w:color w:val="000000"/>
          <w:sz w:val="21"/>
        </w:rPr>
        <w:t>facie evidence</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the Borrower of the matters certified unless proven incorrect or there is a manifest error.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 Bank is not obliged to give the reasons for its determination or opinion in relation to any matter under any Transaction Document. Any certification,</w:t>
      </w:r>
      <w:r>
        <w:rPr>
          <w:rFonts w:ascii="Arial" w:hAnsi="Arial"/>
          <w:color w:val="000000"/>
          <w:sz w:val="20"/>
        </w:rPr>
        <w:t> </w:t>
      </w:r>
      <w:r>
        <w:rPr>
          <w:rFonts w:ascii="Arial" w:hAnsi="Arial"/>
          <w:color w:val="000000"/>
          <w:sz w:val="21"/>
        </w:rPr>
        <w:t>determination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contain reasonable detail as to how the amount was calculated.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(c)A determination or an opinion of an Authorised Representative of the Bank</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given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expressed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acted</w:t>
      </w:r>
      <w:r>
        <w:rPr>
          <w:rFonts w:ascii="Arial" w:hAnsi="Arial"/>
          <w:color w:val="000000"/>
          <w:sz w:val="20"/>
        </w:rPr>
        <w:t> </w:t>
      </w:r>
      <w:r>
        <w:rPr>
          <w:rFonts w:ascii="Arial" w:hAnsi="Arial"/>
          <w:color w:val="000000"/>
          <w:sz w:val="21"/>
        </w:rPr>
        <w:t>on by the Bank as being a determination or an opinion of the Bank will be deemed to be a determination or opinion of the Bank.</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18" w:name="Supervening_legislation1831"/>
      <w:bookmarkEnd w:id="518"/>
      <w:r>
        <w:rPr>
          <w:rFonts w:ascii="Arial" w:hAnsi="Arial"/>
          <w:b/>
          <w:color w:val="000000"/>
          <w:sz w:val="24"/>
        </w:rPr>
        <w:t>18.3Supervening legislation</w:t>
      </w:r>
      <w:r>
        <w:rPr>
          <w:rFonts w:ascii="Arial" w:hAnsi="Arial"/>
          <w:b/>
          <w:sz w:val="24"/>
        </w:rPr>
        <w:t xml:space="preserve"> </w:t>
      </w:r>
    </w:p>
    <w:p>
      <w:pPr>
        <w:pStyle w:val="TextBody"/>
        <w:bidi w:val="0"/>
        <w:spacing w:before="93" w:after="0"/>
        <w:ind w:left="3120" w:right="700" w:hanging="0"/>
        <w:jc w:val="left"/>
        <w:rPr>
          <w:rFonts w:ascii="Arial" w:hAnsi="Arial"/>
          <w:sz w:val="22"/>
        </w:rPr>
      </w:pPr>
      <w:r>
        <w:rPr>
          <w:rFonts w:ascii="Arial" w:hAnsi="Arial"/>
          <w:color w:val="000000"/>
          <w:sz w:val="22"/>
        </w:rPr>
        <w:t>Any present or future legislation which operates:</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(a)to</w:t>
      </w:r>
      <w:r>
        <w:rPr>
          <w:rFonts w:ascii="Arial" w:hAnsi="Arial"/>
          <w:color w:val="000000"/>
          <w:sz w:val="20"/>
        </w:rPr>
        <w:t> </w:t>
      </w:r>
      <w:r>
        <w:rPr>
          <w:rFonts w:ascii="Arial" w:hAnsi="Arial"/>
          <w:color w:val="000000"/>
          <w:sz w:val="21"/>
        </w:rPr>
        <w:t>lessen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vary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favour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in connection with the Transaction Documents; or</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(b)to</w:t>
      </w:r>
      <w:r>
        <w:rPr>
          <w:rFonts w:ascii="Arial" w:hAnsi="Arial"/>
          <w:sz w:val="20"/>
        </w:rPr>
        <w:t> </w:t>
      </w:r>
      <w:r>
        <w:rPr>
          <w:rFonts w:ascii="Arial" w:hAnsi="Arial"/>
          <w:sz w:val="21"/>
        </w:rPr>
        <w:t>postpone,</w:t>
      </w:r>
      <w:r>
        <w:rPr>
          <w:rFonts w:ascii="Arial" w:hAnsi="Arial"/>
          <w:sz w:val="20"/>
        </w:rPr>
        <w:t> </w:t>
      </w:r>
      <w:r>
        <w:rPr>
          <w:rFonts w:ascii="Arial" w:hAnsi="Arial"/>
          <w:sz w:val="21"/>
        </w:rPr>
        <w:t>stay,</w:t>
      </w:r>
      <w:r>
        <w:rPr>
          <w:rFonts w:ascii="Arial" w:hAnsi="Arial"/>
          <w:sz w:val="20"/>
        </w:rPr>
        <w:t> </w:t>
      </w:r>
      <w:r>
        <w:rPr>
          <w:rFonts w:ascii="Arial" w:hAnsi="Arial"/>
          <w:sz w:val="21"/>
        </w:rPr>
        <w:t>suspend</w:t>
      </w:r>
      <w:r>
        <w:rPr>
          <w:rFonts w:ascii="Arial" w:hAnsi="Arial"/>
          <w:sz w:val="20"/>
        </w:rPr>
        <w:t> </w:t>
      </w:r>
      <w:r>
        <w:rPr>
          <w:rFonts w:ascii="Arial" w:hAnsi="Arial"/>
          <w:sz w:val="21"/>
        </w:rPr>
        <w:t>or</w:t>
      </w:r>
      <w:r>
        <w:rPr>
          <w:rFonts w:ascii="Arial" w:hAnsi="Arial"/>
          <w:sz w:val="20"/>
        </w:rPr>
        <w:t> </w:t>
      </w:r>
      <w:r>
        <w:rPr>
          <w:rFonts w:ascii="Arial" w:hAnsi="Arial"/>
          <w:sz w:val="21"/>
        </w:rPr>
        <w:t>curtail</w:t>
      </w:r>
      <w:r>
        <w:rPr>
          <w:rFonts w:ascii="Arial" w:hAnsi="Arial"/>
          <w:sz w:val="20"/>
        </w:rPr>
        <w:t> </w:t>
      </w:r>
      <w:r>
        <w:rPr>
          <w:rFonts w:ascii="Arial" w:hAnsi="Arial"/>
          <w:sz w:val="21"/>
        </w:rPr>
        <w:t>any</w:t>
      </w:r>
      <w:r>
        <w:rPr>
          <w:rFonts w:ascii="Arial" w:hAnsi="Arial"/>
          <w:sz w:val="20"/>
        </w:rPr>
        <w:t> </w:t>
      </w:r>
      <w:r>
        <w:rPr>
          <w:rFonts w:ascii="Arial" w:hAnsi="Arial"/>
          <w:sz w:val="21"/>
        </w:rPr>
        <w:t>rights</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under</w:t>
      </w:r>
      <w:r>
        <w:rPr>
          <w:rFonts w:ascii="Arial" w:hAnsi="Arial"/>
          <w:sz w:val="20"/>
        </w:rPr>
        <w:t> </w:t>
      </w:r>
      <w:r>
        <w:rPr>
          <w:rFonts w:ascii="Arial" w:hAnsi="Arial"/>
          <w:sz w:val="21"/>
        </w:rPr>
        <w:t>the Transaction Documents,</w:t>
      </w:r>
      <w:r>
        <w:rPr>
          <w:rFonts w:ascii="Arial" w:hAnsi="Arial"/>
          <w:sz w:val="20"/>
        </w:rPr>
        <w:t xml:space="preserve"> </w:t>
      </w:r>
    </w:p>
    <w:p>
      <w:pPr>
        <w:pStyle w:val="TextBody"/>
        <w:bidi w:val="0"/>
        <w:spacing w:lineRule="auto" w:line="266" w:before="119" w:after="0"/>
        <w:ind w:left="3120" w:right="1471" w:hanging="0"/>
        <w:jc w:val="left"/>
        <w:rPr>
          <w:rFonts w:ascii="Arial" w:hAnsi="Arial"/>
          <w:sz w:val="22"/>
        </w:rPr>
      </w:pPr>
      <w:r>
        <w:rPr>
          <w:rFonts w:ascii="Arial" w:hAnsi="Arial"/>
          <w:sz w:val="22"/>
        </w:rPr>
        <w:t xml:space="preserve">is excluded except to the extent that its exclusion is prohibited or rendered ineffective by law. </w:t>
      </w:r>
    </w:p>
    <w:p>
      <w:pPr>
        <w:pStyle w:val="TextBody"/>
        <w:bidi w:val="0"/>
        <w:spacing w:before="214" w:after="0"/>
        <w:ind w:left="3725" w:right="700" w:hanging="0"/>
        <w:jc w:val="left"/>
        <w:rPr>
          <w:rFonts w:ascii="Arial" w:hAnsi="Arial"/>
          <w:b/>
          <w:sz w:val="24"/>
        </w:rPr>
      </w:pPr>
      <w:bookmarkStart w:id="519" w:name="Time_of_the_essence1841"/>
      <w:bookmarkEnd w:id="519"/>
      <w:r>
        <w:rPr>
          <w:rFonts w:ascii="Arial" w:hAnsi="Arial"/>
          <w:b/>
          <w:color w:val="000000"/>
          <w:sz w:val="24"/>
        </w:rPr>
        <w:t>18.4Time of the essence</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Time is of the essence as regards any obligations of the Borrower or any date or period determined under the Transaction Documents, and if any date or period is altered by agreement between the parties, time is of the essence as regards such altered date or period.</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20" w:name="Business_Days1851"/>
      <w:bookmarkEnd w:id="520"/>
      <w:r>
        <w:rPr>
          <w:rFonts w:ascii="Arial" w:hAnsi="Arial"/>
          <w:b/>
          <w:color w:val="000000"/>
          <w:sz w:val="24"/>
        </w:rPr>
        <w:t>18.5Business Days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anything,</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making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 done by the Borrower under a Transaction Document is not a Business Day, that thing must be done on or by the preceding Business Day.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(b)If a payment would otherwise be due on a day which is not a Business Day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immediately</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However, if this would result in the payment being due in the month after the original due day or after the Termination Date it will be due on the immediately preceding Business Day.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(c)If</w:t>
      </w:r>
      <w:r>
        <w:rPr>
          <w:rFonts w:ascii="Arial" w:hAnsi="Arial"/>
          <w:color w:val="000000"/>
          <w:sz w:val="20"/>
        </w:rPr>
        <w:t> </w:t>
      </w:r>
      <w:r>
        <w:rPr>
          <w:rFonts w:ascii="Arial" w:hAnsi="Arial"/>
          <w:color w:val="000000"/>
          <w:sz w:val="21"/>
        </w:rPr>
        <w:t>anything,</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making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done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Borrower</w:t>
      </w:r>
      <w:r>
        <w:rPr>
          <w:rFonts w:ascii="Arial" w:hAnsi="Arial"/>
          <w:color w:val="000000"/>
          <w:sz w:val="20"/>
        </w:rPr>
        <w:t> </w:t>
      </w:r>
      <w:r>
        <w:rPr>
          <w:rFonts w:ascii="Arial" w:hAnsi="Arial"/>
          <w:color w:val="000000"/>
          <w:sz w:val="21"/>
        </w:rPr>
        <w:t>on or by a particular day and it is done:</w:t>
      </w:r>
      <w:r>
        <w:rPr>
          <w:rFonts w:ascii="Arial" w:hAnsi="Arial"/>
          <w:sz w:val="20"/>
        </w:rPr>
        <w:t xml:space="preserve"> </w:t>
      </w:r>
    </w:p>
    <w:p>
      <w:pPr>
        <w:pStyle w:val="TextBody"/>
        <w:bidi w:val="0"/>
        <w:spacing w:lineRule="auto" w:line="266" w:before="0" w:after="0"/>
        <w:ind w:left="4275" w:right="1585" w:hanging="0"/>
        <w:jc w:val="left"/>
        <w:rPr>
          <w:rFonts w:ascii="Arial" w:hAnsi="Arial"/>
          <w:sz w:val="20"/>
        </w:rPr>
      </w:pPr>
      <w:r>
        <w:rPr>
          <w:rFonts w:ascii="Arial" w:hAnsi="Arial"/>
          <w:color w:val="000000"/>
          <w:sz w:val="21"/>
        </w:rPr>
        <w:t>(i)after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states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 done or,</w:t>
      </w:r>
      <w:r>
        <w:rPr>
          <w:rFonts w:ascii="Arial" w:hAnsi="Arial"/>
          <w:color w:val="000000"/>
          <w:sz w:val="20"/>
        </w:rPr>
        <w:t> </w:t>
      </w:r>
      <w:r>
        <w:rPr>
          <w:rFonts w:ascii="Arial" w:hAnsi="Arial"/>
          <w:color w:val="000000"/>
          <w:sz w:val="21"/>
        </w:rPr>
        <w:t>if the Transaction</w:t>
      </w:r>
      <w:r>
        <w:rPr>
          <w:rFonts w:ascii="Arial" w:hAnsi="Arial"/>
          <w:color w:val="000000"/>
          <w:sz w:val="20"/>
        </w:rPr>
        <w:t> </w:t>
      </w:r>
      <w:r>
        <w:rPr>
          <w:rFonts w:ascii="Arial" w:hAnsi="Arial"/>
          <w:color w:val="000000"/>
          <w:sz w:val="21"/>
        </w:rPr>
        <w:t>Document does not state</w:t>
      </w:r>
      <w:r>
        <w:rPr>
          <w:rFonts w:ascii="Arial" w:hAnsi="Arial"/>
          <w:color w:val="000000"/>
          <w:sz w:val="20"/>
        </w:rPr>
        <w:t> </w:t>
      </w:r>
      <w:r>
        <w:rPr>
          <w:rFonts w:ascii="Arial" w:hAnsi="Arial"/>
          <w:color w:val="000000"/>
          <w:sz w:val="21"/>
        </w:rPr>
        <w:t>a time, after</w:t>
      </w:r>
      <w:r>
        <w:rPr>
          <w:rFonts w:ascii="Arial" w:hAnsi="Arial"/>
          <w:sz w:val="20"/>
        </w:rPr>
        <w:t xml:space="preserve"> </w:t>
      </w:r>
    </w:p>
    <w:p>
      <w:pPr>
        <w:pStyle w:val="TextBody"/>
        <w:bidi w:val="0"/>
        <w:spacing w:before="2" w:after="0"/>
        <w:ind w:left="4275" w:right="700" w:hanging="0"/>
        <w:jc w:val="left"/>
        <w:rPr>
          <w:rFonts w:ascii="Arial" w:hAnsi="Arial"/>
          <w:sz w:val="22"/>
        </w:rPr>
      </w:pPr>
      <w:r>
        <w:rPr>
          <w:rFonts w:ascii="Arial" w:hAnsi="Arial"/>
          <w:color w:val="000000"/>
          <w:sz w:val="22"/>
        </w:rPr>
        <w:t>4.00 pm in the place where it is to be done; or</w:t>
      </w:r>
      <w:r>
        <w:rPr>
          <w:rFonts w:ascii="Arial" w:hAnsi="Arial"/>
          <w:sz w:val="22"/>
        </w:rPr>
        <w:t xml:space="preserve"> </w:t>
      </w:r>
    </w:p>
    <w:p>
      <w:pPr>
        <w:pStyle w:val="TextBody"/>
        <w:bidi w:val="0"/>
        <w:spacing w:before="147" w:after="0"/>
        <w:ind w:left="4275" w:right="700" w:hanging="0"/>
        <w:jc w:val="left"/>
        <w:rPr>
          <w:rFonts w:ascii="Arial" w:hAnsi="Arial"/>
          <w:sz w:val="20"/>
        </w:rPr>
      </w:pPr>
      <w:r>
        <w:rPr>
          <w:rFonts w:ascii="Arial" w:hAnsi="Arial"/>
          <w:color w:val="000000"/>
          <w:sz w:val="21"/>
        </w:rPr>
        <w:t>(ii)on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sz w:val="20"/>
        </w:rPr>
        <w:t xml:space="preserve"> </w:t>
      </w:r>
    </w:p>
    <w:p>
      <w:pPr>
        <w:pStyle w:val="TextBody"/>
        <w:bidi w:val="0"/>
        <w:spacing w:lineRule="auto" w:line="266" w:before="148" w:after="0"/>
        <w:ind w:left="3686" w:right="1471" w:hanging="0"/>
        <w:jc w:val="left"/>
        <w:rPr>
          <w:rFonts w:ascii="Arial" w:hAnsi="Arial"/>
          <w:sz w:val="22"/>
        </w:rPr>
      </w:pPr>
      <w:r>
        <w:rPr>
          <w:rFonts w:ascii="Arial" w:hAnsi="Arial"/>
          <w:color w:val="000000"/>
          <w:sz w:val="22"/>
        </w:rPr>
        <w:t>it will be deemed to have been done at 9.00 am on the next Business Day.</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21" w:name="Confidentiality1861"/>
      <w:bookmarkEnd w:id="521"/>
      <w:r>
        <w:rPr>
          <w:rFonts w:ascii="Arial" w:hAnsi="Arial"/>
          <w:b/>
          <w:color w:val="000000"/>
          <w:sz w:val="24"/>
        </w:rPr>
        <w:t>18.6Confidentiality</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 Bank must keep any information or document relating to 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confidential.</w:t>
      </w:r>
      <w:r>
        <w:rPr>
          <w:rFonts w:ascii="Arial" w:hAnsi="Arial"/>
          <w:color w:val="000000"/>
          <w:sz w:val="20"/>
        </w:rPr>
        <w:t> </w:t>
      </w:r>
      <w:r>
        <w:rPr>
          <w:rFonts w:ascii="Arial" w:hAnsi="Arial"/>
          <w:color w:val="000000"/>
          <w:sz w:val="21"/>
        </w:rPr>
        <w:t>However,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disclose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person any information or document relating to a Transaction Party:</w:t>
      </w:r>
      <w:r>
        <w:rPr>
          <w:rFonts w:ascii="Arial" w:hAnsi="Arial"/>
          <w:sz w:val="20"/>
        </w:rPr>
        <w:t xml:space="preserve"> </w:t>
      </w:r>
    </w:p>
    <w:p>
      <w:pPr>
        <w:pStyle w:val="TextBody"/>
        <w:bidi w:val="0"/>
        <w:spacing w:before="0" w:after="0"/>
        <w:ind w:left="4275" w:right="700" w:hanging="0"/>
        <w:jc w:val="left"/>
        <w:rPr>
          <w:rFonts w:ascii="Arial" w:hAnsi="Arial"/>
          <w:sz w:val="20"/>
        </w:rPr>
      </w:pPr>
      <w:r>
        <w:rPr>
          <w:rFonts w:ascii="Arial" w:hAnsi="Arial"/>
          <w:color w:val="000000"/>
          <w:sz w:val="21"/>
        </w:rPr>
        <w:t>(i)where</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sz w:val="20"/>
        </w:rPr>
        <w:t xml:space="preserve"> </w:t>
      </w:r>
    </w:p>
    <w:p>
      <w:pPr>
        <w:pStyle w:val="TextBody"/>
        <w:bidi w:val="0"/>
        <w:spacing w:before="148" w:after="0"/>
        <w:ind w:left="4275" w:right="700" w:hanging="0"/>
        <w:jc w:val="left"/>
        <w:rPr>
          <w:rFonts w:ascii="Arial" w:hAnsi="Arial"/>
          <w:sz w:val="20"/>
        </w:rPr>
      </w:pPr>
      <w:r>
        <w:rPr>
          <w:rFonts w:ascii="Arial" w:hAnsi="Arial"/>
          <w:color w:val="000000"/>
          <w:sz w:val="21"/>
        </w:rPr>
        <w:t>(ii)to</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sz w:val="20"/>
        </w:rPr>
        <w:t xml:space="preserve"> </w:t>
      </w:r>
    </w:p>
    <w:p>
      <w:pPr>
        <w:pStyle w:val="TextBody"/>
        <w:bidi w:val="0"/>
        <w:spacing w:lineRule="auto" w:line="266" w:before="147" w:after="0"/>
        <w:ind w:left="4275" w:right="1431" w:hanging="0"/>
        <w:jc w:val="both"/>
        <w:rPr>
          <w:rFonts w:ascii="Arial" w:hAnsi="Arial"/>
          <w:sz w:val="20"/>
        </w:rPr>
      </w:pPr>
      <w:r>
        <w:rPr>
          <w:rFonts w:ascii="Arial" w:hAnsi="Arial"/>
          <w:color w:val="000000"/>
          <w:sz w:val="21"/>
        </w:rPr>
        <w:t>(iii)to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potential transferee,</w:t>
      </w:r>
      <w:r>
        <w:rPr>
          <w:rFonts w:ascii="Arial" w:hAnsi="Arial"/>
          <w:color w:val="000000"/>
          <w:sz w:val="20"/>
        </w:rPr>
        <w:t> </w:t>
      </w:r>
      <w:r>
        <w:rPr>
          <w:rFonts w:ascii="Arial" w:hAnsi="Arial"/>
          <w:color w:val="000000"/>
          <w:sz w:val="21"/>
        </w:rPr>
        <w:t>assignee,</w:t>
      </w:r>
      <w:r>
        <w:rPr>
          <w:rFonts w:ascii="Arial" w:hAnsi="Arial"/>
          <w:color w:val="000000"/>
          <w:sz w:val="20"/>
        </w:rPr>
        <w:t> </w:t>
      </w:r>
      <w:r>
        <w:rPr>
          <w:rFonts w:ascii="Arial" w:hAnsi="Arial"/>
          <w:color w:val="000000"/>
          <w:sz w:val="21"/>
        </w:rPr>
        <w:t>participant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sub-participant</w:t>
      </w:r>
      <w:r>
        <w:rPr>
          <w:rFonts w:ascii="Arial" w:hAnsi="Arial"/>
          <w:color w:val="000000"/>
          <w:sz w:val="20"/>
        </w:rPr>
        <w:t> </w:t>
      </w:r>
      <w:r>
        <w:rPr>
          <w:rFonts w:ascii="Arial" w:hAnsi="Arial"/>
          <w:color w:val="000000"/>
          <w:sz w:val="21"/>
        </w:rPr>
        <w:t>of 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interests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 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considering</w:t>
      </w:r>
      <w:r>
        <w:rPr>
          <w:rFonts w:ascii="Arial" w:hAnsi="Arial"/>
          <w:color w:val="000000"/>
          <w:sz w:val="20"/>
        </w:rPr>
        <w:t> </w:t>
      </w:r>
      <w:r>
        <w:rPr>
          <w:rFonts w:ascii="Arial" w:hAnsi="Arial"/>
          <w:color w:val="000000"/>
          <w:sz w:val="21"/>
        </w:rPr>
        <w:t>entering</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contractual relations</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 in connection with a Transaction Document;</w:t>
      </w:r>
      <w:r>
        <w:rPr>
          <w:rFonts w:ascii="Arial" w:hAnsi="Arial"/>
          <w:sz w:val="20"/>
        </w:rPr>
        <w:t xml:space="preserve"> </w:t>
      </w:r>
    </w:p>
    <w:p>
      <w:pPr>
        <w:pStyle w:val="TextBody"/>
        <w:bidi w:val="0"/>
        <w:spacing w:lineRule="auto" w:line="266" w:before="0" w:after="0"/>
        <w:ind w:left="4275" w:right="1464" w:hanging="0"/>
        <w:jc w:val="both"/>
        <w:rPr>
          <w:rFonts w:ascii="Arial" w:hAnsi="Arial"/>
          <w:sz w:val="20"/>
        </w:rPr>
      </w:pPr>
      <w:r>
        <w:rPr>
          <w:rFonts w:ascii="Arial" w:hAnsi="Arial"/>
          <w:color w:val="000000"/>
          <w:sz w:val="21"/>
        </w:rPr>
        <w:t>(iv)to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related</w:t>
      </w:r>
      <w:r>
        <w:rPr>
          <w:rFonts w:ascii="Arial" w:hAnsi="Arial"/>
          <w:color w:val="000000"/>
          <w:sz w:val="20"/>
        </w:rPr>
        <w:t> </w:t>
      </w:r>
      <w:r>
        <w:rPr>
          <w:rFonts w:ascii="Arial" w:hAnsi="Arial"/>
          <w:color w:val="000000"/>
          <w:sz w:val="21"/>
        </w:rPr>
        <w:t>bodies</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shareholders,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employee,</w:t>
      </w:r>
      <w:r>
        <w:rPr>
          <w:rFonts w:ascii="Arial" w:hAnsi="Arial"/>
          <w:color w:val="000000"/>
          <w:sz w:val="20"/>
        </w:rPr>
        <w:t> </w:t>
      </w:r>
      <w:r>
        <w:rPr>
          <w:rFonts w:ascii="Arial" w:hAnsi="Arial"/>
          <w:color w:val="000000"/>
          <w:sz w:val="21"/>
        </w:rPr>
        <w:t>banker,</w:t>
      </w:r>
      <w:r>
        <w:rPr>
          <w:rFonts w:ascii="Arial" w:hAnsi="Arial"/>
          <w:color w:val="000000"/>
          <w:sz w:val="20"/>
        </w:rPr>
        <w:t> </w:t>
      </w:r>
      <w:r>
        <w:rPr>
          <w:rFonts w:ascii="Arial" w:hAnsi="Arial"/>
          <w:color w:val="000000"/>
          <w:sz w:val="21"/>
        </w:rPr>
        <w:t>lawyer,</w:t>
      </w:r>
      <w:r>
        <w:rPr>
          <w:rFonts w:ascii="Arial" w:hAnsi="Arial"/>
          <w:color w:val="000000"/>
          <w:sz w:val="20"/>
        </w:rPr>
        <w:t> </w:t>
      </w:r>
      <w:r>
        <w:rPr>
          <w:rFonts w:ascii="Arial" w:hAnsi="Arial"/>
          <w:color w:val="000000"/>
          <w:sz w:val="21"/>
        </w:rPr>
        <w:t>auditor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consultant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Bank, its related bodies corporate or its shareholders;</w:t>
      </w:r>
      <w:r>
        <w:rPr>
          <w:rFonts w:ascii="Arial" w:hAnsi="Arial"/>
          <w:sz w:val="20"/>
        </w:rPr>
        <w:t xml:space="preserve"> </w:t>
      </w:r>
    </w:p>
    <w:p>
      <w:pPr>
        <w:pStyle w:val="TextBody"/>
        <w:bidi w:val="0"/>
        <w:spacing w:lineRule="auto" w:line="266" w:before="119" w:after="0"/>
        <w:ind w:left="3646" w:right="700" w:hanging="567"/>
        <w:jc w:val="both"/>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275" w:right="1492" w:hanging="0"/>
        <w:jc w:val="both"/>
        <w:rPr>
          <w:rFonts w:ascii="Arial" w:hAnsi="Arial"/>
          <w:sz w:val="20"/>
        </w:rPr>
      </w:pPr>
      <w:r>
        <w:rPr>
          <w:rFonts w:ascii="Arial" w:hAnsi="Arial"/>
          <w:sz w:val="21"/>
        </w:rPr>
        <w:t>(v)to</w:t>
      </w:r>
      <w:r>
        <w:rPr>
          <w:rFonts w:ascii="Arial" w:hAnsi="Arial"/>
          <w:sz w:val="20"/>
        </w:rPr>
        <w:t> </w:t>
      </w:r>
      <w:r>
        <w:rPr>
          <w:rFonts w:ascii="Arial" w:hAnsi="Arial"/>
          <w:sz w:val="21"/>
        </w:rPr>
        <w:t>the</w:t>
      </w:r>
      <w:r>
        <w:rPr>
          <w:rFonts w:ascii="Arial" w:hAnsi="Arial"/>
          <w:sz w:val="20"/>
        </w:rPr>
        <w:t> </w:t>
      </w:r>
      <w:r>
        <w:rPr>
          <w:rFonts w:ascii="Arial" w:hAnsi="Arial"/>
          <w:sz w:val="21"/>
        </w:rPr>
        <w:t>professional</w:t>
      </w:r>
      <w:r>
        <w:rPr>
          <w:rFonts w:ascii="Arial" w:hAnsi="Arial"/>
          <w:sz w:val="20"/>
        </w:rPr>
        <w:t> </w:t>
      </w:r>
      <w:r>
        <w:rPr>
          <w:rFonts w:ascii="Arial" w:hAnsi="Arial"/>
          <w:sz w:val="21"/>
        </w:rPr>
        <w:t>advisers</w:t>
      </w:r>
      <w:r>
        <w:rPr>
          <w:rFonts w:ascii="Arial" w:hAnsi="Arial"/>
          <w:sz w:val="20"/>
        </w:rPr>
        <w:t> </w:t>
      </w:r>
      <w:r>
        <w:rPr>
          <w:rFonts w:ascii="Arial" w:hAnsi="Arial"/>
          <w:sz w:val="21"/>
        </w:rPr>
        <w:t>or</w:t>
      </w:r>
      <w:r>
        <w:rPr>
          <w:rFonts w:ascii="Arial" w:hAnsi="Arial"/>
          <w:sz w:val="20"/>
        </w:rPr>
        <w:t> </w:t>
      </w:r>
      <w:r>
        <w:rPr>
          <w:rFonts w:ascii="Arial" w:hAnsi="Arial"/>
          <w:sz w:val="21"/>
        </w:rPr>
        <w:t>consultants</w:t>
      </w:r>
      <w:r>
        <w:rPr>
          <w:rFonts w:ascii="Arial" w:hAnsi="Arial"/>
          <w:sz w:val="20"/>
        </w:rPr>
        <w:t> </w:t>
      </w:r>
      <w:r>
        <w:rPr>
          <w:rFonts w:ascii="Arial" w:hAnsi="Arial"/>
          <w:sz w:val="21"/>
        </w:rPr>
        <w:t>of</w:t>
      </w:r>
      <w:r>
        <w:rPr>
          <w:rFonts w:ascii="Arial" w:hAnsi="Arial"/>
          <w:sz w:val="20"/>
        </w:rPr>
        <w:t> </w:t>
      </w:r>
      <w:r>
        <w:rPr>
          <w:rFonts w:ascii="Arial" w:hAnsi="Arial"/>
          <w:sz w:val="21"/>
        </w:rPr>
        <w:t>any</w:t>
      </w:r>
      <w:r>
        <w:rPr>
          <w:rFonts w:ascii="Arial" w:hAnsi="Arial"/>
          <w:sz w:val="20"/>
        </w:rPr>
        <w:t> </w:t>
      </w:r>
      <w:r>
        <w:rPr>
          <w:rFonts w:ascii="Arial" w:hAnsi="Arial"/>
          <w:sz w:val="21"/>
        </w:rPr>
        <w:t>party</w:t>
      </w:r>
      <w:r>
        <w:rPr>
          <w:rFonts w:ascii="Arial" w:hAnsi="Arial"/>
          <w:sz w:val="20"/>
        </w:rPr>
        <w:t> </w:t>
      </w:r>
      <w:r>
        <w:rPr>
          <w:rFonts w:ascii="Arial" w:hAnsi="Arial"/>
          <w:sz w:val="21"/>
        </w:rPr>
        <w:t>involved</w:t>
      </w:r>
      <w:r>
        <w:rPr>
          <w:rFonts w:ascii="Arial" w:hAnsi="Arial"/>
          <w:sz w:val="20"/>
        </w:rPr>
        <w:t> </w:t>
      </w:r>
      <w:r>
        <w:rPr>
          <w:rFonts w:ascii="Arial" w:hAnsi="Arial"/>
          <w:sz w:val="21"/>
        </w:rPr>
        <w:t>in connection</w:t>
      </w:r>
      <w:r>
        <w:rPr>
          <w:rFonts w:ascii="Arial" w:hAnsi="Arial"/>
          <w:sz w:val="20"/>
        </w:rPr>
        <w:t> </w:t>
      </w:r>
      <w:r>
        <w:rPr>
          <w:rFonts w:ascii="Arial" w:hAnsi="Arial"/>
          <w:sz w:val="21"/>
        </w:rPr>
        <w:t>with</w:t>
      </w:r>
      <w:r>
        <w:rPr>
          <w:rFonts w:ascii="Arial" w:hAnsi="Arial"/>
          <w:sz w:val="20"/>
        </w:rPr>
        <w:t> </w:t>
      </w:r>
      <w:r>
        <w:rPr>
          <w:rFonts w:ascii="Arial" w:hAnsi="Arial"/>
          <w:sz w:val="21"/>
        </w:rPr>
        <w:t>any</w:t>
      </w:r>
      <w:r>
        <w:rPr>
          <w:rFonts w:ascii="Arial" w:hAnsi="Arial"/>
          <w:sz w:val="20"/>
        </w:rPr>
        <w:t> </w:t>
      </w:r>
      <w:r>
        <w:rPr>
          <w:rFonts w:ascii="Arial" w:hAnsi="Arial"/>
          <w:sz w:val="21"/>
        </w:rPr>
        <w:t>Facility</w:t>
      </w:r>
      <w:r>
        <w:rPr>
          <w:rFonts w:ascii="Arial" w:hAnsi="Arial"/>
          <w:sz w:val="20"/>
        </w:rPr>
        <w:t> </w:t>
      </w:r>
      <w:r>
        <w:rPr>
          <w:rFonts w:ascii="Arial" w:hAnsi="Arial"/>
          <w:sz w:val="21"/>
        </w:rPr>
        <w:t>who</w:t>
      </w:r>
      <w:r>
        <w:rPr>
          <w:rFonts w:ascii="Arial" w:hAnsi="Arial"/>
          <w:sz w:val="20"/>
        </w:rPr>
        <w:t> </w:t>
      </w:r>
      <w:r>
        <w:rPr>
          <w:rFonts w:ascii="Arial" w:hAnsi="Arial"/>
          <w:sz w:val="21"/>
        </w:rPr>
        <w:t>are</w:t>
      </w:r>
      <w:r>
        <w:rPr>
          <w:rFonts w:ascii="Arial" w:hAnsi="Arial"/>
          <w:sz w:val="20"/>
        </w:rPr>
        <w:t> </w:t>
      </w:r>
      <w:r>
        <w:rPr>
          <w:rFonts w:ascii="Arial" w:hAnsi="Arial"/>
          <w:sz w:val="21"/>
        </w:rPr>
        <w:t>bound</w:t>
      </w:r>
      <w:r>
        <w:rPr>
          <w:rFonts w:ascii="Arial" w:hAnsi="Arial"/>
          <w:sz w:val="20"/>
        </w:rPr>
        <w:t> </w:t>
      </w:r>
      <w:r>
        <w:rPr>
          <w:rFonts w:ascii="Arial" w:hAnsi="Arial"/>
          <w:sz w:val="21"/>
        </w:rPr>
        <w:t>by</w:t>
      </w:r>
      <w:r>
        <w:rPr>
          <w:rFonts w:ascii="Arial" w:hAnsi="Arial"/>
          <w:sz w:val="20"/>
        </w:rPr>
        <w:t> </w:t>
      </w:r>
      <w:r>
        <w:rPr>
          <w:rFonts w:ascii="Arial" w:hAnsi="Arial"/>
          <w:sz w:val="21"/>
        </w:rPr>
        <w:t>a</w:t>
      </w:r>
      <w:r>
        <w:rPr>
          <w:rFonts w:ascii="Arial" w:hAnsi="Arial"/>
          <w:sz w:val="20"/>
        </w:rPr>
        <w:t> </w:t>
      </w:r>
      <w:r>
        <w:rPr>
          <w:rFonts w:ascii="Arial" w:hAnsi="Arial"/>
          <w:sz w:val="21"/>
        </w:rPr>
        <w:t>duty</w:t>
      </w:r>
      <w:r>
        <w:rPr>
          <w:rFonts w:ascii="Arial" w:hAnsi="Arial"/>
          <w:sz w:val="20"/>
        </w:rPr>
        <w:t> </w:t>
      </w:r>
      <w:r>
        <w:rPr>
          <w:rFonts w:ascii="Arial" w:hAnsi="Arial"/>
          <w:sz w:val="21"/>
        </w:rPr>
        <w:t>or</w:t>
      </w:r>
      <w:r>
        <w:rPr>
          <w:rFonts w:ascii="Arial" w:hAnsi="Arial"/>
          <w:sz w:val="20"/>
        </w:rPr>
        <w:t> </w:t>
      </w:r>
      <w:r>
        <w:rPr>
          <w:rFonts w:ascii="Arial" w:hAnsi="Arial"/>
          <w:sz w:val="21"/>
        </w:rPr>
        <w:t>obligation of confidence;</w:t>
      </w:r>
      <w:r>
        <w:rPr>
          <w:rFonts w:ascii="Arial" w:hAnsi="Arial"/>
          <w:sz w:val="20"/>
        </w:rPr>
        <w:t xml:space="preserve"> </w:t>
      </w:r>
    </w:p>
    <w:p>
      <w:pPr>
        <w:pStyle w:val="TextBody"/>
        <w:bidi w:val="0"/>
        <w:spacing w:before="120" w:after="0"/>
        <w:ind w:left="4271" w:right="700" w:hanging="0"/>
        <w:jc w:val="both"/>
        <w:rPr>
          <w:rFonts w:ascii="Arial" w:hAnsi="Arial"/>
          <w:sz w:val="20"/>
        </w:rPr>
      </w:pPr>
      <w:r>
        <w:rPr>
          <w:rFonts w:ascii="Arial" w:hAnsi="Arial"/>
          <w:sz w:val="21"/>
        </w:rPr>
        <w:t>(vi)if</w:t>
      </w:r>
      <w:r>
        <w:rPr>
          <w:rFonts w:ascii="Arial" w:hAnsi="Arial"/>
          <w:sz w:val="20"/>
        </w:rPr>
        <w:t> </w:t>
      </w:r>
      <w:r>
        <w:rPr>
          <w:rFonts w:ascii="Arial" w:hAnsi="Arial"/>
          <w:sz w:val="21"/>
        </w:rPr>
        <w:t>required</w:t>
      </w:r>
      <w:r>
        <w:rPr>
          <w:rFonts w:ascii="Arial" w:hAnsi="Arial"/>
          <w:sz w:val="20"/>
        </w:rPr>
        <w:t> </w:t>
      </w:r>
      <w:r>
        <w:rPr>
          <w:rFonts w:ascii="Arial" w:hAnsi="Arial"/>
          <w:sz w:val="21"/>
        </w:rPr>
        <w:t>by</w:t>
      </w:r>
      <w:r>
        <w:rPr>
          <w:rFonts w:ascii="Arial" w:hAnsi="Arial"/>
          <w:sz w:val="20"/>
        </w:rPr>
        <w:t> </w:t>
      </w:r>
      <w:r>
        <w:rPr>
          <w:rFonts w:ascii="Arial" w:hAnsi="Arial"/>
          <w:sz w:val="21"/>
        </w:rPr>
        <w:t>law</w:t>
      </w:r>
      <w:r>
        <w:rPr>
          <w:rFonts w:ascii="Arial" w:hAnsi="Arial"/>
          <w:sz w:val="20"/>
        </w:rPr>
        <w:t> </w:t>
      </w:r>
      <w:r>
        <w:rPr>
          <w:rFonts w:ascii="Arial" w:hAnsi="Arial"/>
          <w:sz w:val="21"/>
        </w:rPr>
        <w:t>or</w:t>
      </w:r>
      <w:r>
        <w:rPr>
          <w:rFonts w:ascii="Arial" w:hAnsi="Arial"/>
          <w:sz w:val="20"/>
        </w:rPr>
        <w:t> </w:t>
      </w:r>
      <w:r>
        <w:rPr>
          <w:rFonts w:ascii="Arial" w:hAnsi="Arial"/>
          <w:sz w:val="21"/>
        </w:rPr>
        <w:t>by</w:t>
      </w:r>
      <w:r>
        <w:rPr>
          <w:rFonts w:ascii="Arial" w:hAnsi="Arial"/>
          <w:sz w:val="20"/>
        </w:rPr>
        <w:t> </w:t>
      </w:r>
      <w:r>
        <w:rPr>
          <w:rFonts w:ascii="Arial" w:hAnsi="Arial"/>
          <w:sz w:val="21"/>
        </w:rPr>
        <w:t>any</w:t>
      </w:r>
      <w:r>
        <w:rPr>
          <w:rFonts w:ascii="Arial" w:hAnsi="Arial"/>
          <w:sz w:val="20"/>
        </w:rPr>
        <w:t> </w:t>
      </w:r>
      <w:r>
        <w:rPr>
          <w:rFonts w:ascii="Arial" w:hAnsi="Arial"/>
          <w:sz w:val="21"/>
        </w:rPr>
        <w:t>Government</w:t>
      </w:r>
      <w:r>
        <w:rPr>
          <w:rFonts w:ascii="Arial" w:hAnsi="Arial"/>
          <w:sz w:val="20"/>
        </w:rPr>
        <w:t> </w:t>
      </w:r>
      <w:r>
        <w:rPr>
          <w:rFonts w:ascii="Arial" w:hAnsi="Arial"/>
          <w:sz w:val="21"/>
        </w:rPr>
        <w:t>Body</w:t>
      </w:r>
      <w:r>
        <w:rPr>
          <w:rFonts w:ascii="Arial" w:hAnsi="Arial"/>
          <w:sz w:val="20"/>
        </w:rPr>
        <w:t> </w:t>
      </w:r>
      <w:r>
        <w:rPr>
          <w:rFonts w:ascii="Arial" w:hAnsi="Arial"/>
          <w:sz w:val="21"/>
        </w:rPr>
        <w:t>or</w:t>
      </w:r>
      <w:r>
        <w:rPr>
          <w:rFonts w:ascii="Arial" w:hAnsi="Arial"/>
          <w:sz w:val="20"/>
        </w:rPr>
        <w:t> </w:t>
      </w:r>
      <w:r>
        <w:rPr>
          <w:rFonts w:ascii="Arial" w:hAnsi="Arial"/>
          <w:sz w:val="21"/>
        </w:rPr>
        <w:t>stock</w:t>
      </w:r>
      <w:r>
        <w:rPr>
          <w:rFonts w:ascii="Arial" w:hAnsi="Arial"/>
          <w:sz w:val="20"/>
        </w:rPr>
        <w:t> </w:t>
      </w:r>
      <w:r>
        <w:rPr>
          <w:rFonts w:ascii="Arial" w:hAnsi="Arial"/>
          <w:sz w:val="21"/>
        </w:rPr>
        <w:t>exchange;</w:t>
      </w:r>
      <w:r>
        <w:rPr>
          <w:rFonts w:ascii="Arial" w:hAnsi="Arial"/>
          <w:sz w:val="20"/>
        </w:rPr>
        <w:t xml:space="preserve"> </w:t>
      </w:r>
    </w:p>
    <w:p>
      <w:pPr>
        <w:pStyle w:val="TextBody"/>
        <w:bidi w:val="0"/>
        <w:spacing w:lineRule="auto" w:line="266" w:before="147" w:after="0"/>
        <w:ind w:left="4275" w:right="1538" w:hanging="0"/>
        <w:jc w:val="left"/>
        <w:rPr>
          <w:rFonts w:ascii="Arial" w:hAnsi="Arial"/>
          <w:sz w:val="20"/>
        </w:rPr>
      </w:pPr>
      <w:r>
        <w:rPr>
          <w:rFonts w:ascii="Arial" w:hAnsi="Arial"/>
          <w:sz w:val="21"/>
        </w:rPr>
        <w:t>(vii)in</w:t>
      </w:r>
      <w:r>
        <w:rPr>
          <w:rFonts w:ascii="Arial" w:hAnsi="Arial"/>
          <w:sz w:val="20"/>
        </w:rPr>
        <w:t> </w:t>
      </w:r>
      <w:r>
        <w:rPr>
          <w:rFonts w:ascii="Arial" w:hAnsi="Arial"/>
          <w:sz w:val="21"/>
        </w:rPr>
        <w:t>connection</w:t>
      </w:r>
      <w:r>
        <w:rPr>
          <w:rFonts w:ascii="Arial" w:hAnsi="Arial"/>
          <w:sz w:val="20"/>
        </w:rPr>
        <w:t> </w:t>
      </w:r>
      <w:r>
        <w:rPr>
          <w:rFonts w:ascii="Arial" w:hAnsi="Arial"/>
          <w:sz w:val="21"/>
        </w:rPr>
        <w:t>with</w:t>
      </w:r>
      <w:r>
        <w:rPr>
          <w:rFonts w:ascii="Arial" w:hAnsi="Arial"/>
          <w:sz w:val="20"/>
        </w:rPr>
        <w:t> </w:t>
      </w:r>
      <w:r>
        <w:rPr>
          <w:rFonts w:ascii="Arial" w:hAnsi="Arial"/>
          <w:sz w:val="21"/>
        </w:rPr>
        <w:t>any</w:t>
      </w:r>
      <w:r>
        <w:rPr>
          <w:rFonts w:ascii="Arial" w:hAnsi="Arial"/>
          <w:sz w:val="20"/>
        </w:rPr>
        <w:t> </w:t>
      </w:r>
      <w:r>
        <w:rPr>
          <w:rFonts w:ascii="Arial" w:hAnsi="Arial"/>
          <w:sz w:val="21"/>
        </w:rPr>
        <w:t>legal</w:t>
      </w:r>
      <w:r>
        <w:rPr>
          <w:rFonts w:ascii="Arial" w:hAnsi="Arial"/>
          <w:sz w:val="20"/>
        </w:rPr>
        <w:t> </w:t>
      </w:r>
      <w:r>
        <w:rPr>
          <w:rFonts w:ascii="Arial" w:hAnsi="Arial"/>
          <w:sz w:val="21"/>
        </w:rPr>
        <w:t>proceedings</w:t>
      </w:r>
      <w:r>
        <w:rPr>
          <w:rFonts w:ascii="Arial" w:hAnsi="Arial"/>
          <w:sz w:val="20"/>
        </w:rPr>
        <w:t> </w:t>
      </w:r>
      <w:r>
        <w:rPr>
          <w:rFonts w:ascii="Arial" w:hAnsi="Arial"/>
          <w:sz w:val="21"/>
        </w:rPr>
        <w:t>relating</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Transaction Document or a document delivered under or in relation to a Transaction Document;</w:t>
      </w:r>
      <w:r>
        <w:rPr>
          <w:rFonts w:ascii="Arial" w:hAnsi="Arial"/>
          <w:sz w:val="20"/>
        </w:rPr>
        <w:t xml:space="preserve"> </w:t>
      </w:r>
    </w:p>
    <w:p>
      <w:pPr>
        <w:pStyle w:val="TextBody"/>
        <w:bidi w:val="0"/>
        <w:spacing w:before="121" w:after="0"/>
        <w:ind w:left="4271" w:right="700" w:hanging="0"/>
        <w:jc w:val="left"/>
        <w:rPr>
          <w:rFonts w:ascii="Arial" w:hAnsi="Arial"/>
          <w:sz w:val="20"/>
        </w:rPr>
      </w:pPr>
      <w:r>
        <w:rPr>
          <w:rFonts w:ascii="Arial" w:hAnsi="Arial"/>
          <w:sz w:val="21"/>
        </w:rPr>
        <w:t>(viii)if</w:t>
      </w:r>
      <w:r>
        <w:rPr>
          <w:rFonts w:ascii="Arial" w:hAnsi="Arial"/>
          <w:sz w:val="20"/>
        </w:rPr>
        <w:t> </w:t>
      </w:r>
      <w:r>
        <w:rPr>
          <w:rFonts w:ascii="Arial" w:hAnsi="Arial"/>
          <w:sz w:val="21"/>
        </w:rPr>
        <w:t>the</w:t>
      </w:r>
      <w:r>
        <w:rPr>
          <w:rFonts w:ascii="Arial" w:hAnsi="Arial"/>
          <w:sz w:val="20"/>
        </w:rPr>
        <w:t> </w:t>
      </w:r>
      <w:r>
        <w:rPr>
          <w:rFonts w:ascii="Arial" w:hAnsi="Arial"/>
          <w:sz w:val="21"/>
        </w:rPr>
        <w:t>information</w:t>
      </w:r>
      <w:r>
        <w:rPr>
          <w:rFonts w:ascii="Arial" w:hAnsi="Arial"/>
          <w:sz w:val="20"/>
        </w:rPr>
        <w:t> </w:t>
      </w:r>
      <w:r>
        <w:rPr>
          <w:rFonts w:ascii="Arial" w:hAnsi="Arial"/>
          <w:sz w:val="21"/>
        </w:rPr>
        <w:t>or</w:t>
      </w:r>
      <w:r>
        <w:rPr>
          <w:rFonts w:ascii="Arial" w:hAnsi="Arial"/>
          <w:sz w:val="20"/>
        </w:rPr>
        <w:t> </w:t>
      </w:r>
      <w:r>
        <w:rPr>
          <w:rFonts w:ascii="Arial" w:hAnsi="Arial"/>
          <w:sz w:val="21"/>
        </w:rPr>
        <w:t>document</w:t>
      </w:r>
      <w:r>
        <w:rPr>
          <w:rFonts w:ascii="Arial" w:hAnsi="Arial"/>
          <w:sz w:val="20"/>
        </w:rPr>
        <w:t> </w:t>
      </w:r>
      <w:r>
        <w:rPr>
          <w:rFonts w:ascii="Arial" w:hAnsi="Arial"/>
          <w:sz w:val="21"/>
        </w:rPr>
        <w:t>is</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public</w:t>
      </w:r>
      <w:r>
        <w:rPr>
          <w:rFonts w:ascii="Arial" w:hAnsi="Arial"/>
          <w:sz w:val="20"/>
        </w:rPr>
        <w:t> </w:t>
      </w:r>
      <w:r>
        <w:rPr>
          <w:rFonts w:ascii="Arial" w:hAnsi="Arial"/>
          <w:sz w:val="21"/>
        </w:rPr>
        <w:t>domain;</w:t>
      </w:r>
      <w:r>
        <w:rPr>
          <w:rFonts w:ascii="Arial" w:hAnsi="Arial"/>
          <w:sz w:val="20"/>
        </w:rPr>
        <w:t xml:space="preserve"> </w:t>
      </w:r>
      <w:r>
        <w:rPr>
          <w:rFonts w:ascii="Arial" w:hAnsi="Arial"/>
          <w:sz w:val="21"/>
        </w:rPr>
        <w:t>or</w:t>
      </w:r>
      <w:r>
        <w:rPr>
          <w:rFonts w:ascii="Arial" w:hAnsi="Arial"/>
          <w:sz w:val="20"/>
        </w:rPr>
        <w:t xml:space="preserve"> </w:t>
      </w:r>
    </w:p>
    <w:p>
      <w:pPr>
        <w:pStyle w:val="TextBody"/>
        <w:bidi w:val="0"/>
        <w:spacing w:lineRule="auto" w:line="266" w:before="147" w:after="0"/>
        <w:ind w:left="4275" w:right="1464" w:hanging="0"/>
        <w:jc w:val="left"/>
        <w:rPr>
          <w:rFonts w:ascii="Arial" w:hAnsi="Arial"/>
          <w:sz w:val="20"/>
        </w:rPr>
      </w:pPr>
      <w:r>
        <w:rPr>
          <w:rFonts w:ascii="Arial" w:hAnsi="Arial"/>
          <w:sz w:val="21"/>
        </w:rPr>
        <w:t>(ix)with</w:t>
      </w:r>
      <w:r>
        <w:rPr>
          <w:rFonts w:ascii="Arial" w:hAnsi="Arial"/>
          <w:sz w:val="20"/>
        </w:rPr>
        <w:t> </w:t>
      </w:r>
      <w:r>
        <w:rPr>
          <w:rFonts w:ascii="Arial" w:hAnsi="Arial"/>
          <w:sz w:val="21"/>
        </w:rPr>
        <w:t>the</w:t>
      </w:r>
      <w:r>
        <w:rPr>
          <w:rFonts w:ascii="Arial" w:hAnsi="Arial"/>
          <w:sz w:val="20"/>
        </w:rPr>
        <w:t> </w:t>
      </w:r>
      <w:r>
        <w:rPr>
          <w:rFonts w:ascii="Arial" w:hAnsi="Arial"/>
          <w:sz w:val="21"/>
        </w:rPr>
        <w:t>consent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(which</w:t>
      </w:r>
      <w:r>
        <w:rPr>
          <w:rFonts w:ascii="Arial" w:hAnsi="Arial"/>
          <w:sz w:val="20"/>
        </w:rPr>
        <w:t> </w:t>
      </w:r>
      <w:r>
        <w:rPr>
          <w:rFonts w:ascii="Arial" w:hAnsi="Arial"/>
          <w:sz w:val="21"/>
        </w:rPr>
        <w:t>must</w:t>
      </w:r>
      <w:r>
        <w:rPr>
          <w:rFonts w:ascii="Arial" w:hAnsi="Arial"/>
          <w:sz w:val="20"/>
        </w:rPr>
        <w:t> </w:t>
      </w:r>
      <w:r>
        <w:rPr>
          <w:rFonts w:ascii="Arial" w:hAnsi="Arial"/>
          <w:sz w:val="21"/>
        </w:rPr>
        <w:t>not</w:t>
      </w:r>
      <w:r>
        <w:rPr>
          <w:rFonts w:ascii="Arial" w:hAnsi="Arial"/>
          <w:sz w:val="20"/>
        </w:rPr>
        <w:t> </w:t>
      </w:r>
      <w:r>
        <w:rPr>
          <w:rFonts w:ascii="Arial" w:hAnsi="Arial"/>
          <w:sz w:val="21"/>
        </w:rPr>
        <w:t>be</w:t>
      </w:r>
      <w:r>
        <w:rPr>
          <w:rFonts w:ascii="Arial" w:hAnsi="Arial"/>
          <w:sz w:val="20"/>
        </w:rPr>
        <w:t> </w:t>
      </w:r>
      <w:r>
        <w:rPr>
          <w:rFonts w:ascii="Arial" w:hAnsi="Arial"/>
          <w:sz w:val="21"/>
        </w:rPr>
        <w:t>unreasonably withheld or delayed).</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(b)Subject</w:t>
      </w:r>
      <w:r>
        <w:rPr>
          <w:rFonts w:ascii="Arial" w:hAnsi="Arial"/>
          <w:sz w:val="20"/>
        </w:rPr>
        <w:t> </w:t>
      </w:r>
      <w:r>
        <w:rPr>
          <w:rFonts w:ascii="Arial" w:hAnsi="Arial"/>
          <w:sz w:val="21"/>
        </w:rPr>
        <w:t>to</w:t>
      </w:r>
      <w:r>
        <w:rPr>
          <w:rFonts w:ascii="Arial" w:hAnsi="Arial"/>
          <w:sz w:val="20"/>
        </w:rPr>
        <w:t> </w:t>
      </w:r>
      <w:r>
        <w:rPr>
          <w:rFonts w:ascii="Arial" w:hAnsi="Arial"/>
          <w:b/>
          <w:sz w:val="21"/>
        </w:rPr>
        <w:t>paragraph</w:t>
      </w:r>
      <w:r>
        <w:rPr>
          <w:rFonts w:ascii="Arial" w:hAnsi="Arial"/>
          <w:sz w:val="20"/>
        </w:rPr>
        <w:t> </w:t>
      </w:r>
      <w:hyperlink w:anchor="_bookmark170">
        <w:r>
          <w:rPr>
            <w:rStyle w:val="InternetLink"/>
            <w:rFonts w:ascii="Arial" w:hAnsi="Arial"/>
            <w:b/>
            <w:sz w:val="21"/>
          </w:rPr>
          <w:t>(c)</w:t>
        </w:r>
      </w:hyperlink>
      <w:r>
        <w:rPr>
          <w:rFonts w:ascii="Arial" w:hAnsi="Arial"/>
          <w:sz w:val="21"/>
        </w:rPr>
        <w:t>,</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Parties</w:t>
      </w:r>
      <w:r>
        <w:rPr>
          <w:rFonts w:ascii="Arial" w:hAnsi="Arial"/>
          <w:sz w:val="20"/>
        </w:rPr>
        <w:t> </w:t>
      </w:r>
      <w:r>
        <w:rPr>
          <w:rFonts w:ascii="Arial" w:hAnsi="Arial"/>
          <w:sz w:val="21"/>
        </w:rPr>
        <w:t>shall</w:t>
      </w:r>
      <w:r>
        <w:rPr>
          <w:rFonts w:ascii="Arial" w:hAnsi="Arial"/>
          <w:sz w:val="20"/>
        </w:rPr>
        <w:t> </w:t>
      </w:r>
      <w:r>
        <w:rPr>
          <w:rFonts w:ascii="Arial" w:hAnsi="Arial"/>
          <w:sz w:val="21"/>
        </w:rPr>
        <w:t>keep</w:t>
      </w:r>
      <w:r>
        <w:rPr>
          <w:rFonts w:ascii="Arial" w:hAnsi="Arial"/>
          <w:sz w:val="20"/>
        </w:rPr>
        <w:t> </w:t>
      </w:r>
      <w:r>
        <w:rPr>
          <w:rFonts w:ascii="Arial" w:hAnsi="Arial"/>
          <w:sz w:val="21"/>
        </w:rPr>
        <w:t>confidential and not disclose to any other person the terms of the Transaction Documents.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(c)However,</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Parties</w:t>
      </w:r>
      <w:r>
        <w:rPr>
          <w:rFonts w:ascii="Arial" w:hAnsi="Arial"/>
          <w:sz w:val="20"/>
        </w:rPr>
        <w:t> </w:t>
      </w:r>
      <w:r>
        <w:rPr>
          <w:rFonts w:ascii="Arial" w:hAnsi="Arial"/>
          <w:sz w:val="21"/>
        </w:rPr>
        <w:t>and</w:t>
      </w:r>
      <w:r>
        <w:rPr>
          <w:rFonts w:ascii="Arial" w:hAnsi="Arial"/>
          <w:sz w:val="20"/>
        </w:rPr>
        <w:t> </w:t>
      </w:r>
      <w:r>
        <w:rPr>
          <w:rFonts w:ascii="Arial" w:hAnsi="Arial"/>
          <w:sz w:val="21"/>
        </w:rPr>
        <w:t>any</w:t>
      </w:r>
      <w:r>
        <w:rPr>
          <w:rFonts w:ascii="Arial" w:hAnsi="Arial"/>
          <w:sz w:val="20"/>
        </w:rPr>
        <w:t> </w:t>
      </w:r>
      <w:r>
        <w:rPr>
          <w:rFonts w:ascii="Arial" w:hAnsi="Arial"/>
          <w:sz w:val="21"/>
        </w:rPr>
        <w:t>officers</w:t>
      </w:r>
      <w:r>
        <w:rPr>
          <w:rFonts w:ascii="Arial" w:hAnsi="Arial"/>
          <w:sz w:val="20"/>
        </w:rPr>
        <w:t> </w:t>
      </w:r>
      <w:r>
        <w:rPr>
          <w:rFonts w:ascii="Arial" w:hAnsi="Arial"/>
          <w:sz w:val="21"/>
        </w:rPr>
        <w:t>or</w:t>
      </w:r>
      <w:r>
        <w:rPr>
          <w:rFonts w:ascii="Arial" w:hAnsi="Arial"/>
          <w:sz w:val="20"/>
        </w:rPr>
        <w:t> </w:t>
      </w:r>
      <w:r>
        <w:rPr>
          <w:rFonts w:ascii="Arial" w:hAnsi="Arial"/>
          <w:sz w:val="21"/>
        </w:rPr>
        <w:t>employees</w:t>
      </w:r>
      <w:r>
        <w:rPr>
          <w:rFonts w:ascii="Arial" w:hAnsi="Arial"/>
          <w:sz w:val="20"/>
        </w:rPr>
        <w:t> </w:t>
      </w:r>
      <w:r>
        <w:rPr>
          <w:rFonts w:ascii="Arial" w:hAnsi="Arial"/>
          <w:sz w:val="21"/>
        </w:rPr>
        <w:t>of</w:t>
      </w:r>
      <w:r>
        <w:rPr>
          <w:rFonts w:ascii="Arial" w:hAnsi="Arial"/>
          <w:sz w:val="20"/>
        </w:rPr>
        <w:t> </w:t>
      </w:r>
      <w:r>
        <w:rPr>
          <w:rFonts w:ascii="Arial" w:hAnsi="Arial"/>
          <w:sz w:val="21"/>
        </w:rPr>
        <w:t>each Transaction Party may disclose such information:</w:t>
      </w:r>
      <w:r>
        <w:rPr>
          <w:rFonts w:ascii="Arial" w:hAnsi="Arial"/>
          <w:sz w:val="20"/>
        </w:rPr>
        <w:t xml:space="preserve"> </w:t>
      </w:r>
    </w:p>
    <w:p>
      <w:pPr>
        <w:pStyle w:val="TextBody"/>
        <w:bidi w:val="0"/>
        <w:spacing w:before="0" w:after="0"/>
        <w:ind w:left="4275" w:right="700" w:hanging="0"/>
        <w:jc w:val="left"/>
        <w:rPr>
          <w:rFonts w:ascii="Arial" w:hAnsi="Arial"/>
          <w:sz w:val="20"/>
        </w:rPr>
      </w:pPr>
      <w:r>
        <w:rPr>
          <w:rFonts w:ascii="Arial" w:hAnsi="Arial"/>
          <w:sz w:val="21"/>
        </w:rPr>
        <w:t>(i)with</w:t>
      </w:r>
      <w:r>
        <w:rPr>
          <w:rFonts w:ascii="Arial" w:hAnsi="Arial"/>
          <w:sz w:val="20"/>
        </w:rPr>
        <w:t> </w:t>
      </w:r>
      <w:r>
        <w:rPr>
          <w:rFonts w:ascii="Arial" w:hAnsi="Arial"/>
          <w:sz w:val="21"/>
        </w:rPr>
        <w:t>the</w:t>
      </w:r>
      <w:r>
        <w:rPr>
          <w:rFonts w:ascii="Arial" w:hAnsi="Arial"/>
          <w:sz w:val="20"/>
        </w:rPr>
        <w:t> </w:t>
      </w:r>
      <w:r>
        <w:rPr>
          <w:rFonts w:ascii="Arial" w:hAnsi="Arial"/>
          <w:sz w:val="21"/>
        </w:rPr>
        <w:t>prior</w:t>
      </w:r>
      <w:r>
        <w:rPr>
          <w:rFonts w:ascii="Arial" w:hAnsi="Arial"/>
          <w:sz w:val="20"/>
        </w:rPr>
        <w:t> </w:t>
      </w:r>
      <w:r>
        <w:rPr>
          <w:rFonts w:ascii="Arial" w:hAnsi="Arial"/>
          <w:sz w:val="21"/>
        </w:rPr>
        <w:t>written</w:t>
      </w:r>
      <w:r>
        <w:rPr>
          <w:rFonts w:ascii="Arial" w:hAnsi="Arial"/>
          <w:sz w:val="20"/>
        </w:rPr>
        <w:t> </w:t>
      </w:r>
      <w:r>
        <w:rPr>
          <w:rFonts w:ascii="Arial" w:hAnsi="Arial"/>
          <w:sz w:val="21"/>
        </w:rPr>
        <w:t>consent</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xml:space="preserve"> </w:t>
      </w:r>
    </w:p>
    <w:p>
      <w:pPr>
        <w:pStyle w:val="TextBody"/>
        <w:bidi w:val="0"/>
        <w:spacing w:before="150" w:after="0"/>
        <w:ind w:left="4275" w:right="700" w:hanging="0"/>
        <w:jc w:val="left"/>
        <w:rPr>
          <w:rFonts w:ascii="Arial" w:hAnsi="Arial"/>
          <w:sz w:val="20"/>
        </w:rPr>
      </w:pPr>
      <w:r>
        <w:rPr>
          <w:rFonts w:ascii="Arial" w:hAnsi="Arial"/>
          <w:sz w:val="21"/>
        </w:rPr>
        <w:t>(ii)to</w:t>
      </w:r>
      <w:r>
        <w:rPr>
          <w:rFonts w:ascii="Arial" w:hAnsi="Arial"/>
          <w:sz w:val="20"/>
        </w:rPr>
        <w:t> </w:t>
      </w:r>
      <w:r>
        <w:rPr>
          <w:rFonts w:ascii="Arial" w:hAnsi="Arial"/>
          <w:sz w:val="21"/>
        </w:rPr>
        <w:t>the</w:t>
      </w:r>
      <w:r>
        <w:rPr>
          <w:rFonts w:ascii="Arial" w:hAnsi="Arial"/>
          <w:sz w:val="20"/>
        </w:rPr>
        <w:t> </w:t>
      </w:r>
      <w:r>
        <w:rPr>
          <w:rFonts w:ascii="Arial" w:hAnsi="Arial"/>
          <w:sz w:val="21"/>
        </w:rPr>
        <w:t>extent</w:t>
      </w:r>
      <w:r>
        <w:rPr>
          <w:rFonts w:ascii="Arial" w:hAnsi="Arial"/>
          <w:sz w:val="20"/>
        </w:rPr>
        <w:t> </w:t>
      </w:r>
      <w:r>
        <w:rPr>
          <w:rFonts w:ascii="Arial" w:hAnsi="Arial"/>
          <w:sz w:val="21"/>
        </w:rPr>
        <w:t>required</w:t>
      </w:r>
      <w:r>
        <w:rPr>
          <w:rFonts w:ascii="Arial" w:hAnsi="Arial"/>
          <w:sz w:val="20"/>
        </w:rPr>
        <w:t> </w:t>
      </w:r>
      <w:r>
        <w:rPr>
          <w:rFonts w:ascii="Arial" w:hAnsi="Arial"/>
          <w:sz w:val="21"/>
        </w:rPr>
        <w:t>by</w:t>
      </w:r>
      <w:r>
        <w:rPr>
          <w:rFonts w:ascii="Arial" w:hAnsi="Arial"/>
          <w:sz w:val="20"/>
        </w:rPr>
        <w:t> </w:t>
      </w:r>
      <w:r>
        <w:rPr>
          <w:rFonts w:ascii="Arial" w:hAnsi="Arial"/>
          <w:sz w:val="21"/>
        </w:rPr>
        <w:t>any</w:t>
      </w:r>
      <w:r>
        <w:rPr>
          <w:rFonts w:ascii="Arial" w:hAnsi="Arial"/>
          <w:sz w:val="20"/>
        </w:rPr>
        <w:t> </w:t>
      </w:r>
      <w:r>
        <w:rPr>
          <w:rFonts w:ascii="Arial" w:hAnsi="Arial"/>
          <w:sz w:val="21"/>
        </w:rPr>
        <w:t>applicable</w:t>
      </w:r>
      <w:r>
        <w:rPr>
          <w:rFonts w:ascii="Arial" w:hAnsi="Arial"/>
          <w:sz w:val="20"/>
        </w:rPr>
        <w:t> </w:t>
      </w:r>
      <w:r>
        <w:rPr>
          <w:rFonts w:ascii="Arial" w:hAnsi="Arial"/>
          <w:sz w:val="21"/>
        </w:rPr>
        <w:t>law</w:t>
      </w:r>
      <w:r>
        <w:rPr>
          <w:rFonts w:ascii="Arial" w:hAnsi="Arial"/>
          <w:sz w:val="20"/>
        </w:rPr>
        <w:t> </w:t>
      </w:r>
      <w:r>
        <w:rPr>
          <w:rFonts w:ascii="Arial" w:hAnsi="Arial"/>
          <w:sz w:val="21"/>
        </w:rPr>
        <w:t>or</w:t>
      </w:r>
      <w:r>
        <w:rPr>
          <w:rFonts w:ascii="Arial" w:hAnsi="Arial"/>
          <w:sz w:val="20"/>
        </w:rPr>
        <w:t> </w:t>
      </w:r>
      <w:r>
        <w:rPr>
          <w:rFonts w:ascii="Arial" w:hAnsi="Arial"/>
          <w:sz w:val="21"/>
        </w:rPr>
        <w:t>regulation;</w:t>
      </w:r>
      <w:r>
        <w:rPr>
          <w:rFonts w:ascii="Arial" w:hAnsi="Arial"/>
          <w:sz w:val="20"/>
        </w:rPr>
        <w:t xml:space="preserve"> </w:t>
      </w:r>
    </w:p>
    <w:p>
      <w:pPr>
        <w:pStyle w:val="TextBody"/>
        <w:bidi w:val="0"/>
        <w:spacing w:lineRule="auto" w:line="264" w:before="147" w:after="0"/>
        <w:ind w:left="4275" w:right="1514" w:hanging="0"/>
        <w:jc w:val="left"/>
        <w:rPr/>
      </w:pPr>
      <w:r>
        <w:rPr>
          <w:rFonts w:ascii="Arial" w:hAnsi="Arial"/>
          <w:sz w:val="21"/>
        </w:rPr>
        <w:t>(iii)to the extent it reasonably deems necessary in connection with any</w:t>
      </w:r>
      <w:r>
        <w:rPr>
          <w:rFonts w:ascii="Arial" w:hAnsi="Arial"/>
          <w:sz w:val="20"/>
        </w:rPr>
        <w:t> </w:t>
      </w:r>
      <w:r>
        <w:rPr>
          <w:rFonts w:ascii="Arial" w:hAnsi="Arial"/>
          <w:sz w:val="21"/>
        </w:rPr>
        <w:t>actual</w:t>
      </w:r>
      <w:r>
        <w:rPr>
          <w:rFonts w:ascii="Arial" w:hAnsi="Arial"/>
          <w:sz w:val="20"/>
        </w:rPr>
        <w:t> </w:t>
      </w:r>
      <w:r>
        <w:rPr>
          <w:rFonts w:ascii="Arial" w:hAnsi="Arial"/>
          <w:sz w:val="21"/>
        </w:rPr>
        <w:t>or</w:t>
      </w:r>
      <w:r>
        <w:rPr>
          <w:rFonts w:ascii="Arial" w:hAnsi="Arial"/>
          <w:sz w:val="20"/>
        </w:rPr>
        <w:t> </w:t>
      </w:r>
      <w:r>
        <w:rPr>
          <w:rFonts w:ascii="Arial" w:hAnsi="Arial"/>
          <w:sz w:val="21"/>
        </w:rPr>
        <w:t>contemplated</w:t>
      </w:r>
      <w:r>
        <w:rPr>
          <w:rFonts w:ascii="Arial" w:hAnsi="Arial"/>
          <w:sz w:val="20"/>
        </w:rPr>
        <w:t> </w:t>
      </w:r>
      <w:r>
        <w:rPr>
          <w:rFonts w:ascii="Arial" w:hAnsi="Arial"/>
          <w:sz w:val="21"/>
        </w:rPr>
        <w:t>proceedings</w:t>
      </w:r>
      <w:r>
        <w:rPr>
          <w:rFonts w:ascii="Arial" w:hAnsi="Arial"/>
          <w:sz w:val="20"/>
        </w:rPr>
        <w:t> </w:t>
      </w:r>
      <w:r>
        <w:rPr>
          <w:rFonts w:ascii="Arial" w:hAnsi="Arial"/>
          <w:sz w:val="21"/>
        </w:rPr>
        <w:t>or</w:t>
      </w:r>
      <w:r>
        <w:rPr>
          <w:rFonts w:ascii="Arial" w:hAnsi="Arial"/>
          <w:sz w:val="20"/>
        </w:rPr>
        <w:t> </w:t>
      </w:r>
      <w:r>
        <w:rPr>
          <w:rFonts w:ascii="Arial" w:hAnsi="Arial"/>
          <w:sz w:val="21"/>
        </w:rPr>
        <w:t>a</w:t>
      </w:r>
      <w:r>
        <w:rPr>
          <w:rFonts w:ascii="Arial" w:hAnsi="Arial"/>
          <w:sz w:val="20"/>
        </w:rPr>
        <w:t> </w:t>
      </w:r>
      <w:r>
        <w:rPr>
          <w:rFonts w:ascii="Arial" w:hAnsi="Arial"/>
          <w:sz w:val="21"/>
        </w:rPr>
        <w:t>claim</w:t>
      </w:r>
      <w:r>
        <w:rPr>
          <w:rFonts w:ascii="Arial" w:hAnsi="Arial"/>
          <w:sz w:val="20"/>
        </w:rPr>
        <w:t> </w:t>
      </w:r>
      <w:r>
        <w:rPr>
          <w:rFonts w:ascii="Arial" w:hAnsi="Arial"/>
          <w:sz w:val="21"/>
        </w:rPr>
        <w:t>with</w:t>
      </w:r>
      <w:r>
        <w:rPr>
          <w:rFonts w:ascii="Arial" w:hAnsi="Arial"/>
          <w:sz w:val="20"/>
        </w:rPr>
        <w:t> </w:t>
      </w:r>
      <w:r>
        <w:rPr>
          <w:rFonts w:ascii="Arial" w:hAnsi="Arial"/>
          <w:sz w:val="21"/>
        </w:rPr>
        <w:t>respect</w:t>
      </w:r>
      <w:r>
        <w:rPr>
          <w:rFonts w:ascii="Arial" w:hAnsi="Arial"/>
          <w:sz w:val="20"/>
        </w:rPr>
        <w:t> </w:t>
      </w:r>
      <w:r>
        <w:rPr>
          <w:rFonts w:ascii="Arial" w:hAnsi="Arial"/>
          <w:sz w:val="21"/>
        </w:rPr>
        <w:t xml:space="preserve">to this </w:t>
      </w:r>
      <w:r>
        <w:rPr>
          <w:rFonts w:ascii="Arial" w:hAnsi="Arial"/>
          <w:b/>
          <w:sz w:val="21"/>
        </w:rPr>
        <w:t xml:space="preserve">clause </w:t>
      </w:r>
      <w:hyperlink w:anchor="_bookmark168">
        <w:r>
          <w:rPr>
            <w:rStyle w:val="InternetLink"/>
            <w:rFonts w:ascii="Arial" w:hAnsi="Arial"/>
            <w:b/>
            <w:sz w:val="21"/>
          </w:rPr>
          <w:t>18.6</w:t>
        </w:r>
      </w:hyperlink>
      <w:r>
        <w:rPr>
          <w:rFonts w:ascii="Arial" w:hAnsi="Arial"/>
          <w:sz w:val="21"/>
        </w:rPr>
        <w:t>; or</w:t>
      </w:r>
      <w:r>
        <w:rPr>
          <w:rFonts w:ascii="Arial" w:hAnsi="Arial"/>
          <w:sz w:val="20"/>
        </w:rPr>
        <w:t xml:space="preserve"> </w:t>
      </w:r>
    </w:p>
    <w:p>
      <w:pPr>
        <w:pStyle w:val="TextBody"/>
        <w:bidi w:val="0"/>
        <w:spacing w:lineRule="auto" w:line="266" w:before="123" w:after="0"/>
        <w:ind w:left="4275" w:right="1678" w:hanging="0"/>
        <w:jc w:val="left"/>
        <w:rPr/>
      </w:pPr>
      <w:r>
        <w:rPr>
          <w:rFonts w:ascii="Arial" w:hAnsi="Arial"/>
          <w:sz w:val="21"/>
        </w:rPr>
        <w:t xml:space="preserve">(iv)to the extent permitted by </w:t>
      </w:r>
      <w:r>
        <w:rPr>
          <w:rFonts w:ascii="Arial" w:hAnsi="Arial"/>
          <w:b/>
          <w:sz w:val="21"/>
        </w:rPr>
        <w:t xml:space="preserve">clause </w:t>
      </w:r>
      <w:hyperlink w:anchor="_bookmark168">
        <w:r>
          <w:rPr>
            <w:rStyle w:val="InternetLink"/>
            <w:rFonts w:ascii="Arial" w:hAnsi="Arial"/>
            <w:b/>
            <w:sz w:val="21"/>
          </w:rPr>
          <w:t>18.6</w:t>
        </w:r>
      </w:hyperlink>
      <w:hyperlink w:anchor="_bookmark169">
        <w:r>
          <w:rPr>
            <w:rStyle w:val="InternetLink"/>
            <w:rFonts w:ascii="Arial" w:hAnsi="Arial"/>
            <w:b/>
            <w:sz w:val="21"/>
          </w:rPr>
          <w:t>(a)</w:t>
        </w:r>
      </w:hyperlink>
      <w:r>
        <w:rPr>
          <w:rFonts w:ascii="Arial" w:hAnsi="Arial"/>
          <w:sz w:val="20"/>
        </w:rPr>
        <w:t> </w:t>
      </w:r>
      <w:r>
        <w:rPr>
          <w:rFonts w:ascii="Arial" w:hAnsi="Arial"/>
          <w:sz w:val="21"/>
        </w:rPr>
        <w:t>(other than paragraph (iii)) as if each reference in that clause to the ‘Bank’ were to a ‘Transaction</w:t>
      </w:r>
      <w:r>
        <w:rPr>
          <w:rFonts w:ascii="Arial" w:hAnsi="Arial"/>
          <w:sz w:val="20"/>
        </w:rPr>
        <w:t> </w:t>
      </w:r>
      <w:r>
        <w:rPr>
          <w:rFonts w:ascii="Arial" w:hAnsi="Arial"/>
          <w:sz w:val="21"/>
        </w:rPr>
        <w:t>Party’</w:t>
      </w:r>
      <w:r>
        <w:rPr>
          <w:rFonts w:ascii="Arial" w:hAnsi="Arial"/>
          <w:sz w:val="20"/>
        </w:rPr>
        <w:t> </w:t>
      </w:r>
      <w:r>
        <w:rPr>
          <w:rFonts w:ascii="Arial" w:hAnsi="Arial"/>
          <w:sz w:val="21"/>
        </w:rPr>
        <w:t>and</w:t>
      </w:r>
      <w:r>
        <w:rPr>
          <w:rFonts w:ascii="Arial" w:hAnsi="Arial"/>
          <w:sz w:val="20"/>
        </w:rPr>
        <w:t> </w:t>
      </w:r>
      <w:r>
        <w:rPr>
          <w:rFonts w:ascii="Arial" w:hAnsi="Arial"/>
          <w:sz w:val="21"/>
        </w:rPr>
        <w:t>each</w:t>
      </w:r>
      <w:r>
        <w:rPr>
          <w:rFonts w:ascii="Arial" w:hAnsi="Arial"/>
          <w:sz w:val="20"/>
        </w:rPr>
        <w:t> </w:t>
      </w:r>
      <w:r>
        <w:rPr>
          <w:rFonts w:ascii="Arial" w:hAnsi="Arial"/>
          <w:sz w:val="21"/>
        </w:rPr>
        <w:t>reference</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were</w:t>
      </w:r>
      <w:r>
        <w:rPr>
          <w:rFonts w:ascii="Arial" w:hAnsi="Arial"/>
          <w:sz w:val="20"/>
        </w:rPr>
        <w:t> </w:t>
      </w:r>
      <w:r>
        <w:rPr>
          <w:rFonts w:ascii="Arial" w:hAnsi="Arial"/>
          <w:sz w:val="21"/>
        </w:rPr>
        <w:t>to the ‘Bank’; or</w:t>
      </w:r>
      <w:r>
        <w:rPr>
          <w:rFonts w:ascii="Arial" w:hAnsi="Arial"/>
          <w:sz w:val="20"/>
        </w:rPr>
        <w:t xml:space="preserve"> </w:t>
      </w:r>
    </w:p>
    <w:p>
      <w:pPr>
        <w:pStyle w:val="TextBody"/>
        <w:bidi w:val="0"/>
        <w:spacing w:lineRule="auto" w:line="266" w:before="120" w:after="0"/>
        <w:ind w:left="4275" w:right="1715" w:hanging="0"/>
        <w:jc w:val="left"/>
        <w:rPr>
          <w:rFonts w:ascii="Arial" w:hAnsi="Arial"/>
          <w:sz w:val="20"/>
        </w:rPr>
      </w:pPr>
      <w:r>
        <w:rPr>
          <w:rFonts w:ascii="Arial" w:hAnsi="Arial"/>
          <w:sz w:val="21"/>
        </w:rPr>
        <w:t>(v)Reading International, Inc. or any other holding company of a Transaction</w:t>
      </w:r>
      <w:r>
        <w:rPr>
          <w:rFonts w:ascii="Arial" w:hAnsi="Arial"/>
          <w:sz w:val="20"/>
        </w:rPr>
        <w:t> </w:t>
      </w:r>
      <w:r>
        <w:rPr>
          <w:rFonts w:ascii="Arial" w:hAnsi="Arial"/>
          <w:sz w:val="21"/>
        </w:rPr>
        <w:t>Party</w:t>
      </w:r>
      <w:r>
        <w:rPr>
          <w:rFonts w:ascii="Arial" w:hAnsi="Arial"/>
          <w:sz w:val="20"/>
        </w:rPr>
        <w:t> </w:t>
      </w:r>
      <w:r>
        <w:rPr>
          <w:rFonts w:ascii="Arial" w:hAnsi="Arial"/>
          <w:sz w:val="21"/>
        </w:rPr>
        <w:t>(who</w:t>
      </w:r>
      <w:r>
        <w:rPr>
          <w:rFonts w:ascii="Arial" w:hAnsi="Arial"/>
          <w:sz w:val="20"/>
        </w:rPr>
        <w:t> </w:t>
      </w:r>
      <w:r>
        <w:rPr>
          <w:rFonts w:ascii="Arial" w:hAnsi="Arial"/>
          <w:sz w:val="21"/>
        </w:rPr>
        <w:t>in</w:t>
      </w:r>
      <w:r>
        <w:rPr>
          <w:rFonts w:ascii="Arial" w:hAnsi="Arial"/>
          <w:sz w:val="20"/>
        </w:rPr>
        <w:t> </w:t>
      </w:r>
      <w:r>
        <w:rPr>
          <w:rFonts w:ascii="Arial" w:hAnsi="Arial"/>
          <w:sz w:val="21"/>
        </w:rPr>
        <w:t>turn</w:t>
      </w:r>
      <w:r>
        <w:rPr>
          <w:rFonts w:ascii="Arial" w:hAnsi="Arial"/>
          <w:sz w:val="20"/>
        </w:rPr>
        <w:t> </w:t>
      </w:r>
      <w:r>
        <w:rPr>
          <w:rFonts w:ascii="Arial" w:hAnsi="Arial"/>
          <w:sz w:val="21"/>
        </w:rPr>
        <w:t>may</w:t>
      </w:r>
      <w:r>
        <w:rPr>
          <w:rFonts w:ascii="Arial" w:hAnsi="Arial"/>
          <w:sz w:val="20"/>
        </w:rPr>
        <w:t> </w:t>
      </w:r>
      <w:r>
        <w:rPr>
          <w:rFonts w:ascii="Arial" w:hAnsi="Arial"/>
          <w:sz w:val="21"/>
        </w:rPr>
        <w:t>disclose</w:t>
      </w:r>
      <w:r>
        <w:rPr>
          <w:rFonts w:ascii="Arial" w:hAnsi="Arial"/>
          <w:sz w:val="20"/>
        </w:rPr>
        <w:t> </w:t>
      </w:r>
      <w:r>
        <w:rPr>
          <w:rFonts w:ascii="Arial" w:hAnsi="Arial"/>
          <w:sz w:val="21"/>
        </w:rPr>
        <w:t>such</w:t>
      </w:r>
      <w:r>
        <w:rPr>
          <w:rFonts w:ascii="Arial" w:hAnsi="Arial"/>
          <w:sz w:val="20"/>
        </w:rPr>
        <w:t> </w:t>
      </w:r>
      <w:r>
        <w:rPr>
          <w:rFonts w:ascii="Arial" w:hAnsi="Arial"/>
          <w:sz w:val="21"/>
        </w:rPr>
        <w:t>information</w:t>
      </w:r>
      <w:r>
        <w:rPr>
          <w:rFonts w:ascii="Arial" w:hAnsi="Arial"/>
          <w:sz w:val="20"/>
        </w:rPr>
        <w:t> </w:t>
      </w:r>
      <w:r>
        <w:rPr>
          <w:rFonts w:ascii="Arial" w:hAnsi="Arial"/>
          <w:sz w:val="21"/>
        </w:rPr>
        <w:t>to their officers or employees or to the extent required by any applicable law or regulation or rule of any stock exchange).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(d)The</w:t>
      </w:r>
      <w:r>
        <w:rPr>
          <w:rFonts w:ascii="Arial" w:hAnsi="Arial"/>
          <w:sz w:val="20"/>
        </w:rPr>
        <w:t> </w:t>
      </w:r>
      <w:r>
        <w:rPr>
          <w:rFonts w:ascii="Arial" w:hAnsi="Arial"/>
          <w:sz w:val="21"/>
        </w:rPr>
        <w:t>Bank</w:t>
      </w:r>
      <w:r>
        <w:rPr>
          <w:rFonts w:ascii="Arial" w:hAnsi="Arial"/>
          <w:sz w:val="20"/>
        </w:rPr>
        <w:t> </w:t>
      </w:r>
      <w:r>
        <w:rPr>
          <w:rFonts w:ascii="Arial" w:hAnsi="Arial"/>
          <w:sz w:val="21"/>
        </w:rPr>
        <w:t>and</w:t>
      </w:r>
      <w:r>
        <w:rPr>
          <w:rFonts w:ascii="Arial" w:hAnsi="Arial"/>
          <w:sz w:val="20"/>
        </w:rPr>
        <w:t> </w:t>
      </w:r>
      <w:r>
        <w:rPr>
          <w:rFonts w:ascii="Arial" w:hAnsi="Arial"/>
          <w:sz w:val="21"/>
        </w:rPr>
        <w:t>the</w:t>
      </w:r>
      <w:r>
        <w:rPr>
          <w:rFonts w:ascii="Arial" w:hAnsi="Arial"/>
          <w:sz w:val="20"/>
        </w:rPr>
        <w:t> </w:t>
      </w:r>
      <w:r>
        <w:rPr>
          <w:rFonts w:ascii="Arial" w:hAnsi="Arial"/>
          <w:sz w:val="21"/>
        </w:rPr>
        <w:t>Transaction</w:t>
      </w:r>
      <w:r>
        <w:rPr>
          <w:rFonts w:ascii="Arial" w:hAnsi="Arial"/>
          <w:sz w:val="20"/>
        </w:rPr>
        <w:t> </w:t>
      </w:r>
      <w:r>
        <w:rPr>
          <w:rFonts w:ascii="Arial" w:hAnsi="Arial"/>
          <w:sz w:val="21"/>
        </w:rPr>
        <w:t>Parties</w:t>
      </w:r>
      <w:r>
        <w:rPr>
          <w:rFonts w:ascii="Arial" w:hAnsi="Arial"/>
          <w:sz w:val="20"/>
        </w:rPr>
        <w:t> </w:t>
      </w:r>
      <w:r>
        <w:rPr>
          <w:rFonts w:ascii="Arial" w:hAnsi="Arial"/>
          <w:sz w:val="21"/>
        </w:rPr>
        <w:t>agree</w:t>
      </w:r>
      <w:r>
        <w:rPr>
          <w:rFonts w:ascii="Arial" w:hAnsi="Arial"/>
          <w:sz w:val="20"/>
        </w:rPr>
        <w:t> </w:t>
      </w:r>
      <w:r>
        <w:rPr>
          <w:rFonts w:ascii="Arial" w:hAnsi="Arial"/>
          <w:sz w:val="21"/>
        </w:rPr>
        <w:t>that:</w:t>
      </w:r>
      <w:r>
        <w:rPr>
          <w:rFonts w:ascii="Arial" w:hAnsi="Arial"/>
          <w:sz w:val="20"/>
        </w:rPr>
        <w:t xml:space="preserve"> </w:t>
      </w:r>
    </w:p>
    <w:p>
      <w:pPr>
        <w:pStyle w:val="TextBody"/>
        <w:bidi w:val="0"/>
        <w:spacing w:lineRule="auto" w:line="266" w:before="148" w:after="0"/>
        <w:ind w:left="4275" w:right="1668" w:hanging="0"/>
        <w:jc w:val="left"/>
        <w:rPr>
          <w:rFonts w:ascii="Arial" w:hAnsi="Arial"/>
          <w:sz w:val="20"/>
        </w:rPr>
      </w:pPr>
      <w:r>
        <w:rPr>
          <w:rFonts w:ascii="Arial" w:hAnsi="Arial"/>
          <w:sz w:val="21"/>
        </w:rPr>
        <w:t>(i)neither</w:t>
      </w:r>
      <w:r>
        <w:rPr>
          <w:rFonts w:ascii="Arial" w:hAnsi="Arial"/>
          <w:sz w:val="20"/>
        </w:rPr>
        <w:t> </w:t>
      </w:r>
      <w:r>
        <w:rPr>
          <w:rFonts w:ascii="Arial" w:hAnsi="Arial"/>
          <w:sz w:val="21"/>
        </w:rPr>
        <w:t>of</w:t>
      </w:r>
      <w:r>
        <w:rPr>
          <w:rFonts w:ascii="Arial" w:hAnsi="Arial"/>
          <w:sz w:val="20"/>
        </w:rPr>
        <w:t> </w:t>
      </w:r>
      <w:r>
        <w:rPr>
          <w:rFonts w:ascii="Arial" w:hAnsi="Arial"/>
          <w:sz w:val="21"/>
        </w:rPr>
        <w:t>them</w:t>
      </w:r>
      <w:r>
        <w:rPr>
          <w:rFonts w:ascii="Arial" w:hAnsi="Arial"/>
          <w:sz w:val="20"/>
        </w:rPr>
        <w:t> </w:t>
      </w:r>
      <w:r>
        <w:rPr>
          <w:rFonts w:ascii="Arial" w:hAnsi="Arial"/>
          <w:sz w:val="21"/>
        </w:rPr>
        <w:t>will</w:t>
      </w:r>
      <w:r>
        <w:rPr>
          <w:rFonts w:ascii="Arial" w:hAnsi="Arial"/>
          <w:sz w:val="20"/>
        </w:rPr>
        <w:t> </w:t>
      </w:r>
      <w:r>
        <w:rPr>
          <w:rFonts w:ascii="Arial" w:hAnsi="Arial"/>
          <w:sz w:val="21"/>
        </w:rPr>
        <w:t>disclose</w:t>
      </w:r>
      <w:r>
        <w:rPr>
          <w:rFonts w:ascii="Arial" w:hAnsi="Arial"/>
          <w:sz w:val="20"/>
        </w:rPr>
        <w:t> </w:t>
      </w:r>
      <w:r>
        <w:rPr>
          <w:rFonts w:ascii="Arial" w:hAnsi="Arial"/>
          <w:sz w:val="21"/>
        </w:rPr>
        <w:t>information</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kind</w:t>
      </w:r>
      <w:r>
        <w:rPr>
          <w:rFonts w:ascii="Arial" w:hAnsi="Arial"/>
          <w:sz w:val="20"/>
        </w:rPr>
        <w:t> </w:t>
      </w:r>
      <w:r>
        <w:rPr>
          <w:rFonts w:ascii="Arial" w:hAnsi="Arial"/>
          <w:sz w:val="21"/>
        </w:rPr>
        <w:t>mentioned</w:t>
      </w:r>
      <w:r>
        <w:rPr>
          <w:rFonts w:ascii="Arial" w:hAnsi="Arial"/>
          <w:sz w:val="20"/>
        </w:rPr>
        <w:t> </w:t>
      </w:r>
      <w:r>
        <w:rPr>
          <w:rFonts w:ascii="Arial" w:hAnsi="Arial"/>
          <w:sz w:val="21"/>
        </w:rPr>
        <w:t>in section 275(1) of the PPS Act; and</w:t>
      </w:r>
      <w:r>
        <w:rPr>
          <w:rFonts w:ascii="Arial" w:hAnsi="Arial"/>
          <w:sz w:val="20"/>
        </w:rPr>
        <w:t xml:space="preserve"> </w:t>
      </w:r>
    </w:p>
    <w:p>
      <w:pPr>
        <w:pStyle w:val="TextBody"/>
        <w:bidi w:val="0"/>
        <w:spacing w:before="0" w:after="0"/>
        <w:ind w:left="4275" w:right="700" w:hanging="0"/>
        <w:jc w:val="left"/>
        <w:rPr>
          <w:rFonts w:ascii="Arial" w:hAnsi="Arial"/>
          <w:sz w:val="20"/>
        </w:rPr>
      </w:pPr>
      <w:r>
        <w:rPr>
          <w:rFonts w:ascii="Arial" w:hAnsi="Arial"/>
          <w:sz w:val="21"/>
        </w:rPr>
        <w:t>(ii)this</w:t>
      </w:r>
      <w:r>
        <w:rPr>
          <w:rFonts w:ascii="Arial" w:hAnsi="Arial"/>
          <w:sz w:val="20"/>
        </w:rPr>
        <w:t> </w:t>
      </w:r>
      <w:r>
        <w:rPr>
          <w:rFonts w:ascii="Arial" w:hAnsi="Arial"/>
          <w:sz w:val="21"/>
        </w:rPr>
        <w:t>document</w:t>
      </w:r>
      <w:r>
        <w:rPr>
          <w:rFonts w:ascii="Arial" w:hAnsi="Arial"/>
          <w:sz w:val="20"/>
        </w:rPr>
        <w:t> </w:t>
      </w:r>
      <w:r>
        <w:rPr>
          <w:rFonts w:ascii="Arial" w:hAnsi="Arial"/>
          <w:sz w:val="21"/>
        </w:rPr>
        <w:t>does</w:t>
      </w:r>
      <w:r>
        <w:rPr>
          <w:rFonts w:ascii="Arial" w:hAnsi="Arial"/>
          <w:sz w:val="20"/>
        </w:rPr>
        <w:t> </w:t>
      </w:r>
      <w:r>
        <w:rPr>
          <w:rFonts w:ascii="Arial" w:hAnsi="Arial"/>
          <w:sz w:val="21"/>
        </w:rPr>
        <w:t>not</w:t>
      </w:r>
      <w:r>
        <w:rPr>
          <w:rFonts w:ascii="Arial" w:hAnsi="Arial"/>
          <w:sz w:val="20"/>
        </w:rPr>
        <w:t> </w:t>
      </w:r>
      <w:r>
        <w:rPr>
          <w:rFonts w:ascii="Arial" w:hAnsi="Arial"/>
          <w:sz w:val="21"/>
        </w:rPr>
        <w:t>create</w:t>
      </w:r>
      <w:r>
        <w:rPr>
          <w:rFonts w:ascii="Arial" w:hAnsi="Arial"/>
          <w:sz w:val="20"/>
        </w:rPr>
        <w:t> </w:t>
      </w:r>
      <w:r>
        <w:rPr>
          <w:rFonts w:ascii="Arial" w:hAnsi="Arial"/>
          <w:sz w:val="21"/>
        </w:rPr>
        <w:t>a</w:t>
      </w:r>
      <w:r>
        <w:rPr>
          <w:rFonts w:ascii="Arial" w:hAnsi="Arial"/>
          <w:sz w:val="20"/>
        </w:rPr>
        <w:t> </w:t>
      </w:r>
      <w:r>
        <w:rPr>
          <w:rFonts w:ascii="Arial" w:hAnsi="Arial"/>
          <w:sz w:val="21"/>
        </w:rPr>
        <w:t>Security</w:t>
      </w:r>
      <w:r>
        <w:rPr>
          <w:rFonts w:ascii="Arial" w:hAnsi="Arial"/>
          <w:sz w:val="20"/>
        </w:rPr>
        <w:t> </w:t>
      </w:r>
      <w:r>
        <w:rPr>
          <w:rFonts w:ascii="Arial" w:hAnsi="Arial"/>
          <w:sz w:val="21"/>
        </w:rPr>
        <w:t>Interest.</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(e)This</w:t>
      </w:r>
      <w:r>
        <w:rPr>
          <w:rFonts w:ascii="Arial" w:hAnsi="Arial"/>
          <w:sz w:val="20"/>
        </w:rPr>
        <w:t> </w:t>
      </w:r>
      <w:r>
        <w:rPr>
          <w:rFonts w:ascii="Arial" w:hAnsi="Arial"/>
          <w:b/>
          <w:sz w:val="21"/>
        </w:rPr>
        <w:t>clause</w:t>
      </w:r>
      <w:r>
        <w:rPr>
          <w:rFonts w:ascii="Arial" w:hAnsi="Arial"/>
          <w:sz w:val="20"/>
        </w:rPr>
        <w:t> </w:t>
      </w:r>
      <w:hyperlink w:anchor="_bookmark168">
        <w:r>
          <w:rPr>
            <w:rStyle w:val="InternetLink"/>
            <w:rFonts w:ascii="Arial" w:hAnsi="Arial"/>
            <w:b/>
            <w:sz w:val="21"/>
          </w:rPr>
          <w:t>18.6</w:t>
        </w:r>
      </w:hyperlink>
      <w:r>
        <w:rPr>
          <w:rFonts w:ascii="Arial" w:hAnsi="Arial"/>
          <w:sz w:val="20"/>
        </w:rPr>
        <w:t> </w:t>
      </w:r>
      <w:r>
        <w:rPr>
          <w:rFonts w:ascii="Arial" w:hAnsi="Arial"/>
          <w:sz w:val="21"/>
        </w:rPr>
        <w:t>survives</w:t>
      </w:r>
      <w:r>
        <w:rPr>
          <w:rFonts w:ascii="Arial" w:hAnsi="Arial"/>
          <w:sz w:val="20"/>
        </w:rPr>
        <w:t> </w:t>
      </w:r>
      <w:r>
        <w:rPr>
          <w:rFonts w:ascii="Arial" w:hAnsi="Arial"/>
          <w:sz w:val="21"/>
        </w:rPr>
        <w:t>the</w:t>
      </w:r>
      <w:r>
        <w:rPr>
          <w:rFonts w:ascii="Arial" w:hAnsi="Arial"/>
          <w:sz w:val="20"/>
        </w:rPr>
        <w:t> </w:t>
      </w:r>
      <w:r>
        <w:rPr>
          <w:rFonts w:ascii="Arial" w:hAnsi="Arial"/>
          <w:sz w:val="21"/>
        </w:rPr>
        <w:t>termination</w:t>
      </w:r>
      <w:r>
        <w:rPr>
          <w:rFonts w:ascii="Arial" w:hAnsi="Arial"/>
          <w:sz w:val="20"/>
        </w:rPr>
        <w:t> </w:t>
      </w:r>
      <w:r>
        <w:rPr>
          <w:rFonts w:ascii="Arial" w:hAnsi="Arial"/>
          <w:sz w:val="21"/>
        </w:rPr>
        <w:t>of</w:t>
      </w:r>
      <w:r>
        <w:rPr>
          <w:rFonts w:ascii="Arial" w:hAnsi="Arial"/>
          <w:sz w:val="20"/>
        </w:rPr>
        <w:t> </w:t>
      </w:r>
      <w:r>
        <w:rPr>
          <w:rFonts w:ascii="Arial" w:hAnsi="Arial"/>
          <w:sz w:val="21"/>
        </w:rPr>
        <w:t>this</w:t>
      </w:r>
      <w:r>
        <w:rPr>
          <w:rFonts w:ascii="Arial" w:hAnsi="Arial"/>
          <w:sz w:val="20"/>
        </w:rPr>
        <w:t xml:space="preserve"> </w:t>
      </w:r>
      <w:r>
        <w:rPr>
          <w:rFonts w:ascii="Arial" w:hAnsi="Arial"/>
          <w:sz w:val="21"/>
        </w:rPr>
        <w:t>document.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(f)The</w:t>
      </w:r>
      <w:r>
        <w:rPr>
          <w:rFonts w:ascii="Arial" w:hAnsi="Arial"/>
          <w:sz w:val="20"/>
        </w:rPr>
        <w:t> </w:t>
      </w:r>
      <w:r>
        <w:rPr>
          <w:rFonts w:ascii="Arial" w:hAnsi="Arial"/>
          <w:sz w:val="21"/>
        </w:rPr>
        <w:t>Bank</w:t>
      </w:r>
      <w:r>
        <w:rPr>
          <w:rFonts w:ascii="Arial" w:hAnsi="Arial"/>
          <w:sz w:val="20"/>
        </w:rPr>
        <w:t> </w:t>
      </w:r>
      <w:r>
        <w:rPr>
          <w:rFonts w:ascii="Arial" w:hAnsi="Arial"/>
          <w:sz w:val="21"/>
        </w:rPr>
        <w:t>acknowledges</w:t>
      </w:r>
      <w:r>
        <w:rPr>
          <w:rFonts w:ascii="Arial" w:hAnsi="Arial"/>
          <w:sz w:val="20"/>
        </w:rPr>
        <w:t xml:space="preserve">  </w:t>
      </w:r>
      <w:r>
        <w:rPr>
          <w:rFonts w:ascii="Arial" w:hAnsi="Arial"/>
          <w:sz w:val="21"/>
        </w:rPr>
        <w:t>that:</w:t>
      </w:r>
      <w:r>
        <w:rPr>
          <w:rFonts w:ascii="Arial" w:hAnsi="Arial"/>
          <w:sz w:val="20"/>
        </w:rPr>
        <w:t xml:space="preserve"> </w:t>
      </w:r>
    </w:p>
    <w:p>
      <w:pPr>
        <w:pStyle w:val="TextBody"/>
        <w:bidi w:val="0"/>
        <w:spacing w:lineRule="auto" w:line="266" w:before="147" w:after="0"/>
        <w:ind w:left="4275" w:right="1428" w:hanging="0"/>
        <w:jc w:val="left"/>
        <w:rPr>
          <w:rFonts w:ascii="Arial" w:hAnsi="Arial"/>
          <w:sz w:val="20"/>
        </w:rPr>
      </w:pPr>
      <w:r>
        <w:rPr>
          <w:rFonts w:ascii="Arial" w:hAnsi="Arial"/>
          <w:sz w:val="21"/>
        </w:rPr>
        <w:t>(i)information provided from time to time by the Transaction Parties to</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may</w:t>
      </w:r>
      <w:r>
        <w:rPr>
          <w:rFonts w:ascii="Arial" w:hAnsi="Arial"/>
          <w:sz w:val="20"/>
        </w:rPr>
        <w:t> </w:t>
      </w:r>
      <w:r>
        <w:rPr>
          <w:rFonts w:ascii="Arial" w:hAnsi="Arial"/>
          <w:sz w:val="21"/>
        </w:rPr>
        <w:t>constitute</w:t>
      </w:r>
      <w:r>
        <w:rPr>
          <w:rFonts w:ascii="Arial" w:hAnsi="Arial"/>
          <w:sz w:val="20"/>
        </w:rPr>
        <w:t> </w:t>
      </w:r>
      <w:r>
        <w:rPr>
          <w:rFonts w:ascii="Arial" w:hAnsi="Arial"/>
          <w:sz w:val="21"/>
        </w:rPr>
        <w:t>confidential</w:t>
      </w:r>
      <w:r>
        <w:rPr>
          <w:rFonts w:ascii="Arial" w:hAnsi="Arial"/>
          <w:sz w:val="20"/>
        </w:rPr>
        <w:t> </w:t>
      </w:r>
      <w:r>
        <w:rPr>
          <w:rFonts w:ascii="Arial" w:hAnsi="Arial"/>
          <w:sz w:val="21"/>
        </w:rPr>
        <w:t>non-public</w:t>
      </w:r>
      <w:r>
        <w:rPr>
          <w:rFonts w:ascii="Arial" w:hAnsi="Arial"/>
          <w:sz w:val="20"/>
        </w:rPr>
        <w:t> </w:t>
      </w:r>
      <w:r>
        <w:rPr>
          <w:rFonts w:ascii="Arial" w:hAnsi="Arial"/>
          <w:sz w:val="21"/>
        </w:rPr>
        <w:t>information;</w:t>
      </w:r>
      <w:r>
        <w:rPr>
          <w:rFonts w:ascii="Arial" w:hAnsi="Arial"/>
          <w:sz w:val="20"/>
        </w:rPr>
        <w:t> </w:t>
      </w:r>
      <w:r>
        <w:rPr>
          <w:rFonts w:ascii="Arial" w:hAnsi="Arial"/>
          <w:sz w:val="21"/>
        </w:rPr>
        <w:t>and</w:t>
      </w:r>
      <w:r>
        <w:rPr>
          <w:rFonts w:ascii="Arial" w:hAnsi="Arial"/>
          <w:sz w:val="20"/>
        </w:rPr>
        <w:t xml:space="preserve"> </w:t>
      </w:r>
    </w:p>
    <w:p>
      <w:pPr>
        <w:pStyle w:val="TextBody"/>
        <w:bidi w:val="0"/>
        <w:spacing w:lineRule="auto" w:line="266" w:before="120" w:after="0"/>
        <w:ind w:left="4275" w:right="1549" w:hanging="0"/>
        <w:jc w:val="left"/>
        <w:rPr/>
      </w:pPr>
      <w:r>
        <w:rPr>
          <w:rFonts w:ascii="Arial" w:hAnsi="Arial"/>
          <w:sz w:val="21"/>
        </w:rPr>
        <w:t>(ii)trading</w:t>
      </w:r>
      <w:r>
        <w:rPr>
          <w:rFonts w:ascii="Arial" w:hAnsi="Arial"/>
          <w:sz w:val="20"/>
        </w:rPr>
        <w:t> </w:t>
      </w:r>
      <w:r>
        <w:rPr>
          <w:rFonts w:ascii="Arial" w:hAnsi="Arial"/>
          <w:sz w:val="21"/>
        </w:rPr>
        <w:t>in</w:t>
      </w:r>
      <w:r>
        <w:rPr>
          <w:rFonts w:ascii="Arial" w:hAnsi="Arial"/>
          <w:sz w:val="20"/>
        </w:rPr>
        <w:t> </w:t>
      </w:r>
      <w:r>
        <w:rPr>
          <w:rFonts w:ascii="Arial" w:hAnsi="Arial"/>
          <w:sz w:val="21"/>
        </w:rPr>
        <w:t>marketable</w:t>
      </w:r>
      <w:r>
        <w:rPr>
          <w:rFonts w:ascii="Arial" w:hAnsi="Arial"/>
          <w:sz w:val="20"/>
        </w:rPr>
        <w:t> </w:t>
      </w:r>
      <w:r>
        <w:rPr>
          <w:rFonts w:ascii="Arial" w:hAnsi="Arial"/>
          <w:sz w:val="21"/>
        </w:rPr>
        <w:t>securities</w:t>
      </w:r>
      <w:r>
        <w:rPr>
          <w:rFonts w:ascii="Arial" w:hAnsi="Arial"/>
          <w:sz w:val="20"/>
        </w:rPr>
        <w:t> </w:t>
      </w:r>
      <w:r>
        <w:rPr>
          <w:rFonts w:ascii="Arial" w:hAnsi="Arial"/>
          <w:sz w:val="21"/>
        </w:rPr>
        <w:t>of</w:t>
      </w:r>
      <w:r>
        <w:rPr>
          <w:rFonts w:ascii="Arial" w:hAnsi="Arial"/>
          <w:sz w:val="20"/>
        </w:rPr>
        <w:t> </w:t>
      </w:r>
      <w:r>
        <w:rPr>
          <w:rFonts w:ascii="Arial" w:hAnsi="Arial"/>
          <w:sz w:val="21"/>
        </w:rPr>
        <w:t>Reading</w:t>
      </w:r>
      <w:r>
        <w:rPr>
          <w:rFonts w:ascii="Arial" w:hAnsi="Arial"/>
          <w:sz w:val="20"/>
        </w:rPr>
        <w:t> </w:t>
      </w:r>
      <w:r>
        <w:rPr>
          <w:rFonts w:ascii="Arial" w:hAnsi="Arial"/>
          <w:sz w:val="21"/>
        </w:rPr>
        <w:t>International</w:t>
      </w:r>
      <w:r>
        <w:rPr>
          <w:rFonts w:ascii="Arial" w:hAnsi="Arial"/>
          <w:sz w:val="20"/>
        </w:rPr>
        <w:t> </w:t>
      </w:r>
      <w:r>
        <w:rPr>
          <w:rFonts w:ascii="Arial" w:hAnsi="Arial"/>
          <w:sz w:val="21"/>
        </w:rPr>
        <w:t>Inc</w:t>
      </w:r>
      <w:r>
        <w:rPr>
          <w:rFonts w:ascii="Arial" w:hAnsi="Arial"/>
          <w:sz w:val="20"/>
        </w:rPr>
        <w:t> </w:t>
      </w:r>
      <w:r>
        <w:rPr>
          <w:rFonts w:ascii="Arial" w:hAnsi="Arial"/>
          <w:sz w:val="21"/>
        </w:rPr>
        <w:t xml:space="preserve">while in possession of the information referred to </w:t>
      </w:r>
      <w:r>
        <w:rPr>
          <w:rFonts w:ascii="Arial" w:hAnsi="Arial"/>
          <w:b/>
          <w:sz w:val="21"/>
        </w:rPr>
        <w:t xml:space="preserve">clause </w:t>
      </w:r>
      <w:hyperlink w:anchor="_bookmark168">
        <w:r>
          <w:rPr>
            <w:rStyle w:val="InternetLink"/>
            <w:rFonts w:ascii="Arial" w:hAnsi="Arial"/>
            <w:b/>
            <w:sz w:val="21"/>
          </w:rPr>
          <w:t>18.6</w:t>
        </w:r>
      </w:hyperlink>
      <w:hyperlink w:anchor="_bookmark171">
        <w:r>
          <w:rPr>
            <w:rStyle w:val="InternetLink"/>
            <w:rFonts w:ascii="Arial" w:hAnsi="Arial"/>
            <w:b/>
            <w:sz w:val="21"/>
          </w:rPr>
          <w:t>(f)</w:t>
        </w:r>
      </w:hyperlink>
      <w:hyperlink w:anchor="_bookmark172">
        <w:r>
          <w:rPr>
            <w:rStyle w:val="InternetLink"/>
            <w:rFonts w:ascii="Arial" w:hAnsi="Arial"/>
            <w:b/>
            <w:sz w:val="21"/>
          </w:rPr>
          <w:t>(i)</w:t>
        </w:r>
      </w:hyperlink>
      <w:r>
        <w:rPr>
          <w:rFonts w:ascii="Arial" w:hAnsi="Arial"/>
          <w:sz w:val="20"/>
        </w:rPr>
        <w:t> </w:t>
      </w:r>
      <w:r>
        <w:rPr>
          <w:rFonts w:ascii="Arial" w:hAnsi="Arial"/>
          <w:sz w:val="21"/>
        </w:rPr>
        <w:t>will violate United States' federal securities laws.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(g)The</w:t>
      </w:r>
      <w:r>
        <w:rPr>
          <w:rFonts w:ascii="Arial" w:hAnsi="Arial"/>
          <w:sz w:val="20"/>
        </w:rPr>
        <w:t> </w:t>
      </w:r>
      <w:r>
        <w:rPr>
          <w:rFonts w:ascii="Arial" w:hAnsi="Arial"/>
          <w:sz w:val="21"/>
        </w:rPr>
        <w:t>Bank</w:t>
      </w:r>
      <w:r>
        <w:rPr>
          <w:rFonts w:ascii="Arial" w:hAnsi="Arial"/>
          <w:sz w:val="20"/>
        </w:rPr>
        <w:t> </w:t>
      </w:r>
      <w:r>
        <w:rPr>
          <w:rFonts w:ascii="Arial" w:hAnsi="Arial"/>
          <w:sz w:val="21"/>
        </w:rPr>
        <w:t>agrees</w:t>
      </w:r>
      <w:r>
        <w:rPr>
          <w:rFonts w:ascii="Arial" w:hAnsi="Arial"/>
          <w:sz w:val="20"/>
        </w:rPr>
        <w:t> </w:t>
      </w:r>
      <w:r>
        <w:rPr>
          <w:rFonts w:ascii="Arial" w:hAnsi="Arial"/>
          <w:sz w:val="21"/>
        </w:rPr>
        <w:t>to:</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4" w:before="0" w:after="0"/>
        <w:ind w:left="4275" w:right="1631" w:hanging="0"/>
        <w:jc w:val="left"/>
        <w:rPr/>
      </w:pPr>
      <w:r>
        <w:rPr>
          <w:rFonts w:ascii="Arial" w:hAnsi="Arial"/>
          <w:sz w:val="21"/>
        </w:rPr>
        <w:t>(i)take</w:t>
      </w:r>
      <w:r>
        <w:rPr>
          <w:rFonts w:ascii="Arial" w:hAnsi="Arial"/>
          <w:sz w:val="20"/>
        </w:rPr>
        <w:t> </w:t>
      </w:r>
      <w:r>
        <w:rPr>
          <w:rFonts w:ascii="Arial" w:hAnsi="Arial"/>
          <w:sz w:val="21"/>
        </w:rPr>
        <w:t>reasonable</w:t>
      </w:r>
      <w:r>
        <w:rPr>
          <w:rFonts w:ascii="Arial" w:hAnsi="Arial"/>
          <w:sz w:val="20"/>
        </w:rPr>
        <w:t> </w:t>
      </w:r>
      <w:r>
        <w:rPr>
          <w:rFonts w:ascii="Arial" w:hAnsi="Arial"/>
          <w:sz w:val="21"/>
        </w:rPr>
        <w:t>precautions</w:t>
      </w:r>
      <w:r>
        <w:rPr>
          <w:rFonts w:ascii="Arial" w:hAnsi="Arial"/>
          <w:sz w:val="20"/>
        </w:rPr>
        <w:t> </w:t>
      </w:r>
      <w:r>
        <w:rPr>
          <w:rFonts w:ascii="Arial" w:hAnsi="Arial"/>
          <w:sz w:val="21"/>
        </w:rPr>
        <w:t>to</w:t>
      </w:r>
      <w:r>
        <w:rPr>
          <w:rFonts w:ascii="Arial" w:hAnsi="Arial"/>
          <w:sz w:val="20"/>
        </w:rPr>
        <w:t> </w:t>
      </w:r>
      <w:r>
        <w:rPr>
          <w:rFonts w:ascii="Arial" w:hAnsi="Arial"/>
          <w:sz w:val="21"/>
        </w:rPr>
        <w:t>maintain</w:t>
      </w:r>
      <w:r>
        <w:rPr>
          <w:rFonts w:ascii="Arial" w:hAnsi="Arial"/>
          <w:sz w:val="20"/>
        </w:rPr>
        <w:t> </w:t>
      </w:r>
      <w:r>
        <w:rPr>
          <w:rFonts w:ascii="Arial" w:hAnsi="Arial"/>
          <w:sz w:val="21"/>
        </w:rPr>
        <w:t>the</w:t>
      </w:r>
      <w:r>
        <w:rPr>
          <w:rFonts w:ascii="Arial" w:hAnsi="Arial"/>
          <w:sz w:val="20"/>
        </w:rPr>
        <w:t> </w:t>
      </w:r>
      <w:r>
        <w:rPr>
          <w:rFonts w:ascii="Arial" w:hAnsi="Arial"/>
          <w:sz w:val="21"/>
        </w:rPr>
        <w:t>confidentiality</w:t>
      </w:r>
      <w:r>
        <w:rPr>
          <w:rFonts w:ascii="Arial" w:hAnsi="Arial"/>
          <w:sz w:val="20"/>
        </w:rPr>
        <w:t> </w:t>
      </w:r>
      <w:r>
        <w:rPr>
          <w:rFonts w:ascii="Arial" w:hAnsi="Arial"/>
          <w:sz w:val="21"/>
        </w:rPr>
        <w:t>of</w:t>
      </w:r>
      <w:r>
        <w:rPr>
          <w:rFonts w:ascii="Arial" w:hAnsi="Arial"/>
          <w:sz w:val="20"/>
        </w:rPr>
        <w:t> </w:t>
      </w:r>
      <w:r>
        <w:rPr>
          <w:rFonts w:ascii="Arial" w:hAnsi="Arial"/>
          <w:sz w:val="21"/>
        </w:rPr>
        <w:t xml:space="preserve">the information referred to in </w:t>
      </w:r>
      <w:r>
        <w:rPr>
          <w:rFonts w:ascii="Arial" w:hAnsi="Arial"/>
          <w:b/>
          <w:sz w:val="21"/>
        </w:rPr>
        <w:t xml:space="preserve">clause </w:t>
      </w:r>
      <w:hyperlink w:anchor="_bookmark168">
        <w:r>
          <w:rPr>
            <w:rStyle w:val="InternetLink"/>
            <w:rFonts w:ascii="Arial" w:hAnsi="Arial"/>
            <w:b/>
            <w:sz w:val="21"/>
          </w:rPr>
          <w:t>18.6</w:t>
        </w:r>
      </w:hyperlink>
      <w:hyperlink w:anchor="_bookmark171">
        <w:r>
          <w:rPr>
            <w:rStyle w:val="InternetLink"/>
            <w:rFonts w:ascii="Arial" w:hAnsi="Arial"/>
            <w:b/>
            <w:sz w:val="21"/>
          </w:rPr>
          <w:t>(f)</w:t>
        </w:r>
      </w:hyperlink>
      <w:hyperlink w:anchor="_bookmark172">
        <w:r>
          <w:rPr>
            <w:rStyle w:val="InternetLink"/>
            <w:rFonts w:ascii="Arial" w:hAnsi="Arial"/>
            <w:b/>
            <w:sz w:val="21"/>
          </w:rPr>
          <w:t>(i)</w:t>
        </w:r>
      </w:hyperlink>
      <w:hyperlink w:anchor="_bookmark172">
        <w:r>
          <w:rPr>
            <w:rStyle w:val="InternetLink"/>
            <w:rFonts w:ascii="Arial" w:hAnsi="Arial"/>
            <w:sz w:val="21"/>
          </w:rPr>
          <w:t>;</w:t>
        </w:r>
      </w:hyperlink>
      <w:r>
        <w:rPr>
          <w:rFonts w:ascii="Arial" w:hAnsi="Arial"/>
          <w:sz w:val="20"/>
        </w:rPr>
        <w:t xml:space="preserve"> </w:t>
      </w:r>
      <w:r>
        <w:rPr>
          <w:rFonts w:ascii="Arial" w:hAnsi="Arial"/>
          <w:sz w:val="21"/>
        </w:rPr>
        <w:t>and</w:t>
      </w:r>
      <w:r>
        <w:rPr>
          <w:rFonts w:ascii="Arial" w:hAnsi="Arial"/>
          <w:sz w:val="20"/>
        </w:rPr>
        <w:t xml:space="preserve"> </w:t>
      </w:r>
    </w:p>
    <w:p>
      <w:pPr>
        <w:pStyle w:val="TextBody"/>
        <w:bidi w:val="0"/>
        <w:spacing w:lineRule="auto" w:line="266" w:before="124" w:after="0"/>
        <w:ind w:left="4275" w:right="1652" w:hanging="0"/>
        <w:jc w:val="left"/>
        <w:rPr/>
      </w:pPr>
      <w:r>
        <w:rPr>
          <w:rFonts w:ascii="Arial" w:hAnsi="Arial"/>
          <w:sz w:val="21"/>
        </w:rPr>
        <w:t xml:space="preserve">(ii)advise any party to whom the information referred to in </w:t>
      </w:r>
      <w:r>
        <w:rPr>
          <w:rFonts w:ascii="Arial" w:hAnsi="Arial"/>
          <w:b/>
          <w:sz w:val="21"/>
        </w:rPr>
        <w:t xml:space="preserve">clause </w:t>
      </w:r>
      <w:hyperlink w:anchor="_bookmark168">
        <w:r>
          <w:rPr>
            <w:rStyle w:val="InternetLink"/>
            <w:rFonts w:ascii="Arial" w:hAnsi="Arial"/>
            <w:b/>
            <w:sz w:val="21"/>
          </w:rPr>
          <w:t>18.6</w:t>
        </w:r>
      </w:hyperlink>
      <w:hyperlink w:anchor="_bookmark171">
        <w:r>
          <w:rPr>
            <w:rStyle w:val="InternetLink"/>
            <w:rFonts w:ascii="Arial" w:hAnsi="Arial"/>
            <w:b/>
            <w:sz w:val="21"/>
          </w:rPr>
          <w:t>(f)</w:t>
        </w:r>
      </w:hyperlink>
      <w:hyperlink w:anchor="_bookmark172">
        <w:r>
          <w:rPr>
            <w:rStyle w:val="InternetLink"/>
            <w:rFonts w:ascii="Arial" w:hAnsi="Arial"/>
            <w:b/>
            <w:sz w:val="21"/>
          </w:rPr>
          <w:t>(i)</w:t>
        </w:r>
      </w:hyperlink>
      <w:r>
        <w:rPr>
          <w:rFonts w:ascii="Arial" w:hAnsi="Arial"/>
          <w:sz w:val="20"/>
        </w:rPr>
        <w:t> </w:t>
      </w:r>
      <w:r>
        <w:rPr>
          <w:rFonts w:ascii="Arial" w:hAnsi="Arial"/>
          <w:sz w:val="21"/>
        </w:rPr>
        <w:t>is disclosed that it may not trade in the marketable securities</w:t>
      </w:r>
      <w:r>
        <w:rPr>
          <w:rFonts w:ascii="Arial" w:hAnsi="Arial"/>
          <w:sz w:val="20"/>
        </w:rPr>
        <w:t> </w:t>
      </w:r>
      <w:r>
        <w:rPr>
          <w:rFonts w:ascii="Arial" w:hAnsi="Arial"/>
          <w:sz w:val="21"/>
        </w:rPr>
        <w:t>of</w:t>
      </w:r>
      <w:r>
        <w:rPr>
          <w:rFonts w:ascii="Arial" w:hAnsi="Arial"/>
          <w:sz w:val="20"/>
        </w:rPr>
        <w:t> </w:t>
      </w:r>
      <w:r>
        <w:rPr>
          <w:rFonts w:ascii="Arial" w:hAnsi="Arial"/>
          <w:sz w:val="21"/>
        </w:rPr>
        <w:t>Reading</w:t>
      </w:r>
      <w:r>
        <w:rPr>
          <w:rFonts w:ascii="Arial" w:hAnsi="Arial"/>
          <w:sz w:val="20"/>
        </w:rPr>
        <w:t> </w:t>
      </w:r>
      <w:r>
        <w:rPr>
          <w:rFonts w:ascii="Arial" w:hAnsi="Arial"/>
          <w:sz w:val="21"/>
        </w:rPr>
        <w:t>International</w:t>
      </w:r>
      <w:r>
        <w:rPr>
          <w:rFonts w:ascii="Arial" w:hAnsi="Arial"/>
          <w:sz w:val="20"/>
        </w:rPr>
        <w:t> </w:t>
      </w:r>
      <w:r>
        <w:rPr>
          <w:rFonts w:ascii="Arial" w:hAnsi="Arial"/>
          <w:sz w:val="21"/>
        </w:rPr>
        <w:t>Inc</w:t>
      </w:r>
      <w:r>
        <w:rPr>
          <w:rFonts w:ascii="Arial" w:hAnsi="Arial"/>
          <w:sz w:val="20"/>
        </w:rPr>
        <w:t> </w:t>
      </w:r>
      <w:r>
        <w:rPr>
          <w:rFonts w:ascii="Arial" w:hAnsi="Arial"/>
          <w:sz w:val="21"/>
        </w:rPr>
        <w:t>while</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possession</w:t>
      </w:r>
      <w:r>
        <w:rPr>
          <w:rFonts w:ascii="Arial" w:hAnsi="Arial"/>
          <w:sz w:val="20"/>
        </w:rPr>
        <w:t> </w:t>
      </w:r>
      <w:r>
        <w:rPr>
          <w:rFonts w:ascii="Arial" w:hAnsi="Arial"/>
          <w:sz w:val="21"/>
        </w:rPr>
        <w:t>of such information.</w:t>
      </w:r>
      <w:r>
        <w:rPr>
          <w:rFonts w:ascii="Arial" w:hAnsi="Arial"/>
          <w:sz w:val="20"/>
        </w:rPr>
        <w:t xml:space="preserve"> </w:t>
      </w:r>
    </w:p>
    <w:p>
      <w:pPr>
        <w:pStyle w:val="TextBody"/>
        <w:bidi w:val="0"/>
        <w:spacing w:lineRule="auto" w:line="266" w:before="118" w:after="0"/>
        <w:ind w:left="3687" w:right="854" w:hanging="0"/>
        <w:jc w:val="left"/>
        <w:rPr/>
      </w:pPr>
      <w:r>
        <w:rPr>
          <w:rFonts w:ascii="Arial" w:hAnsi="Arial"/>
          <w:sz w:val="21"/>
        </w:rPr>
        <w:t xml:space="preserve">(h)This </w:t>
      </w:r>
      <w:r>
        <w:rPr>
          <w:rFonts w:ascii="Arial" w:hAnsi="Arial"/>
          <w:b/>
          <w:sz w:val="21"/>
        </w:rPr>
        <w:t xml:space="preserve">clause </w:t>
      </w:r>
      <w:hyperlink w:anchor="_bookmark168">
        <w:r>
          <w:rPr>
            <w:rStyle w:val="InternetLink"/>
            <w:rFonts w:ascii="Arial" w:hAnsi="Arial"/>
            <w:b/>
            <w:sz w:val="21"/>
          </w:rPr>
          <w:t>18.6</w:t>
        </w:r>
      </w:hyperlink>
      <w:r>
        <w:rPr>
          <w:rFonts w:ascii="Arial" w:hAnsi="Arial"/>
          <w:sz w:val="20"/>
        </w:rPr>
        <w:t> </w:t>
      </w:r>
      <w:r>
        <w:rPr>
          <w:rFonts w:ascii="Arial" w:hAnsi="Arial"/>
          <w:sz w:val="21"/>
        </w:rPr>
        <w:t>will not be deemed to restrict the provision of information</w:t>
      </w:r>
      <w:r>
        <w:rPr>
          <w:rFonts w:ascii="Arial" w:hAnsi="Arial"/>
          <w:sz w:val="20"/>
        </w:rPr>
        <w:t> </w:t>
      </w:r>
      <w:r>
        <w:rPr>
          <w:rFonts w:ascii="Arial" w:hAnsi="Arial"/>
          <w:sz w:val="21"/>
        </w:rPr>
        <w:t>by</w:t>
      </w:r>
      <w:r>
        <w:rPr>
          <w:rFonts w:ascii="Arial" w:hAnsi="Arial"/>
          <w:sz w:val="20"/>
        </w:rPr>
        <w:t> </w:t>
      </w:r>
      <w:r>
        <w:rPr>
          <w:rFonts w:ascii="Arial" w:hAnsi="Arial"/>
          <w:sz w:val="21"/>
        </w:rPr>
        <w:t>any</w:t>
      </w:r>
      <w:r>
        <w:rPr>
          <w:rFonts w:ascii="Arial" w:hAnsi="Arial"/>
          <w:sz w:val="20"/>
        </w:rPr>
        <w:t> </w:t>
      </w:r>
      <w:r>
        <w:rPr>
          <w:rFonts w:ascii="Arial" w:hAnsi="Arial"/>
          <w:sz w:val="21"/>
        </w:rPr>
        <w:t>party</w:t>
      </w:r>
      <w:r>
        <w:rPr>
          <w:rFonts w:ascii="Arial" w:hAnsi="Arial"/>
          <w:sz w:val="20"/>
        </w:rPr>
        <w:t> </w:t>
      </w:r>
      <w:r>
        <w:rPr>
          <w:rFonts w:ascii="Arial" w:hAnsi="Arial"/>
          <w:sz w:val="21"/>
        </w:rPr>
        <w:t>to</w:t>
      </w:r>
      <w:r>
        <w:rPr>
          <w:rFonts w:ascii="Arial" w:hAnsi="Arial"/>
          <w:sz w:val="20"/>
        </w:rPr>
        <w:t> </w:t>
      </w:r>
      <w:r>
        <w:rPr>
          <w:rFonts w:ascii="Arial" w:hAnsi="Arial"/>
          <w:sz w:val="21"/>
        </w:rPr>
        <w:t>the</w:t>
      </w:r>
      <w:r>
        <w:rPr>
          <w:rFonts w:ascii="Arial" w:hAnsi="Arial"/>
          <w:sz w:val="20"/>
        </w:rPr>
        <w:t> </w:t>
      </w:r>
      <w:r>
        <w:rPr>
          <w:rFonts w:ascii="Arial" w:hAnsi="Arial"/>
          <w:sz w:val="21"/>
        </w:rPr>
        <w:t>Internal</w:t>
      </w:r>
      <w:r>
        <w:rPr>
          <w:rFonts w:ascii="Arial" w:hAnsi="Arial"/>
          <w:sz w:val="20"/>
        </w:rPr>
        <w:t> </w:t>
      </w:r>
      <w:r>
        <w:rPr>
          <w:rFonts w:ascii="Arial" w:hAnsi="Arial"/>
          <w:sz w:val="21"/>
        </w:rPr>
        <w:t>Revenue</w:t>
      </w:r>
      <w:r>
        <w:rPr>
          <w:rFonts w:ascii="Arial" w:hAnsi="Arial"/>
          <w:sz w:val="20"/>
        </w:rPr>
        <w:t> </w:t>
      </w:r>
      <w:r>
        <w:rPr>
          <w:rFonts w:ascii="Arial" w:hAnsi="Arial"/>
          <w:sz w:val="21"/>
        </w:rPr>
        <w:t>Service</w:t>
      </w:r>
      <w:r>
        <w:rPr>
          <w:rFonts w:ascii="Arial" w:hAnsi="Arial"/>
          <w:sz w:val="20"/>
        </w:rPr>
        <w:t> </w:t>
      </w:r>
      <w:r>
        <w:rPr>
          <w:rFonts w:ascii="Arial" w:hAnsi="Arial"/>
          <w:sz w:val="21"/>
        </w:rPr>
        <w:t>of</w:t>
      </w:r>
      <w:r>
        <w:rPr>
          <w:rFonts w:ascii="Arial" w:hAnsi="Arial"/>
          <w:sz w:val="20"/>
        </w:rPr>
        <w:t> </w:t>
      </w:r>
      <w:r>
        <w:rPr>
          <w:rFonts w:ascii="Arial" w:hAnsi="Arial"/>
          <w:sz w:val="21"/>
        </w:rPr>
        <w:t>the</w:t>
      </w:r>
      <w:r>
        <w:rPr>
          <w:rFonts w:ascii="Arial" w:hAnsi="Arial"/>
          <w:sz w:val="20"/>
        </w:rPr>
        <w:t> </w:t>
      </w:r>
      <w:r>
        <w:rPr>
          <w:rFonts w:ascii="Arial" w:hAnsi="Arial"/>
          <w:sz w:val="21"/>
        </w:rPr>
        <w:t>United States of America.</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22" w:name="Exchange_rate1871"/>
      <w:bookmarkEnd w:id="522"/>
      <w:r>
        <w:rPr>
          <w:rFonts w:ascii="Arial" w:hAnsi="Arial"/>
          <w:b/>
          <w:color w:val="000000"/>
          <w:sz w:val="24"/>
        </w:rPr>
        <w:t>18.7Exchange rate</w:t>
      </w:r>
      <w:r>
        <w:rPr>
          <w:rFonts w:ascii="Arial" w:hAnsi="Arial"/>
          <w:b/>
          <w:sz w:val="24"/>
        </w:rPr>
        <w:t xml:space="preserve"> </w:t>
      </w:r>
    </w:p>
    <w:p>
      <w:pPr>
        <w:pStyle w:val="TextBody"/>
        <w:bidi w:val="0"/>
        <w:spacing w:lineRule="auto" w:line="266" w:before="92" w:after="0"/>
        <w:ind w:left="3120" w:right="1486" w:hanging="0"/>
        <w:jc w:val="left"/>
        <w:rPr>
          <w:rFonts w:ascii="Arial" w:hAnsi="Arial"/>
          <w:sz w:val="22"/>
        </w:rPr>
      </w:pPr>
      <w:r>
        <w:rPr>
          <w:rFonts w:ascii="Arial" w:hAnsi="Arial"/>
          <w:color w:val="000000"/>
          <w:sz w:val="22"/>
        </w:rPr>
        <w:t>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23" w:name="Records_as_evidence1881"/>
      <w:bookmarkEnd w:id="523"/>
      <w:r>
        <w:rPr>
          <w:rFonts w:ascii="Arial" w:hAnsi="Arial"/>
          <w:b/>
          <w:color w:val="000000"/>
          <w:sz w:val="24"/>
        </w:rPr>
        <w:t>18.8Records as evidence</w:t>
      </w:r>
      <w:r>
        <w:rPr>
          <w:rFonts w:ascii="Arial" w:hAnsi="Arial"/>
          <w:b/>
          <w:sz w:val="24"/>
        </w:rPr>
        <w:t xml:space="preserve"> </w:t>
      </w:r>
    </w:p>
    <w:p>
      <w:pPr>
        <w:pStyle w:val="TextBody"/>
        <w:bidi w:val="0"/>
        <w:spacing w:before="93" w:after="0"/>
        <w:ind w:left="3120" w:right="700" w:hanging="0"/>
        <w:jc w:val="left"/>
        <w:rPr>
          <w:rFonts w:ascii="Arial" w:hAnsi="Arial"/>
          <w:sz w:val="22"/>
        </w:rPr>
      </w:pPr>
      <w:r>
        <w:rPr>
          <w:rFonts w:ascii="Arial" w:hAnsi="Arial"/>
          <w:color w:val="000000"/>
          <w:sz w:val="22"/>
        </w:rPr>
        <w:t>The Bank may maintain records specifying:</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(a)payments</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under a Transaction Document;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(b)payments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 Transaction Document;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(c)interest,</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charges,</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expenses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Transaction Documents,</w:t>
      </w:r>
      <w:r>
        <w:rPr>
          <w:rFonts w:ascii="Arial" w:hAnsi="Arial"/>
          <w:sz w:val="20"/>
        </w:rPr>
        <w:t xml:space="preserve"> </w:t>
      </w:r>
    </w:p>
    <w:p>
      <w:pPr>
        <w:pStyle w:val="TextBody"/>
        <w:bidi w:val="0"/>
        <w:spacing w:lineRule="auto" w:line="266" w:before="119" w:after="0"/>
        <w:ind w:left="3120" w:right="1471" w:hanging="0"/>
        <w:jc w:val="left"/>
        <w:rPr>
          <w:rFonts w:ascii="Arial" w:hAnsi="Arial"/>
          <w:sz w:val="22"/>
        </w:rPr>
      </w:pPr>
      <w:r>
        <w:rPr>
          <w:rFonts w:ascii="Arial" w:hAnsi="Arial"/>
          <w:color w:val="000000"/>
          <w:sz w:val="22"/>
        </w:rPr>
        <w:t>and those records will against the Borrower constitute prima facie evidence of the matters set out in them.</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24" w:name="Further_assurances1891"/>
      <w:bookmarkEnd w:id="524"/>
      <w:r>
        <w:rPr>
          <w:rFonts w:ascii="Arial" w:hAnsi="Arial"/>
          <w:b/>
          <w:color w:val="000000"/>
          <w:sz w:val="24"/>
        </w:rPr>
        <w:t>18.9Further assurances</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The Borrower must promptly execute all documents and do all things that the Bank from time to time reasonably requires to:</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(a)effect,</w:t>
      </w:r>
      <w:r>
        <w:rPr>
          <w:rFonts w:ascii="Arial" w:hAnsi="Arial"/>
          <w:color w:val="000000"/>
          <w:sz w:val="20"/>
        </w:rPr>
        <w:t> </w:t>
      </w:r>
      <w:r>
        <w:rPr>
          <w:rFonts w:ascii="Arial" w:hAnsi="Arial"/>
          <w:color w:val="000000"/>
          <w:sz w:val="21"/>
        </w:rPr>
        <w:t>perfect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complete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provisions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 or any transaction contemplated by it;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(b)establish the priority of or reserve or create any Security Interest contemplated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purported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reserved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created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 Document;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(c)stamp</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register</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relevant jurisdiction and by any person that the Bank thinks fit.</w:t>
      </w:r>
      <w:r>
        <w:rPr>
          <w:rFonts w:ascii="Arial" w:hAnsi="Arial"/>
          <w:sz w:val="20"/>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18.10</w:t>
      </w:r>
      <w:bookmarkStart w:id="525" w:name="Amendment18101"/>
      <w:bookmarkEnd w:id="525"/>
      <w:r>
        <w:rPr>
          <w:rFonts w:ascii="Arial" w:hAnsi="Arial"/>
          <w:b/>
          <w:color w:val="000000"/>
          <w:sz w:val="24"/>
        </w:rPr>
        <w:t>Amendment</w:t>
      </w:r>
      <w:r>
        <w:rPr>
          <w:rFonts w:ascii="Arial" w:hAnsi="Arial"/>
          <w:b/>
          <w:sz w:val="24"/>
        </w:rPr>
        <w:t xml:space="preserve"> </w:t>
      </w:r>
    </w:p>
    <w:p>
      <w:pPr>
        <w:pStyle w:val="TextBody"/>
        <w:pBdr/>
        <w:bidi w:val="0"/>
        <w:spacing w:lineRule="auto" w:line="266" w:before="93" w:after="0"/>
        <w:ind w:left="3120" w:right="1471" w:hanging="0"/>
        <w:jc w:val="left"/>
        <w:rPr>
          <w:rFonts w:ascii="Arial" w:hAnsi="Arial"/>
          <w:sz w:val="22"/>
        </w:rPr>
      </w:pPr>
      <w:r>
        <w:rPr>
          <w:rFonts w:ascii="Arial" w:hAnsi="Arial"/>
          <w:color w:val="000000"/>
          <w:sz w:val="22"/>
        </w:rPr>
        <w:t>This document may only be varied or replaced by a document executed by the parties.</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18.11</w:t>
      </w:r>
      <w:bookmarkStart w:id="526" w:name="Waiver1811"/>
      <w:bookmarkEnd w:id="526"/>
      <w:r>
        <w:rPr>
          <w:rFonts w:ascii="Arial" w:hAnsi="Arial"/>
          <w:b/>
          <w:color w:val="000000"/>
          <w:sz w:val="24"/>
        </w:rPr>
        <w:t>Waiver and exercise of rights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 right in favour of the Bank under a Transaction Document, a breach of an</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 of Default can only be waived by an instrument signed by the Bank.</w:t>
      </w:r>
      <w:r>
        <w:rPr>
          <w:rFonts w:ascii="Arial" w:hAnsi="Arial"/>
          <w:color w:val="000000"/>
          <w:sz w:val="20"/>
        </w:rPr>
        <w:t> </w:t>
      </w:r>
      <w:r>
        <w:rPr>
          <w:rFonts w:ascii="Arial" w:hAnsi="Arial"/>
          <w:color w:val="000000"/>
          <w:sz w:val="21"/>
        </w:rPr>
        <w:t>No other act, omission or delay of the Bank constitutes a waiver binding, or estoppel against,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(b)A single or partial exercise or waiver by the Bank of a right relating to a 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prevent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right or the exercise of any other right.</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(c)The Bank and its Representatives are not liable for any loss, cost or expense of the Borrower caused or contributed to by the waiver, exercise, attempted exercise, failure to exercise or delay</w:t>
      </w:r>
      <w:r>
        <w:rPr>
          <w:rFonts w:ascii="Arial" w:hAnsi="Arial"/>
          <w:color w:val="000000"/>
          <w:sz w:val="20"/>
        </w:rPr>
        <w:t> </w:t>
      </w:r>
      <w:r>
        <w:rPr>
          <w:rFonts w:ascii="Arial" w:hAnsi="Arial"/>
          <w:color w:val="000000"/>
          <w:sz w:val="21"/>
        </w:rPr>
        <w:t>in the exercise 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holds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18.11</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for itself and its Representatives.</w:t>
      </w:r>
      <w:r>
        <w:rPr>
          <w:rFonts w:ascii="Arial" w:hAnsi="Arial"/>
          <w:sz w:val="20"/>
        </w:rPr>
        <w:t xml:space="preserve"> </w:t>
      </w:r>
    </w:p>
    <w:p>
      <w:pPr>
        <w:pStyle w:val="TextBody"/>
        <w:bidi w:val="0"/>
        <w:spacing w:before="214" w:after="0"/>
        <w:ind w:left="3725" w:right="700" w:hanging="0"/>
        <w:jc w:val="left"/>
        <w:rPr>
          <w:rFonts w:ascii="Arial" w:hAnsi="Arial"/>
          <w:b/>
          <w:sz w:val="24"/>
        </w:rPr>
      </w:pPr>
      <w:r>
        <w:rPr>
          <w:rFonts w:ascii="Arial" w:hAnsi="Arial"/>
          <w:b/>
          <w:color w:val="000000"/>
          <w:sz w:val="24"/>
        </w:rPr>
        <w:t>18.12</w:t>
      </w:r>
      <w:bookmarkStart w:id="527" w:name="Rights_cumulative18121"/>
      <w:bookmarkEnd w:id="527"/>
      <w:r>
        <w:rPr>
          <w:rFonts w:ascii="Arial" w:hAnsi="Arial"/>
          <w:b/>
          <w:color w:val="000000"/>
          <w:sz w:val="24"/>
        </w:rPr>
        <w:t>Rights cumulative</w:t>
      </w:r>
      <w:r>
        <w:rPr>
          <w:rFonts w:ascii="Arial" w:hAnsi="Arial"/>
          <w:b/>
          <w:sz w:val="24"/>
        </w:rPr>
        <w:t xml:space="preserve"> </w:t>
      </w:r>
    </w:p>
    <w:p>
      <w:pPr>
        <w:pStyle w:val="TextBody"/>
        <w:bidi w:val="0"/>
        <w:spacing w:lineRule="auto" w:line="266" w:before="91" w:after="0"/>
        <w:ind w:left="3120" w:right="1366" w:hanging="0"/>
        <w:jc w:val="left"/>
        <w:rPr>
          <w:rFonts w:ascii="Arial" w:hAnsi="Arial"/>
          <w:sz w:val="22"/>
        </w:rPr>
      </w:pPr>
      <w:r>
        <w:rPr>
          <w:rFonts w:ascii="Arial" w:hAnsi="Arial"/>
          <w:color w:val="000000"/>
          <w:sz w:val="22"/>
        </w:rPr>
        <w:t>The rights of the Bank under the Transaction Documents are cumulative and in addition to its other rights.</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28" w:name="Approval_and_consent18131"/>
      <w:bookmarkEnd w:id="528"/>
      <w:r>
        <w:rPr>
          <w:rFonts w:ascii="Arial" w:hAnsi="Arial"/>
          <w:b/>
          <w:color w:val="000000"/>
          <w:sz w:val="24"/>
        </w:rPr>
        <w:t>18.13Approval and consent</w:t>
      </w:r>
      <w:r>
        <w:rPr>
          <w:rFonts w:ascii="Arial" w:hAnsi="Arial"/>
          <w:b/>
          <w:sz w:val="24"/>
        </w:rPr>
        <w:t xml:space="preserve"> </w:t>
      </w:r>
    </w:p>
    <w:p>
      <w:pPr>
        <w:pStyle w:val="TextBody"/>
        <w:bidi w:val="0"/>
        <w:spacing w:lineRule="auto" w:line="266" w:before="93" w:after="0"/>
        <w:ind w:left="3120" w:right="1366" w:hanging="0"/>
        <w:jc w:val="left"/>
        <w:rPr>
          <w:rFonts w:ascii="Arial" w:hAnsi="Arial"/>
          <w:sz w:val="22"/>
        </w:rPr>
      </w:pPr>
      <w:r>
        <w:rPr>
          <w:rFonts w:ascii="Arial" w:hAnsi="Arial"/>
          <w:color w:val="000000"/>
          <w:sz w:val="22"/>
        </w:rPr>
        <w:t>Except where a Transaction Document expressly provides otherwise, the Bank may conditionally or unconditionally give or withhold any consent under a Transaction Document and is not obliged to give its reasons for doing so.</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29" w:name="Assignment18141"/>
      <w:bookmarkEnd w:id="529"/>
      <w:r>
        <w:rPr>
          <w:rFonts w:ascii="Arial" w:hAnsi="Arial"/>
          <w:b/>
          <w:color w:val="000000"/>
          <w:sz w:val="24"/>
        </w:rPr>
        <w:t>18.14Assignment</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dispose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Encumber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 Transaction Documents without the consent of the Bank.</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(b)The Bank may assign any of its rights or novate, sub-participate, sell- down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transfer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whatever</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deal</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 rights and obligations under any Transaction Document without the consent of, or notice to, the Borrower.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(c)If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facilitate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to</w:t>
      </w:r>
      <w:r>
        <w:rPr>
          <w:rFonts w:ascii="Arial" w:hAnsi="Arial"/>
          <w:color w:val="000000"/>
          <w:sz w:val="20"/>
        </w:rPr>
        <w:t> </w:t>
      </w:r>
      <w:r>
        <w:rPr>
          <w:rFonts w:ascii="Arial" w:hAnsi="Arial"/>
          <w:color w:val="000000"/>
          <w:sz w:val="21"/>
        </w:rPr>
        <w:t>deal with its rights and obligations, the Bank may (but is not obliged to), from 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separate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sever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 rights) described in a notice given by the Bank to the Borrower from its other rights and obligations under any Transaction Document. Any such 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separate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sever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rights described in the notice so that:</w:t>
      </w:r>
      <w:r>
        <w:rPr>
          <w:rFonts w:ascii="Arial" w:hAnsi="Arial"/>
          <w:sz w:val="20"/>
        </w:rPr>
        <w:t xml:space="preserve"> </w:t>
      </w:r>
    </w:p>
    <w:p>
      <w:pPr>
        <w:pStyle w:val="TextBody"/>
        <w:bidi w:val="0"/>
        <w:spacing w:lineRule="auto" w:line="266" w:before="115" w:after="0"/>
        <w:ind w:left="4275" w:right="1535" w:hanging="0"/>
        <w:jc w:val="left"/>
        <w:rPr>
          <w:rFonts w:ascii="Arial" w:hAnsi="Arial"/>
          <w:sz w:val="20"/>
        </w:rPr>
      </w:pPr>
      <w:r>
        <w:rPr>
          <w:rFonts w:ascii="Arial" w:hAnsi="Arial"/>
          <w:color w:val="000000"/>
          <w:sz w:val="21"/>
        </w:rPr>
        <w:t>(i)those rights and obligations are independent from, and may be assigned</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novated,</w:t>
      </w:r>
      <w:r>
        <w:rPr>
          <w:rFonts w:ascii="Arial" w:hAnsi="Arial"/>
          <w:color w:val="000000"/>
          <w:sz w:val="20"/>
        </w:rPr>
        <w:t> </w:t>
      </w:r>
      <w:r>
        <w:rPr>
          <w:rFonts w:ascii="Arial" w:hAnsi="Arial"/>
          <w:color w:val="000000"/>
          <w:sz w:val="21"/>
        </w:rPr>
        <w:t>sub-participated,</w:t>
      </w:r>
      <w:r>
        <w:rPr>
          <w:rFonts w:ascii="Arial" w:hAnsi="Arial"/>
          <w:color w:val="000000"/>
          <w:sz w:val="20"/>
        </w:rPr>
        <w:t> </w:t>
      </w:r>
      <w:r>
        <w:rPr>
          <w:rFonts w:ascii="Arial" w:hAnsi="Arial"/>
          <w:color w:val="000000"/>
          <w:sz w:val="21"/>
        </w:rPr>
        <w:t>sold-down, transferred or otherwise dealt with separately from, any other of the rights and obligations of the Bank under that Transaction Document;</w:t>
      </w:r>
      <w:r>
        <w:rPr>
          <w:rFonts w:ascii="Arial" w:hAnsi="Arial"/>
          <w:sz w:val="20"/>
        </w:rPr>
        <w:t xml:space="preserve"> </w:t>
      </w:r>
    </w:p>
    <w:p>
      <w:pPr>
        <w:pStyle w:val="TextBody"/>
        <w:bidi w:val="0"/>
        <w:spacing w:lineRule="auto" w:line="266"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69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4275" w:right="1514" w:hanging="0"/>
        <w:jc w:val="left"/>
        <w:rPr>
          <w:rFonts w:ascii="Arial" w:hAnsi="Arial"/>
          <w:sz w:val="20"/>
        </w:rPr>
      </w:pPr>
      <w:r>
        <w:rPr>
          <w:rFonts w:ascii="Arial" w:hAnsi="Arial"/>
          <w:sz w:val="21"/>
        </w:rPr>
        <w:t>(ii)those</w:t>
      </w:r>
      <w:r>
        <w:rPr>
          <w:rFonts w:ascii="Arial" w:hAnsi="Arial"/>
          <w:sz w:val="20"/>
        </w:rPr>
        <w:t> </w:t>
      </w:r>
      <w:r>
        <w:rPr>
          <w:rFonts w:ascii="Arial" w:hAnsi="Arial"/>
          <w:sz w:val="21"/>
        </w:rPr>
        <w:t>rights</w:t>
      </w:r>
      <w:r>
        <w:rPr>
          <w:rFonts w:ascii="Arial" w:hAnsi="Arial"/>
          <w:sz w:val="20"/>
        </w:rPr>
        <w:t> </w:t>
      </w:r>
      <w:r>
        <w:rPr>
          <w:rFonts w:ascii="Arial" w:hAnsi="Arial"/>
          <w:sz w:val="21"/>
        </w:rPr>
        <w:t>and</w:t>
      </w:r>
      <w:r>
        <w:rPr>
          <w:rFonts w:ascii="Arial" w:hAnsi="Arial"/>
          <w:sz w:val="20"/>
        </w:rPr>
        <w:t> </w:t>
      </w:r>
      <w:r>
        <w:rPr>
          <w:rFonts w:ascii="Arial" w:hAnsi="Arial"/>
          <w:sz w:val="21"/>
        </w:rPr>
        <w:t>obligations</w:t>
      </w:r>
      <w:r>
        <w:rPr>
          <w:rFonts w:ascii="Arial" w:hAnsi="Arial"/>
          <w:sz w:val="20"/>
        </w:rPr>
        <w:t> </w:t>
      </w:r>
      <w:r>
        <w:rPr>
          <w:rFonts w:ascii="Arial" w:hAnsi="Arial"/>
          <w:sz w:val="21"/>
        </w:rPr>
        <w:t>may</w:t>
      </w:r>
      <w:r>
        <w:rPr>
          <w:rFonts w:ascii="Arial" w:hAnsi="Arial"/>
          <w:sz w:val="20"/>
        </w:rPr>
        <w:t> </w:t>
      </w:r>
      <w:r>
        <w:rPr>
          <w:rFonts w:ascii="Arial" w:hAnsi="Arial"/>
          <w:sz w:val="21"/>
        </w:rPr>
        <w:t>be</w:t>
      </w:r>
      <w:r>
        <w:rPr>
          <w:rFonts w:ascii="Arial" w:hAnsi="Arial"/>
          <w:sz w:val="20"/>
        </w:rPr>
        <w:t> </w:t>
      </w:r>
      <w:r>
        <w:rPr>
          <w:rFonts w:ascii="Arial" w:hAnsi="Arial"/>
          <w:sz w:val="21"/>
        </w:rPr>
        <w:t>exercised</w:t>
      </w:r>
      <w:r>
        <w:rPr>
          <w:rFonts w:ascii="Arial" w:hAnsi="Arial"/>
          <w:sz w:val="20"/>
        </w:rPr>
        <w:t> </w:t>
      </w:r>
      <w:r>
        <w:rPr>
          <w:rFonts w:ascii="Arial" w:hAnsi="Arial"/>
          <w:sz w:val="21"/>
        </w:rPr>
        <w:t>differently</w:t>
      </w:r>
      <w:r>
        <w:rPr>
          <w:rFonts w:ascii="Arial" w:hAnsi="Arial"/>
          <w:sz w:val="20"/>
        </w:rPr>
        <w:t> </w:t>
      </w:r>
      <w:r>
        <w:rPr>
          <w:rFonts w:ascii="Arial" w:hAnsi="Arial"/>
          <w:sz w:val="21"/>
        </w:rPr>
        <w:t>from</w:t>
      </w:r>
      <w:r>
        <w:rPr>
          <w:rFonts w:ascii="Arial" w:hAnsi="Arial"/>
          <w:sz w:val="20"/>
        </w:rPr>
        <w:t> </w:t>
      </w:r>
      <w:r>
        <w:rPr>
          <w:rFonts w:ascii="Arial" w:hAnsi="Arial"/>
          <w:sz w:val="21"/>
        </w:rPr>
        <w:t>any other rights and obligations of the Bank under that Transaction Document; and</w:t>
      </w:r>
      <w:r>
        <w:rPr>
          <w:rFonts w:ascii="Arial" w:hAnsi="Arial"/>
          <w:sz w:val="20"/>
        </w:rPr>
        <w:t xml:space="preserve"> </w:t>
      </w:r>
    </w:p>
    <w:p>
      <w:pPr>
        <w:pStyle w:val="TextBody"/>
        <w:bidi w:val="0"/>
        <w:spacing w:lineRule="auto" w:line="266" w:before="120" w:after="0"/>
        <w:ind w:left="4275" w:right="1467" w:hanging="0"/>
        <w:jc w:val="left"/>
        <w:rPr>
          <w:rFonts w:ascii="Arial" w:hAnsi="Arial"/>
          <w:sz w:val="20"/>
        </w:rPr>
      </w:pPr>
      <w:r>
        <w:rPr>
          <w:rFonts w:ascii="Arial" w:hAnsi="Arial"/>
          <w:sz w:val="21"/>
        </w:rPr>
        <w:t>(iii)the</w:t>
      </w:r>
      <w:r>
        <w:rPr>
          <w:rFonts w:ascii="Arial" w:hAnsi="Arial"/>
          <w:sz w:val="20"/>
        </w:rPr>
        <w:t> </w:t>
      </w:r>
      <w:r>
        <w:rPr>
          <w:rFonts w:ascii="Arial" w:hAnsi="Arial"/>
          <w:sz w:val="21"/>
        </w:rPr>
        <w:t>Outstanding</w:t>
      </w:r>
      <w:r>
        <w:rPr>
          <w:rFonts w:ascii="Arial" w:hAnsi="Arial"/>
          <w:sz w:val="20"/>
        </w:rPr>
        <w:t> </w:t>
      </w:r>
      <w:r>
        <w:rPr>
          <w:rFonts w:ascii="Arial" w:hAnsi="Arial"/>
          <w:sz w:val="21"/>
        </w:rPr>
        <w:t>Accommodation</w:t>
      </w:r>
      <w:r>
        <w:rPr>
          <w:rFonts w:ascii="Arial" w:hAnsi="Arial"/>
          <w:sz w:val="20"/>
        </w:rPr>
        <w:t> </w:t>
      </w:r>
      <w:r>
        <w:rPr>
          <w:rFonts w:ascii="Arial" w:hAnsi="Arial"/>
          <w:sz w:val="21"/>
        </w:rPr>
        <w:t>in</w:t>
      </w:r>
      <w:r>
        <w:rPr>
          <w:rFonts w:ascii="Arial" w:hAnsi="Arial"/>
          <w:sz w:val="20"/>
        </w:rPr>
        <w:t> </w:t>
      </w:r>
      <w:r>
        <w:rPr>
          <w:rFonts w:ascii="Arial" w:hAnsi="Arial"/>
          <w:sz w:val="21"/>
        </w:rPr>
        <w:t>respect</w:t>
      </w:r>
      <w:r>
        <w:rPr>
          <w:rFonts w:ascii="Arial" w:hAnsi="Arial"/>
          <w:sz w:val="20"/>
        </w:rPr>
        <w:t> </w:t>
      </w:r>
      <w:r>
        <w:rPr>
          <w:rFonts w:ascii="Arial" w:hAnsi="Arial"/>
          <w:sz w:val="21"/>
        </w:rPr>
        <w:t>of</w:t>
      </w:r>
      <w:r>
        <w:rPr>
          <w:rFonts w:ascii="Arial" w:hAnsi="Arial"/>
          <w:sz w:val="20"/>
        </w:rPr>
        <w:t> </w:t>
      </w:r>
      <w:r>
        <w:rPr>
          <w:rFonts w:ascii="Arial" w:hAnsi="Arial"/>
          <w:sz w:val="21"/>
        </w:rPr>
        <w:t>those</w:t>
      </w:r>
      <w:r>
        <w:rPr>
          <w:rFonts w:ascii="Arial" w:hAnsi="Arial"/>
          <w:sz w:val="20"/>
        </w:rPr>
        <w:t> </w:t>
      </w:r>
      <w:r>
        <w:rPr>
          <w:rFonts w:ascii="Arial" w:hAnsi="Arial"/>
          <w:sz w:val="21"/>
        </w:rPr>
        <w:t>rights</w:t>
      </w:r>
      <w:r>
        <w:rPr>
          <w:rFonts w:ascii="Arial" w:hAnsi="Arial"/>
          <w:sz w:val="20"/>
        </w:rPr>
        <w:t> </w:t>
      </w:r>
      <w:r>
        <w:rPr>
          <w:rFonts w:ascii="Arial" w:hAnsi="Arial"/>
          <w:sz w:val="21"/>
        </w:rPr>
        <w:t>may</w:t>
      </w:r>
      <w:r>
        <w:rPr>
          <w:rFonts w:ascii="Arial" w:hAnsi="Arial"/>
          <w:sz w:val="20"/>
        </w:rPr>
        <w:t> </w:t>
      </w:r>
      <w:r>
        <w:rPr>
          <w:rFonts w:ascii="Arial" w:hAnsi="Arial"/>
          <w:sz w:val="21"/>
        </w:rPr>
        <w:t>be calculated</w:t>
      </w:r>
      <w:r>
        <w:rPr>
          <w:rFonts w:ascii="Arial" w:hAnsi="Arial"/>
          <w:sz w:val="20"/>
        </w:rPr>
        <w:t> </w:t>
      </w:r>
      <w:r>
        <w:rPr>
          <w:rFonts w:ascii="Arial" w:hAnsi="Arial"/>
          <w:sz w:val="21"/>
        </w:rPr>
        <w:t>separately</w:t>
      </w:r>
      <w:r>
        <w:rPr>
          <w:rFonts w:ascii="Arial" w:hAnsi="Arial"/>
          <w:sz w:val="20"/>
        </w:rPr>
        <w:t> </w:t>
      </w:r>
      <w:r>
        <w:rPr>
          <w:rFonts w:ascii="Arial" w:hAnsi="Arial"/>
          <w:sz w:val="21"/>
        </w:rPr>
        <w:t>from</w:t>
      </w:r>
      <w:r>
        <w:rPr>
          <w:rFonts w:ascii="Arial" w:hAnsi="Arial"/>
          <w:sz w:val="20"/>
        </w:rPr>
        <w:t> </w:t>
      </w:r>
      <w:r>
        <w:rPr>
          <w:rFonts w:ascii="Arial" w:hAnsi="Arial"/>
          <w:sz w:val="21"/>
        </w:rPr>
        <w:t>the</w:t>
      </w:r>
      <w:r>
        <w:rPr>
          <w:rFonts w:ascii="Arial" w:hAnsi="Arial"/>
          <w:sz w:val="20"/>
        </w:rPr>
        <w:t> </w:t>
      </w:r>
      <w:r>
        <w:rPr>
          <w:rFonts w:ascii="Arial" w:hAnsi="Arial"/>
          <w:sz w:val="21"/>
        </w:rPr>
        <w:t>other</w:t>
      </w:r>
      <w:r>
        <w:rPr>
          <w:rFonts w:ascii="Arial" w:hAnsi="Arial"/>
          <w:sz w:val="20"/>
        </w:rPr>
        <w:t> </w:t>
      </w:r>
      <w:r>
        <w:rPr>
          <w:rFonts w:ascii="Arial" w:hAnsi="Arial"/>
          <w:sz w:val="21"/>
        </w:rPr>
        <w:t>Outstanding</w:t>
      </w:r>
      <w:r>
        <w:rPr>
          <w:rFonts w:ascii="Arial" w:hAnsi="Arial"/>
          <w:sz w:val="20"/>
        </w:rPr>
        <w:t> </w:t>
      </w:r>
      <w:r>
        <w:rPr>
          <w:rFonts w:ascii="Arial" w:hAnsi="Arial"/>
          <w:sz w:val="21"/>
        </w:rPr>
        <w:t>Accommodation.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(d)If the Bank assigns its rights or transfers its rights and obligations under this document or any other Transaction Document, no Transaction Party will</w:t>
      </w:r>
      <w:r>
        <w:rPr>
          <w:rFonts w:ascii="Arial" w:hAnsi="Arial"/>
          <w:sz w:val="20"/>
        </w:rPr>
        <w:t> </w:t>
      </w:r>
      <w:r>
        <w:rPr>
          <w:rFonts w:ascii="Arial" w:hAnsi="Arial"/>
          <w:sz w:val="21"/>
        </w:rPr>
        <w:t>be</w:t>
      </w:r>
      <w:r>
        <w:rPr>
          <w:rFonts w:ascii="Arial" w:hAnsi="Arial"/>
          <w:sz w:val="20"/>
        </w:rPr>
        <w:t> </w:t>
      </w:r>
      <w:r>
        <w:rPr>
          <w:rFonts w:ascii="Arial" w:hAnsi="Arial"/>
          <w:sz w:val="21"/>
        </w:rPr>
        <w:t>required</w:t>
      </w:r>
      <w:r>
        <w:rPr>
          <w:rFonts w:ascii="Arial" w:hAnsi="Arial"/>
          <w:sz w:val="20"/>
        </w:rPr>
        <w:t> </w:t>
      </w:r>
      <w:r>
        <w:rPr>
          <w:rFonts w:ascii="Arial" w:hAnsi="Arial"/>
          <w:sz w:val="21"/>
        </w:rPr>
        <w:t>to</w:t>
      </w:r>
      <w:r>
        <w:rPr>
          <w:rFonts w:ascii="Arial" w:hAnsi="Arial"/>
          <w:sz w:val="20"/>
        </w:rPr>
        <w:t> </w:t>
      </w:r>
      <w:r>
        <w:rPr>
          <w:rFonts w:ascii="Arial" w:hAnsi="Arial"/>
          <w:sz w:val="21"/>
        </w:rPr>
        <w:t>pay</w:t>
      </w:r>
      <w:r>
        <w:rPr>
          <w:rFonts w:ascii="Arial" w:hAnsi="Arial"/>
          <w:sz w:val="20"/>
        </w:rPr>
        <w:t> </w:t>
      </w:r>
      <w:r>
        <w:rPr>
          <w:rFonts w:ascii="Arial" w:hAnsi="Arial"/>
          <w:sz w:val="21"/>
        </w:rPr>
        <w:t>any</w:t>
      </w:r>
      <w:r>
        <w:rPr>
          <w:rFonts w:ascii="Arial" w:hAnsi="Arial"/>
          <w:sz w:val="20"/>
        </w:rPr>
        <w:t> </w:t>
      </w:r>
      <w:r>
        <w:rPr>
          <w:rFonts w:ascii="Arial" w:hAnsi="Arial"/>
          <w:sz w:val="21"/>
        </w:rPr>
        <w:t>net</w:t>
      </w:r>
      <w:r>
        <w:rPr>
          <w:rFonts w:ascii="Arial" w:hAnsi="Arial"/>
          <w:sz w:val="20"/>
        </w:rPr>
        <w:t> </w:t>
      </w:r>
      <w:r>
        <w:rPr>
          <w:rFonts w:ascii="Arial" w:hAnsi="Arial"/>
          <w:sz w:val="21"/>
        </w:rPr>
        <w:t>increase</w:t>
      </w:r>
      <w:r>
        <w:rPr>
          <w:rFonts w:ascii="Arial" w:hAnsi="Arial"/>
          <w:sz w:val="20"/>
        </w:rPr>
        <w:t> </w:t>
      </w:r>
      <w:r>
        <w:rPr>
          <w:rFonts w:ascii="Arial" w:hAnsi="Arial"/>
          <w:sz w:val="21"/>
        </w:rPr>
        <w:t>in</w:t>
      </w:r>
      <w:r>
        <w:rPr>
          <w:rFonts w:ascii="Arial" w:hAnsi="Arial"/>
          <w:sz w:val="20"/>
        </w:rPr>
        <w:t> </w:t>
      </w:r>
      <w:r>
        <w:rPr>
          <w:rFonts w:ascii="Arial" w:hAnsi="Arial"/>
          <w:sz w:val="21"/>
        </w:rPr>
        <w:t>the</w:t>
      </w:r>
      <w:r>
        <w:rPr>
          <w:rFonts w:ascii="Arial" w:hAnsi="Arial"/>
          <w:sz w:val="20"/>
        </w:rPr>
        <w:t> </w:t>
      </w:r>
      <w:r>
        <w:rPr>
          <w:rFonts w:ascii="Arial" w:hAnsi="Arial"/>
          <w:sz w:val="21"/>
        </w:rPr>
        <w:t>aggregate</w:t>
      </w:r>
      <w:r>
        <w:rPr>
          <w:rFonts w:ascii="Arial" w:hAnsi="Arial"/>
          <w:sz w:val="20"/>
        </w:rPr>
        <w:t> </w:t>
      </w:r>
      <w:r>
        <w:rPr>
          <w:rFonts w:ascii="Arial" w:hAnsi="Arial"/>
          <w:sz w:val="21"/>
        </w:rPr>
        <w:t>amount</w:t>
      </w:r>
      <w:r>
        <w:rPr>
          <w:rFonts w:ascii="Arial" w:hAnsi="Arial"/>
          <w:sz w:val="20"/>
        </w:rPr>
        <w:t> </w:t>
      </w:r>
      <w:r>
        <w:rPr>
          <w:rFonts w:ascii="Arial" w:hAnsi="Arial"/>
          <w:sz w:val="21"/>
        </w:rPr>
        <w:t>of</w:t>
      </w:r>
      <w:r>
        <w:rPr>
          <w:rFonts w:ascii="Arial" w:hAnsi="Arial"/>
          <w:sz w:val="20"/>
        </w:rPr>
        <w:t> </w:t>
      </w:r>
      <w:r>
        <w:rPr>
          <w:rFonts w:ascii="Arial" w:hAnsi="Arial"/>
          <w:sz w:val="21"/>
        </w:rPr>
        <w:t>costs, Taxes, fees or charges which is a direct consequence of the assignment or transfer.</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30" w:name="Counterparts18151"/>
      <w:bookmarkEnd w:id="530"/>
      <w:r>
        <w:rPr>
          <w:rFonts w:ascii="Arial" w:hAnsi="Arial"/>
          <w:b/>
          <w:color w:val="000000"/>
          <w:sz w:val="24"/>
        </w:rPr>
        <w:t>18.15Counterparts</w:t>
      </w:r>
      <w:r>
        <w:rPr>
          <w:rFonts w:ascii="Arial" w:hAnsi="Arial"/>
          <w:b/>
          <w:sz w:val="24"/>
        </w:rPr>
        <w:t xml:space="preserve"> </w:t>
      </w:r>
    </w:p>
    <w:p>
      <w:pPr>
        <w:pStyle w:val="TextBody"/>
        <w:bidi w:val="0"/>
        <w:spacing w:lineRule="auto" w:line="266" w:before="93" w:after="0"/>
        <w:ind w:left="3120" w:right="1471" w:hanging="0"/>
        <w:jc w:val="left"/>
        <w:rPr>
          <w:rFonts w:ascii="Arial" w:hAnsi="Arial"/>
          <w:sz w:val="22"/>
        </w:rPr>
      </w:pPr>
      <w:r>
        <w:rPr>
          <w:rFonts w:ascii="Arial" w:hAnsi="Arial"/>
          <w:color w:val="000000"/>
          <w:sz w:val="22"/>
        </w:rPr>
        <w:t>This document may consist of a number of counterparts and, if so, the counterparts taken together constitute one document.</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31" w:name="Sovereign_immunity18161"/>
      <w:bookmarkEnd w:id="531"/>
      <w:r>
        <w:rPr>
          <w:rFonts w:ascii="Arial" w:hAnsi="Arial"/>
          <w:b/>
          <w:color w:val="000000"/>
          <w:sz w:val="24"/>
        </w:rPr>
        <w:t>18.16Sovereign immunity</w:t>
      </w:r>
      <w:r>
        <w:rPr>
          <w:rFonts w:ascii="Arial" w:hAnsi="Arial"/>
          <w:b/>
          <w:sz w:val="24"/>
        </w:rPr>
        <w:t xml:space="preserve"> </w:t>
      </w:r>
    </w:p>
    <w:p>
      <w:pPr>
        <w:pStyle w:val="TextBody"/>
        <w:bidi w:val="0"/>
        <w:spacing w:before="95" w:after="0"/>
        <w:ind w:left="3120" w:right="700" w:hanging="0"/>
        <w:jc w:val="left"/>
        <w:rPr>
          <w:rFonts w:ascii="Arial" w:hAnsi="Arial"/>
          <w:sz w:val="22"/>
        </w:rPr>
      </w:pPr>
      <w:r>
        <w:rPr>
          <w:rFonts w:ascii="Arial" w:hAnsi="Arial"/>
          <w:color w:val="000000"/>
          <w:sz w:val="22"/>
        </w:rPr>
        <w:t>The Borrower irrevocably waives any immunity that it or its property has from:</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(a)set-off;</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(b)legal,</w:t>
      </w:r>
      <w:r>
        <w:rPr>
          <w:rFonts w:ascii="Arial" w:hAnsi="Arial"/>
          <w:color w:val="000000"/>
          <w:sz w:val="20"/>
        </w:rPr>
        <w:t> </w:t>
      </w:r>
      <w:r>
        <w:rPr>
          <w:rFonts w:ascii="Arial" w:hAnsi="Arial"/>
          <w:color w:val="000000"/>
          <w:sz w:val="21"/>
        </w:rPr>
        <w:t>arbitral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administrative</w:t>
      </w:r>
      <w:r>
        <w:rPr>
          <w:rFonts w:ascii="Arial" w:hAnsi="Arial"/>
          <w:color w:val="000000"/>
          <w:sz w:val="20"/>
        </w:rPr>
        <w:t xml:space="preserve"> </w:t>
      </w:r>
      <w:r>
        <w:rPr>
          <w:rFonts w:ascii="Arial" w:hAnsi="Arial"/>
          <w:color w:val="000000"/>
          <w:sz w:val="21"/>
        </w:rPr>
        <w:t>proceedings;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(c)any</w:t>
      </w:r>
      <w:r>
        <w:rPr>
          <w:rFonts w:ascii="Arial" w:hAnsi="Arial"/>
          <w:color w:val="000000"/>
          <w:sz w:val="20"/>
        </w:rPr>
        <w:t> </w:t>
      </w:r>
      <w:r>
        <w:rPr>
          <w:rFonts w:ascii="Arial" w:hAnsi="Arial"/>
          <w:color w:val="000000"/>
          <w:sz w:val="21"/>
        </w:rPr>
        <w:t>process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court,</w:t>
      </w:r>
      <w:r>
        <w:rPr>
          <w:rFonts w:ascii="Arial" w:hAnsi="Arial"/>
          <w:color w:val="000000"/>
          <w:sz w:val="20"/>
        </w:rPr>
        <w:t> </w:t>
      </w:r>
      <w:r>
        <w:rPr>
          <w:rFonts w:ascii="Arial" w:hAnsi="Arial"/>
          <w:color w:val="000000"/>
          <w:sz w:val="21"/>
        </w:rPr>
        <w:t>administrative</w:t>
      </w:r>
      <w:r>
        <w:rPr>
          <w:rFonts w:ascii="Arial" w:hAnsi="Arial"/>
          <w:color w:val="000000"/>
          <w:sz w:val="20"/>
        </w:rPr>
        <w:t> </w:t>
      </w:r>
      <w:r>
        <w:rPr>
          <w:rFonts w:ascii="Arial" w:hAnsi="Arial"/>
          <w:color w:val="000000"/>
          <w:sz w:val="21"/>
        </w:rPr>
        <w:t>tribunal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arbitrator</w:t>
      </w:r>
      <w:r>
        <w:rPr>
          <w:rFonts w:ascii="Arial" w:hAnsi="Arial"/>
          <w:color w:val="000000"/>
          <w:sz w:val="20"/>
        </w:rPr>
        <w:t> </w:t>
      </w:r>
      <w:r>
        <w:rPr>
          <w:rFonts w:ascii="Arial" w:hAnsi="Arial"/>
          <w:color w:val="000000"/>
          <w:sz w:val="21"/>
        </w:rPr>
        <w:t>for the satisfaction or enforcement of a judgment, order</w:t>
      </w:r>
      <w:r>
        <w:rPr>
          <w:rFonts w:ascii="Arial" w:hAnsi="Arial"/>
          <w:color w:val="000000"/>
          <w:sz w:val="20"/>
        </w:rPr>
        <w:t> </w:t>
      </w:r>
      <w:r>
        <w:rPr>
          <w:rFonts w:ascii="Arial" w:hAnsi="Arial"/>
          <w:color w:val="000000"/>
          <w:sz w:val="21"/>
        </w:rPr>
        <w:t>or arbitral award or for the arrest, detention or sale of any property;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(d)service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process,</w:t>
      </w:r>
      <w:r>
        <w:rPr>
          <w:rFonts w:ascii="Arial" w:hAnsi="Arial"/>
          <w:color w:val="000000"/>
          <w:sz w:val="20"/>
        </w:rPr>
        <w:t> </w:t>
      </w:r>
      <w:r>
        <w:rPr>
          <w:rFonts w:ascii="Arial" w:hAnsi="Arial"/>
          <w:color w:val="000000"/>
          <w:sz w:val="21"/>
        </w:rPr>
        <w:t>judgment,</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arbitral</w:t>
      </w:r>
      <w:r>
        <w:rPr>
          <w:rFonts w:ascii="Arial" w:hAnsi="Arial"/>
          <w:color w:val="000000"/>
          <w:sz w:val="20"/>
        </w:rPr>
        <w:t xml:space="preserve"> </w:t>
      </w:r>
      <w:r>
        <w:rPr>
          <w:rFonts w:ascii="Arial" w:hAnsi="Arial"/>
          <w:color w:val="000000"/>
          <w:sz w:val="21"/>
        </w:rPr>
        <w:t>award,</w:t>
      </w:r>
      <w:r>
        <w:rPr>
          <w:rFonts w:ascii="Arial" w:hAnsi="Arial"/>
          <w:sz w:val="20"/>
        </w:rPr>
        <w:t xml:space="preserve"> </w:t>
      </w:r>
    </w:p>
    <w:p>
      <w:pPr>
        <w:pStyle w:val="TextBody"/>
        <w:bidi w:val="0"/>
        <w:spacing w:lineRule="auto" w:line="266" w:before="147" w:after="0"/>
        <w:ind w:left="3120" w:right="1471" w:hanging="0"/>
        <w:jc w:val="left"/>
        <w:rPr>
          <w:rFonts w:ascii="Arial" w:hAnsi="Arial"/>
          <w:sz w:val="22"/>
        </w:rPr>
      </w:pPr>
      <w:r>
        <w:rPr>
          <w:rFonts w:ascii="Arial" w:hAnsi="Arial"/>
          <w:color w:val="000000"/>
          <w:sz w:val="22"/>
        </w:rPr>
        <w:t>on the grounds of sovereignty or otherwise under any law of any jurisdiction where any proceedings may be brought or enforced in relation to any Event of Default under a Transaction Document.</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32" w:name="Governing_law18171"/>
      <w:bookmarkEnd w:id="532"/>
      <w:r>
        <w:rPr>
          <w:rFonts w:ascii="Arial" w:hAnsi="Arial"/>
          <w:b/>
          <w:color w:val="000000"/>
          <w:sz w:val="24"/>
        </w:rPr>
        <w:t>18.17Governing law and jurisdiction</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governed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construed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 the laws applicable in the Relevant Jurisdiction.</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(b)Each party irrevocably and unconditionally submits to the non-exclusive jurisdiction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courts</w:t>
      </w:r>
      <w:r>
        <w:rPr>
          <w:rFonts w:ascii="Arial" w:hAnsi="Arial"/>
          <w:color w:val="000000"/>
          <w:sz w:val="20"/>
        </w:rPr>
        <w:t> </w:t>
      </w:r>
      <w:r>
        <w:rPr>
          <w:rFonts w:ascii="Arial" w:hAnsi="Arial"/>
          <w:color w:val="000000"/>
          <w:sz w:val="21"/>
        </w:rPr>
        <w:t>exercising</w:t>
      </w:r>
      <w:r>
        <w:rPr>
          <w:rFonts w:ascii="Arial" w:hAnsi="Arial"/>
          <w:color w:val="000000"/>
          <w:sz w:val="20"/>
        </w:rPr>
        <w:t> </w:t>
      </w:r>
      <w:r>
        <w:rPr>
          <w:rFonts w:ascii="Arial" w:hAnsi="Arial"/>
          <w:color w:val="000000"/>
          <w:sz w:val="21"/>
        </w:rPr>
        <w:t>jurisdiction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Jurisdiction and any courts which have jurisdiction to hear appeals from any of those courts and</w:t>
      </w:r>
      <w:r>
        <w:rPr>
          <w:rFonts w:ascii="Arial" w:hAnsi="Arial"/>
          <w:color w:val="000000"/>
          <w:sz w:val="20"/>
        </w:rPr>
        <w:t> </w:t>
      </w:r>
      <w:r>
        <w:rPr>
          <w:rFonts w:ascii="Arial" w:hAnsi="Arial"/>
          <w:color w:val="000000"/>
          <w:sz w:val="21"/>
        </w:rPr>
        <w:t>waives any right</w:t>
      </w:r>
      <w:r>
        <w:rPr>
          <w:rFonts w:ascii="Arial" w:hAnsi="Arial"/>
          <w:color w:val="000000"/>
          <w:sz w:val="20"/>
        </w:rPr>
        <w:t> </w:t>
      </w:r>
      <w:r>
        <w:rPr>
          <w:rFonts w:ascii="Arial" w:hAnsi="Arial"/>
          <w:color w:val="000000"/>
          <w:sz w:val="21"/>
        </w:rPr>
        <w:t>to object</w:t>
      </w:r>
      <w:r>
        <w:rPr>
          <w:rFonts w:ascii="Arial" w:hAnsi="Arial"/>
          <w:color w:val="000000"/>
          <w:sz w:val="20"/>
        </w:rPr>
        <w:t> </w:t>
      </w:r>
      <w:r>
        <w:rPr>
          <w:rFonts w:ascii="Arial" w:hAnsi="Arial"/>
          <w:color w:val="000000"/>
          <w:sz w:val="21"/>
        </w:rPr>
        <w:t>to any proceedings being brought</w:t>
      </w:r>
      <w:r>
        <w:rPr>
          <w:rFonts w:ascii="Arial" w:hAnsi="Arial"/>
          <w:color w:val="000000"/>
          <w:sz w:val="20"/>
        </w:rPr>
        <w:t> </w:t>
      </w:r>
      <w:r>
        <w:rPr>
          <w:rFonts w:ascii="Arial" w:hAnsi="Arial"/>
          <w:color w:val="000000"/>
          <w:sz w:val="21"/>
        </w:rPr>
        <w:t>in those courts.</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33" w:name="Telephone_recording18181"/>
      <w:bookmarkEnd w:id="533"/>
      <w:r>
        <w:rPr>
          <w:rFonts w:ascii="Arial" w:hAnsi="Arial"/>
          <w:b/>
          <w:color w:val="000000"/>
          <w:sz w:val="24"/>
        </w:rPr>
        <w:t>18.18Telephone recording</w:t>
      </w:r>
      <w:r>
        <w:rPr>
          <w:rFonts w:ascii="Arial" w:hAnsi="Arial"/>
          <w:b/>
          <w:sz w:val="24"/>
        </w:rPr>
        <w:t xml:space="preserve"> </w:t>
      </w:r>
    </w:p>
    <w:p>
      <w:pPr>
        <w:pStyle w:val="TextBody"/>
        <w:pBdr/>
        <w:bidi w:val="0"/>
        <w:spacing w:lineRule="auto" w:line="266" w:before="93" w:after="0"/>
        <w:ind w:left="3120" w:right="1424" w:hanging="0"/>
        <w:jc w:val="left"/>
        <w:rPr>
          <w:rFonts w:ascii="Arial" w:hAnsi="Arial"/>
          <w:sz w:val="22"/>
        </w:rPr>
      </w:pPr>
      <w:r>
        <w:rPr>
          <w:rFonts w:ascii="Arial" w:hAnsi="Arial"/>
          <w:color w:val="000000"/>
          <w:sz w:val="22"/>
        </w:rPr>
        <w:t>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bookmarkStart w:id="534" w:name="Legal_advice18191"/>
      <w:bookmarkEnd w:id="534"/>
      <w:r>
        <w:rPr>
          <w:rFonts w:ascii="Arial" w:hAnsi="Arial"/>
          <w:b/>
          <w:color w:val="000000"/>
          <w:sz w:val="24"/>
        </w:rPr>
        <w:t>18.19Legal advice</w:t>
      </w:r>
      <w:r>
        <w:rPr>
          <w:rFonts w:ascii="Arial" w:hAnsi="Arial"/>
          <w:b/>
          <w:sz w:val="24"/>
        </w:rPr>
        <w:t xml:space="preserve"> </w:t>
      </w:r>
    </w:p>
    <w:p>
      <w:pPr>
        <w:pStyle w:val="TextBody"/>
        <w:bidi w:val="0"/>
        <w:spacing w:lineRule="auto" w:line="266" w:before="93" w:after="0"/>
        <w:ind w:left="3120" w:right="700" w:hanging="0"/>
        <w:jc w:val="left"/>
        <w:rPr>
          <w:rFonts w:ascii="Arial" w:hAnsi="Arial"/>
          <w:sz w:val="22"/>
        </w:rPr>
      </w:pPr>
      <w:r>
        <w:rPr>
          <w:rFonts w:ascii="Arial" w:hAnsi="Arial"/>
          <w:color w:val="000000"/>
          <w:sz w:val="22"/>
        </w:rPr>
        <w:t>The Borrower acknowledges that, except as expressly set out in a Transaction Document:</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(a)none of the Bank or any of its advisers have given any representation or warranty or other assurance to it in relation to any Transaction Document 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transactions</w:t>
      </w:r>
      <w:r>
        <w:rPr>
          <w:rFonts w:ascii="Arial" w:hAnsi="Arial"/>
          <w:color w:val="000000"/>
          <w:sz w:val="20"/>
        </w:rPr>
        <w:t> </w:t>
      </w:r>
      <w:r>
        <w:rPr>
          <w:rFonts w:ascii="Arial" w:hAnsi="Arial"/>
          <w:color w:val="000000"/>
          <w:sz w:val="21"/>
        </w:rPr>
        <w:t>contemplated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including as to Tax or other effects;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(b)it has not relied on the Bank or any of its advisers or on any conduct (including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recommendation)</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advisers;</w:t>
      </w:r>
      <w:r>
        <w:rPr>
          <w:rFonts w:ascii="Arial" w:hAnsi="Arial"/>
          <w:color w:val="000000"/>
          <w:sz w:val="20"/>
        </w:rPr>
        <w:t> </w:t>
      </w:r>
      <w:r>
        <w:rPr>
          <w:rFonts w:ascii="Arial" w:hAnsi="Arial"/>
          <w:color w:val="000000"/>
          <w:sz w:val="21"/>
        </w:rPr>
        <w:t>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obtained</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own</w:t>
      </w:r>
      <w:r>
        <w:rPr>
          <w:rFonts w:ascii="Arial" w:hAnsi="Arial"/>
          <w:color w:val="000000"/>
          <w:sz w:val="20"/>
        </w:rPr>
        <w:t> </w:t>
      </w:r>
      <w:r>
        <w:rPr>
          <w:rFonts w:ascii="Arial" w:hAnsi="Arial"/>
          <w:color w:val="000000"/>
          <w:sz w:val="21"/>
        </w:rPr>
        <w:t>independent</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Tax</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legal</w:t>
      </w:r>
      <w:r>
        <w:rPr>
          <w:rFonts w:ascii="Arial" w:hAnsi="Arial"/>
          <w:color w:val="000000"/>
          <w:sz w:val="20"/>
        </w:rPr>
        <w:t> </w:t>
      </w:r>
      <w:r>
        <w:rPr>
          <w:rFonts w:ascii="Arial" w:hAnsi="Arial"/>
          <w:color w:val="000000"/>
          <w:sz w:val="21"/>
        </w:rPr>
        <w:t>advice.</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35" w:name="Further_assurances18201"/>
      <w:bookmarkEnd w:id="535"/>
      <w:r>
        <w:rPr>
          <w:rFonts w:ascii="Arial" w:hAnsi="Arial"/>
          <w:b/>
          <w:color w:val="000000"/>
          <w:sz w:val="24"/>
        </w:rPr>
        <w:t>18.20Further assurances</w:t>
      </w:r>
      <w:r>
        <w:rPr>
          <w:rFonts w:ascii="Arial" w:hAnsi="Arial"/>
          <w:b/>
          <w:sz w:val="24"/>
        </w:rPr>
        <w:t xml:space="preserve"> </w:t>
      </w:r>
    </w:p>
    <w:p>
      <w:pPr>
        <w:pStyle w:val="TextBody"/>
        <w:bidi w:val="0"/>
        <w:spacing w:before="93" w:after="0"/>
        <w:ind w:left="3120" w:right="700" w:hanging="0"/>
        <w:jc w:val="left"/>
        <w:rPr>
          <w:rFonts w:ascii="Arial" w:hAnsi="Arial"/>
          <w:sz w:val="22"/>
        </w:rPr>
      </w:pPr>
      <w:r>
        <w:rPr>
          <w:rFonts w:ascii="Arial" w:hAnsi="Arial"/>
          <w:color w:val="000000"/>
          <w:sz w:val="22"/>
        </w:rPr>
        <w:t>Whenever the Bank requests a Transaction Party to do anything:</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(a)to</w:t>
      </w:r>
      <w:r>
        <w:rPr>
          <w:rFonts w:ascii="Arial" w:hAnsi="Arial"/>
          <w:color w:val="000000"/>
          <w:sz w:val="20"/>
        </w:rPr>
        <w:t> </w:t>
      </w:r>
      <w:r>
        <w:rPr>
          <w:rFonts w:ascii="Arial" w:hAnsi="Arial"/>
          <w:color w:val="000000"/>
          <w:sz w:val="21"/>
        </w:rPr>
        <w:t>ensure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defined in the PPS Act) or other Security Interest, right or power under any Transaction Document) is fully effective, enforceable and perfected with the contemplated priority;</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(b)for</w:t>
      </w:r>
      <w:r>
        <w:rPr>
          <w:rFonts w:ascii="Arial" w:hAnsi="Arial"/>
          <w:color w:val="000000"/>
          <w:sz w:val="20"/>
        </w:rPr>
        <w:t> </w:t>
      </w:r>
      <w:r>
        <w:rPr>
          <w:rFonts w:ascii="Arial" w:hAnsi="Arial"/>
          <w:color w:val="000000"/>
          <w:sz w:val="21"/>
        </w:rPr>
        <w:t>more</w:t>
      </w:r>
      <w:r>
        <w:rPr>
          <w:rFonts w:ascii="Arial" w:hAnsi="Arial"/>
          <w:color w:val="000000"/>
          <w:sz w:val="20"/>
        </w:rPr>
        <w:t> </w:t>
      </w:r>
      <w:r>
        <w:rPr>
          <w:rFonts w:ascii="Arial" w:hAnsi="Arial"/>
          <w:color w:val="000000"/>
          <w:sz w:val="21"/>
        </w:rPr>
        <w:t>satisfactorily</w:t>
      </w:r>
      <w:r>
        <w:rPr>
          <w:rFonts w:ascii="Arial" w:hAnsi="Arial"/>
          <w:color w:val="000000"/>
          <w:sz w:val="20"/>
        </w:rPr>
        <w:t> </w:t>
      </w:r>
      <w:r>
        <w:rPr>
          <w:rFonts w:ascii="Arial" w:hAnsi="Arial"/>
          <w:color w:val="000000"/>
          <w:sz w:val="21"/>
        </w:rPr>
        <w:t>assuring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securing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the subject of any such security interest or other Security in a manner consistent with the Transaction Documents;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(c)for</w:t>
      </w:r>
      <w:r>
        <w:rPr>
          <w:rFonts w:ascii="Arial" w:hAnsi="Arial"/>
          <w:color w:val="000000"/>
          <w:sz w:val="20"/>
        </w:rPr>
        <w:t> </w:t>
      </w:r>
      <w:r>
        <w:rPr>
          <w:rFonts w:ascii="Arial" w:hAnsi="Arial"/>
          <w:color w:val="000000"/>
          <w:sz w:val="21"/>
        </w:rPr>
        <w:t>aiding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power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 Document,</w:t>
      </w:r>
      <w:r>
        <w:rPr>
          <w:rFonts w:ascii="Arial" w:hAnsi="Arial"/>
          <w:sz w:val="20"/>
        </w:rPr>
        <w:t xml:space="preserve"> </w:t>
      </w:r>
    </w:p>
    <w:p>
      <w:pPr>
        <w:pStyle w:val="TextBody"/>
        <w:bidi w:val="0"/>
        <w:spacing w:lineRule="auto" w:line="266" w:before="120" w:after="0"/>
        <w:ind w:left="3120" w:right="1471" w:hanging="0"/>
        <w:jc w:val="left"/>
        <w:rPr>
          <w:rFonts w:ascii="Arial" w:hAnsi="Arial"/>
          <w:sz w:val="22"/>
        </w:rPr>
      </w:pPr>
      <w:r>
        <w:rPr>
          <w:rFonts w:ascii="Arial" w:hAnsi="Arial"/>
          <w:color w:val="000000"/>
          <w:sz w:val="22"/>
        </w:rPr>
        <w:t>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36" w:name="Exclusion18211"/>
      <w:bookmarkEnd w:id="536"/>
      <w:r>
        <w:rPr>
          <w:rFonts w:ascii="Arial" w:hAnsi="Arial"/>
          <w:b/>
          <w:color w:val="000000"/>
          <w:sz w:val="24"/>
        </w:rPr>
        <w:t>18.21Exclusion of certain provisions</w:t>
      </w:r>
      <w:r>
        <w:rPr>
          <w:rFonts w:ascii="Arial" w:hAnsi="Arial"/>
          <w:b/>
          <w:sz w:val="24"/>
        </w:rPr>
        <w:t xml:space="preserve"> </w:t>
      </w:r>
    </w:p>
    <w:p>
      <w:pPr>
        <w:pStyle w:val="TextBody"/>
        <w:bidi w:val="0"/>
        <w:spacing w:before="95" w:after="0"/>
        <w:ind w:left="3120" w:right="700" w:hanging="0"/>
        <w:jc w:val="left"/>
        <w:rPr>
          <w:rFonts w:ascii="Arial" w:hAnsi="Arial"/>
          <w:sz w:val="22"/>
        </w:rPr>
      </w:pPr>
      <w:r>
        <w:rPr>
          <w:rFonts w:ascii="Arial" w:hAnsi="Arial"/>
          <w:color w:val="000000"/>
          <w:sz w:val="22"/>
        </w:rPr>
        <w:t>Where there is a Security Interest under any Transaction Document:</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(a)to the extent permitted, sections 142 and 143 of the PPS Act are excluded in full and will not apply to that Security Interest and the Bank need</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sections</w:t>
      </w:r>
      <w:r>
        <w:rPr>
          <w:rFonts w:ascii="Arial" w:hAnsi="Arial"/>
          <w:color w:val="000000"/>
          <w:sz w:val="20"/>
        </w:rPr>
        <w:t> </w:t>
      </w:r>
      <w:r>
        <w:rPr>
          <w:rFonts w:ascii="Arial" w:hAnsi="Arial"/>
          <w:color w:val="000000"/>
          <w:sz w:val="21"/>
        </w:rPr>
        <w:t>95,</w:t>
      </w:r>
      <w:r>
        <w:rPr>
          <w:rFonts w:ascii="Arial" w:hAnsi="Arial"/>
          <w:color w:val="000000"/>
          <w:sz w:val="20"/>
        </w:rPr>
        <w:t> </w:t>
      </w:r>
      <w:r>
        <w:rPr>
          <w:rFonts w:ascii="Arial" w:hAnsi="Arial"/>
          <w:color w:val="000000"/>
          <w:sz w:val="21"/>
        </w:rPr>
        <w:t>118,</w:t>
      </w:r>
      <w:r>
        <w:rPr>
          <w:rFonts w:ascii="Arial" w:hAnsi="Arial"/>
          <w:color w:val="000000"/>
          <w:sz w:val="20"/>
        </w:rPr>
        <w:t> </w:t>
      </w:r>
      <w:r>
        <w:rPr>
          <w:rFonts w:ascii="Arial" w:hAnsi="Arial"/>
          <w:color w:val="000000"/>
          <w:sz w:val="21"/>
        </w:rPr>
        <w:t>121(4),</w:t>
      </w:r>
      <w:r>
        <w:rPr>
          <w:rFonts w:ascii="Arial" w:hAnsi="Arial"/>
          <w:color w:val="000000"/>
          <w:sz w:val="20"/>
        </w:rPr>
        <w:t> </w:t>
      </w:r>
      <w:r>
        <w:rPr>
          <w:rFonts w:ascii="Arial" w:hAnsi="Arial"/>
          <w:color w:val="000000"/>
          <w:sz w:val="21"/>
        </w:rPr>
        <w:t>125,</w:t>
      </w:r>
      <w:r>
        <w:rPr>
          <w:rFonts w:ascii="Arial" w:hAnsi="Arial"/>
          <w:color w:val="000000"/>
          <w:sz w:val="20"/>
        </w:rPr>
        <w:t> </w:t>
      </w:r>
      <w:r>
        <w:rPr>
          <w:rFonts w:ascii="Arial" w:hAnsi="Arial"/>
          <w:color w:val="000000"/>
          <w:sz w:val="21"/>
        </w:rPr>
        <w:t>130</w:t>
      </w:r>
      <w:r>
        <w:rPr>
          <w:rFonts w:ascii="Arial" w:hAnsi="Arial"/>
          <w:color w:val="000000"/>
          <w:sz w:val="20"/>
        </w:rPr>
        <w:t> </w:t>
      </w:r>
      <w:r>
        <w:rPr>
          <w:rFonts w:ascii="Arial" w:hAnsi="Arial"/>
          <w:color w:val="000000"/>
          <w:sz w:val="21"/>
        </w:rPr>
        <w:t>,132(3)(d),</w:t>
      </w:r>
      <w:r>
        <w:rPr>
          <w:rFonts w:ascii="Arial" w:hAnsi="Arial"/>
          <w:color w:val="000000"/>
          <w:sz w:val="20"/>
        </w:rPr>
        <w:t> </w:t>
      </w:r>
      <w:r>
        <w:rPr>
          <w:rFonts w:ascii="Arial" w:hAnsi="Arial"/>
          <w:color w:val="000000"/>
          <w:sz w:val="21"/>
        </w:rPr>
        <w:t>and 132(4) of the PPS Act; and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(b)each Transaction Party waives its right to receive from the Bank any notice</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s157</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PPS</w:t>
      </w:r>
      <w:r>
        <w:rPr>
          <w:rFonts w:ascii="Arial" w:hAnsi="Arial"/>
          <w:color w:val="000000"/>
          <w:sz w:val="20"/>
        </w:rPr>
        <w:t> </w:t>
      </w:r>
      <w:r>
        <w:rPr>
          <w:rFonts w:ascii="Arial" w:hAnsi="Arial"/>
          <w:color w:val="000000"/>
          <w:sz w:val="21"/>
        </w:rPr>
        <w:t>Act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provisions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PPS Act referred to in s144 of the PPS Act, except section 135.</w:t>
      </w:r>
      <w:r>
        <w:rPr>
          <w:rFonts w:ascii="Arial" w:hAnsi="Arial"/>
          <w:sz w:val="20"/>
        </w:rPr>
        <w:t xml:space="preserve"> </w:t>
      </w:r>
    </w:p>
    <w:p>
      <w:pPr>
        <w:pStyle w:val="TextBody"/>
        <w:bidi w:val="0"/>
        <w:spacing w:lineRule="auto" w:line="266" w:before="118" w:after="0"/>
        <w:ind w:left="3120" w:right="1435" w:hanging="0"/>
        <w:jc w:val="left"/>
        <w:rPr>
          <w:rFonts w:ascii="Arial" w:hAnsi="Arial"/>
          <w:sz w:val="22"/>
        </w:rPr>
      </w:pPr>
      <w:r>
        <w:rPr>
          <w:rFonts w:ascii="Arial" w:hAnsi="Arial"/>
          <w:color w:val="000000"/>
          <w:sz w:val="22"/>
        </w:rPr>
        <w:t>This does not affect any rights a person has or would have other than by reason of the PPS Act and applies despite any other clause in any Transaction Document.</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37" w:name="Notice_of_changes18221"/>
      <w:bookmarkEnd w:id="537"/>
      <w:r>
        <w:rPr>
          <w:rFonts w:ascii="Arial" w:hAnsi="Arial"/>
          <w:b/>
          <w:color w:val="000000"/>
          <w:sz w:val="24"/>
        </w:rPr>
        <w:t>18.22Notice of changes</w:t>
      </w:r>
      <w:r>
        <w:rPr>
          <w:rFonts w:ascii="Arial" w:hAnsi="Arial"/>
          <w:b/>
          <w:sz w:val="24"/>
        </w:rPr>
        <w:t xml:space="preserve"> </w:t>
      </w:r>
    </w:p>
    <w:p>
      <w:pPr>
        <w:pStyle w:val="TextBody"/>
        <w:pBdr/>
        <w:bidi w:val="0"/>
        <w:spacing w:before="95" w:after="0"/>
        <w:ind w:left="3120" w:right="700" w:hanging="0"/>
        <w:jc w:val="left"/>
        <w:rPr>
          <w:rFonts w:ascii="Arial" w:hAnsi="Arial"/>
          <w:sz w:val="22"/>
        </w:rPr>
      </w:pPr>
      <w:r>
        <w:rPr>
          <w:rFonts w:ascii="Arial" w:hAnsi="Arial"/>
          <w:color w:val="000000"/>
          <w:sz w:val="22"/>
        </w:rPr>
        <w:t>Each Transaction Party agrees to notify the Bank at least 14 days before:</w:t>
      </w:r>
      <w:r>
        <w:rPr>
          <w:rFonts w:ascii="Arial" w:hAnsi="Arial"/>
          <w:sz w:val="22"/>
        </w:rPr>
        <w:t xml:space="preserve"> </w:t>
      </w:r>
    </w:p>
    <w:p>
      <w:pPr>
        <w:pStyle w:val="TextBody"/>
        <w:pBdr/>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(a)a Transaction Party (or</w:t>
      </w:r>
      <w:r>
        <w:rPr>
          <w:rFonts w:ascii="Arial" w:hAnsi="Arial"/>
          <w:sz w:val="20"/>
        </w:rPr>
        <w:t> </w:t>
      </w:r>
      <w:r>
        <w:rPr>
          <w:rFonts w:ascii="Arial" w:hAnsi="Arial"/>
          <w:sz w:val="21"/>
        </w:rPr>
        <w:t>if</w:t>
      </w:r>
      <w:r>
        <w:rPr>
          <w:rFonts w:ascii="Arial" w:hAnsi="Arial"/>
          <w:sz w:val="20"/>
        </w:rPr>
        <w:t> </w:t>
      </w:r>
      <w:r>
        <w:rPr>
          <w:rFonts w:ascii="Arial" w:hAnsi="Arial"/>
          <w:sz w:val="21"/>
        </w:rPr>
        <w:t>the Transaction Party is trustee of</w:t>
      </w:r>
      <w:r>
        <w:rPr>
          <w:rFonts w:ascii="Arial" w:hAnsi="Arial"/>
          <w:sz w:val="20"/>
        </w:rPr>
        <w:t> </w:t>
      </w:r>
      <w:r>
        <w:rPr>
          <w:rFonts w:ascii="Arial" w:hAnsi="Arial"/>
          <w:sz w:val="21"/>
        </w:rPr>
        <w:t>a Trust</w:t>
      </w:r>
      <w:r>
        <w:rPr>
          <w:rFonts w:ascii="Arial" w:hAnsi="Arial"/>
          <w:sz w:val="20"/>
        </w:rPr>
        <w:t> </w:t>
      </w:r>
      <w:r>
        <w:rPr>
          <w:rFonts w:ascii="Arial" w:hAnsi="Arial"/>
          <w:sz w:val="21"/>
        </w:rPr>
        <w:t>or</w:t>
      </w:r>
      <w:r>
        <w:rPr>
          <w:rFonts w:ascii="Arial" w:hAnsi="Arial"/>
          <w:sz w:val="20"/>
        </w:rPr>
        <w:t> </w:t>
      </w:r>
      <w:r>
        <w:rPr>
          <w:rFonts w:ascii="Arial" w:hAnsi="Arial"/>
          <w:sz w:val="21"/>
        </w:rPr>
        <w:t>a partner</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partnership,</w:t>
      </w:r>
      <w:r>
        <w:rPr>
          <w:rFonts w:ascii="Arial" w:hAnsi="Arial"/>
          <w:sz w:val="20"/>
        </w:rPr>
        <w:t> </w:t>
      </w:r>
      <w:r>
        <w:rPr>
          <w:rFonts w:ascii="Arial" w:hAnsi="Arial"/>
          <w:sz w:val="21"/>
        </w:rPr>
        <w:t>the</w:t>
      </w:r>
      <w:r>
        <w:rPr>
          <w:rFonts w:ascii="Arial" w:hAnsi="Arial"/>
          <w:sz w:val="20"/>
        </w:rPr>
        <w:t> </w:t>
      </w:r>
      <w:r>
        <w:rPr>
          <w:rFonts w:ascii="Arial" w:hAnsi="Arial"/>
          <w:sz w:val="21"/>
        </w:rPr>
        <w:t>Trust</w:t>
      </w:r>
      <w:r>
        <w:rPr>
          <w:rFonts w:ascii="Arial" w:hAnsi="Arial"/>
          <w:sz w:val="20"/>
        </w:rPr>
        <w:t> </w:t>
      </w:r>
      <w:r>
        <w:rPr>
          <w:rFonts w:ascii="Arial" w:hAnsi="Arial"/>
          <w:sz w:val="21"/>
        </w:rPr>
        <w:t>or</w:t>
      </w:r>
      <w:r>
        <w:rPr>
          <w:rFonts w:ascii="Arial" w:hAnsi="Arial"/>
          <w:sz w:val="20"/>
        </w:rPr>
        <w:t> </w:t>
      </w:r>
      <w:r>
        <w:rPr>
          <w:rFonts w:ascii="Arial" w:hAnsi="Arial"/>
          <w:sz w:val="21"/>
        </w:rPr>
        <w:t>the</w:t>
      </w:r>
      <w:r>
        <w:rPr>
          <w:rFonts w:ascii="Arial" w:hAnsi="Arial"/>
          <w:sz w:val="20"/>
        </w:rPr>
        <w:t> </w:t>
      </w:r>
      <w:r>
        <w:rPr>
          <w:rFonts w:ascii="Arial" w:hAnsi="Arial"/>
          <w:sz w:val="21"/>
        </w:rPr>
        <w:t>partnership)</w:t>
      </w:r>
      <w:r>
        <w:rPr>
          <w:rFonts w:ascii="Arial" w:hAnsi="Arial"/>
          <w:sz w:val="20"/>
        </w:rPr>
        <w:t> </w:t>
      </w:r>
      <w:r>
        <w:rPr>
          <w:rFonts w:ascii="Arial" w:hAnsi="Arial"/>
          <w:sz w:val="21"/>
        </w:rPr>
        <w:t>changes</w:t>
      </w:r>
      <w:r>
        <w:rPr>
          <w:rFonts w:ascii="Arial" w:hAnsi="Arial"/>
          <w:sz w:val="20"/>
        </w:rPr>
        <w:t> </w:t>
      </w:r>
      <w:r>
        <w:rPr>
          <w:rFonts w:ascii="Arial" w:hAnsi="Arial"/>
          <w:sz w:val="21"/>
        </w:rPr>
        <w:t>its</w:t>
      </w:r>
      <w:r>
        <w:rPr>
          <w:rFonts w:ascii="Arial" w:hAnsi="Arial"/>
          <w:sz w:val="20"/>
        </w:rPr>
        <w:t> </w:t>
      </w:r>
      <w:r>
        <w:rPr>
          <w:rFonts w:ascii="Arial" w:hAnsi="Arial"/>
          <w:sz w:val="21"/>
        </w:rPr>
        <w:t>name;</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(b)any ABN, ARBN or ARSN allocated to a Transaction Party (or if the Transaction</w:t>
      </w:r>
      <w:r>
        <w:rPr>
          <w:rFonts w:ascii="Arial" w:hAnsi="Arial"/>
          <w:sz w:val="20"/>
        </w:rPr>
        <w:t> </w:t>
      </w:r>
      <w:r>
        <w:rPr>
          <w:rFonts w:ascii="Arial" w:hAnsi="Arial"/>
          <w:sz w:val="21"/>
        </w:rPr>
        <w:t>Party</w:t>
      </w:r>
      <w:r>
        <w:rPr>
          <w:rFonts w:ascii="Arial" w:hAnsi="Arial"/>
          <w:sz w:val="20"/>
        </w:rPr>
        <w:t> </w:t>
      </w:r>
      <w:r>
        <w:rPr>
          <w:rFonts w:ascii="Arial" w:hAnsi="Arial"/>
          <w:sz w:val="21"/>
        </w:rPr>
        <w:t>is</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Trust</w:t>
      </w:r>
      <w:r>
        <w:rPr>
          <w:rFonts w:ascii="Arial" w:hAnsi="Arial"/>
          <w:sz w:val="20"/>
        </w:rPr>
        <w:t> </w:t>
      </w:r>
      <w:r>
        <w:rPr>
          <w:rFonts w:ascii="Arial" w:hAnsi="Arial"/>
          <w:sz w:val="21"/>
        </w:rPr>
        <w:t>or</w:t>
      </w:r>
      <w:r>
        <w:rPr>
          <w:rFonts w:ascii="Arial" w:hAnsi="Arial"/>
          <w:sz w:val="20"/>
        </w:rPr>
        <w:t> </w:t>
      </w:r>
      <w:r>
        <w:rPr>
          <w:rFonts w:ascii="Arial" w:hAnsi="Arial"/>
          <w:sz w:val="21"/>
        </w:rPr>
        <w:t>a</w:t>
      </w:r>
      <w:r>
        <w:rPr>
          <w:rFonts w:ascii="Arial" w:hAnsi="Arial"/>
          <w:sz w:val="20"/>
        </w:rPr>
        <w:t> </w:t>
      </w:r>
      <w:r>
        <w:rPr>
          <w:rFonts w:ascii="Arial" w:hAnsi="Arial"/>
          <w:sz w:val="21"/>
        </w:rPr>
        <w:t>partner</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partnership,</w:t>
      </w:r>
      <w:r>
        <w:rPr>
          <w:rFonts w:ascii="Arial" w:hAnsi="Arial"/>
          <w:sz w:val="20"/>
        </w:rPr>
        <w:t> </w:t>
      </w:r>
      <w:r>
        <w:rPr>
          <w:rFonts w:ascii="Arial" w:hAnsi="Arial"/>
          <w:sz w:val="21"/>
        </w:rPr>
        <w:t>the Trust or the partnership) changes, is cancelled or otherwise ceases to apply to it (or if it does not have an ABN, ARBN or ARSN, one is allocated, or otherwise starts to apply, to it);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sz w:val="21"/>
        </w:rPr>
        <w:t>(c)the</w:t>
      </w:r>
      <w:r>
        <w:rPr>
          <w:rFonts w:ascii="Arial" w:hAnsi="Arial"/>
          <w:sz w:val="20"/>
        </w:rPr>
        <w:t> </w:t>
      </w:r>
      <w:r>
        <w:rPr>
          <w:rFonts w:ascii="Arial" w:hAnsi="Arial"/>
          <w:sz w:val="21"/>
        </w:rPr>
        <w:t>Borrower</w:t>
      </w:r>
      <w:r>
        <w:rPr>
          <w:rFonts w:ascii="Arial" w:hAnsi="Arial"/>
          <w:sz w:val="20"/>
        </w:rPr>
        <w:t> </w:t>
      </w:r>
      <w:r>
        <w:rPr>
          <w:rFonts w:ascii="Arial" w:hAnsi="Arial"/>
          <w:sz w:val="21"/>
        </w:rPr>
        <w:t>becomes</w:t>
      </w:r>
      <w:r>
        <w:rPr>
          <w:rFonts w:ascii="Arial" w:hAnsi="Arial"/>
          <w:sz w:val="20"/>
        </w:rPr>
        <w:t> </w:t>
      </w:r>
      <w:r>
        <w:rPr>
          <w:rFonts w:ascii="Arial" w:hAnsi="Arial"/>
          <w:sz w:val="21"/>
        </w:rPr>
        <w:t>trustee</w:t>
      </w:r>
      <w:r>
        <w:rPr>
          <w:rFonts w:ascii="Arial" w:hAnsi="Arial"/>
          <w:sz w:val="20"/>
        </w:rPr>
        <w:t> </w:t>
      </w:r>
      <w:r>
        <w:rPr>
          <w:rFonts w:ascii="Arial" w:hAnsi="Arial"/>
          <w:sz w:val="21"/>
        </w:rPr>
        <w:t>of</w:t>
      </w:r>
      <w:r>
        <w:rPr>
          <w:rFonts w:ascii="Arial" w:hAnsi="Arial"/>
          <w:sz w:val="20"/>
        </w:rPr>
        <w:t> </w:t>
      </w:r>
      <w:r>
        <w:rPr>
          <w:rFonts w:ascii="Arial" w:hAnsi="Arial"/>
          <w:sz w:val="21"/>
        </w:rPr>
        <w:t>a</w:t>
      </w:r>
      <w:r>
        <w:rPr>
          <w:rFonts w:ascii="Arial" w:hAnsi="Arial"/>
          <w:sz w:val="20"/>
        </w:rPr>
        <w:t> </w:t>
      </w:r>
      <w:r>
        <w:rPr>
          <w:rFonts w:ascii="Arial" w:hAnsi="Arial"/>
          <w:sz w:val="21"/>
        </w:rPr>
        <w:t>trust,</w:t>
      </w:r>
      <w:r>
        <w:rPr>
          <w:rFonts w:ascii="Arial" w:hAnsi="Arial"/>
          <w:sz w:val="20"/>
        </w:rPr>
        <w:t> </w:t>
      </w:r>
      <w:r>
        <w:rPr>
          <w:rFonts w:ascii="Arial" w:hAnsi="Arial"/>
          <w:sz w:val="21"/>
        </w:rPr>
        <w:t>or</w:t>
      </w:r>
      <w:r>
        <w:rPr>
          <w:rFonts w:ascii="Arial" w:hAnsi="Arial"/>
          <w:sz w:val="20"/>
        </w:rPr>
        <w:t> </w:t>
      </w:r>
      <w:r>
        <w:rPr>
          <w:rFonts w:ascii="Arial" w:hAnsi="Arial"/>
          <w:sz w:val="21"/>
        </w:rPr>
        <w:t>a</w:t>
      </w:r>
      <w:r>
        <w:rPr>
          <w:rFonts w:ascii="Arial" w:hAnsi="Arial"/>
          <w:sz w:val="20"/>
        </w:rPr>
        <w:t> </w:t>
      </w:r>
      <w:r>
        <w:rPr>
          <w:rFonts w:ascii="Arial" w:hAnsi="Arial"/>
          <w:sz w:val="21"/>
        </w:rPr>
        <w:t>partner</w:t>
      </w:r>
      <w:r>
        <w:rPr>
          <w:rFonts w:ascii="Arial" w:hAnsi="Arial"/>
          <w:sz w:val="20"/>
        </w:rPr>
        <w:t> </w:t>
      </w:r>
      <w:r>
        <w:rPr>
          <w:rFonts w:ascii="Arial" w:hAnsi="Arial"/>
          <w:sz w:val="21"/>
        </w:rPr>
        <w:t>in</w:t>
      </w:r>
      <w:r>
        <w:rPr>
          <w:rFonts w:ascii="Arial" w:hAnsi="Arial"/>
          <w:sz w:val="20"/>
        </w:rPr>
        <w:t> </w:t>
      </w:r>
      <w:r>
        <w:rPr>
          <w:rFonts w:ascii="Arial" w:hAnsi="Arial"/>
          <w:sz w:val="21"/>
        </w:rPr>
        <w:t>a</w:t>
      </w:r>
      <w:r>
        <w:rPr>
          <w:rFonts w:ascii="Arial" w:hAnsi="Arial"/>
          <w:sz w:val="20"/>
        </w:rPr>
        <w:t> </w:t>
      </w:r>
      <w:r>
        <w:rPr>
          <w:rFonts w:ascii="Arial" w:hAnsi="Arial"/>
          <w:sz w:val="21"/>
        </w:rPr>
        <w:t>partnership, which is not expressly contemplated in the Transaction Documents.</w:t>
      </w:r>
      <w:r>
        <w:rPr>
          <w:rFonts w:ascii="Arial" w:hAnsi="Arial"/>
          <w:sz w:val="20"/>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87" w:after="0"/>
        <w:ind w:left="1700" w:right="700" w:hanging="0"/>
        <w:jc w:val="left"/>
        <w:rPr>
          <w:rFonts w:cs="Arial"/>
          <w:szCs w:val="22"/>
        </w:rPr>
      </w:pPr>
      <w:r>
        <w:rPr>
          <w:rFonts w:cs="Arial"/>
          <w:szCs w:val="22"/>
        </w:rPr>
        <w:t xml:space="preserve">﻿ </w:t>
      </w:r>
    </w:p>
    <w:p>
      <w:pPr>
        <w:pStyle w:val="TextBody"/>
        <w:bidi w:val="0"/>
        <w:spacing w:before="0" w:after="0"/>
        <w:ind w:left="3230" w:right="700" w:hanging="0"/>
        <w:jc w:val="left"/>
        <w:rPr>
          <w:rFonts w:ascii="Arial" w:hAnsi="Arial"/>
          <w:sz w:val="32"/>
        </w:rPr>
      </w:pPr>
      <w:bookmarkStart w:id="538" w:name="Notices191"/>
      <w:bookmarkEnd w:id="538"/>
      <w:r>
        <w:rPr>
          <w:rFonts w:ascii="Arial" w:hAnsi="Arial"/>
          <w:color w:val="000000"/>
          <w:sz w:val="32"/>
        </w:rPr>
        <w:t>19Notices</w:t>
      </w:r>
      <w:r>
        <w:rPr>
          <w:rFonts w:ascii="Arial" w:hAnsi="Arial"/>
          <w:sz w:val="32"/>
        </w:rPr>
        <w:t xml:space="preserve"> </w:t>
      </w:r>
    </w:p>
    <w:p>
      <w:pPr>
        <w:pStyle w:val="TextBody"/>
        <w:bidi w:val="0"/>
        <w:spacing w:before="214" w:after="0"/>
        <w:ind w:left="3725" w:right="700" w:hanging="0"/>
        <w:jc w:val="left"/>
        <w:rPr>
          <w:rFonts w:ascii="Arial" w:hAnsi="Arial"/>
          <w:b/>
          <w:sz w:val="24"/>
        </w:rPr>
      </w:pPr>
      <w:bookmarkStart w:id="539" w:name="General1911"/>
      <w:bookmarkEnd w:id="539"/>
      <w:r>
        <w:rPr>
          <w:rFonts w:ascii="Arial" w:hAnsi="Arial"/>
          <w:b/>
          <w:color w:val="000000"/>
          <w:sz w:val="24"/>
        </w:rPr>
        <w:t>19.1General</w:t>
      </w:r>
      <w:r>
        <w:rPr>
          <w:rFonts w:ascii="Arial" w:hAnsi="Arial"/>
          <w:b/>
          <w:sz w:val="24"/>
        </w:rPr>
        <w:t xml:space="preserve"> </w:t>
      </w:r>
    </w:p>
    <w:p>
      <w:pPr>
        <w:pStyle w:val="TextBody"/>
        <w:bidi w:val="0"/>
        <w:spacing w:lineRule="auto" w:line="266" w:before="93" w:after="0"/>
        <w:ind w:left="3120" w:right="1702" w:hanging="0"/>
        <w:jc w:val="both"/>
        <w:rPr>
          <w:rFonts w:ascii="Arial" w:hAnsi="Arial"/>
          <w:sz w:val="22"/>
        </w:rPr>
      </w:pPr>
      <w:r>
        <w:rPr>
          <w:rFonts w:ascii="Arial" w:hAnsi="Arial"/>
          <w:color w:val="000000"/>
          <w:sz w:val="22"/>
        </w:rPr>
        <w:t>A notice, demand, certification, process or other communication relating to a Transaction Document must be in writing in English and may be given by an Authorised Representative of the sender.</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40" w:name="How_to_give_a_communication1921"/>
      <w:bookmarkEnd w:id="540"/>
      <w:r>
        <w:rPr>
          <w:rFonts w:ascii="Arial" w:hAnsi="Arial"/>
          <w:b/>
          <w:color w:val="000000"/>
          <w:sz w:val="24"/>
        </w:rPr>
        <w:t>19.2How to give a communication</w:t>
      </w:r>
      <w:r>
        <w:rPr>
          <w:rFonts w:ascii="Arial" w:hAnsi="Arial"/>
          <w:b/>
          <w:sz w:val="24"/>
        </w:rPr>
        <w:t xml:space="preserve"> </w:t>
      </w:r>
    </w:p>
    <w:p>
      <w:pPr>
        <w:pStyle w:val="TextBody"/>
        <w:bidi w:val="0"/>
        <w:spacing w:before="93" w:after="0"/>
        <w:ind w:left="3120" w:right="700" w:hanging="0"/>
        <w:jc w:val="left"/>
        <w:rPr>
          <w:rFonts w:ascii="Arial" w:hAnsi="Arial"/>
          <w:sz w:val="22"/>
        </w:rPr>
      </w:pPr>
      <w:r>
        <w:rPr>
          <w:rFonts w:ascii="Arial" w:hAnsi="Arial"/>
          <w:color w:val="000000"/>
          <w:sz w:val="22"/>
        </w:rPr>
        <w:t>In addition to any other lawful means, a communication may be given by being:</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(a)personally</w:t>
      </w:r>
      <w:r>
        <w:rPr>
          <w:rFonts w:ascii="Arial" w:hAnsi="Arial"/>
          <w:color w:val="000000"/>
          <w:sz w:val="20"/>
        </w:rPr>
        <w:t xml:space="preserve"> </w:t>
      </w:r>
      <w:r>
        <w:rPr>
          <w:rFonts w:ascii="Arial" w:hAnsi="Arial"/>
          <w:color w:val="000000"/>
          <w:sz w:val="21"/>
        </w:rPr>
        <w:t>delivered;</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(b)left</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party’s</w:t>
      </w:r>
      <w:r>
        <w:rPr>
          <w:rFonts w:ascii="Arial" w:hAnsi="Arial"/>
          <w:color w:val="000000"/>
          <w:sz w:val="20"/>
        </w:rPr>
        <w:t> </w:t>
      </w:r>
      <w:r>
        <w:rPr>
          <w:rFonts w:ascii="Arial" w:hAnsi="Arial"/>
          <w:color w:val="000000"/>
          <w:sz w:val="21"/>
        </w:rPr>
        <w:t>current</w:t>
      </w:r>
      <w:r>
        <w:rPr>
          <w:rFonts w:ascii="Arial" w:hAnsi="Arial"/>
          <w:color w:val="000000"/>
          <w:sz w:val="20"/>
        </w:rPr>
        <w:t> </w:t>
      </w:r>
      <w:r>
        <w:rPr>
          <w:rFonts w:ascii="Arial" w:hAnsi="Arial"/>
          <w:color w:val="000000"/>
          <w:sz w:val="21"/>
        </w:rPr>
        <w:t>address</w:t>
      </w:r>
      <w:r>
        <w:rPr>
          <w:rFonts w:ascii="Arial" w:hAnsi="Arial"/>
          <w:color w:val="000000"/>
          <w:sz w:val="20"/>
        </w:rPr>
        <w:t> </w:t>
      </w:r>
      <w:r>
        <w:rPr>
          <w:rFonts w:ascii="Arial" w:hAnsi="Arial"/>
          <w:color w:val="000000"/>
          <w:sz w:val="21"/>
        </w:rPr>
        <w:t>for</w:t>
      </w:r>
      <w:r>
        <w:rPr>
          <w:rFonts w:ascii="Arial" w:hAnsi="Arial"/>
          <w:color w:val="000000"/>
          <w:sz w:val="20"/>
        </w:rPr>
        <w:t xml:space="preserve"> </w:t>
      </w:r>
      <w:r>
        <w:rPr>
          <w:rFonts w:ascii="Arial" w:hAnsi="Arial"/>
          <w:color w:val="000000"/>
          <w:sz w:val="21"/>
        </w:rPr>
        <w:t>notices;</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(c)sent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party’s</w:t>
      </w:r>
      <w:r>
        <w:rPr>
          <w:rFonts w:ascii="Arial" w:hAnsi="Arial"/>
          <w:color w:val="000000"/>
          <w:sz w:val="20"/>
        </w:rPr>
        <w:t> </w:t>
      </w:r>
      <w:r>
        <w:rPr>
          <w:rFonts w:ascii="Arial" w:hAnsi="Arial"/>
          <w:color w:val="000000"/>
          <w:sz w:val="21"/>
        </w:rPr>
        <w:t>current</w:t>
      </w:r>
      <w:r>
        <w:rPr>
          <w:rFonts w:ascii="Arial" w:hAnsi="Arial"/>
          <w:color w:val="000000"/>
          <w:sz w:val="20"/>
        </w:rPr>
        <w:t> </w:t>
      </w:r>
      <w:r>
        <w:rPr>
          <w:rFonts w:ascii="Arial" w:hAnsi="Arial"/>
          <w:color w:val="000000"/>
          <w:sz w:val="21"/>
        </w:rPr>
        <w:t>address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notices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pre-paid</w:t>
      </w:r>
      <w:r>
        <w:rPr>
          <w:rFonts w:ascii="Arial" w:hAnsi="Arial"/>
          <w:color w:val="000000"/>
          <w:sz w:val="20"/>
        </w:rPr>
        <w:t> </w:t>
      </w:r>
      <w:r>
        <w:rPr>
          <w:rFonts w:ascii="Arial" w:hAnsi="Arial"/>
          <w:color w:val="000000"/>
          <w:sz w:val="21"/>
        </w:rPr>
        <w:t>ordinary</w:t>
      </w:r>
      <w:r>
        <w:rPr>
          <w:rFonts w:ascii="Arial" w:hAnsi="Arial"/>
          <w:color w:val="000000"/>
          <w:sz w:val="20"/>
        </w:rPr>
        <w:t> </w:t>
      </w:r>
      <w:r>
        <w:rPr>
          <w:rFonts w:ascii="Arial" w:hAnsi="Arial"/>
          <w:color w:val="000000"/>
          <w:sz w:val="21"/>
        </w:rPr>
        <w:t>mail or, if the address is outside Australia, by pre-paid airmail;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(d)sent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fax</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party’s</w:t>
      </w:r>
      <w:r>
        <w:rPr>
          <w:rFonts w:ascii="Arial" w:hAnsi="Arial"/>
          <w:color w:val="000000"/>
          <w:sz w:val="20"/>
        </w:rPr>
        <w:t> </w:t>
      </w:r>
      <w:r>
        <w:rPr>
          <w:rFonts w:ascii="Arial" w:hAnsi="Arial"/>
          <w:color w:val="000000"/>
          <w:sz w:val="21"/>
        </w:rPr>
        <w:t>current</w:t>
      </w:r>
      <w:r>
        <w:rPr>
          <w:rFonts w:ascii="Arial" w:hAnsi="Arial"/>
          <w:color w:val="000000"/>
          <w:sz w:val="20"/>
        </w:rPr>
        <w:t> </w:t>
      </w:r>
      <w:r>
        <w:rPr>
          <w:rFonts w:ascii="Arial" w:hAnsi="Arial"/>
          <w:color w:val="000000"/>
          <w:sz w:val="21"/>
        </w:rPr>
        <w:t>fax</w:t>
      </w:r>
      <w:r>
        <w:rPr>
          <w:rFonts w:ascii="Arial" w:hAnsi="Arial"/>
          <w:color w:val="000000"/>
          <w:sz w:val="20"/>
        </w:rPr>
        <w:t> </w:t>
      </w:r>
      <w:r>
        <w:rPr>
          <w:rFonts w:ascii="Arial" w:hAnsi="Arial"/>
          <w:color w:val="000000"/>
          <w:sz w:val="21"/>
        </w:rPr>
        <w:t>number</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notices.</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41" w:name="Particulars1931"/>
      <w:bookmarkEnd w:id="541"/>
      <w:r>
        <w:rPr>
          <w:rFonts w:ascii="Arial" w:hAnsi="Arial"/>
          <w:b/>
          <w:color w:val="000000"/>
          <w:sz w:val="24"/>
        </w:rPr>
        <w:t>19.3Particulars for delivery of notices</w:t>
      </w:r>
      <w:r>
        <w:rPr>
          <w:rFonts w:ascii="Arial" w:hAnsi="Arial"/>
          <w:b/>
          <w:sz w:val="24"/>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(a)The</w:t>
      </w:r>
      <w:r>
        <w:rPr>
          <w:rFonts w:ascii="Arial" w:hAnsi="Arial"/>
          <w:color w:val="000000"/>
          <w:sz w:val="20"/>
        </w:rPr>
        <w:t> </w:t>
      </w:r>
      <w:r>
        <w:rPr>
          <w:rFonts w:ascii="Arial" w:hAnsi="Arial"/>
          <w:color w:val="000000"/>
          <w:sz w:val="21"/>
        </w:rPr>
        <w:t>particulars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notices</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initially:</w:t>
      </w:r>
      <w:r>
        <w:rPr>
          <w:rFonts w:ascii="Arial" w:hAnsi="Arial"/>
          <w:sz w:val="20"/>
        </w:rPr>
        <w:t xml:space="preserve"> </w:t>
      </w:r>
    </w:p>
    <w:p>
      <w:pPr>
        <w:pStyle w:val="TextBody"/>
        <w:bidi w:val="0"/>
        <w:spacing w:before="147" w:after="0"/>
        <w:ind w:left="3686" w:right="700" w:hanging="0"/>
        <w:jc w:val="left"/>
        <w:rPr>
          <w:rFonts w:ascii="Arial" w:hAnsi="Arial"/>
          <w:b/>
          <w:sz w:val="22"/>
        </w:rPr>
      </w:pPr>
      <w:r>
        <w:rPr>
          <w:rFonts w:ascii="Arial" w:hAnsi="Arial"/>
          <w:b/>
          <w:color w:val="000000"/>
          <w:sz w:val="22"/>
        </w:rPr>
        <w:t>Transaction Parties:</w:t>
      </w:r>
      <w:r>
        <w:rPr>
          <w:rFonts w:ascii="Arial" w:hAnsi="Arial"/>
          <w:b/>
          <w:sz w:val="22"/>
        </w:rPr>
        <w:t xml:space="preserve"> </w:t>
      </w:r>
    </w:p>
    <w:p>
      <w:pPr>
        <w:pStyle w:val="TextBody"/>
        <w:bidi w:val="0"/>
        <w:spacing w:lineRule="auto" w:line="384" w:before="150" w:after="0"/>
        <w:ind w:left="3686" w:right="5336" w:hanging="0"/>
        <w:jc w:val="left"/>
        <w:rPr/>
      </w:pPr>
      <w:r>
        <w:rPr>
          <w:rFonts w:ascii="Arial" w:hAnsi="Arial"/>
          <w:color w:val="000000"/>
          <w:sz w:val="21"/>
        </w:rPr>
        <w:t>As</w:t>
      </w:r>
      <w:r>
        <w:rPr>
          <w:rFonts w:ascii="Arial" w:hAnsi="Arial"/>
          <w:color w:val="000000"/>
          <w:sz w:val="20"/>
        </w:rPr>
        <w:t> </w:t>
      </w:r>
      <w:r>
        <w:rPr>
          <w:rFonts w:ascii="Arial" w:hAnsi="Arial"/>
          <w:color w:val="000000"/>
          <w:sz w:val="21"/>
        </w:rPr>
        <w:t>set</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schedule</w:t>
      </w:r>
      <w:r>
        <w:rPr>
          <w:rFonts w:ascii="Arial" w:hAnsi="Arial"/>
          <w:color w:val="000000"/>
          <w:sz w:val="20"/>
        </w:rPr>
        <w:t> </w:t>
      </w:r>
      <w:hyperlink w:anchor="_bookmark199">
        <w:r>
          <w:rPr>
            <w:rStyle w:val="InternetLink"/>
          </w:rPr>
          <w:t>1</w:t>
        </w:r>
      </w:hyperlink>
      <w:r>
        <w:rPr>
          <w:rFonts w:ascii="Arial" w:hAnsi="Arial"/>
          <w:b/>
          <w:color w:val="000000"/>
          <w:sz w:val="21"/>
        </w:rPr>
        <w:t>.  Bank:</w:t>
      </w:r>
      <w:r>
        <w:rPr>
          <w:rFonts w:ascii="Arial" w:hAnsi="Arial"/>
          <w:sz w:val="20"/>
        </w:rPr>
        <w:t xml:space="preserve"> </w:t>
      </w:r>
    </w:p>
    <w:p>
      <w:pPr>
        <w:pStyle w:val="TextBody"/>
        <w:pBdr/>
        <w:bidi w:val="0"/>
        <w:spacing w:before="0" w:after="0"/>
        <w:ind w:left="3686" w:right="700" w:hanging="0"/>
        <w:jc w:val="left"/>
        <w:rPr>
          <w:rFonts w:ascii="Arial" w:hAnsi="Arial"/>
          <w:sz w:val="22"/>
        </w:rPr>
      </w:pPr>
      <w:r>
        <w:rPr>
          <w:rFonts w:ascii="Arial" w:hAnsi="Arial"/>
          <w:color w:val="000000"/>
          <w:sz w:val="22"/>
        </w:rPr>
        <w:t>Address:Level 17, 395 Bourke Street, Melbourne, Victoria 3000</w:t>
      </w:r>
      <w:r>
        <w:rPr>
          <w:rFonts w:ascii="Arial" w:hAnsi="Arial"/>
          <w:sz w:val="22"/>
        </w:rPr>
        <w:t xml:space="preserve"> </w:t>
      </w:r>
    </w:p>
    <w:p>
      <w:pPr>
        <w:pStyle w:val="TextBody"/>
        <w:pBdr/>
        <w:bidi w:val="0"/>
        <w:spacing w:before="179"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1" w:after="0"/>
        <w:ind w:left="3686" w:right="700" w:hanging="0"/>
        <w:jc w:val="left"/>
        <w:rPr>
          <w:rFonts w:ascii="Arial" w:hAnsi="Arial"/>
          <w:sz w:val="22"/>
        </w:rPr>
      </w:pPr>
      <w:r>
        <w:rPr>
          <w:rFonts w:ascii="Arial" w:hAnsi="Arial"/>
          <w:color w:val="000000"/>
          <w:sz w:val="22"/>
        </w:rPr>
        <w:t>Attention:Jonathan Kerr</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(b)Each</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particulars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notices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to each other party.</w:t>
      </w:r>
      <w:r>
        <w:rPr>
          <w:rFonts w:ascii="Arial" w:hAnsi="Arial"/>
          <w:sz w:val="20"/>
        </w:rPr>
        <w:t xml:space="preserve"> </w:t>
      </w:r>
    </w:p>
    <w:p>
      <w:pPr>
        <w:pStyle w:val="TextBody"/>
        <w:bidi w:val="0"/>
        <w:spacing w:before="214" w:after="0"/>
        <w:ind w:left="3725" w:right="700" w:hanging="0"/>
        <w:jc w:val="left"/>
        <w:rPr>
          <w:rFonts w:ascii="Arial" w:hAnsi="Arial"/>
          <w:b/>
          <w:sz w:val="24"/>
        </w:rPr>
      </w:pPr>
      <w:bookmarkStart w:id="542" w:name="Communications1941"/>
      <w:bookmarkEnd w:id="542"/>
      <w:r>
        <w:rPr>
          <w:rFonts w:ascii="Arial" w:hAnsi="Arial"/>
          <w:b/>
          <w:color w:val="000000"/>
          <w:sz w:val="24"/>
        </w:rPr>
        <w:t>19.4Communications by post</w:t>
      </w:r>
      <w:r>
        <w:rPr>
          <w:rFonts w:ascii="Arial" w:hAnsi="Arial"/>
          <w:b/>
          <w:sz w:val="24"/>
        </w:rPr>
        <w:t xml:space="preserve"> </w:t>
      </w:r>
    </w:p>
    <w:p>
      <w:pPr>
        <w:pStyle w:val="TextBody"/>
        <w:bidi w:val="0"/>
        <w:spacing w:before="93" w:after="0"/>
        <w:ind w:left="3120" w:right="700" w:hanging="0"/>
        <w:jc w:val="left"/>
        <w:rPr>
          <w:rFonts w:ascii="Arial" w:hAnsi="Arial"/>
          <w:sz w:val="22"/>
        </w:rPr>
      </w:pPr>
      <w:r>
        <w:rPr>
          <w:rFonts w:ascii="Arial" w:hAnsi="Arial"/>
          <w:color w:val="000000"/>
          <w:sz w:val="22"/>
        </w:rPr>
        <w:t>Subject to </w:t>
      </w:r>
      <w:r>
        <w:rPr>
          <w:rFonts w:ascii="Arial" w:hAnsi="Arial"/>
          <w:b/>
          <w:color w:val="000000"/>
          <w:sz w:val="22"/>
        </w:rPr>
        <w:t>clause</w:t>
      </w:r>
      <w:r>
        <w:rPr>
          <w:rFonts w:ascii="Arial" w:hAnsi="Arial"/>
          <w:color w:val="000000"/>
          <w:sz w:val="22"/>
        </w:rPr>
        <w:t> </w:t>
      </w:r>
      <w:r>
        <w:rPr>
          <w:rFonts w:ascii="Arial" w:hAnsi="Arial"/>
          <w:b/>
          <w:color w:val="000000"/>
          <w:sz w:val="22"/>
        </w:rPr>
        <w:t>19.6</w:t>
      </w:r>
      <w:r>
        <w:rPr>
          <w:rFonts w:ascii="Arial" w:hAnsi="Arial"/>
          <w:color w:val="000000"/>
          <w:sz w:val="22"/>
        </w:rPr>
        <w:t>, a communication is given if posted:</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(a)within</w:t>
      </w:r>
      <w:r>
        <w:rPr>
          <w:rFonts w:ascii="Arial" w:hAnsi="Arial"/>
          <w:color w:val="000000"/>
          <w:sz w:val="20"/>
        </w:rPr>
        <w:t> </w:t>
      </w:r>
      <w:r>
        <w:rPr>
          <w:rFonts w:ascii="Arial" w:hAnsi="Arial"/>
          <w:color w:val="000000"/>
          <w:sz w:val="21"/>
        </w:rPr>
        <w:t>Australia</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Australian</w:t>
      </w:r>
      <w:r>
        <w:rPr>
          <w:rFonts w:ascii="Arial" w:hAnsi="Arial"/>
          <w:color w:val="000000"/>
          <w:sz w:val="20"/>
        </w:rPr>
        <w:t> </w:t>
      </w:r>
      <w:r>
        <w:rPr>
          <w:rFonts w:ascii="Arial" w:hAnsi="Arial"/>
          <w:color w:val="000000"/>
          <w:sz w:val="21"/>
        </w:rPr>
        <w:t>address,</w:t>
      </w:r>
      <w:r>
        <w:rPr>
          <w:rFonts w:ascii="Arial" w:hAnsi="Arial"/>
          <w:color w:val="000000"/>
          <w:sz w:val="20"/>
        </w:rPr>
        <w:t> </w:t>
      </w:r>
      <w:r>
        <w:rPr>
          <w:rFonts w:ascii="Arial" w:hAnsi="Arial"/>
          <w:color w:val="000000"/>
          <w:sz w:val="21"/>
        </w:rPr>
        <w:t>three</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 posting; 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case,</w:t>
      </w:r>
      <w:r>
        <w:rPr>
          <w:rFonts w:ascii="Arial" w:hAnsi="Arial"/>
          <w:color w:val="000000"/>
          <w:sz w:val="20"/>
        </w:rPr>
        <w:t> </w:t>
      </w:r>
      <w:r>
        <w:rPr>
          <w:rFonts w:ascii="Arial" w:hAnsi="Arial"/>
          <w:color w:val="000000"/>
          <w:sz w:val="21"/>
        </w:rPr>
        <w:t>ten</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posting.</w:t>
      </w:r>
      <w:r>
        <w:rPr>
          <w:rFonts w:ascii="Arial" w:hAnsi="Arial"/>
          <w:sz w:val="20"/>
        </w:rPr>
        <w:t xml:space="preserve"> </w:t>
      </w:r>
    </w:p>
    <w:p>
      <w:pPr>
        <w:pStyle w:val="TextBody"/>
        <w:bidi w:val="0"/>
        <w:spacing w:before="119" w:after="0"/>
        <w:ind w:left="3646" w:right="700" w:hanging="567"/>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p>
      <w:pPr>
        <w:pStyle w:val="TextBody"/>
        <w:bidi w:val="0"/>
        <w:spacing w:before="214" w:after="0"/>
        <w:ind w:left="3725" w:right="700" w:hanging="0"/>
        <w:jc w:val="left"/>
        <w:rPr>
          <w:rFonts w:ascii="Arial" w:hAnsi="Arial"/>
          <w:b/>
          <w:sz w:val="24"/>
        </w:rPr>
      </w:pPr>
      <w:bookmarkStart w:id="543" w:name="Communications_by_fax195"/>
      <w:bookmarkEnd w:id="543"/>
      <w:r>
        <w:rPr>
          <w:rFonts w:ascii="Arial" w:hAnsi="Arial"/>
          <w:b/>
          <w:color w:val="000000"/>
          <w:sz w:val="24"/>
        </w:rPr>
        <w:t>19.5Communications by fax</w:t>
      </w:r>
      <w:r>
        <w:rPr>
          <w:rFonts w:ascii="Arial" w:hAnsi="Arial"/>
          <w:b/>
          <w:sz w:val="24"/>
        </w:rPr>
        <w:t xml:space="preserve"> </w:t>
      </w:r>
    </w:p>
    <w:p>
      <w:pPr>
        <w:pStyle w:val="TextBody"/>
        <w:bidi w:val="0"/>
        <w:spacing w:lineRule="auto" w:line="266" w:before="93" w:after="0"/>
        <w:ind w:left="3120" w:right="1424" w:hanging="0"/>
        <w:jc w:val="left"/>
        <w:rPr>
          <w:rFonts w:ascii="Arial" w:hAnsi="Arial"/>
          <w:sz w:val="22"/>
        </w:rPr>
      </w:pPr>
      <w:r>
        <w:rPr>
          <w:rFonts w:ascii="Arial" w:hAnsi="Arial"/>
          <w:color w:val="000000"/>
          <w:sz w:val="22"/>
        </w:rPr>
        <w:t xml:space="preserve">Subject to </w:t>
      </w:r>
      <w:r>
        <w:rPr>
          <w:rFonts w:ascii="Arial" w:hAnsi="Arial"/>
          <w:b/>
          <w:color w:val="000000"/>
          <w:sz w:val="22"/>
        </w:rPr>
        <w:t>clause 19.6</w:t>
      </w:r>
      <w:r>
        <w:rPr>
          <w:rFonts w:ascii="Arial" w:hAnsi="Arial"/>
          <w:color w:val="000000"/>
          <w:sz w:val="22"/>
        </w:rPr>
        <w:t>, a communication is given if sent by fax when the sender’s fax machine produces a report that the fax was sent in full to the addressee. That report is conclusive evidence that the addressee received the fax in full at the time indicated on that report.</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44" w:name="After_hours_communications196"/>
      <w:bookmarkEnd w:id="544"/>
      <w:r>
        <w:rPr>
          <w:rFonts w:ascii="Arial" w:hAnsi="Arial"/>
          <w:b/>
          <w:color w:val="000000"/>
          <w:sz w:val="24"/>
        </w:rPr>
        <w:t>19.6After hours communications</w:t>
      </w:r>
      <w:r>
        <w:rPr>
          <w:rFonts w:ascii="Arial" w:hAnsi="Arial"/>
          <w:b/>
          <w:sz w:val="24"/>
        </w:rPr>
        <w:t xml:space="preserve"> </w:t>
      </w:r>
    </w:p>
    <w:p>
      <w:pPr>
        <w:pStyle w:val="TextBody"/>
        <w:bidi w:val="0"/>
        <w:spacing w:before="93" w:after="0"/>
        <w:ind w:left="3120" w:right="700" w:hanging="0"/>
        <w:jc w:val="left"/>
        <w:rPr>
          <w:rFonts w:ascii="Arial" w:hAnsi="Arial"/>
          <w:sz w:val="22"/>
        </w:rPr>
      </w:pPr>
      <w:r>
        <w:rPr>
          <w:rFonts w:ascii="Arial" w:hAnsi="Arial"/>
          <w:color w:val="000000"/>
          <w:sz w:val="22"/>
        </w:rPr>
        <w:t>If a communication is given:</w:t>
      </w:r>
      <w:r>
        <w:rPr>
          <w:rFonts w:ascii="Arial" w:hAnsi="Arial"/>
          <w:sz w:val="22"/>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(a)after</w:t>
      </w:r>
      <w:r>
        <w:rPr>
          <w:rFonts w:ascii="Arial" w:hAnsi="Arial"/>
          <w:color w:val="000000"/>
          <w:sz w:val="20"/>
        </w:rPr>
        <w:t> </w:t>
      </w:r>
      <w:r>
        <w:rPr>
          <w:rFonts w:ascii="Arial" w:hAnsi="Arial"/>
          <w:color w:val="000000"/>
          <w:sz w:val="21"/>
        </w:rPr>
        <w:t>5.00</w:t>
      </w:r>
      <w:r>
        <w:rPr>
          <w:rFonts w:ascii="Arial" w:hAnsi="Arial"/>
          <w:color w:val="000000"/>
          <w:sz w:val="20"/>
        </w:rPr>
        <w:t> </w:t>
      </w:r>
      <w:r>
        <w:rPr>
          <w:rFonts w:ascii="Arial" w:hAnsi="Arial"/>
          <w:color w:val="000000"/>
          <w:sz w:val="21"/>
        </w:rPr>
        <w:t>pm</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place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receipt;</w:t>
      </w:r>
      <w:r>
        <w:rPr>
          <w:rFonts w:ascii="Arial" w:hAnsi="Arial"/>
          <w:color w:val="000000"/>
          <w:sz w:val="20"/>
        </w:rPr>
        <w:t xml:space="preserve"> </w:t>
      </w:r>
      <w:r>
        <w:rPr>
          <w:rFonts w:ascii="Arial" w:hAnsi="Arial"/>
          <w:color w:val="000000"/>
          <w:sz w:val="21"/>
        </w:rPr>
        <w:t>or</w:t>
      </w:r>
      <w:r>
        <w:rPr>
          <w:rFonts w:ascii="Arial" w:hAnsi="Arial"/>
          <w:sz w:val="20"/>
        </w:rPr>
        <w:t xml:space="preserve"> </w:t>
      </w:r>
    </w:p>
    <w:p>
      <w:pPr>
        <w:pStyle w:val="TextBody"/>
        <w:bidi w:val="0"/>
        <w:spacing w:lineRule="auto" w:line="266" w:before="118" w:after="0"/>
        <w:ind w:left="3687" w:right="854" w:hanging="0"/>
        <w:jc w:val="left"/>
        <w:rPr>
          <w:rFonts w:ascii="Arial" w:hAnsi="Arial"/>
          <w:sz w:val="20"/>
        </w:rPr>
      </w:pPr>
      <w:r>
        <w:rPr>
          <w:rFonts w:ascii="Arial" w:hAnsi="Arial"/>
          <w:color w:val="000000"/>
          <w:sz w:val="21"/>
        </w:rPr>
        <w:t>(b)on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Saturday,</w:t>
      </w:r>
      <w:r>
        <w:rPr>
          <w:rFonts w:ascii="Arial" w:hAnsi="Arial"/>
          <w:color w:val="000000"/>
          <w:sz w:val="20"/>
        </w:rPr>
        <w:t> </w:t>
      </w:r>
      <w:r>
        <w:rPr>
          <w:rFonts w:ascii="Arial" w:hAnsi="Arial"/>
          <w:color w:val="000000"/>
          <w:sz w:val="21"/>
        </w:rPr>
        <w:t>Sunday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public</w:t>
      </w:r>
      <w:r>
        <w:rPr>
          <w:rFonts w:ascii="Arial" w:hAnsi="Arial"/>
          <w:color w:val="000000"/>
          <w:sz w:val="20"/>
        </w:rPr>
        <w:t> </w:t>
      </w:r>
      <w:r>
        <w:rPr>
          <w:rFonts w:ascii="Arial" w:hAnsi="Arial"/>
          <w:color w:val="000000"/>
          <w:sz w:val="21"/>
        </w:rPr>
        <w:t>holiday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place of receipt,</w:t>
      </w:r>
      <w:r>
        <w:rPr>
          <w:rFonts w:ascii="Arial" w:hAnsi="Arial"/>
          <w:sz w:val="20"/>
        </w:rPr>
        <w:t xml:space="preserve"> </w:t>
      </w:r>
    </w:p>
    <w:p>
      <w:pPr>
        <w:pStyle w:val="TextBody"/>
        <w:bidi w:val="0"/>
        <w:spacing w:lineRule="auto" w:line="266" w:before="119" w:after="0"/>
        <w:ind w:left="3118" w:right="1471" w:hanging="0"/>
        <w:jc w:val="left"/>
        <w:rPr>
          <w:rFonts w:ascii="Arial" w:hAnsi="Arial"/>
          <w:sz w:val="22"/>
        </w:rPr>
      </w:pPr>
      <w:r>
        <w:rPr>
          <w:rFonts w:ascii="Arial" w:hAnsi="Arial"/>
          <w:color w:val="000000"/>
          <w:sz w:val="22"/>
        </w:rPr>
        <w:t>it is taken as having been given at 9.00 am on the next day which is not a Saturday, Sunday or bank or public holiday in that place.</w:t>
      </w:r>
      <w:r>
        <w:rPr>
          <w:rFonts w:ascii="Arial" w:hAnsi="Arial"/>
          <w:sz w:val="22"/>
        </w:rPr>
        <w:t xml:space="preserve"> </w:t>
      </w:r>
    </w:p>
    <w:p>
      <w:pPr>
        <w:pStyle w:val="TextBody"/>
        <w:bidi w:val="0"/>
        <w:spacing w:before="214" w:after="0"/>
        <w:ind w:left="3725" w:right="700" w:hanging="0"/>
        <w:jc w:val="left"/>
        <w:rPr>
          <w:rFonts w:ascii="Arial" w:hAnsi="Arial"/>
          <w:b/>
          <w:sz w:val="24"/>
        </w:rPr>
      </w:pPr>
      <w:bookmarkStart w:id="545" w:name="Process_service1971"/>
      <w:bookmarkEnd w:id="545"/>
      <w:r>
        <w:rPr>
          <w:rFonts w:ascii="Arial" w:hAnsi="Arial"/>
          <w:b/>
          <w:color w:val="000000"/>
          <w:sz w:val="24"/>
        </w:rPr>
        <w:t>19.7Process service</w:t>
      </w:r>
      <w:r>
        <w:rPr>
          <w:rFonts w:ascii="Arial" w:hAnsi="Arial"/>
          <w:b/>
          <w:sz w:val="24"/>
        </w:rPr>
        <w:t xml:space="preserve"> </w:t>
      </w:r>
    </w:p>
    <w:p>
      <w:pPr>
        <w:pStyle w:val="TextBody"/>
        <w:pBdr/>
        <w:bidi w:val="0"/>
        <w:spacing w:lineRule="auto" w:line="266" w:before="93" w:after="0"/>
        <w:ind w:left="3120" w:right="1471" w:hanging="0"/>
        <w:jc w:val="left"/>
        <w:rPr/>
      </w:pPr>
      <w:r>
        <w:rPr>
          <w:rFonts w:ascii="Arial" w:hAnsi="Arial"/>
          <w:color w:val="000000"/>
          <w:sz w:val="22"/>
        </w:rPr>
        <w:t xml:space="preserve">Any process or other document relating to litigation, administrative or arbitral proceedings relating to a Transaction Document may be served on a party to this document by any method contemplated by this </w:t>
      </w:r>
      <w:r>
        <w:rPr>
          <w:rFonts w:ascii="Arial" w:hAnsi="Arial"/>
          <w:b/>
          <w:color w:val="000000"/>
          <w:sz w:val="22"/>
        </w:rPr>
        <w:t xml:space="preserve">clause </w:t>
      </w:r>
      <w:hyperlink w:anchor="_bookmark197">
        <w:r>
          <w:rPr>
            <w:rStyle w:val="InternetLink"/>
          </w:rPr>
          <w:t>19.7</w:t>
        </w:r>
      </w:hyperlink>
      <w:r>
        <w:rPr>
          <w:rFonts w:ascii="Arial" w:hAnsi="Arial"/>
          <w:color w:val="000000"/>
          <w:sz w:val="22"/>
        </w:rPr>
        <w:t> or in accordance with any applicable law.</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40"/>
        </w:rPr>
      </w:pPr>
      <w:r>
        <w:rPr>
          <w:rFonts w:cs="Arial"/>
          <w:szCs w:val="40"/>
        </w:rPr>
        <w:t xml:space="preserve">﻿ </w:t>
      </w:r>
    </w:p>
    <w:p>
      <w:pPr>
        <w:pStyle w:val="TextBody"/>
        <w:pBdr/>
        <w:bidi w:val="0"/>
        <w:spacing w:before="228" w:after="0"/>
        <w:ind w:left="1700" w:right="700" w:hanging="0"/>
        <w:jc w:val="left"/>
        <w:rPr>
          <w:rFonts w:cs="Arial"/>
          <w:szCs w:val="40"/>
        </w:rPr>
      </w:pPr>
      <w:r>
        <w:rPr>
          <w:rFonts w:cs="Arial"/>
          <w:szCs w:val="40"/>
        </w:rPr>
        <w:t xml:space="preserve">﻿ </w:t>
      </w:r>
    </w:p>
    <w:p>
      <w:pPr>
        <w:pStyle w:val="TextBody"/>
        <w:pBdr/>
        <w:bidi w:val="0"/>
        <w:spacing w:lineRule="auto" w:line="424" w:before="1" w:after="0"/>
        <w:ind w:left="2268" w:right="6138" w:hanging="0"/>
        <w:jc w:val="left"/>
        <w:rPr>
          <w:rFonts w:ascii="Arial" w:hAnsi="Arial"/>
          <w:sz w:val="40"/>
        </w:rPr>
      </w:pPr>
      <w:bookmarkStart w:id="546" w:name="Schedule11"/>
      <w:bookmarkEnd w:id="546"/>
      <w:r>
        <w:rPr>
          <w:rFonts w:ascii="Arial" w:hAnsi="Arial"/>
          <w:sz w:val="40"/>
        </w:rPr>
        <w:t xml:space="preserve">Schedule 1  </w:t>
      </w:r>
    </w:p>
    <w:p>
      <w:pPr>
        <w:pStyle w:val="TextBody"/>
        <w:pBdr/>
        <w:bidi w:val="0"/>
        <w:spacing w:lineRule="auto" w:line="424" w:before="1" w:after="0"/>
        <w:ind w:left="2268" w:right="6138" w:hanging="0"/>
        <w:jc w:val="left"/>
        <w:rPr>
          <w:rFonts w:ascii="Arial" w:hAnsi="Arial"/>
          <w:sz w:val="40"/>
        </w:rPr>
      </w:pPr>
      <w:r>
        <w:rPr>
          <w:rFonts w:ascii="Arial" w:hAnsi="Arial"/>
          <w:sz w:val="4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140" w:after="0"/>
        <w:ind w:left="1700" w:right="700" w:hanging="0"/>
        <w:jc w:val="left"/>
        <w:rPr>
          <w:rFonts w:cs="Arial"/>
          <w:szCs w:val="20"/>
        </w:rPr>
      </w:pPr>
      <w:r>
        <w:rPr>
          <w:rFonts w:cs="Arial"/>
          <w:szCs w:val="20"/>
        </w:rPr>
        <w:t xml:space="preserve">﻿ </w:t>
      </w:r>
    </w:p>
    <w:p>
      <w:pPr>
        <w:pStyle w:val="TextBody"/>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60" w:after="0"/>
        <w:ind w:left="2268"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bidi w:val="0"/>
        <w:spacing w:before="0" w:after="0"/>
        <w:ind w:left="1700" w:right="700" w:hanging="0"/>
        <w:jc w:val="left"/>
        <w:rPr>
          <w:rFonts w:ascii="Arial" w:hAnsi="Arial"/>
          <w:sz w:val="40"/>
        </w:rPr>
      </w:pPr>
      <w:bookmarkStart w:id="547" w:name="Schedule21"/>
      <w:bookmarkEnd w:id="547"/>
      <w:r>
        <w:rPr>
          <w:rFonts w:ascii="Arial" w:hAnsi="Arial"/>
          <w:sz w:val="40"/>
        </w:rPr>
        <w:t xml:space="preserve">Schedule 2 </w:t>
      </w:r>
    </w:p>
    <w:p>
      <w:pPr>
        <w:pStyle w:val="TextBody"/>
        <w:bidi w:val="0"/>
        <w:spacing w:before="357" w:after="0"/>
        <w:ind w:left="2268" w:right="700" w:hanging="0"/>
        <w:jc w:val="left"/>
        <w:rPr>
          <w:rFonts w:ascii="Arial" w:hAnsi="Arial"/>
          <w:sz w:val="32"/>
        </w:rPr>
      </w:pPr>
      <w:r>
        <w:rPr>
          <w:rFonts w:ascii="Arial" w:hAnsi="Arial"/>
          <w:sz w:val="32"/>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46" w:after="0"/>
        <w:ind w:left="1700" w:right="700" w:hanging="0"/>
        <w:jc w:val="left"/>
        <w:rPr>
          <w:rFonts w:cs="Arial"/>
          <w:szCs w:val="20"/>
        </w:rPr>
      </w:pPr>
      <w:r>
        <w:rPr>
          <w:rFonts w:cs="Arial"/>
          <w:szCs w:val="20"/>
        </w:rPr>
        <w:t xml:space="preserve">﻿ </w:t>
      </w:r>
    </w:p>
    <w:p>
      <w:pPr>
        <w:pStyle w:val="TextBody"/>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pBdr/>
        <w:bidi w:val="0"/>
        <w:spacing w:before="0" w:after="0"/>
        <w:ind w:left="1700" w:right="700" w:hanging="0"/>
        <w:jc w:val="left"/>
        <w:rPr>
          <w:rFonts w:cs="Arial"/>
          <w:szCs w:val="40"/>
        </w:rPr>
      </w:pPr>
      <w:r>
        <w:rPr>
          <w:rFonts w:cs="Arial"/>
          <w:szCs w:val="40"/>
        </w:rPr>
        <w:t xml:space="preserve">﻿ </w:t>
      </w:r>
    </w:p>
    <w:p>
      <w:pPr>
        <w:pStyle w:val="TextBody"/>
        <w:pBdr/>
        <w:bidi w:val="0"/>
        <w:spacing w:before="6" w:after="0"/>
        <w:ind w:left="1700" w:right="700" w:hanging="0"/>
        <w:jc w:val="left"/>
        <w:rPr>
          <w:rFonts w:cs="Arial"/>
          <w:szCs w:val="40"/>
        </w:rPr>
      </w:pPr>
      <w:r>
        <w:rPr>
          <w:rFonts w:cs="Arial"/>
          <w:szCs w:val="40"/>
        </w:rPr>
        <w:t xml:space="preserve">﻿ </w:t>
      </w:r>
    </w:p>
    <w:p>
      <w:pPr>
        <w:pStyle w:val="TextBody"/>
        <w:bidi w:val="0"/>
        <w:spacing w:before="0" w:after="0"/>
        <w:ind w:left="2268" w:right="700" w:hanging="0"/>
        <w:jc w:val="left"/>
        <w:rPr>
          <w:rFonts w:ascii="Arial" w:hAnsi="Arial"/>
          <w:sz w:val="40"/>
        </w:rPr>
      </w:pPr>
      <w:bookmarkStart w:id="548" w:name="Schedule31"/>
      <w:bookmarkEnd w:id="548"/>
      <w:r>
        <w:rPr>
          <w:rFonts w:ascii="Arial" w:hAnsi="Arial"/>
          <w:sz w:val="40"/>
        </w:rPr>
        <w:t xml:space="preserve">Schedule 3 </w:t>
      </w:r>
    </w:p>
    <w:p>
      <w:pPr>
        <w:pStyle w:val="TextBody"/>
        <w:bidi w:val="0"/>
        <w:spacing w:before="357" w:after="0"/>
        <w:ind w:left="2268" w:right="700" w:hanging="0"/>
        <w:jc w:val="left"/>
        <w:rPr>
          <w:rFonts w:ascii="Arial" w:hAnsi="Arial"/>
          <w:sz w:val="32"/>
        </w:rPr>
      </w:pPr>
      <w:r>
        <w:rPr>
          <w:rFonts w:ascii="Arial" w:hAnsi="Arial"/>
          <w:sz w:val="32"/>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46" w:after="0"/>
        <w:ind w:left="1700" w:right="700" w:hanging="0"/>
        <w:jc w:val="left"/>
        <w:rPr>
          <w:rFonts w:cs="Arial"/>
          <w:szCs w:val="20"/>
        </w:rPr>
      </w:pPr>
      <w:r>
        <w:rPr>
          <w:rFonts w:cs="Arial"/>
          <w:szCs w:val="20"/>
        </w:rPr>
        <w:t xml:space="preserve">﻿ </w:t>
      </w:r>
    </w:p>
    <w:p>
      <w:pPr>
        <w:pStyle w:val="TextBody"/>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9" w:after="0"/>
        <w:ind w:left="1700" w:right="700" w:hanging="0"/>
        <w:jc w:val="left"/>
        <w:rPr>
          <w:rFonts w:cs="Arial"/>
          <w:szCs w:val="20"/>
        </w:rPr>
      </w:pPr>
      <w:r>
        <w:rPr>
          <w:rFonts w:cs="Arial"/>
          <w:szCs w:val="20"/>
        </w:rPr>
        <w:t xml:space="preserve">﻿ </w:t>
      </w:r>
    </w:p>
    <w:p>
      <w:pPr>
        <w:pStyle w:val="TextBody"/>
        <w:bidi w:val="0"/>
        <w:spacing w:before="0" w:after="0"/>
        <w:ind w:left="2268" w:right="700" w:hanging="0"/>
        <w:jc w:val="left"/>
        <w:rPr>
          <w:rFonts w:ascii="Arial" w:hAnsi="Arial"/>
          <w:sz w:val="40"/>
        </w:rPr>
      </w:pPr>
      <w:bookmarkStart w:id="549" w:name="Schedule41"/>
      <w:bookmarkEnd w:id="549"/>
      <w:r>
        <w:rPr>
          <w:rFonts w:ascii="Arial" w:hAnsi="Arial"/>
          <w:sz w:val="40"/>
        </w:rPr>
        <w:t xml:space="preserve">Schedule 4 </w:t>
      </w:r>
    </w:p>
    <w:p>
      <w:pPr>
        <w:pStyle w:val="TextBody"/>
        <w:bidi w:val="0"/>
        <w:spacing w:before="357" w:after="0"/>
        <w:ind w:left="2268" w:right="700" w:hanging="0"/>
        <w:jc w:val="left"/>
        <w:rPr>
          <w:rFonts w:ascii="Arial" w:hAnsi="Arial"/>
          <w:sz w:val="32"/>
        </w:rPr>
      </w:pPr>
      <w:r>
        <w:rPr>
          <w:rFonts w:ascii="Arial" w:hAnsi="Arial"/>
          <w:sz w:val="32"/>
        </w:rPr>
        <w:t xml:space="preserve">[***] </w:t>
      </w:r>
    </w:p>
    <w:p>
      <w:pPr>
        <w:pStyle w:val="TextBody"/>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pBdr/>
        <w:bidi w:val="0"/>
        <w:spacing w:before="0" w:after="0"/>
        <w:ind w:left="1700" w:right="700" w:hanging="0"/>
        <w:jc w:val="left"/>
        <w:rPr>
          <w:rFonts w:cs="Arial"/>
          <w:szCs w:val="40"/>
        </w:rPr>
      </w:pPr>
      <w:r>
        <w:rPr>
          <w:rFonts w:cs="Arial"/>
          <w:szCs w:val="40"/>
        </w:rPr>
        <w:t xml:space="preserve">﻿ </w:t>
      </w:r>
    </w:p>
    <w:p>
      <w:pPr>
        <w:pStyle w:val="TextBody"/>
        <w:pBdr/>
        <w:bidi w:val="0"/>
        <w:spacing w:before="6" w:after="0"/>
        <w:ind w:left="1700" w:right="700" w:hanging="0"/>
        <w:jc w:val="left"/>
        <w:rPr>
          <w:rFonts w:cs="Arial"/>
          <w:szCs w:val="40"/>
        </w:rPr>
      </w:pPr>
      <w:r>
        <w:rPr>
          <w:rFonts w:cs="Arial"/>
          <w:szCs w:val="40"/>
        </w:rPr>
        <w:t xml:space="preserve">﻿ </w:t>
      </w:r>
    </w:p>
    <w:p>
      <w:pPr>
        <w:pStyle w:val="TextBody"/>
        <w:bidi w:val="0"/>
        <w:spacing w:before="0" w:after="0"/>
        <w:ind w:left="2268" w:right="700" w:hanging="0"/>
        <w:jc w:val="left"/>
        <w:rPr>
          <w:rFonts w:ascii="Arial" w:hAnsi="Arial"/>
          <w:sz w:val="40"/>
        </w:rPr>
      </w:pPr>
      <w:bookmarkStart w:id="550" w:name="Schedule51"/>
      <w:bookmarkEnd w:id="550"/>
      <w:r>
        <w:rPr>
          <w:rFonts w:ascii="Arial" w:hAnsi="Arial"/>
          <w:sz w:val="40"/>
        </w:rPr>
        <w:t xml:space="preserve">Schedule 5 </w:t>
      </w:r>
    </w:p>
    <w:p>
      <w:pPr>
        <w:pStyle w:val="TextBody"/>
        <w:bidi w:val="0"/>
        <w:spacing w:before="357" w:after="0"/>
        <w:ind w:left="2268" w:right="700" w:hanging="0"/>
        <w:jc w:val="left"/>
        <w:rPr>
          <w:rFonts w:ascii="Arial" w:hAnsi="Arial"/>
          <w:sz w:val="32"/>
        </w:rPr>
      </w:pPr>
      <w:r>
        <w:rPr>
          <w:rFonts w:ascii="Arial" w:hAnsi="Arial"/>
          <w:sz w:val="32"/>
        </w:rPr>
        <w:t xml:space="preserve">[***] </w:t>
      </w:r>
    </w:p>
    <w:p>
      <w:pPr>
        <w:pStyle w:val="TextBody"/>
        <w:bidi w:val="0"/>
        <w:spacing w:before="0" w:after="0"/>
        <w:ind w:left="1700" w:right="700" w:hanging="0"/>
        <w:jc w:val="left"/>
        <w:rPr/>
      </w:pPr>
      <w:r>
        <w:rPr/>
        <w:t xml:space="preserve">  </w:t>
      </w:r>
    </w:p>
    <w:p>
      <w:pPr>
        <w:pStyle w:val="TextBody"/>
        <w:bidi w:val="0"/>
        <w:spacing w:before="0" w:after="0"/>
        <w:ind w:left="1700" w:right="700" w:hanging="0"/>
        <w:jc w:val="left"/>
        <w:rPr>
          <w:rFonts w:cs="Arial"/>
          <w:szCs w:val="40"/>
        </w:rPr>
      </w:pPr>
      <w:r>
        <w:rPr>
          <w:rFonts w:cs="Arial"/>
          <w:szCs w:val="40"/>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6" w:after="0"/>
        <w:ind w:left="1700" w:right="700" w:hanging="0"/>
        <w:jc w:val="left"/>
        <w:rPr>
          <w:rFonts w:cs="Arial"/>
          <w:szCs w:val="40"/>
        </w:rPr>
      </w:pPr>
      <w:r>
        <w:rPr>
          <w:rFonts w:cs="Arial"/>
          <w:szCs w:val="40"/>
        </w:rPr>
        <w:t xml:space="preserve">﻿ </w:t>
      </w:r>
    </w:p>
    <w:p>
      <w:pPr>
        <w:pStyle w:val="TextBody"/>
        <w:bidi w:val="0"/>
        <w:spacing w:before="0" w:after="0"/>
        <w:ind w:left="2268" w:right="700" w:hanging="0"/>
        <w:jc w:val="left"/>
        <w:rPr>
          <w:rFonts w:ascii="Arial" w:hAnsi="Arial"/>
          <w:sz w:val="40"/>
        </w:rPr>
      </w:pPr>
      <w:bookmarkStart w:id="551" w:name="Schedule61"/>
      <w:bookmarkEnd w:id="551"/>
      <w:r>
        <w:rPr>
          <w:rFonts w:ascii="Arial" w:hAnsi="Arial"/>
          <w:sz w:val="40"/>
        </w:rPr>
        <w:t xml:space="preserve">Schedule 6 </w:t>
      </w:r>
    </w:p>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before="357" w:after="0"/>
        <w:ind w:left="2268" w:right="700" w:hanging="0"/>
        <w:jc w:val="left"/>
        <w:rPr>
          <w:rFonts w:ascii="Arial" w:hAnsi="Arial"/>
          <w:sz w:val="32"/>
        </w:rPr>
      </w:pPr>
      <w:r>
        <w:rPr>
          <w:rFonts w:ascii="Arial" w:hAnsi="Arial"/>
          <w:sz w:val="32"/>
        </w:rPr>
        <w:t xml:space="preserve">[***] </w:t>
      </w:r>
    </w:p>
    <w:p>
      <w:pPr>
        <w:pStyle w:val="TextBody"/>
        <w:pBdr/>
        <w:bidi w:val="0"/>
        <w:spacing w:before="0" w:after="0"/>
        <w:ind w:left="2268" w:right="700" w:hanging="0"/>
        <w:jc w:val="left"/>
        <w:rPr>
          <w:rFonts w:ascii="Arial" w:hAnsi="Arial"/>
          <w:sz w:val="22"/>
        </w:rPr>
      </w:pPr>
      <w:r>
        <w:rPr>
          <w:rFonts w:ascii="Arial" w:hAnsi="Arial"/>
          <w:sz w:val="22"/>
        </w:rPr>
        <w:t xml:space="preserve">: </w:t>
      </w:r>
    </w:p>
    <w:p>
      <w:pPr>
        <w:pStyle w:val="TextBody"/>
        <w:pBdr/>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79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pBdr/>
        <w:bidi w:val="0"/>
        <w:spacing w:before="0" w:after="0"/>
        <w:ind w:left="1700" w:right="700" w:hanging="0"/>
        <w:jc w:val="left"/>
        <w:rPr>
          <w:rFonts w:cs="Arial"/>
          <w:szCs w:val="40"/>
        </w:rPr>
      </w:pPr>
      <w:r>
        <w:rPr>
          <w:rFonts w:cs="Arial"/>
          <w:szCs w:val="40"/>
        </w:rPr>
        <w:t xml:space="preserve">﻿ </w:t>
      </w:r>
    </w:p>
    <w:p>
      <w:pPr>
        <w:pStyle w:val="TextBody"/>
        <w:pBdr/>
        <w:bidi w:val="0"/>
        <w:spacing w:before="6" w:after="0"/>
        <w:ind w:left="1700" w:right="700" w:hanging="0"/>
        <w:jc w:val="left"/>
        <w:rPr>
          <w:rFonts w:cs="Arial"/>
          <w:szCs w:val="40"/>
        </w:rPr>
      </w:pPr>
      <w:r>
        <w:rPr>
          <w:rFonts w:cs="Arial"/>
          <w:szCs w:val="40"/>
        </w:rPr>
        <w:t xml:space="preserve">﻿ </w:t>
      </w:r>
    </w:p>
    <w:p>
      <w:pPr>
        <w:pStyle w:val="TextBody"/>
        <w:bidi w:val="0"/>
        <w:spacing w:before="0" w:after="0"/>
        <w:ind w:left="2268" w:right="700" w:hanging="0"/>
        <w:jc w:val="left"/>
        <w:rPr>
          <w:rFonts w:ascii="Arial" w:hAnsi="Arial"/>
          <w:sz w:val="40"/>
        </w:rPr>
      </w:pPr>
      <w:bookmarkStart w:id="552" w:name="Schedule71"/>
      <w:bookmarkEnd w:id="552"/>
      <w:r>
        <w:rPr>
          <w:rFonts w:ascii="Arial" w:hAnsi="Arial"/>
          <w:sz w:val="40"/>
        </w:rPr>
        <w:t xml:space="preserve">Schedule 7 </w:t>
      </w:r>
    </w:p>
    <w:p>
      <w:pPr>
        <w:pStyle w:val="TextBody"/>
        <w:bidi w:val="0"/>
        <w:spacing w:before="357" w:after="0"/>
        <w:ind w:left="2268" w:right="700" w:hanging="0"/>
        <w:jc w:val="left"/>
        <w:rPr>
          <w:rFonts w:ascii="Arial" w:hAnsi="Arial"/>
          <w:sz w:val="32"/>
        </w:rPr>
      </w:pPr>
      <w:r>
        <w:rPr>
          <w:rFonts w:ascii="Arial" w:hAnsi="Arial"/>
          <w:sz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252" w:after="0"/>
        <w:ind w:left="1700" w:right="700" w:hanging="0"/>
        <w:jc w:val="left"/>
        <w:rPr>
          <w:rFonts w:cs="Arial"/>
          <w:szCs w:val="32"/>
        </w:rPr>
      </w:pPr>
      <w:r>
        <w:rPr>
          <w:rFonts w:cs="Arial"/>
          <w:szCs w:val="32"/>
        </w:rPr>
        <w:t xml:space="preserve">﻿ </w:t>
      </w:r>
    </w:p>
    <w:p>
      <w:pPr>
        <w:pStyle w:val="TextBody"/>
        <w:pBdr/>
        <w:bidi w:val="0"/>
        <w:spacing w:lineRule="atLeast" w:line="241"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80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pBdr/>
        <w:bidi w:val="0"/>
        <w:spacing w:before="0" w:after="0"/>
        <w:ind w:left="1700" w:right="700" w:hanging="0"/>
        <w:jc w:val="left"/>
        <w:rPr>
          <w:rFonts w:cs="Arial"/>
          <w:szCs w:val="40"/>
        </w:rPr>
      </w:pPr>
      <w:r>
        <w:rPr>
          <w:rFonts w:cs="Arial"/>
          <w:szCs w:val="40"/>
        </w:rPr>
        <w:t xml:space="preserve">﻿ </w:t>
      </w:r>
    </w:p>
    <w:p>
      <w:pPr>
        <w:pStyle w:val="TextBody"/>
        <w:pBdr/>
        <w:bidi w:val="0"/>
        <w:spacing w:before="6" w:after="0"/>
        <w:ind w:left="1700" w:right="700" w:hanging="0"/>
        <w:jc w:val="left"/>
        <w:rPr>
          <w:rFonts w:cs="Arial"/>
          <w:szCs w:val="40"/>
        </w:rPr>
      </w:pPr>
      <w:r>
        <w:rPr>
          <w:rFonts w:cs="Arial"/>
          <w:szCs w:val="40"/>
        </w:rPr>
        <w:t xml:space="preserve">﻿ </w:t>
      </w:r>
    </w:p>
    <w:p>
      <w:pPr>
        <w:pStyle w:val="TextBody"/>
        <w:bidi w:val="0"/>
        <w:spacing w:before="0" w:after="0"/>
        <w:ind w:left="2268" w:right="700" w:hanging="0"/>
        <w:jc w:val="left"/>
        <w:rPr>
          <w:rFonts w:ascii="Arial" w:hAnsi="Arial"/>
          <w:sz w:val="40"/>
        </w:rPr>
      </w:pPr>
      <w:bookmarkStart w:id="553" w:name="Schedule81"/>
      <w:bookmarkEnd w:id="553"/>
      <w:r>
        <w:rPr>
          <w:rFonts w:ascii="Arial" w:hAnsi="Arial"/>
          <w:sz w:val="40"/>
        </w:rPr>
        <w:t xml:space="preserve">Schedule 8 </w:t>
      </w:r>
    </w:p>
    <w:p>
      <w:pPr>
        <w:pStyle w:val="TextBody"/>
        <w:bidi w:val="0"/>
        <w:spacing w:before="357" w:after="0"/>
        <w:ind w:left="2268" w:right="700" w:hanging="0"/>
        <w:jc w:val="left"/>
        <w:rPr>
          <w:rFonts w:ascii="Arial" w:hAnsi="Arial"/>
          <w:sz w:val="32"/>
        </w:rPr>
      </w:pPr>
      <w:r>
        <w:rPr>
          <w:rFonts w:ascii="Arial" w:hAnsi="Arial"/>
          <w:sz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226" w:after="0"/>
        <w:ind w:left="1700" w:right="700" w:hanging="0"/>
        <w:jc w:val="left"/>
        <w:rPr>
          <w:rFonts w:cs="Arial"/>
          <w:szCs w:val="32"/>
        </w:rPr>
      </w:pPr>
      <w:r>
        <w:rPr>
          <w:rFonts w:cs="Arial"/>
          <w:szCs w:val="32"/>
        </w:rPr>
        <w:t xml:space="preserve">﻿ </w:t>
      </w:r>
    </w:p>
    <w:p>
      <w:pPr>
        <w:pStyle w:val="TextBody"/>
        <w:pBdr/>
        <w:bidi w:val="0"/>
        <w:spacing w:before="55" w:after="0"/>
        <w:ind w:left="1700" w:right="700" w:hanging="0"/>
        <w:jc w:val="left"/>
        <w:rPr>
          <w:rFonts w:cs="Arial"/>
          <w:szCs w:val="22"/>
        </w:rPr>
      </w:pPr>
      <w:r>
        <w:rPr>
          <w:rFonts w:cs="Arial"/>
          <w:szCs w:val="22"/>
        </w:rPr>
        <w:t xml:space="preserve">﻿ </w:t>
      </w:r>
    </w:p>
    <w:p>
      <w:pPr>
        <w:pStyle w:val="TextBody"/>
        <w:bidi w:val="0"/>
        <w:spacing w:before="0" w:after="0"/>
        <w:ind w:left="2268"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0" w:after="0"/>
        <w:ind w:left="1700" w:right="700" w:hanging="0"/>
        <w:jc w:val="left"/>
        <w:rPr/>
      </w:pPr>
      <w:r>
        <w:rPr/>
        <w:t xml:space="preserve">  </w:t>
      </w:r>
    </w:p>
    <w:tbl>
      <w:tblPr>
        <w:tblW w:w="1930" w:type="dxa"/>
        <w:jc w:val="left"/>
        <w:tblInd w:w="170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81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bidi w:val="0"/>
        <w:spacing w:before="14" w:after="0"/>
        <w:ind w:left="1720" w:right="700" w:hanging="0"/>
        <w:jc w:val="left"/>
        <w:rPr>
          <w:rFonts w:ascii="Arial" w:hAnsi="Arial"/>
          <w:sz w:val="16"/>
        </w:rPr>
      </w:pPr>
      <w:r>
        <w:rPr>
          <w:rFonts w:ascii="Arial" w:hAnsi="Arial"/>
          <w:sz w:val="16"/>
        </w:rPr>
        <w:t xml:space="preserve">Docusign Envelope ID: E042B1A9-FB88-446B-A58D-7AF19DF6BA04 </w:t>
      </w:r>
    </w:p>
    <w:p>
      <w:pPr>
        <w:pStyle w:val="TextBody"/>
        <w:pBdr/>
        <w:bidi w:val="0"/>
        <w:spacing w:before="0" w:after="0"/>
        <w:ind w:left="1700" w:right="700" w:hanging="0"/>
        <w:jc w:val="left"/>
        <w:rPr>
          <w:rFonts w:cs="Arial"/>
          <w:szCs w:val="40"/>
        </w:rPr>
      </w:pPr>
      <w:r>
        <w:rPr>
          <w:rFonts w:cs="Arial"/>
          <w:szCs w:val="40"/>
        </w:rPr>
        <w:t xml:space="preserve">﻿ </w:t>
      </w:r>
    </w:p>
    <w:p>
      <w:pPr>
        <w:pStyle w:val="TextBody"/>
        <w:pBdr/>
        <w:bidi w:val="0"/>
        <w:spacing w:before="6" w:after="0"/>
        <w:ind w:left="1700" w:right="700" w:hanging="0"/>
        <w:jc w:val="left"/>
        <w:rPr>
          <w:rFonts w:cs="Arial"/>
          <w:szCs w:val="40"/>
        </w:rPr>
      </w:pPr>
      <w:r>
        <w:rPr>
          <w:rFonts w:cs="Arial"/>
          <w:szCs w:val="40"/>
        </w:rPr>
        <w:t xml:space="preserve">﻿ </w:t>
      </w:r>
    </w:p>
    <w:p>
      <w:pPr>
        <w:pStyle w:val="TextBody"/>
        <w:bidi w:val="0"/>
        <w:spacing w:before="0" w:after="0"/>
        <w:ind w:left="2268" w:right="700" w:hanging="0"/>
        <w:jc w:val="left"/>
        <w:rPr>
          <w:rFonts w:ascii="Arial" w:hAnsi="Arial"/>
          <w:sz w:val="40"/>
        </w:rPr>
      </w:pPr>
      <w:bookmarkStart w:id="554" w:name="Schedule91"/>
      <w:bookmarkEnd w:id="554"/>
      <w:r>
        <w:rPr>
          <w:rFonts w:ascii="Arial" w:hAnsi="Arial"/>
          <w:sz w:val="40"/>
        </w:rPr>
        <w:t xml:space="preserve">Schedule 9 </w:t>
      </w:r>
    </w:p>
    <w:p>
      <w:pPr>
        <w:pStyle w:val="TextBody"/>
        <w:bidi w:val="0"/>
        <w:spacing w:before="357" w:after="0"/>
        <w:ind w:left="2268" w:right="700" w:hanging="0"/>
        <w:jc w:val="left"/>
        <w:rPr>
          <w:rFonts w:ascii="Arial" w:hAnsi="Arial"/>
          <w:sz w:val="32"/>
        </w:rPr>
      </w:pPr>
      <w:r>
        <w:rPr>
          <w:rFonts w:ascii="Arial" w:hAnsi="Arial"/>
          <w:sz w:val="32"/>
        </w:rPr>
        <w:t xml:space="preserve">[***] </w:t>
      </w:r>
    </w:p>
    <w:p>
      <w:pPr>
        <w:pStyle w:val="TextBody"/>
        <w:bidi w:val="0"/>
        <w:spacing w:before="0" w:after="0"/>
        <w:ind w:left="1700" w:right="700" w:hanging="0"/>
        <w:jc w:val="left"/>
        <w:rPr>
          <w:rFonts w:cs="Arial"/>
          <w:szCs w:val="32"/>
        </w:rPr>
      </w:pPr>
      <w:r>
        <w:rPr>
          <w:rFonts w:cs="Arial"/>
          <w:szCs w:val="32"/>
        </w:rPr>
        <w:t xml:space="preserve">﻿ </w:t>
      </w:r>
    </w:p>
    <w:p>
      <w:pPr>
        <w:pStyle w:val="TextBody"/>
        <w:bidi w:val="0"/>
        <w:spacing w:lineRule="auto" w:line="280" w:before="119" w:after="0"/>
        <w:ind w:left="3646" w:right="700" w:hanging="567"/>
        <w:jc w:val="left"/>
        <w:rPr/>
      </w:pPr>
      <w:r>
        <w:rPr/>
        <w:t xml:space="preserve">  </w:t>
      </w:r>
    </w:p>
    <w:tbl>
      <w:tblPr>
        <w:tblW w:w="1930" w:type="dxa"/>
        <w:jc w:val="left"/>
        <w:tblInd w:w="420" w:type="dxa"/>
        <w:tblLayout w:type="fixed"/>
        <w:tblCellMar>
          <w:top w:w="0" w:type="dxa"/>
          <w:left w:w="0" w:type="dxa"/>
          <w:bottom w:w="0" w:type="dxa"/>
          <w:right w:w="0" w:type="dxa"/>
        </w:tblCellMar>
      </w:tblPr>
      <w:tblGrid>
        <w:gridCol w:w="1310"/>
        <w:gridCol w:w="620"/>
      </w:tblGrid>
      <w:tr>
        <w:trPr/>
        <w:tc>
          <w:tcPr>
            <w:tcW w:w="1310" w:type="dxa"/>
            <w:tcBorders/>
          </w:tcPr>
          <w:p>
            <w:pPr>
              <w:pStyle w:val="TableContents"/>
              <w:bidi w:val="0"/>
              <w:spacing w:before="0" w:after="0"/>
              <w:ind w:left="0" w:right="0" w:hanging="0"/>
              <w:jc w:val="left"/>
              <w:rPr/>
            </w:pPr>
            <w:r>
              <w:rPr/>
              <w:t> </w:t>
            </w:r>
          </w:p>
        </w:tc>
        <w:tc>
          <w:tcPr>
            <w:tcW w:w="620" w:type="dxa"/>
            <w:tcBorders/>
          </w:tcPr>
          <w:p>
            <w:pPr>
              <w:pStyle w:val="TableContents"/>
              <w:bidi w:val="0"/>
              <w:spacing w:before="0" w:after="0"/>
              <w:ind w:left="0" w:right="0" w:hanging="0"/>
              <w:jc w:val="left"/>
              <w:rPr/>
            </w:pPr>
            <w:r>
              <w:rPr/>
              <w:t> </w:t>
            </w:r>
          </w:p>
        </w:tc>
      </w:tr>
      <w:tr>
        <w:trPr/>
        <w:tc>
          <w:tcPr>
            <w:tcW w:w="1310" w:type="dxa"/>
            <w:tcBorders/>
          </w:tcPr>
          <w:p>
            <w:pPr>
              <w:pStyle w:val="TableContents"/>
              <w:bidi w:val="0"/>
              <w:spacing w:before="0" w:after="0"/>
              <w:ind w:left="0" w:right="0" w:hanging="0"/>
              <w:jc w:val="left"/>
              <w:rPr>
                <w:rFonts w:ascii="Arial" w:hAnsi="Arial"/>
                <w:sz w:val="15"/>
              </w:rPr>
            </w:pPr>
            <w:r>
              <w:rPr>
                <w:rFonts w:ascii="Arial" w:hAnsi="Arial"/>
                <w:sz w:val="15"/>
              </w:rPr>
              <w:t>Facility Agreement</w:t>
            </w:r>
          </w:p>
        </w:tc>
        <w:tc>
          <w:tcPr>
            <w:tcW w:w="620" w:type="dxa"/>
            <w:tcBorders/>
          </w:tcPr>
          <w:p>
            <w:pPr>
              <w:pStyle w:val="TableContents"/>
              <w:bidi w:val="0"/>
              <w:spacing w:before="0" w:after="0"/>
              <w:ind w:left="0" w:right="0" w:hanging="0"/>
              <w:jc w:val="right"/>
              <w:rPr>
                <w:rFonts w:ascii="Arial" w:hAnsi="Arial"/>
                <w:sz w:val="15"/>
              </w:rPr>
            </w:pPr>
            <w:r>
              <w:rPr>
                <w:rFonts w:ascii="Arial" w:hAnsi="Arial"/>
                <w:sz w:val="15"/>
              </w:rPr>
              <w:t>page 82</w:t>
            </w:r>
          </w:p>
        </w:tc>
      </w:tr>
    </w:tbl>
    <w:p>
      <w:pPr>
        <w:pStyle w:val="TextBody"/>
        <w:bidi w:val="0"/>
        <w:spacing w:before="0" w:after="0"/>
        <w:ind w:left="420" w:right="420" w:hanging="0"/>
        <w:jc w:val="left"/>
        <w:rPr/>
      </w:pPr>
      <w:r>
        <w:rPr/>
        <w:t xml:space="preserve">  </w:t>
      </w:r>
    </w:p>
    <w:p>
      <w:pPr>
        <w:pStyle w:val="HorizontalLine"/>
        <w:pBdr>
          <w:bottom w:val="double" w:sz="6" w:space="0" w:color="808080"/>
        </w:pBdr>
        <w:bidi w:val="0"/>
        <w:ind w:left="420" w:right="420" w:hanging="0"/>
        <w:jc w:val="left"/>
        <w:rPr/>
      </w:pPr>
      <w:r>
        <w:rPr/>
      </w:r>
    </w:p>
    <w:p>
      <w:pPr>
        <w:pStyle w:val="TextBody"/>
        <w:bidi w:val="0"/>
        <w:ind w:left="420" w:right="420" w:hanging="0"/>
        <w:jc w:val="left"/>
        <w:rPr/>
      </w:pPr>
      <w:r>
        <w:rPr/>
        <w:t> </w:t>
      </w:r>
      <w:r>
        <w:br w:type="page"/>
      </w:r>
    </w:p>
    <w:p>
      <w:pPr>
        <w:pStyle w:val="TextBody"/>
        <w:bidi w:val="0"/>
        <w:spacing w:lineRule="auto" w:line="12" w:before="0" w:after="0"/>
        <w:ind w:left="420" w:right="420" w:hanging="0"/>
        <w:jc w:val="left"/>
        <w:rPr/>
      </w:pPr>
      <w:r>
        <w:rPr/>
        <w:t xml:space="preserve">  </w:t>
      </w:r>
    </w:p>
    <w:p>
      <w:pPr>
        <w:pStyle w:val="TextBody"/>
        <w:pBdr/>
        <w:bidi w:val="0"/>
        <w:spacing w:before="0" w:after="0"/>
        <w:ind w:left="420" w:right="420" w:hanging="0"/>
        <w:jc w:val="left"/>
        <w:rPr>
          <w:rFonts w:cs="Arial"/>
          <w:szCs w:val="20"/>
        </w:rPr>
      </w:pPr>
      <w:r>
        <w:rPr>
          <w:rFonts w:cs="Arial"/>
          <w:szCs w:val="20"/>
        </w:rPr>
        <w:t xml:space="preserve">﻿ </w:t>
      </w:r>
    </w:p>
    <w:p>
      <w:pPr>
        <w:pStyle w:val="TextBody"/>
        <w:pBdr/>
        <w:bidi w:val="0"/>
        <w:spacing w:before="0" w:after="0"/>
        <w:ind w:left="420" w:right="420" w:hanging="0"/>
        <w:jc w:val="left"/>
        <w:rPr>
          <w:rFonts w:cs="Arial"/>
          <w:szCs w:val="20"/>
        </w:rPr>
      </w:pPr>
      <w:r>
        <w:rPr>
          <w:rFonts w:cs="Arial"/>
          <w:szCs w:val="20"/>
        </w:rPr>
        <w:t xml:space="preserve">﻿ </w:t>
      </w:r>
    </w:p>
    <w:p>
      <w:pPr>
        <w:pStyle w:val="TextBody"/>
        <w:pBdr/>
        <w:bidi w:val="0"/>
        <w:spacing w:before="0" w:after="0"/>
        <w:ind w:left="420" w:right="420" w:hanging="0"/>
        <w:jc w:val="left"/>
        <w:rPr>
          <w:rFonts w:cs="Arial"/>
          <w:szCs w:val="20"/>
        </w:rPr>
      </w:pPr>
      <w:r>
        <w:rPr>
          <w:rFonts w:cs="Arial"/>
          <w:szCs w:val="20"/>
        </w:rPr>
        <w:t xml:space="preserve">﻿ </w:t>
      </w:r>
    </w:p>
    <w:p>
      <w:pPr>
        <w:pStyle w:val="TextBody"/>
        <w:bidi w:val="0"/>
        <w:spacing w:before="0" w:after="0"/>
        <w:ind w:left="988" w:right="420" w:hanging="0"/>
        <w:jc w:val="left"/>
        <w:rPr>
          <w:rFonts w:ascii="Arial" w:hAnsi="Arial"/>
          <w:sz w:val="40"/>
        </w:rPr>
      </w:pPr>
      <w:bookmarkStart w:id="555" w:name="Schedule101"/>
      <w:bookmarkEnd w:id="555"/>
      <w:r>
        <w:rPr>
          <w:rFonts w:ascii="Arial" w:hAnsi="Arial"/>
          <w:sz w:val="40"/>
        </w:rPr>
        <w:t xml:space="preserve">Schedule 10 </w:t>
      </w:r>
    </w:p>
    <w:p>
      <w:pPr>
        <w:pStyle w:val="TextBody"/>
        <w:bidi w:val="0"/>
        <w:spacing w:before="357" w:after="0"/>
        <w:ind w:left="988" w:right="420" w:hanging="0"/>
        <w:jc w:val="left"/>
        <w:rPr>
          <w:rFonts w:ascii="Arial" w:hAnsi="Arial"/>
          <w:sz w:val="32"/>
        </w:rPr>
      </w:pPr>
      <w:r>
        <w:rPr>
          <w:rFonts w:ascii="Arial" w:hAnsi="Arial"/>
          <w:sz w:val="32"/>
        </w:rPr>
        <w:t xml:space="preserve">[***] </w:t>
      </w:r>
    </w:p>
    <w:p>
      <w:pPr>
        <w:pStyle w:val="TextBody"/>
        <w:bidi w:val="0"/>
        <w:spacing w:before="0" w:after="0"/>
        <w:ind w:left="420" w:right="420" w:hanging="0"/>
        <w:jc w:val="left"/>
        <w:rPr>
          <w:rFonts w:cs="Arial"/>
          <w:szCs w:val="32"/>
        </w:rPr>
      </w:pPr>
      <w:r>
        <w:rPr>
          <w:rFonts w:cs="Arial"/>
          <w:szCs w:val="32"/>
        </w:rPr>
        <w:t xml:space="preserve">﻿ </w:t>
      </w:r>
    </w:p>
    <w:p>
      <w:pPr>
        <w:pStyle w:val="TextBody"/>
        <w:bidi w:val="0"/>
        <w:spacing w:lineRule="auto" w:line="316" w:before="95" w:after="0"/>
        <w:ind w:left="494" w:right="2032" w:hanging="0"/>
        <w:jc w:val="left"/>
        <w:rPr>
          <w:rFonts w:cs="Arial"/>
          <w:szCs w:val="22"/>
        </w:rPr>
      </w:pPr>
      <w:r>
        <w:rPr>
          <w:rFonts w:cs="Arial"/>
          <w:szCs w:val="22"/>
        </w:rPr>
        <w:t xml:space="preserve">﻿ </w:t>
      </w:r>
    </w:p>
    <w:p>
      <w:pPr>
        <w:pStyle w:val="TextBody"/>
        <w:bidi w:val="0"/>
        <w:spacing w:lineRule="auto" w:line="12" w:before="0" w:after="0"/>
        <w:ind w:left="420" w:right="420" w:hanging="0"/>
        <w:jc w:val="left"/>
        <w:rPr/>
      </w:pPr>
      <w:r>
        <w:rPr/>
        <w:t xml:space="preserve">  </w:t>
      </w:r>
    </w:p>
    <w:p>
      <w:pPr>
        <w:pStyle w:val="HorizontalLine"/>
        <w:pBdr>
          <w:bottom w:val="double" w:sz="6" w:space="0" w:color="808080"/>
        </w:pBdr>
        <w:bidi w:val="0"/>
        <w:ind w:left="420" w:right="420" w:hanging="0"/>
        <w:jc w:val="left"/>
        <w:rPr/>
      </w:pPr>
      <w:r>
        <w:rPr/>
      </w:r>
    </w:p>
    <w:p>
      <w:pPr>
        <w:pStyle w:val="TextBody"/>
        <w:bidi w:val="0"/>
        <w:spacing w:lineRule="auto" w:line="256" w:before="0" w:after="160"/>
        <w:ind w:left="1440" w:right="1440" w:hanging="0"/>
        <w:jc w:val="right"/>
        <w:rPr>
          <w:rFonts w:ascii="Calibri" w:hAnsi="Calibri"/>
          <w:sz w:val="18"/>
        </w:rPr>
      </w:pPr>
      <w:bookmarkStart w:id="556" w:name="rdi-20250630xex31_1.htm"/>
      <w:bookmarkStart w:id="557" w:name="ksrdi20250630xex31_1"/>
      <w:bookmarkEnd w:id="556"/>
      <w:bookmarkEnd w:id="557"/>
      <w:r>
        <w:rPr>
          <w:rFonts w:ascii="Times New Roman" w:hAnsi="Times New Roman"/>
          <w:b/>
          <w:sz w:val="18"/>
        </w:rPr>
        <w:t>EXHIBIT 31.1</w:t>
      </w:r>
      <w:r>
        <w:rPr>
          <w:rFonts w:ascii="Calibri" w:hAnsi="Calibri"/>
          <w:sz w:val="18"/>
        </w:rPr>
        <w:t xml:space="preserve"> </w:t>
      </w:r>
      <w:r>
        <w:br w:type="page"/>
      </w:r>
    </w:p>
    <w:p>
      <w:pPr>
        <w:pStyle w:val="TextBody"/>
        <w:pBdr/>
        <w:bidi w:val="0"/>
        <w:spacing w:lineRule="auto" w:line="240" w:before="0" w:after="0"/>
        <w:ind w:left="1440" w:right="1440" w:hanging="0"/>
        <w:jc w:val="center"/>
        <w:rPr>
          <w:rFonts w:cs="Calibri"/>
          <w:bCs/>
          <w:szCs w:val="22"/>
        </w:rPr>
      </w:pPr>
      <w:r>
        <w:rPr>
          <w:rFonts w:cs="Calibri"/>
          <w:bCs/>
          <w:szCs w:val="22"/>
        </w:rPr>
        <w:t xml:space="preserve">﻿ </w:t>
      </w:r>
    </w:p>
    <w:p>
      <w:pPr>
        <w:pStyle w:val="TextBody"/>
        <w:pBdr/>
        <w:bidi w:val="0"/>
        <w:spacing w:lineRule="auto" w:line="240" w:before="0" w:after="0"/>
        <w:ind w:left="1440" w:right="1440" w:hanging="0"/>
        <w:jc w:val="center"/>
        <w:rPr>
          <w:rFonts w:ascii="Calibri" w:hAnsi="Calibri"/>
          <w:b/>
          <w:sz w:val="20"/>
        </w:rPr>
      </w:pPr>
      <w:bookmarkStart w:id="558" w:name="Certifications"/>
      <w:bookmarkEnd w:id="558"/>
      <w:r>
        <w:rPr>
          <w:rFonts w:ascii="Times New Roman" w:hAnsi="Times New Roman"/>
          <w:b/>
          <w:sz w:val="20"/>
        </w:rPr>
        <w:t>CERTIFICATION</w:t>
      </w:r>
      <w:r>
        <w:rPr>
          <w:rFonts w:ascii="Calibri" w:hAnsi="Calibri"/>
          <w:b/>
          <w:sz w:val="20"/>
        </w:rPr>
        <w:t> </w:t>
      </w:r>
      <w:r>
        <w:rPr>
          <w:rFonts w:ascii="Times New Roman" w:hAnsi="Times New Roman"/>
          <w:b/>
          <w:sz w:val="20"/>
        </w:rPr>
        <w:t>OF PRINCIPAL EXECUTIVE OFFICER</w:t>
      </w:r>
      <w:r>
        <w:rPr>
          <w:rFonts w:ascii="Calibri" w:hAnsi="Calibri"/>
          <w:b/>
          <w:sz w:val="20"/>
        </w:rPr>
        <w:t xml:space="preserve"> </w:t>
      </w:r>
    </w:p>
    <w:p>
      <w:pPr>
        <w:pStyle w:val="TextBody"/>
        <w:pBdr/>
        <w:bidi w:val="0"/>
        <w:spacing w:lineRule="auto" w:line="240" w:before="0" w:after="0"/>
        <w:ind w:left="1440" w:right="1440" w:hanging="0"/>
        <w:jc w:val="center"/>
        <w:rPr>
          <w:rFonts w:ascii="Calibri" w:hAnsi="Calibri"/>
          <w:b/>
          <w:sz w:val="20"/>
        </w:rPr>
      </w:pPr>
      <w:r>
        <w:rPr>
          <w:rFonts w:ascii="Times New Roman" w:hAnsi="Times New Roman"/>
          <w:b/>
          <w:sz w:val="20"/>
        </w:rPr>
        <w:t>PURSUANT TO EXCHANGE ACT RULE 13a-14(a)/15d-14(a) AS ADOPTED</w:t>
      </w:r>
      <w:r>
        <w:rPr>
          <w:rFonts w:ascii="Calibri" w:hAnsi="Calibri"/>
          <w:b/>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Ellen M. Cotter,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82"/>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Ellen M. Cotter</w:t>
      </w:r>
      <w:r>
        <w:rPr>
          <w:rFonts w:ascii="Times New Roman" w:hAnsi="Times New Roman"/>
          <w:color w:val="000000"/>
          <w:sz w:val="20"/>
        </w:rPr>
        <w:t> </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Ellen M. Cotter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President and Chief Executive Officer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August  14, 2025</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559" w:name="rdi-20250630xex31_2.htm"/>
      <w:bookmarkStart w:id="560" w:name="ksrdi20250630xex31_2"/>
      <w:bookmarkEnd w:id="559"/>
      <w:bookmarkEnd w:id="560"/>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r>
        <w:br w:type="page"/>
      </w:r>
    </w:p>
    <w:p>
      <w:pPr>
        <w:pStyle w:val="TextBody"/>
        <w:bidi w:val="0"/>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CERTIFICATION</w:t>
      </w:r>
      <w:r>
        <w:rPr>
          <w:rFonts w:ascii="Calibri" w:hAnsi="Calibri"/>
          <w:sz w:val="20"/>
        </w:rPr>
        <w:t> </w:t>
      </w:r>
      <w:r>
        <w:rPr>
          <w:rFonts w:ascii="Times New Roman" w:hAnsi="Times New Roman"/>
          <w:b/>
          <w:sz w:val="20"/>
        </w:rPr>
        <w:t>OF PRINCIPAL FINANCIAL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Gilbert Avanes,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32"/>
        <w:gridCol w:w="23"/>
        <w:gridCol w:w="713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40"/>
        <w:gridCol w:w="23"/>
        <w:gridCol w:w="712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54"/>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2880" w:right="1440" w:hanging="36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Executive Vice President, Chief Financial Officer and Treasurer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August  14, 2025</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pBdr/>
        <w:bidi w:val="0"/>
        <w:spacing w:lineRule="auto" w:line="240" w:before="0" w:after="0"/>
        <w:ind w:left="1440" w:right="1440" w:hanging="0"/>
        <w:jc w:val="right"/>
        <w:rPr>
          <w:rFonts w:ascii="Arial" w:hAnsi="Arial"/>
          <w:b/>
          <w:sz w:val="18"/>
        </w:rPr>
      </w:pPr>
      <w:bookmarkStart w:id="561" w:name="rdi-20250630xex32.htm"/>
      <w:bookmarkStart w:id="562" w:name="ksrdi20250630xex32"/>
      <w:bookmarkEnd w:id="561"/>
      <w:bookmarkEnd w:id="562"/>
      <w:r>
        <w:rPr>
          <w:rFonts w:ascii="Times New Roman" w:hAnsi="Times New Roman"/>
          <w:b/>
          <w:sz w:val="18"/>
        </w:rPr>
        <w:t>EXHIBIT 32</w:t>
      </w:r>
      <w:r>
        <w:rPr>
          <w:rFonts w:ascii="Arial" w:hAnsi="Arial"/>
          <w:b/>
          <w:sz w:val="18"/>
        </w:rPr>
        <w:t xml:space="preserve"> </w:t>
      </w:r>
      <w:r>
        <w:br w:type="page"/>
      </w:r>
    </w:p>
    <w:p>
      <w:pPr>
        <w:pStyle w:val="TextBody"/>
        <w:pBdr/>
        <w:bidi w:val="0"/>
        <w:spacing w:lineRule="auto" w:line="240" w:before="0" w:after="0"/>
        <w:ind w:left="1440" w:right="1440" w:hanging="0"/>
        <w:jc w:val="center"/>
        <w:rPr>
          <w:rFonts w:cs="Arial"/>
          <w:bCs/>
          <w:szCs w:val="22"/>
        </w:rPr>
      </w:pPr>
      <w:r>
        <w:rPr>
          <w:rFonts w:cs="Times New Roman"/>
          <w:bCs w:val="false"/>
          <w:szCs w:val="22"/>
        </w:rPr>
        <w:t>﻿</w:t>
      </w:r>
      <w:r>
        <w:rPr>
          <w:rFonts w:cs="Arial"/>
          <w:bCs/>
          <w:szCs w:val="22"/>
        </w:rPr>
        <w:t xml:space="preserve"> </w:t>
      </w:r>
    </w:p>
    <w:p>
      <w:pPr>
        <w:pStyle w:val="TextBody"/>
        <w:pBdr/>
        <w:bidi w:val="0"/>
        <w:spacing w:lineRule="auto" w:line="240" w:before="0" w:after="0"/>
        <w:ind w:left="1440" w:right="1440" w:hanging="0"/>
        <w:jc w:val="center"/>
        <w:rPr>
          <w:rFonts w:ascii="Arial" w:hAnsi="Arial"/>
          <w:b/>
          <w:sz w:val="20"/>
        </w:rPr>
      </w:pPr>
      <w:r>
        <w:rPr>
          <w:rFonts w:ascii="Times New Roman" w:hAnsi="Times New Roman"/>
          <w:b w:val="false"/>
          <w:sz w:val="20"/>
        </w:rPr>
        <w:t>CERTIFICATION PURSUANT TO</w:t>
      </w:r>
      <w:r>
        <w:rPr>
          <w:rFonts w:ascii="Arial" w:hAnsi="Arial"/>
          <w:b/>
          <w:sz w:val="20"/>
        </w:rPr>
        <w:br/>
      </w:r>
      <w:r>
        <w:rPr>
          <w:rFonts w:ascii="Times New Roman" w:hAnsi="Times New Roman"/>
          <w:b w:val="false"/>
          <w:sz w:val="20"/>
        </w:rPr>
        <w:t xml:space="preserve">18 U.S.C.  SECTION 1350, </w:t>
      </w:r>
      <w:r>
        <w:rPr>
          <w:rFonts w:ascii="Arial" w:hAnsi="Arial"/>
          <w:b/>
          <w:sz w:val="20"/>
        </w:rPr>
        <w:br/>
      </w:r>
      <w:r>
        <w:rPr>
          <w:rFonts w:ascii="Times New Roman" w:hAnsi="Times New Roman"/>
          <w:b w:val="false"/>
          <w:sz w:val="20"/>
        </w:rPr>
        <w:t>AS ADOPTED PURSUANT TO</w:t>
      </w:r>
      <w:r>
        <w:rPr>
          <w:rFonts w:ascii="Arial" w:hAnsi="Arial"/>
          <w:b/>
          <w:sz w:val="20"/>
        </w:rPr>
        <w:br/>
      </w:r>
      <w:r>
        <w:rPr>
          <w:rFonts w:ascii="Times New Roman" w:hAnsi="Times New Roman"/>
          <w:b w:val="false"/>
          <w:sz w:val="20"/>
        </w:rPr>
        <w:t>SECTION 906 OF THE SARBANES-OXLEY ACT OF 2002</w:t>
      </w:r>
      <w:r>
        <w:rPr>
          <w:rFonts w:ascii="Arial" w:hAnsi="Arial"/>
          <w:b/>
          <w:sz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Ellen M. Cotter, Chief Executive Officer, and Gilbert Avanes, Chief Financial Officer, of Reading International, Inc. (the “Company”), pursuant to 18 U.S.C. Section 1350, as adopted pursuant to Section 906 of the Sarbanes-Oxley Act of 2002, do each hereby certify, that, to his or her knowledge: </w:t>
      </w:r>
    </w:p>
    <w:p>
      <w:pPr>
        <w:pStyle w:val="TextBody"/>
        <w:pBdr/>
        <w:bidi w:val="0"/>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10"/>
        <w:gridCol w:w="23"/>
        <w:gridCol w:w="7154"/>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4" w:type="dxa"/>
            <w:tcBorders/>
          </w:tcPr>
          <w:p>
            <w:pPr>
              <w:pStyle w:val="TableContents"/>
              <w:bidi w:val="0"/>
              <w:spacing w:lineRule="auto" w:line="240" w:before="0" w:after="200"/>
              <w:ind w:left="0" w:right="0" w:hanging="0"/>
              <w:jc w:val="left"/>
              <w:rPr>
                <w:rFonts w:ascii="Calibri" w:hAnsi="Calibri"/>
                <w:sz w:val="20"/>
              </w:rPr>
            </w:pPr>
            <w:r>
              <w:rPr>
                <w:rFonts w:ascii="Times New Roman" w:hAnsi="Times New Roman"/>
                <w:color w:val="000000"/>
                <w:sz w:val="20"/>
              </w:rPr>
              <w:t>The Quarterly Report on Form 10-Q for the period ended June</w:t>
            </w:r>
            <w:r>
              <w:rPr>
                <w:rFonts w:ascii="Calibri" w:hAnsi="Calibri"/>
                <w:color w:val="000000"/>
                <w:sz w:val="20"/>
              </w:rPr>
              <w:t xml:space="preserve">  </w:t>
            </w:r>
            <w:r>
              <w:rPr>
                <w:rFonts w:ascii="Times New Roman" w:hAnsi="Times New Roman"/>
                <w:color w:val="000000"/>
                <w:sz w:val="20"/>
              </w:rPr>
              <w:t>30, 2025</w:t>
            </w:r>
            <w:r>
              <w:rPr>
                <w:rFonts w:ascii="Calibri" w:hAnsi="Calibri"/>
                <w:color w:val="000000"/>
                <w:sz w:val="20"/>
              </w:rPr>
              <w:t xml:space="preserve"> </w:t>
            </w:r>
            <w:r>
              <w:rPr>
                <w:rFonts w:ascii="Times New Roman" w:hAnsi="Times New Roman"/>
                <w:color w:val="000000"/>
                <w:sz w:val="20"/>
              </w:rPr>
              <w:t>(the "Report") of the Company fully complies with the requirements of Section 13(a) or 15(d), as applicable, of the Securities Exchange Act of 1934; and</w:t>
            </w:r>
          </w:p>
        </w:tc>
      </w:tr>
    </w:tbl>
    <w:tbl>
      <w:tblPr>
        <w:tblW w:w="7325" w:type="dxa"/>
        <w:jc w:val="left"/>
        <w:tblInd w:w="1440" w:type="dxa"/>
        <w:tblLayout w:type="fixed"/>
        <w:tblCellMar>
          <w:top w:w="0" w:type="dxa"/>
          <w:left w:w="0" w:type="dxa"/>
          <w:bottom w:w="0" w:type="dxa"/>
          <w:right w:w="0" w:type="dxa"/>
        </w:tblCellMar>
      </w:tblPr>
      <w:tblGrid>
        <w:gridCol w:w="38"/>
        <w:gridCol w:w="120"/>
        <w:gridCol w:w="23"/>
        <w:gridCol w:w="714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4" w:type="dxa"/>
            <w:tcBorders/>
          </w:tcPr>
          <w:p>
            <w:pPr>
              <w:pStyle w:val="TableContents"/>
              <w:bidi w:val="0"/>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 of the Company.</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Dated: August  14, 2025</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Ellen M. Cotter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w:t>
      </w:r>
      <w:r>
        <w:rPr>
          <w:rFonts w:ascii="Calibri" w:hAnsi="Calibri"/>
          <w:color w:val="000000"/>
          <w:sz w:val="20"/>
        </w:rPr>
        <w:t>     </w:t>
      </w:r>
      <w:r>
        <w:rPr>
          <w:rFonts w:ascii="Times New Roman" w:hAnsi="Times New Roman"/>
          <w:color w:val="000000"/>
          <w:sz w:val="20"/>
        </w:rPr>
        <w:t>Ellen M. Cotter</w:t>
      </w:r>
      <w:r>
        <w:rPr>
          <w:rFonts w:ascii="Calibri" w:hAnsi="Calibri"/>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Title:       President and Chief Executive Officer</w:t>
      </w:r>
      <w:r>
        <w:rPr>
          <w:rFonts w:ascii="Calibri" w:hAnsi="Calibri"/>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Gilbert Avanes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    Gilbert Avanes</w:t>
      </w:r>
      <w:r>
        <w:rPr>
          <w:rFonts w:ascii="Calibri" w:hAnsi="Calibri"/>
          <w:sz w:val="20"/>
        </w:rPr>
        <w:t xml:space="preserve"> </w:t>
      </w:r>
    </w:p>
    <w:p>
      <w:pPr>
        <w:pStyle w:val="TextBody"/>
        <w:bidi w:val="0"/>
        <w:spacing w:lineRule="auto" w:line="256" w:before="0" w:after="160"/>
        <w:ind w:left="1440" w:right="1440" w:hanging="0"/>
        <w:jc w:val="left"/>
        <w:rPr>
          <w:rFonts w:ascii="Calibri" w:hAnsi="Calibri"/>
          <w:sz w:val="20"/>
        </w:rPr>
      </w:pPr>
      <w:r>
        <w:rPr>
          <w:rFonts w:ascii="Times New Roman" w:hAnsi="Times New Roman"/>
          <w:color w:val="000000"/>
          <w:sz w:val="20"/>
        </w:rPr>
        <w:t>Title:      Executive Vice President, Chief Financial Officer and Treasurer</w:t>
      </w:r>
      <w:r>
        <w:rPr>
          <w:rFonts w:ascii="Calibri" w:hAnsi="Calibri"/>
          <w:sz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ymbol">
    <w:charset w:val="01"/>
    <w:family w:val="auto"/>
    <w:pitch w:val="default"/>
  </w:font>
  <w:font w:name="Times New Roman Bold">
    <w:charset w:val="01"/>
    <w:family w:val="auto"/>
    <w:pitch w:val="default"/>
  </w:font>
  <w:font w:name="Times New Roman">
    <w:charset w:val="01"/>
    <w:family w:val="auto"/>
    <w:pitch w:val="default"/>
  </w:font>
  <w:font w:name="Aptos">
    <w:charset w:val="01"/>
    <w:family w:val="auto"/>
    <w:pitch w:val="default"/>
  </w:font>
  <w:font w:name="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6.jpeg"/><Relationship Id="rId29" Type="http://schemas.openxmlformats.org/officeDocument/2006/relationships/image" Target="media/image6.jpeg"/><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7.jpeg"/><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3.jpeg"/><Relationship Id="rId36" Type="http://schemas.openxmlformats.org/officeDocument/2006/relationships/image" Target="media/image4.jpeg"/><Relationship Id="rId37" Type="http://schemas.openxmlformats.org/officeDocument/2006/relationships/image" Target="media/image3.jpeg"/><Relationship Id="rId38" Type="http://schemas.openxmlformats.org/officeDocument/2006/relationships/image" Target="media/image4.jpeg"/><Relationship Id="rId39" Type="http://schemas.openxmlformats.org/officeDocument/2006/relationships/image" Target="media/image3.jpeg"/><Relationship Id="rId40" Type="http://schemas.openxmlformats.org/officeDocument/2006/relationships/image" Target="media/image4.jpeg"/><Relationship Id="rId41" Type="http://schemas.openxmlformats.org/officeDocument/2006/relationships/image" Target="media/image3.jpeg"/><Relationship Id="rId42" Type="http://schemas.openxmlformats.org/officeDocument/2006/relationships/image" Target="media/image4.jpeg"/><Relationship Id="rId43" Type="http://schemas.openxmlformats.org/officeDocument/2006/relationships/image" Target="media/image3.jpeg"/><Relationship Id="rId44" Type="http://schemas.openxmlformats.org/officeDocument/2006/relationships/image" Target="media/image4.jpeg"/><Relationship Id="rId45" Type="http://schemas.openxmlformats.org/officeDocument/2006/relationships/image" Target="media/image3.jpeg"/><Relationship Id="rId46" Type="http://schemas.openxmlformats.org/officeDocument/2006/relationships/image" Target="media/image4.jpeg"/><Relationship Id="rId47" Type="http://schemas.openxmlformats.org/officeDocument/2006/relationships/image" Target="media/image3.jpeg"/><Relationship Id="rId48" Type="http://schemas.openxmlformats.org/officeDocument/2006/relationships/image" Target="media/image4.jpeg"/><Relationship Id="rId49" Type="http://schemas.openxmlformats.org/officeDocument/2006/relationships/image" Target="media/image3.jpeg"/><Relationship Id="rId50" Type="http://schemas.openxmlformats.org/officeDocument/2006/relationships/image" Target="media/image4.jpeg"/><Relationship Id="rId51" Type="http://schemas.openxmlformats.org/officeDocument/2006/relationships/image" Target="media/image3.jpeg"/><Relationship Id="rId52" Type="http://schemas.openxmlformats.org/officeDocument/2006/relationships/image" Target="media/image4.jpeg"/><Relationship Id="rId53" Type="http://schemas.openxmlformats.org/officeDocument/2006/relationships/image" Target="media/image3.jpeg"/><Relationship Id="rId54" Type="http://schemas.openxmlformats.org/officeDocument/2006/relationships/image" Target="media/image4.jpeg"/><Relationship Id="rId55" Type="http://schemas.openxmlformats.org/officeDocument/2006/relationships/image" Target="media/image3.jpeg"/><Relationship Id="rId56" Type="http://schemas.openxmlformats.org/officeDocument/2006/relationships/image" Target="media/image4.jpeg"/><Relationship Id="rId57" Type="http://schemas.openxmlformats.org/officeDocument/2006/relationships/image" Target="media/image3.jpeg"/><Relationship Id="rId58" Type="http://schemas.openxmlformats.org/officeDocument/2006/relationships/image" Target="media/image4.jpeg"/><Relationship Id="rId59" Type="http://schemas.openxmlformats.org/officeDocument/2006/relationships/image" Target="media/image3.jpeg"/><Relationship Id="rId60" Type="http://schemas.openxmlformats.org/officeDocument/2006/relationships/image" Target="media/image4.jpeg"/><Relationship Id="rId61" Type="http://schemas.openxmlformats.org/officeDocument/2006/relationships/image" Target="media/image3.jpeg"/><Relationship Id="rId62" Type="http://schemas.openxmlformats.org/officeDocument/2006/relationships/image" Target="media/image4.jpeg"/><Relationship Id="rId63" Type="http://schemas.openxmlformats.org/officeDocument/2006/relationships/image" Target="media/image3.jpeg"/><Relationship Id="rId64" Type="http://schemas.openxmlformats.org/officeDocument/2006/relationships/image" Target="media/image4.jpeg"/><Relationship Id="rId65" Type="http://schemas.openxmlformats.org/officeDocument/2006/relationships/image" Target="media/image3.jpeg"/><Relationship Id="rId66" Type="http://schemas.openxmlformats.org/officeDocument/2006/relationships/image" Target="media/image4.jpeg"/><Relationship Id="rId67" Type="http://schemas.openxmlformats.org/officeDocument/2006/relationships/image" Target="media/image3.jpeg"/><Relationship Id="rId68" Type="http://schemas.openxmlformats.org/officeDocument/2006/relationships/image" Target="media/image4.jpeg"/><Relationship Id="rId69" Type="http://schemas.openxmlformats.org/officeDocument/2006/relationships/image" Target="media/image3.jpeg"/><Relationship Id="rId70" Type="http://schemas.openxmlformats.org/officeDocument/2006/relationships/image" Target="media/image4.jpeg"/><Relationship Id="rId71" Type="http://schemas.openxmlformats.org/officeDocument/2006/relationships/image" Target="media/image3.jpeg"/><Relationship Id="rId72" Type="http://schemas.openxmlformats.org/officeDocument/2006/relationships/image" Target="media/image4.jpeg"/><Relationship Id="rId73" Type="http://schemas.openxmlformats.org/officeDocument/2006/relationships/image" Target="media/image3.jpeg"/><Relationship Id="rId74" Type="http://schemas.openxmlformats.org/officeDocument/2006/relationships/image" Target="media/image4.jpeg"/><Relationship Id="rId75" Type="http://schemas.openxmlformats.org/officeDocument/2006/relationships/image" Target="media/image3.jpeg"/><Relationship Id="rId76" Type="http://schemas.openxmlformats.org/officeDocument/2006/relationships/image" Target="media/image4.jpeg"/><Relationship Id="rId77" Type="http://schemas.openxmlformats.org/officeDocument/2006/relationships/image" Target="media/image3.jpeg"/><Relationship Id="rId78" Type="http://schemas.openxmlformats.org/officeDocument/2006/relationships/image" Target="media/image4.jpeg"/><Relationship Id="rId79" Type="http://schemas.openxmlformats.org/officeDocument/2006/relationships/image" Target="media/image3.jpeg"/><Relationship Id="rId80" Type="http://schemas.openxmlformats.org/officeDocument/2006/relationships/image" Target="media/image4.jpeg"/><Relationship Id="rId81" Type="http://schemas.openxmlformats.org/officeDocument/2006/relationships/image" Target="media/image3.jpeg"/><Relationship Id="rId82" Type="http://schemas.openxmlformats.org/officeDocument/2006/relationships/image" Target="media/image4.jpeg"/><Relationship Id="rId83" Type="http://schemas.openxmlformats.org/officeDocument/2006/relationships/image" Target="media/image3.jpeg"/><Relationship Id="rId84" Type="http://schemas.openxmlformats.org/officeDocument/2006/relationships/image" Target="media/image4.jpeg"/><Relationship Id="rId85" Type="http://schemas.openxmlformats.org/officeDocument/2006/relationships/image" Target="media/image3.jpeg"/><Relationship Id="rId86" Type="http://schemas.openxmlformats.org/officeDocument/2006/relationships/image" Target="media/image4.jpeg"/><Relationship Id="rId87" Type="http://schemas.openxmlformats.org/officeDocument/2006/relationships/image" Target="media/image3.jpeg"/><Relationship Id="rId88" Type="http://schemas.openxmlformats.org/officeDocument/2006/relationships/image" Target="media/image4.jpeg"/><Relationship Id="rId89" Type="http://schemas.openxmlformats.org/officeDocument/2006/relationships/image" Target="media/image3.jpeg"/><Relationship Id="rId90" Type="http://schemas.openxmlformats.org/officeDocument/2006/relationships/image" Target="media/image4.jpeg"/><Relationship Id="rId91" Type="http://schemas.openxmlformats.org/officeDocument/2006/relationships/image" Target="media/image3.jpeg"/><Relationship Id="rId92" Type="http://schemas.openxmlformats.org/officeDocument/2006/relationships/image" Target="media/image4.jpeg"/><Relationship Id="rId93" Type="http://schemas.openxmlformats.org/officeDocument/2006/relationships/image" Target="media/image3.jpeg"/><Relationship Id="rId94" Type="http://schemas.openxmlformats.org/officeDocument/2006/relationships/image" Target="media/image4.jpeg"/><Relationship Id="rId95" Type="http://schemas.openxmlformats.org/officeDocument/2006/relationships/image" Target="media/image3.jpeg"/><Relationship Id="rId96" Type="http://schemas.openxmlformats.org/officeDocument/2006/relationships/image" Target="media/image4.jpeg"/><Relationship Id="rId97" Type="http://schemas.openxmlformats.org/officeDocument/2006/relationships/image" Target="media/image3.jpeg"/><Relationship Id="rId98" Type="http://schemas.openxmlformats.org/officeDocument/2006/relationships/image" Target="media/image4.jpeg"/><Relationship Id="rId99" Type="http://schemas.openxmlformats.org/officeDocument/2006/relationships/image" Target="media/image3.jpeg"/><Relationship Id="rId100" Type="http://schemas.openxmlformats.org/officeDocument/2006/relationships/image" Target="media/image4.jpeg"/><Relationship Id="rId101" Type="http://schemas.openxmlformats.org/officeDocument/2006/relationships/image" Target="media/image3.jpeg"/><Relationship Id="rId102" Type="http://schemas.openxmlformats.org/officeDocument/2006/relationships/image" Target="media/image4.jpeg"/><Relationship Id="rId103" Type="http://schemas.openxmlformats.org/officeDocument/2006/relationships/image" Target="media/image3.jpeg"/><Relationship Id="rId104" Type="http://schemas.openxmlformats.org/officeDocument/2006/relationships/image" Target="media/image4.jpeg"/><Relationship Id="rId105" Type="http://schemas.openxmlformats.org/officeDocument/2006/relationships/image" Target="media/image3.jpeg"/><Relationship Id="rId106" Type="http://schemas.openxmlformats.org/officeDocument/2006/relationships/image" Target="media/image4.jpeg"/><Relationship Id="rId107" Type="http://schemas.openxmlformats.org/officeDocument/2006/relationships/image" Target="media/image3.jpeg"/><Relationship Id="rId108" Type="http://schemas.openxmlformats.org/officeDocument/2006/relationships/image" Target="media/image4.jpeg"/><Relationship Id="rId109" Type="http://schemas.openxmlformats.org/officeDocument/2006/relationships/image" Target="media/image3.jpeg"/><Relationship Id="rId110" Type="http://schemas.openxmlformats.org/officeDocument/2006/relationships/image" Target="media/image4.jpeg"/><Relationship Id="rId111" Type="http://schemas.openxmlformats.org/officeDocument/2006/relationships/image" Target="media/image3.jpeg"/><Relationship Id="rId112" Type="http://schemas.openxmlformats.org/officeDocument/2006/relationships/image" Target="media/image4.jpeg"/><Relationship Id="rId113" Type="http://schemas.openxmlformats.org/officeDocument/2006/relationships/image" Target="media/image3.jpeg"/><Relationship Id="rId114" Type="http://schemas.openxmlformats.org/officeDocument/2006/relationships/image" Target="media/image4.jpeg"/><Relationship Id="rId115" Type="http://schemas.openxmlformats.org/officeDocument/2006/relationships/image" Target="media/image3.jpeg"/><Relationship Id="rId116" Type="http://schemas.openxmlformats.org/officeDocument/2006/relationships/image" Target="media/image4.jpeg"/><Relationship Id="rId117" Type="http://schemas.openxmlformats.org/officeDocument/2006/relationships/image" Target="media/image3.jpeg"/><Relationship Id="rId118" Type="http://schemas.openxmlformats.org/officeDocument/2006/relationships/image" Target="media/image4.jpeg"/><Relationship Id="rId119" Type="http://schemas.openxmlformats.org/officeDocument/2006/relationships/image" Target="media/image3.jpeg"/><Relationship Id="rId120" Type="http://schemas.openxmlformats.org/officeDocument/2006/relationships/image" Target="media/image4.jpeg"/><Relationship Id="rId121" Type="http://schemas.openxmlformats.org/officeDocument/2006/relationships/image" Target="media/image3.jpeg"/><Relationship Id="rId122" Type="http://schemas.openxmlformats.org/officeDocument/2006/relationships/image" Target="media/image4.jpeg"/><Relationship Id="rId123" Type="http://schemas.openxmlformats.org/officeDocument/2006/relationships/image" Target="media/image3.jpeg"/><Relationship Id="rId124" Type="http://schemas.openxmlformats.org/officeDocument/2006/relationships/image" Target="media/image4.jpeg"/><Relationship Id="rId125" Type="http://schemas.openxmlformats.org/officeDocument/2006/relationships/image" Target="media/image3.jpeg"/><Relationship Id="rId126" Type="http://schemas.openxmlformats.org/officeDocument/2006/relationships/image" Target="media/image4.jpeg"/><Relationship Id="rId127" Type="http://schemas.openxmlformats.org/officeDocument/2006/relationships/image" Target="media/image3.jpeg"/><Relationship Id="rId128" Type="http://schemas.openxmlformats.org/officeDocument/2006/relationships/image" Target="media/image4.jpeg"/><Relationship Id="rId129" Type="http://schemas.openxmlformats.org/officeDocument/2006/relationships/image" Target="media/image3.jpeg"/><Relationship Id="rId130" Type="http://schemas.openxmlformats.org/officeDocument/2006/relationships/image" Target="media/image4.jpeg"/><Relationship Id="rId131" Type="http://schemas.openxmlformats.org/officeDocument/2006/relationships/image" Target="media/image3.jpeg"/><Relationship Id="rId132" Type="http://schemas.openxmlformats.org/officeDocument/2006/relationships/image" Target="media/image4.jpeg"/><Relationship Id="rId133" Type="http://schemas.openxmlformats.org/officeDocument/2006/relationships/image" Target="media/image3.jpeg"/><Relationship Id="rId134" Type="http://schemas.openxmlformats.org/officeDocument/2006/relationships/image" Target="media/image4.jpeg"/><Relationship Id="rId135" Type="http://schemas.openxmlformats.org/officeDocument/2006/relationships/image" Target="media/image3.jpeg"/><Relationship Id="rId136" Type="http://schemas.openxmlformats.org/officeDocument/2006/relationships/image" Target="media/image4.jpeg"/><Relationship Id="rId137" Type="http://schemas.openxmlformats.org/officeDocument/2006/relationships/image" Target="media/image3.jpeg"/><Relationship Id="rId138" Type="http://schemas.openxmlformats.org/officeDocument/2006/relationships/image" Target="media/image4.jpeg"/><Relationship Id="rId139" Type="http://schemas.openxmlformats.org/officeDocument/2006/relationships/image" Target="media/image3.jpeg"/><Relationship Id="rId140" Type="http://schemas.openxmlformats.org/officeDocument/2006/relationships/image" Target="media/image4.jpeg"/><Relationship Id="rId141" Type="http://schemas.openxmlformats.org/officeDocument/2006/relationships/image" Target="media/image3.jpeg"/><Relationship Id="rId142" Type="http://schemas.openxmlformats.org/officeDocument/2006/relationships/image" Target="media/image4.jpeg"/><Relationship Id="rId143" Type="http://schemas.openxmlformats.org/officeDocument/2006/relationships/image" Target="media/image3.jpeg"/><Relationship Id="rId144" Type="http://schemas.openxmlformats.org/officeDocument/2006/relationships/image" Target="media/image4.jpeg"/><Relationship Id="rId145" Type="http://schemas.openxmlformats.org/officeDocument/2006/relationships/image" Target="media/image3.jpeg"/><Relationship Id="rId146" Type="http://schemas.openxmlformats.org/officeDocument/2006/relationships/image" Target="media/image4.jpeg"/><Relationship Id="rId147" Type="http://schemas.openxmlformats.org/officeDocument/2006/relationships/image" Target="media/image3.jpeg"/><Relationship Id="rId148" Type="http://schemas.openxmlformats.org/officeDocument/2006/relationships/image" Target="media/image4.jpeg"/><Relationship Id="rId149" Type="http://schemas.openxmlformats.org/officeDocument/2006/relationships/image" Target="media/image3.jpeg"/><Relationship Id="rId150" Type="http://schemas.openxmlformats.org/officeDocument/2006/relationships/image" Target="media/image4.jpeg"/><Relationship Id="rId151" Type="http://schemas.openxmlformats.org/officeDocument/2006/relationships/image" Target="media/image3.jpeg"/><Relationship Id="rId152" Type="http://schemas.openxmlformats.org/officeDocument/2006/relationships/image" Target="media/image4.jpeg"/><Relationship Id="rId153" Type="http://schemas.openxmlformats.org/officeDocument/2006/relationships/image" Target="media/image3.jpeg"/><Relationship Id="rId154" Type="http://schemas.openxmlformats.org/officeDocument/2006/relationships/image" Target="media/image4.jpeg"/><Relationship Id="rId155" Type="http://schemas.openxmlformats.org/officeDocument/2006/relationships/image" Target="media/image3.jpeg"/><Relationship Id="rId156" Type="http://schemas.openxmlformats.org/officeDocument/2006/relationships/image" Target="media/image4.jpeg"/><Relationship Id="rId157" Type="http://schemas.openxmlformats.org/officeDocument/2006/relationships/image" Target="media/image3.jpeg"/><Relationship Id="rId158" Type="http://schemas.openxmlformats.org/officeDocument/2006/relationships/image" Target="media/image4.jpeg"/><Relationship Id="rId159" Type="http://schemas.openxmlformats.org/officeDocument/2006/relationships/image" Target="media/image3.jpeg"/><Relationship Id="rId160" Type="http://schemas.openxmlformats.org/officeDocument/2006/relationships/image" Target="media/image4.jpeg"/><Relationship Id="rId161" Type="http://schemas.openxmlformats.org/officeDocument/2006/relationships/image" Target="media/image3.jpeg"/><Relationship Id="rId162" Type="http://schemas.openxmlformats.org/officeDocument/2006/relationships/image" Target="media/image4.jpeg"/><Relationship Id="rId163" Type="http://schemas.openxmlformats.org/officeDocument/2006/relationships/image" Target="media/image3.jpeg"/><Relationship Id="rId164" Type="http://schemas.openxmlformats.org/officeDocument/2006/relationships/image" Target="media/image4.jpeg"/><Relationship Id="rId165" Type="http://schemas.openxmlformats.org/officeDocument/2006/relationships/image" Target="media/image3.jpeg"/><Relationship Id="rId166" Type="http://schemas.openxmlformats.org/officeDocument/2006/relationships/image" Target="media/image4.jpeg"/><Relationship Id="rId167" Type="http://schemas.openxmlformats.org/officeDocument/2006/relationships/image" Target="media/image3.jpeg"/><Relationship Id="rId168" Type="http://schemas.openxmlformats.org/officeDocument/2006/relationships/image" Target="media/image4.jpeg"/><Relationship Id="rId169" Type="http://schemas.openxmlformats.org/officeDocument/2006/relationships/image" Target="media/image3.jpeg"/><Relationship Id="rId170" Type="http://schemas.openxmlformats.org/officeDocument/2006/relationships/image" Target="media/image4.jpeg"/><Relationship Id="rId171" Type="http://schemas.openxmlformats.org/officeDocument/2006/relationships/image" Target="media/image3.jpeg"/><Relationship Id="rId172" Type="http://schemas.openxmlformats.org/officeDocument/2006/relationships/image" Target="media/image4.jpeg"/><Relationship Id="rId173" Type="http://schemas.openxmlformats.org/officeDocument/2006/relationships/image" Target="media/image3.jpeg"/><Relationship Id="rId174" Type="http://schemas.openxmlformats.org/officeDocument/2006/relationships/image" Target="media/image4.jpeg"/><Relationship Id="rId175" Type="http://schemas.openxmlformats.org/officeDocument/2006/relationships/image" Target="media/image3.jpeg"/><Relationship Id="rId176" Type="http://schemas.openxmlformats.org/officeDocument/2006/relationships/image" Target="media/image4.jpeg"/><Relationship Id="rId177" Type="http://schemas.openxmlformats.org/officeDocument/2006/relationships/image" Target="media/image3.jpeg"/><Relationship Id="rId178" Type="http://schemas.openxmlformats.org/officeDocument/2006/relationships/image" Target="media/image4.jpeg"/><Relationship Id="rId179" Type="http://schemas.openxmlformats.org/officeDocument/2006/relationships/image" Target="media/image3.jpeg"/><Relationship Id="rId180" Type="http://schemas.openxmlformats.org/officeDocument/2006/relationships/image" Target="media/image4.jpeg"/><Relationship Id="rId181" Type="http://schemas.openxmlformats.org/officeDocument/2006/relationships/image" Target="media/image3.jpeg"/><Relationship Id="rId182" Type="http://schemas.openxmlformats.org/officeDocument/2006/relationships/image" Target="media/image4.jpeg"/><Relationship Id="rId183" Type="http://schemas.openxmlformats.org/officeDocument/2006/relationships/image" Target="media/image3.jpeg"/><Relationship Id="rId184" Type="http://schemas.openxmlformats.org/officeDocument/2006/relationships/image" Target="media/image4.jpeg"/><Relationship Id="rId185" Type="http://schemas.openxmlformats.org/officeDocument/2006/relationships/image" Target="media/image3.jpeg"/><Relationship Id="rId186" Type="http://schemas.openxmlformats.org/officeDocument/2006/relationships/image" Target="media/image4.jpeg"/><Relationship Id="rId187" Type="http://schemas.openxmlformats.org/officeDocument/2006/relationships/image" Target="media/image3.jpeg"/><Relationship Id="rId188" Type="http://schemas.openxmlformats.org/officeDocument/2006/relationships/image" Target="media/image4.jpeg"/><Relationship Id="rId189" Type="http://schemas.openxmlformats.org/officeDocument/2006/relationships/image" Target="media/image3.jpeg"/><Relationship Id="rId190" Type="http://schemas.openxmlformats.org/officeDocument/2006/relationships/image" Target="media/image4.jpeg"/><Relationship Id="rId191" Type="http://schemas.openxmlformats.org/officeDocument/2006/relationships/image" Target="media/image3.jpeg"/><Relationship Id="rId192" Type="http://schemas.openxmlformats.org/officeDocument/2006/relationships/image" Target="media/image4.jpeg"/><Relationship Id="rId193" Type="http://schemas.openxmlformats.org/officeDocument/2006/relationships/image" Target="media/image3.jpeg"/><Relationship Id="rId194" Type="http://schemas.openxmlformats.org/officeDocument/2006/relationships/image" Target="media/image4.jpeg"/><Relationship Id="rId195" Type="http://schemas.openxmlformats.org/officeDocument/2006/relationships/image" Target="media/image3.jpeg"/><Relationship Id="rId196" Type="http://schemas.openxmlformats.org/officeDocument/2006/relationships/image" Target="media/image4.jpeg"/><Relationship Id="rId197" Type="http://schemas.openxmlformats.org/officeDocument/2006/relationships/image" Target="media/image3.jpeg"/><Relationship Id="rId198" Type="http://schemas.openxmlformats.org/officeDocument/2006/relationships/image" Target="media/image4.jpeg"/><Relationship Id="rId199" Type="http://schemas.openxmlformats.org/officeDocument/2006/relationships/image" Target="media/image3.jpeg"/><Relationship Id="rId200" Type="http://schemas.openxmlformats.org/officeDocument/2006/relationships/image" Target="media/image4.jpeg"/><Relationship Id="rId201" Type="http://schemas.openxmlformats.org/officeDocument/2006/relationships/image" Target="media/image3.jpeg"/><Relationship Id="rId202" Type="http://schemas.openxmlformats.org/officeDocument/2006/relationships/image" Target="media/image4.jpeg"/><Relationship Id="rId203" Type="http://schemas.openxmlformats.org/officeDocument/2006/relationships/image" Target="media/image3.jpeg"/><Relationship Id="rId204" Type="http://schemas.openxmlformats.org/officeDocument/2006/relationships/image" Target="media/image4.jpeg"/><Relationship Id="rId205" Type="http://schemas.openxmlformats.org/officeDocument/2006/relationships/image" Target="media/image3.jpeg"/><Relationship Id="rId206" Type="http://schemas.openxmlformats.org/officeDocument/2006/relationships/image" Target="media/image4.jpeg"/><Relationship Id="rId207" Type="http://schemas.openxmlformats.org/officeDocument/2006/relationships/image" Target="media/image3.jpeg"/><Relationship Id="rId208" Type="http://schemas.openxmlformats.org/officeDocument/2006/relationships/image" Target="media/image4.jpeg"/><Relationship Id="rId209" Type="http://schemas.openxmlformats.org/officeDocument/2006/relationships/image" Target="media/image5.jpeg"/><Relationship Id="rId210" Type="http://schemas.openxmlformats.org/officeDocument/2006/relationships/image" Target="media/image6.jpeg"/><Relationship Id="rId211" Type="http://schemas.openxmlformats.org/officeDocument/2006/relationships/image" Target="media/image6.jpeg"/><Relationship Id="rId212" Type="http://schemas.openxmlformats.org/officeDocument/2006/relationships/image" Target="media/image6.jpeg"/><Relationship Id="rId213" Type="http://schemas.openxmlformats.org/officeDocument/2006/relationships/image" Target="media/image6.jpeg"/><Relationship Id="rId214" Type="http://schemas.openxmlformats.org/officeDocument/2006/relationships/image" Target="media/image6.jpeg"/><Relationship Id="rId215" Type="http://schemas.openxmlformats.org/officeDocument/2006/relationships/image" Target="media/image6.jpeg"/><Relationship Id="rId216" Type="http://schemas.openxmlformats.org/officeDocument/2006/relationships/image" Target="media/image8.jpeg"/><Relationship Id="rId217" Type="http://schemas.openxmlformats.org/officeDocument/2006/relationships/image" Target="media/image7.jpeg"/><Relationship Id="rId218" Type="http://schemas.openxmlformats.org/officeDocument/2006/relationships/image" Target="media/image9.jpeg"/><Relationship Id="rId219" Type="http://schemas.openxmlformats.org/officeDocument/2006/relationships/image" Target="media/image10.jpeg"/><Relationship Id="rId220" Type="http://schemas.openxmlformats.org/officeDocument/2006/relationships/fontTable" Target="fontTable.xml"/><Relationship Id="rId2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227</Pages>
  <Words>97465</Words>
  <Characters>512091</Characters>
  <CharactersWithSpaces>606460</CharactersWithSpaces>
  <Paragraphs>15405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