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98"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39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w:t>
      </w:r>
    </w:p>
    <w:p>
      <w:pPr>
        <w:ind w:left="1520" w:hanging="216"/>
        <w:spacing w:after="0" w:line="237" w:lineRule="auto"/>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ind w:left="1960" w:right="3319" w:hanging="656"/>
        <w:spacing w:after="0" w:line="223" w:lineRule="auto"/>
        <w:tabs>
          <w:tab w:leader="none" w:pos="151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ind w:left="1300" w:right="6359" w:firstLine="4"/>
        <w:spacing w:after="0" w:line="193" w:lineRule="exact"/>
        <w:tabs>
          <w:tab w:leader="none" w:pos="15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Definitive Proxy Statement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Additional Materials</w:t>
      </w:r>
    </w:p>
    <w:p>
      <w:pPr>
        <w:ind w:left="13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Sec. 240.14a-12</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9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60" w:hanging="204"/>
        <w:spacing w:after="0"/>
        <w:tabs>
          <w:tab w:leader="none" w:pos="8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 w:lineRule="exact"/>
        <w:rPr>
          <w:rFonts w:ascii="MS PGothic" w:cs="MS PGothic" w:eastAsia="MS PGothic" w:hAnsi="MS PGothic"/>
          <w:sz w:val="18"/>
          <w:szCs w:val="18"/>
          <w:color w:val="auto"/>
        </w:rPr>
      </w:pPr>
    </w:p>
    <w:p>
      <w:pPr>
        <w:ind w:left="1560" w:hanging="256"/>
        <w:spacing w:after="0" w:line="234" w:lineRule="auto"/>
        <w:tabs>
          <w:tab w:leader="none" w:pos="15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__________</w:t>
      </w:r>
    </w:p>
    <w:p>
      <w:pPr>
        <w:ind w:left="1560" w:hanging="256"/>
        <w:spacing w:after="0" w:line="219" w:lineRule="auto"/>
        <w:tabs>
          <w:tab w:leader="none" w:pos="15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__________</w:t>
      </w:r>
    </w:p>
    <w:p>
      <w:pPr>
        <w:ind w:left="1960" w:right="3039" w:hanging="656"/>
        <w:spacing w:after="0" w:line="224" w:lineRule="auto"/>
        <w:tabs>
          <w:tab w:leader="none" w:pos="156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 __________</w:t>
      </w:r>
    </w:p>
    <w:p>
      <w:pPr>
        <w:ind w:left="1560" w:hanging="256"/>
        <w:spacing w:after="0" w:line="234" w:lineRule="auto"/>
        <w:tabs>
          <w:tab w:leader="none" w:pos="15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 __________</w:t>
      </w:r>
    </w:p>
    <w:p>
      <w:pPr>
        <w:ind w:left="1560" w:hanging="256"/>
        <w:spacing w:after="0"/>
        <w:tabs>
          <w:tab w:leader="none" w:pos="15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 __________</w:t>
      </w:r>
    </w:p>
    <w:p>
      <w:pPr>
        <w:spacing w:after="0" w:line="178"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w:t>
      </w:r>
    </w:p>
    <w:p>
      <w:pPr>
        <w:spacing w:after="0" w:line="16" w:lineRule="exact"/>
        <w:rPr>
          <w:sz w:val="24"/>
          <w:szCs w:val="24"/>
          <w:color w:val="auto"/>
        </w:rPr>
      </w:pPr>
    </w:p>
    <w:p>
      <w:pPr>
        <w:ind w:left="660" w:right="3599"/>
        <w:spacing w:after="0" w:line="224" w:lineRule="auto"/>
        <w:rPr>
          <w:sz w:val="20"/>
          <w:szCs w:val="20"/>
          <w:color w:val="auto"/>
        </w:rPr>
      </w:pPr>
      <w:r>
        <w:rPr>
          <w:rFonts w:ascii="Times New Roman" w:cs="Times New Roman" w:eastAsia="Times New Roman" w:hAnsi="Times New Roman"/>
          <w:sz w:val="18"/>
          <w:szCs w:val="18"/>
          <w:color w:val="auto"/>
        </w:rPr>
        <w:t>and identify the filing for which the offsetting fee was paid previously. Identify the previous filing by registration statement number, or the Form or Schedule and the date of its filing.</w:t>
      </w:r>
    </w:p>
    <w:p>
      <w:pPr>
        <w:ind w:left="1560" w:hanging="256"/>
        <w:spacing w:after="0" w:line="220"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 __________</w:t>
      </w:r>
    </w:p>
    <w:p>
      <w:pPr>
        <w:ind w:left="1560" w:hanging="256"/>
        <w:spacing w:after="0" w:line="234"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 __________</w:t>
      </w:r>
    </w:p>
    <w:p>
      <w:pPr>
        <w:ind w:left="1560" w:hanging="256"/>
        <w:spacing w:after="0" w:line="219"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 __________</w:t>
      </w: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1" w:name="page2"/>
    <w:bookmarkEnd w:id="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208915</wp:posOffset>
            </wp:positionV>
            <wp:extent cx="1834515" cy="831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31215"/>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‎189 Second Avenue, Suite 2S</w:t>
      </w: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1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‎TO BE HELD BY LIVE INTERACTIVE WEBCAST ON THURSDAY, DECEMBER 4,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CLASS B STOCKHOLDERS:</w:t>
      </w:r>
    </w:p>
    <w:p>
      <w:pPr>
        <w:spacing w:after="0" w:line="17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 would like to invite you to participate in our 2025 Annual Meeting of Stockholders (our “2025 Annual Meeting”) of Reading International, Inc., a Nevada corporation, to be held in a virtual format via live streaming webcast, on Thursday, December 4, 2025, commencing at 2:00 p.m., Eastern Time. We have held our last five annual meetings virtually, initially responding to the impacts of the COVID pandemic. These virtual meetings have been well received and have proven to be both more convenient and less costly than in-person meetings. Accordingly, we will continue to use this virtual format for our upcoming 2025 Annual Meeting. Consequently, there is no physical site for our meeting this year and you are invited to participate in the meeting over the Internet from your home, office or other remote location of your choosing.</w:t>
      </w:r>
    </w:p>
    <w:p>
      <w:pPr>
        <w:spacing w:after="0" w:line="13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 xml:space="preserve">Just as we have had a check-in process for our physical meetings to preserve the integrity of our meeting and our voting process and, consistent with our prior virtual meetings, we have established a registration process for this virtual meeting. The Company’s stock transfer agent, Computershare, Inc. (“Computershare”), is hosting our 2025 Annual Meeting and will pre-register all stockholders that held shares of Class B Voting Common Stock (“Class B Stock”) with Computershare on October 14, 2025. Any Class B stockholder that did not hold shares of Class B Stock at Computershare on October 14, 2025 will need to register with us in advance in order to participate in our 2025 Annual Meeting, by the registration deadline of 5:00 p.m., Eastern Time, on Monday, December 1, 2025 (“Registration Deadline”). See instructions under section </w:t>
      </w:r>
      <w:r>
        <w:rPr>
          <w:rFonts w:ascii="Times New Roman" w:cs="Times New Roman" w:eastAsia="Times New Roman" w:hAnsi="Times New Roman"/>
          <w:sz w:val="18"/>
          <w:szCs w:val="18"/>
          <w:i w:val="1"/>
          <w:iCs w:val="1"/>
          <w:color w:val="auto"/>
        </w:rPr>
        <w:t>– How Do I Register to Participate in our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Even if you have participated in our virtual annual meetings before, we urge you not to wait until the last moment to register in case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encounter any difficulties with the registration process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process is explained in greater detail in the accompanying Proxy Statement.</w:t>
      </w:r>
    </w:p>
    <w:p>
      <w:pPr>
        <w:spacing w:after="0" w:line="14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Upon completing your registration, you will receive further instructions via email, including a unique link that will allow you to access our meeting live on the Internet and permit you to vote and to communicate with our meeting using your control number and link found in your access email. Please note that, as in prior years, we are still soliciting your proxy and that, whether or not you choose to participate in our 2025 Annual Meeting, you may still vote by proxy in the same manner that you have in prior years. However, you can now also vote live on the Internet using your control number through the meeting website if you are the record holder of shares of Class B Stock or, if you are the beneficial owner of such shares, have received a valid proxy from the record holder of such shares.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our 2025 Annual Meeting is for our Class B stockholders to consider and vote upon the following matters:</w:t>
      </w:r>
    </w:p>
    <w:p>
      <w:pPr>
        <w:spacing w:after="0" w:line="171" w:lineRule="exact"/>
        <w:rPr>
          <w:sz w:val="20"/>
          <w:szCs w:val="20"/>
          <w:color w:val="auto"/>
        </w:rPr>
      </w:pPr>
    </w:p>
    <w:p>
      <w:pPr>
        <w:ind w:left="1300" w:right="20" w:hanging="644"/>
        <w:spacing w:after="0" w:line="238"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Directors to serve until our Company’s 2026 Annual Meeting of Stockholders or until their successors are duly elected and qualified;</w:t>
      </w:r>
    </w:p>
    <w:p>
      <w:pPr>
        <w:ind w:left="1300" w:right="20" w:hanging="644"/>
        <w:spacing w:after="0" w:line="22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retained by our Company’s Audit and Conflicts Committee, as our Company’s Independent Registered Public Accounting Firm for the fiscal year ended December 31, 2025;</w:t>
      </w:r>
    </w:p>
    <w:p>
      <w:pPr>
        <w:spacing w:after="0" w:line="1" w:lineRule="exact"/>
        <w:rPr>
          <w:rFonts w:ascii="Times New Roman" w:cs="Times New Roman" w:eastAsia="Times New Roman" w:hAnsi="Times New Roman"/>
          <w:sz w:val="18"/>
          <w:szCs w:val="18"/>
          <w:color w:val="auto"/>
        </w:rPr>
      </w:pPr>
    </w:p>
    <w:p>
      <w:pPr>
        <w:ind w:left="1300" w:hanging="644"/>
        <w:spacing w:after="0" w:line="219"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executive compensation of our named executive officers; and</w:t>
      </w: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our 2025 Annual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all of our stockholders are invited to attend, only holders of record of our Class B Stock at the close of business on Tuesday, October 14, 2025, are entitled to communicate, participate in and vote at our 2025 Annual Meeting or any adjournment or postponement thereof.</w:t>
      </w:r>
    </w:p>
    <w:p>
      <w:pPr>
        <w:spacing w:after="0" w:line="12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It is important that any Class B Stock you may own be represented and voted, regardless of the size of your holdings. Accordingly, whether or not you plan to participate in our 2025 Annual Meeting, we encourage you to take the time to register to participate in our 2025 Annual Meeting and to make use of the proxy voting options discussed in the Proxy Statement accompanying this Notice with respect to any Class B Stock you may own.</w:t>
      </w:r>
    </w:p>
    <w:p>
      <w:pPr>
        <w:spacing w:after="0" w:line="14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If you are the record holder of Class B Stock, the materials accompanying this Notice will include a proxy card. You are encouraged to vote such shares by following the Internet or telephone voting instructions provided on the enclosed proxy card or by completing and mailing the proxy card as promptly as possible, whether or not you intend to participate in our 2025 Annual Meeting. Your proxy is revocable at any time before it is voted at our 2025 Annual Meeting and will not affect your right to vote electronically at our 2025 Annual Meeting during the time the polls are open, if you register and log-in to participate in our 2025 Annual Meeting.</w:t>
      </w:r>
    </w:p>
    <w:p>
      <w:pPr>
        <w:spacing w:after="0" w:line="13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 xml:space="preserve">If you are the beneficial owner of Class B Stock, but not the record holder of such Class B Stock, you should receive from the record holder of such Class B Stock a voting instruction form (a “VIF”). You may vote by following the instructions on that VIF without participating in our 2025 Annual Meeting. However, if you want to participate in and vote at our 2025 Annual Meeting, you will need to obtain a valid proxy from the record holder of such shares. The procedures involved are described in the accompanying Proxy Statement. If you obtain a valid proxy, register to participate in our 2025 Annual Meeting, and successfully log into the meeting, then your vote through your VIF will not affect your right to vote electronically at our 2025 Annual Meeting during the time the polls are open. If you are a record holder or a beneficial owner of Class A Stock only, see instructions under section </w:t>
      </w:r>
      <w:r>
        <w:rPr>
          <w:rFonts w:ascii="Times New Roman" w:cs="Times New Roman" w:eastAsia="Times New Roman" w:hAnsi="Times New Roman"/>
          <w:sz w:val="18"/>
          <w:szCs w:val="18"/>
          <w:i w:val="1"/>
          <w:iCs w:val="1"/>
          <w:color w:val="auto"/>
        </w:rPr>
        <w:t>– How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Attend our 2025 Annual Meeting if I Only Hold Class A Non-Voting Stock</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and ongoing support of our Company. Please register to participate in our 2025 Annual Meeting.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128905</wp:posOffset>
            </wp:positionV>
            <wp:extent cx="109728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Margaret Cotter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This Proxy Statement, a form of proxy and the Annual Report are first being distributed or otherwise furnished to stockholders on or about October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7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ABOUT OUR VIRTUAL ANNUAL MEETING AND VOTING</w:t>
            </w:r>
          </w:p>
        </w:tc>
        <w:tc>
          <w:tcPr>
            <w:tcW w:w="53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58"/>
        </w:trPr>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CORPORATE GOVERNANCE</w:t>
            </w:r>
          </w:p>
        </w:tc>
        <w:tc>
          <w:tcPr>
            <w:tcW w:w="7740" w:type="dxa"/>
            <w:vAlign w:val="bottom"/>
            <w:gridSpan w:val="1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 Leadership Structure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69"/>
        </w:trPr>
        <w:tc>
          <w:tcPr>
            <w:tcW w:w="1008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Director Independence and Board Oversight Structure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Board’s Role in Risk Oversight</w:t>
            </w:r>
          </w:p>
        </w:tc>
        <w:tc>
          <w:tcPr>
            <w:tcW w:w="62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22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“Controlled Company” Status</w:t>
            </w:r>
          </w:p>
        </w:tc>
        <w:tc>
          <w:tcPr>
            <w:tcW w:w="1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6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9"/>
        </w:trPr>
        <w:tc>
          <w:tcPr>
            <w:tcW w:w="21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Board Committees</w:t>
            </w:r>
          </w:p>
        </w:tc>
        <w:tc>
          <w:tcPr>
            <w:tcW w:w="6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6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9"/>
        </w:trPr>
        <w:tc>
          <w:tcPr>
            <w:tcW w:w="136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Consideration and</w:t>
            </w:r>
          </w:p>
        </w:tc>
        <w:tc>
          <w:tcPr>
            <w:tcW w:w="8720" w:type="dxa"/>
            <w:vAlign w:val="bottom"/>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Selection of the Board’s Director Nominees</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9"/>
        </w:trPr>
        <w:tc>
          <w:tcPr>
            <w:tcW w:w="452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6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9"/>
        </w:trPr>
        <w:tc>
          <w:tcPr>
            <w:tcW w:w="2720" w:type="dxa"/>
            <w:vAlign w:val="bottom"/>
            <w:tcBorders>
              <w:top w:val="single" w:sz="8" w:color="0000FF"/>
              <w:bottom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Review, Approval or Ratification of</w:t>
            </w:r>
          </w:p>
        </w:tc>
        <w:tc>
          <w:tcPr>
            <w:tcW w:w="2400" w:type="dxa"/>
            <w:vAlign w:val="bottom"/>
            <w:tcBorders>
              <w:bottom w:val="single" w:sz="8" w:color="0000FF"/>
            </w:tcBorders>
            <w:gridSpan w:val="11"/>
          </w:tcPr>
          <w:p>
            <w:pPr>
              <w:jc w:val="right"/>
              <w:spacing w:after="0" w:line="169" w:lineRule="exact"/>
              <w:rPr>
                <w:sz w:val="20"/>
                <w:szCs w:val="20"/>
                <w:color w:val="auto"/>
              </w:rPr>
            </w:pPr>
            <w:r>
              <w:rPr>
                <w:rFonts w:ascii="Times New Roman" w:cs="Times New Roman" w:eastAsia="Times New Roman" w:hAnsi="Times New Roman"/>
                <w:sz w:val="18"/>
                <w:szCs w:val="18"/>
                <w:color w:val="0000FF"/>
                <w:w w:val="95"/>
              </w:rPr>
              <w:t>Transactions with Related Persons</w:t>
            </w:r>
          </w:p>
        </w:tc>
        <w:tc>
          <w:tcPr>
            <w:tcW w:w="4960" w:type="dxa"/>
            <w:vAlign w:val="bottom"/>
            <w:gridSpan w:val="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58"/>
        </w:trPr>
        <w:tc>
          <w:tcPr>
            <w:tcW w:w="3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668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Nominees for Election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69"/>
        </w:trPr>
        <w:tc>
          <w:tcPr>
            <w:tcW w:w="16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Meeting Attendance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4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169"/>
        </w:trPr>
        <w:tc>
          <w:tcPr>
            <w:tcW w:w="196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Compensation of Directors</w:t>
            </w:r>
          </w:p>
        </w:tc>
        <w:tc>
          <w:tcPr>
            <w:tcW w:w="8120" w:type="dxa"/>
            <w:vAlign w:val="bottom"/>
            <w:gridSpan w:val="22"/>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8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Director Compensation Table</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169"/>
        </w:trPr>
        <w:tc>
          <w:tcPr>
            <w:tcW w:w="1008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2024 and Future Outside Director Compensation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Vote Required</w:t>
            </w:r>
          </w:p>
        </w:tc>
        <w:tc>
          <w:tcPr>
            <w:tcW w:w="1600" w:type="dxa"/>
            <w:vAlign w:val="bottom"/>
            <w:gridSpan w:val="4"/>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0"/>
              </w:rPr>
              <w:t>Recommendation</w:t>
            </w:r>
          </w:p>
        </w:tc>
        <w:tc>
          <w:tcPr>
            <w:tcW w:w="1180" w:type="dxa"/>
            <w:vAlign w:val="bottom"/>
            <w:tcBorders>
              <w:bottom w:val="single" w:sz="8" w:color="0000FF"/>
            </w:tcBorders>
            <w:gridSpan w:val="11"/>
          </w:tcPr>
          <w:p>
            <w:pPr>
              <w:ind w:left="280"/>
              <w:spacing w:after="0" w:line="169" w:lineRule="exact"/>
              <w:rPr>
                <w:sz w:val="20"/>
                <w:szCs w:val="20"/>
                <w:color w:val="auto"/>
              </w:rPr>
            </w:pPr>
            <w:r>
              <w:rPr>
                <w:rFonts w:ascii="Times New Roman" w:cs="Times New Roman" w:eastAsia="Times New Roman" w:hAnsi="Times New Roman"/>
                <w:sz w:val="18"/>
                <w:szCs w:val="18"/>
                <w:color w:val="0000FF"/>
                <w:w w:val="97"/>
              </w:rPr>
              <w:t>of the Board</w:t>
            </w:r>
          </w:p>
        </w:tc>
        <w:tc>
          <w:tcPr>
            <w:tcW w:w="7860" w:type="dxa"/>
            <w:vAlign w:val="bottom"/>
            <w:gridSpan w:val="18"/>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PROPOSAL 2: RATIFICATION OF APPOINTMENT OF INDEPENDENT REGISTERED PUBLIC ACCOUNTING FIRM</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69"/>
        </w:trPr>
        <w:tc>
          <w:tcPr>
            <w:tcW w:w="9120" w:type="dxa"/>
            <w:vAlign w:val="bottom"/>
            <w:tcBorders>
              <w:top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FF"/>
              </w:rPr>
              <w:t>Vote Required</w:t>
            </w:r>
          </w:p>
        </w:tc>
        <w:tc>
          <w:tcPr>
            <w:tcW w:w="9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0"/>
              </w:rPr>
              <w:t>Recommendation</w:t>
            </w:r>
          </w:p>
        </w:tc>
        <w:tc>
          <w:tcPr>
            <w:tcW w:w="1180" w:type="dxa"/>
            <w:vAlign w:val="bottom"/>
            <w:tcBorders>
              <w:bottom w:val="single" w:sz="8" w:color="0000FF"/>
            </w:tcBorders>
            <w:gridSpan w:val="11"/>
          </w:tcPr>
          <w:p>
            <w:pPr>
              <w:ind w:left="280"/>
              <w:spacing w:after="0" w:line="169" w:lineRule="exact"/>
              <w:rPr>
                <w:sz w:val="20"/>
                <w:szCs w:val="20"/>
                <w:color w:val="auto"/>
              </w:rPr>
            </w:pPr>
            <w:r>
              <w:rPr>
                <w:rFonts w:ascii="Times New Roman" w:cs="Times New Roman" w:eastAsia="Times New Roman" w:hAnsi="Times New Roman"/>
                <w:sz w:val="18"/>
                <w:szCs w:val="18"/>
                <w:color w:val="0000FF"/>
                <w:w w:val="97"/>
              </w:rPr>
              <w:t>of the Board</w:t>
            </w:r>
          </w:p>
        </w:tc>
        <w:tc>
          <w:tcPr>
            <w:tcW w:w="7860" w:type="dxa"/>
            <w:vAlign w:val="bottom"/>
            <w:gridSpan w:val="18"/>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PROPOSAL 3: ADVISORY VOTE ON EXECUTIVE OFFICER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69"/>
        </w:trPr>
        <w:tc>
          <w:tcPr>
            <w:tcW w:w="622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Vote Required</w:t>
            </w:r>
          </w:p>
        </w:tc>
        <w:tc>
          <w:tcPr>
            <w:tcW w:w="3860" w:type="dxa"/>
            <w:vAlign w:val="bottom"/>
            <w:gridSpan w:val="2"/>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0"/>
              </w:rPr>
              <w:t>Recommendation</w:t>
            </w:r>
          </w:p>
        </w:tc>
        <w:tc>
          <w:tcPr>
            <w:tcW w:w="1180" w:type="dxa"/>
            <w:vAlign w:val="bottom"/>
            <w:tcBorders>
              <w:bottom w:val="single" w:sz="8" w:color="0000FF"/>
            </w:tcBorders>
            <w:gridSpan w:val="11"/>
          </w:tcPr>
          <w:p>
            <w:pPr>
              <w:ind w:left="280"/>
              <w:spacing w:after="0" w:line="169" w:lineRule="exact"/>
              <w:rPr>
                <w:sz w:val="20"/>
                <w:szCs w:val="20"/>
                <w:color w:val="auto"/>
              </w:rPr>
            </w:pPr>
            <w:r>
              <w:rPr>
                <w:rFonts w:ascii="Times New Roman" w:cs="Times New Roman" w:eastAsia="Times New Roman" w:hAnsi="Times New Roman"/>
                <w:sz w:val="18"/>
                <w:szCs w:val="18"/>
                <w:color w:val="0000FF"/>
                <w:w w:val="97"/>
              </w:rPr>
              <w:t>of the Board</w:t>
            </w:r>
          </w:p>
        </w:tc>
        <w:tc>
          <w:tcPr>
            <w:tcW w:w="7860" w:type="dxa"/>
            <w:vAlign w:val="bottom"/>
            <w:gridSpan w:val="18"/>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7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BENEFICIAL OWNERSHIP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58"/>
        </w:trPr>
        <w:tc>
          <w:tcPr>
            <w:tcW w:w="21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SECTION 16(A) REPORTS</w:t>
            </w:r>
          </w:p>
        </w:tc>
        <w:tc>
          <w:tcPr>
            <w:tcW w:w="1360" w:type="dxa"/>
            <w:vAlign w:val="bottom"/>
            <w:tcBorders>
              <w:top w:val="single" w:sz="8" w:color="0000FF"/>
            </w:tcBorders>
            <w:gridSpan w:val="12"/>
          </w:tcPr>
          <w:p>
            <w:pPr>
              <w:spacing w:after="0"/>
              <w:rPr>
                <w:sz w:val="24"/>
                <w:szCs w:val="24"/>
                <w:color w:val="auto"/>
              </w:rPr>
            </w:pPr>
          </w:p>
        </w:tc>
        <w:tc>
          <w:tcPr>
            <w:tcW w:w="660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58"/>
        </w:trPr>
        <w:tc>
          <w:tcPr>
            <w:tcW w:w="1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8160" w:type="dxa"/>
            <w:vAlign w:val="bottom"/>
            <w:gridSpan w:val="2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7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Our Executive Compensation Philosophy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69"/>
        </w:trPr>
        <w:tc>
          <w:tcPr>
            <w:tcW w:w="298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Pay Versus Performance</w:t>
            </w:r>
          </w:p>
        </w:tc>
        <w:tc>
          <w:tcPr>
            <w:tcW w:w="280" w:type="dxa"/>
            <w:vAlign w:val="bottom"/>
            <w:gridSpan w:val="2"/>
          </w:tcPr>
          <w:p>
            <w:pPr>
              <w:spacing w:after="0"/>
              <w:rPr>
                <w:sz w:val="14"/>
                <w:szCs w:val="14"/>
                <w:color w:val="auto"/>
              </w:rPr>
            </w:pPr>
          </w:p>
        </w:tc>
        <w:tc>
          <w:tcPr>
            <w:tcW w:w="1860" w:type="dxa"/>
            <w:vAlign w:val="bottom"/>
            <w:gridSpan w:val="7"/>
          </w:tcPr>
          <w:p>
            <w:pPr>
              <w:spacing w:after="0"/>
              <w:rPr>
                <w:sz w:val="14"/>
                <w:szCs w:val="14"/>
                <w:color w:val="auto"/>
              </w:rPr>
            </w:pPr>
          </w:p>
        </w:tc>
        <w:tc>
          <w:tcPr>
            <w:tcW w:w="4960" w:type="dxa"/>
            <w:vAlign w:val="bottom"/>
            <w:gridSpan w:val="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69"/>
        </w:trPr>
        <w:tc>
          <w:tcPr>
            <w:tcW w:w="17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Compensation Actually</w:t>
            </w:r>
          </w:p>
        </w:tc>
        <w:tc>
          <w:tcPr>
            <w:tcW w:w="8320" w:type="dxa"/>
            <w:vAlign w:val="bottom"/>
            <w:gridSpan w:val="25"/>
          </w:tcPr>
          <w:p>
            <w:pPr>
              <w:jc w:val="right"/>
              <w:ind w:right="4960"/>
              <w:spacing w:after="0" w:line="169" w:lineRule="exact"/>
              <w:rPr>
                <w:sz w:val="20"/>
                <w:szCs w:val="20"/>
                <w:color w:val="auto"/>
              </w:rPr>
            </w:pPr>
            <w:r>
              <w:rPr>
                <w:rFonts w:ascii="Times New Roman" w:cs="Times New Roman" w:eastAsia="Times New Roman" w:hAnsi="Times New Roman"/>
                <w:sz w:val="18"/>
                <w:szCs w:val="18"/>
                <w:color w:val="0000FF"/>
                <w:w w:val="98"/>
              </w:rPr>
              <w:t>Paid and Cumulative Total Shareholder Return</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69"/>
        </w:trPr>
        <w:tc>
          <w:tcPr>
            <w:tcW w:w="5120" w:type="dxa"/>
            <w:vAlign w:val="bottom"/>
            <w:tcBorders>
              <w:top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Compensation Actually Paid and Net Income</w:t>
            </w:r>
          </w:p>
        </w:tc>
        <w:tc>
          <w:tcPr>
            <w:tcW w:w="4960" w:type="dxa"/>
            <w:vAlign w:val="bottom"/>
            <w:gridSpan w:val="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69"/>
        </w:trPr>
        <w:tc>
          <w:tcPr>
            <w:tcW w:w="326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6820" w:type="dxa"/>
            <w:vAlign w:val="bottom"/>
            <w:gridSpan w:val="10"/>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69"/>
        </w:trPr>
        <w:tc>
          <w:tcPr>
            <w:tcW w:w="22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2020 Stock Incentive Plan</w:t>
            </w:r>
          </w:p>
        </w:tc>
        <w:tc>
          <w:tcPr>
            <w:tcW w:w="620" w:type="dxa"/>
            <w:vAlign w:val="bottom"/>
            <w:gridSpan w:val="5"/>
          </w:tcPr>
          <w:p>
            <w:pPr>
              <w:spacing w:after="0"/>
              <w:rPr>
                <w:sz w:val="14"/>
                <w:szCs w:val="14"/>
                <w:color w:val="auto"/>
              </w:rPr>
            </w:pPr>
          </w:p>
        </w:tc>
        <w:tc>
          <w:tcPr>
            <w:tcW w:w="7240" w:type="dxa"/>
            <w:vAlign w:val="bottom"/>
            <w:gridSpan w:val="1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69"/>
        </w:trPr>
        <w:tc>
          <w:tcPr>
            <w:tcW w:w="190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3"/>
              </w:rPr>
              <w:t>Outstanding Equity Awards</w:t>
            </w:r>
          </w:p>
        </w:tc>
        <w:tc>
          <w:tcPr>
            <w:tcW w:w="100" w:type="dxa"/>
            <w:vAlign w:val="bottom"/>
            <w:tcBorders>
              <w:bottom w:val="single" w:sz="8" w:color="0000FF"/>
            </w:tcBorders>
            <w:gridSpan w:val="3"/>
          </w:tcPr>
          <w:p>
            <w:pPr>
              <w:spacing w:after="0"/>
              <w:rPr>
                <w:sz w:val="14"/>
                <w:szCs w:val="14"/>
                <w:color w:val="auto"/>
              </w:rPr>
            </w:pPr>
          </w:p>
        </w:tc>
        <w:tc>
          <w:tcPr>
            <w:tcW w:w="840" w:type="dxa"/>
            <w:vAlign w:val="bottom"/>
            <w:gridSpan w:val="8"/>
          </w:tcPr>
          <w:p>
            <w:pPr>
              <w:spacing w:after="0"/>
              <w:rPr>
                <w:sz w:val="14"/>
                <w:szCs w:val="14"/>
                <w:color w:val="auto"/>
              </w:rPr>
            </w:pPr>
          </w:p>
        </w:tc>
        <w:tc>
          <w:tcPr>
            <w:tcW w:w="7240" w:type="dxa"/>
            <w:vAlign w:val="bottom"/>
            <w:gridSpan w:val="1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Equity Compensation Plan</w:t>
            </w:r>
          </w:p>
        </w:tc>
        <w:tc>
          <w:tcPr>
            <w:tcW w:w="84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5"/>
              </w:rPr>
              <w:t>Information</w:t>
            </w:r>
          </w:p>
        </w:tc>
        <w:tc>
          <w:tcPr>
            <w:tcW w:w="7240" w:type="dxa"/>
            <w:vAlign w:val="bottom"/>
            <w:gridSpan w:val="13"/>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7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Potential Payments Upon Termination of Employment or Change in Control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69"/>
        </w:trPr>
        <w:tc>
          <w:tcPr>
            <w:tcW w:w="55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Employment Agreements</w:t>
            </w:r>
          </w:p>
        </w:tc>
        <w:tc>
          <w:tcPr>
            <w:tcW w:w="2760" w:type="dxa"/>
            <w:vAlign w:val="bottom"/>
          </w:tcPr>
          <w:p>
            <w:pPr>
              <w:spacing w:after="0"/>
              <w:rPr>
                <w:sz w:val="14"/>
                <w:szCs w:val="14"/>
                <w:color w:val="auto"/>
              </w:rPr>
            </w:pP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2780" w:type="dxa"/>
            <w:vAlign w:val="bottom"/>
            <w:gridSpan w:val="2"/>
          </w:tcPr>
          <w:p>
            <w:pPr>
              <w:spacing w:after="0"/>
              <w:rPr>
                <w:sz w:val="24"/>
                <w:szCs w:val="24"/>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58"/>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Sutton Hill Capital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69"/>
        </w:trPr>
        <w:tc>
          <w:tcPr>
            <w:tcW w:w="13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Live Theater Play</w:t>
            </w:r>
          </w:p>
        </w:tc>
        <w:tc>
          <w:tcPr>
            <w:tcW w:w="78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4"/>
              </w:rPr>
              <w:t>Investment</w:t>
            </w:r>
          </w:p>
        </w:tc>
        <w:tc>
          <w:tcPr>
            <w:tcW w:w="6120" w:type="dxa"/>
            <w:vAlign w:val="bottom"/>
            <w:gridSpan w:val="10"/>
          </w:tcPr>
          <w:p>
            <w:pPr>
              <w:spacing w:after="0"/>
              <w:rPr>
                <w:sz w:val="14"/>
                <w:szCs w:val="14"/>
                <w:color w:val="auto"/>
              </w:rPr>
            </w:pP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69"/>
        </w:trPr>
        <w:tc>
          <w:tcPr>
            <w:tcW w:w="512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w w:val="99"/>
              </w:rPr>
              <w:t>Review, Approval or Ratification of Transactions with Related Persons</w:t>
            </w:r>
          </w:p>
        </w:tc>
        <w:tc>
          <w:tcPr>
            <w:tcW w:w="3140" w:type="dxa"/>
            <w:vAlign w:val="bottom"/>
            <w:gridSpan w:val="4"/>
          </w:tcPr>
          <w:p>
            <w:pPr>
              <w:spacing w:after="0"/>
              <w:rPr>
                <w:sz w:val="14"/>
                <w:szCs w:val="14"/>
                <w:color w:val="auto"/>
              </w:rPr>
            </w:pP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69"/>
        </w:trPr>
        <w:tc>
          <w:tcPr>
            <w:tcW w:w="8260" w:type="dxa"/>
            <w:vAlign w:val="bottom"/>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Summary of Principal Accounting Fees for Professional Services Rendered</w:t>
            </w: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69"/>
        </w:trPr>
        <w:tc>
          <w:tcPr>
            <w:tcW w:w="54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Audit Fees</w:t>
            </w:r>
          </w:p>
        </w:tc>
        <w:tc>
          <w:tcPr>
            <w:tcW w:w="2840" w:type="dxa"/>
            <w:vAlign w:val="bottom"/>
            <w:gridSpan w:val="3"/>
          </w:tcPr>
          <w:p>
            <w:pPr>
              <w:spacing w:after="0"/>
              <w:rPr>
                <w:sz w:val="14"/>
                <w:szCs w:val="14"/>
                <w:color w:val="auto"/>
              </w:rPr>
            </w:pP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94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69"/>
        </w:trPr>
        <w:tc>
          <w:tcPr>
            <w:tcW w:w="8260" w:type="dxa"/>
            <w:vAlign w:val="bottom"/>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Audit-Related Fees</w:t>
            </w: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Tax Fees</w:t>
            </w:r>
          </w:p>
        </w:tc>
        <w:tc>
          <w:tcPr>
            <w:tcW w:w="60" w:type="dxa"/>
            <w:vAlign w:val="bottom"/>
          </w:tcPr>
          <w:p>
            <w:pPr>
              <w:spacing w:after="0"/>
              <w:rPr>
                <w:sz w:val="14"/>
                <w:szCs w:val="14"/>
                <w:color w:val="auto"/>
              </w:rPr>
            </w:pPr>
          </w:p>
        </w:tc>
        <w:tc>
          <w:tcPr>
            <w:tcW w:w="1280" w:type="dxa"/>
            <w:vAlign w:val="bottom"/>
            <w:gridSpan w:val="3"/>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gridSpan w:val="5"/>
          </w:tcPr>
          <w:p>
            <w:pPr>
              <w:spacing w:after="0"/>
              <w:rPr>
                <w:sz w:val="14"/>
                <w:szCs w:val="14"/>
                <w:color w:val="auto"/>
              </w:rPr>
            </w:pP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All Other Fees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69"/>
        </w:trPr>
        <w:tc>
          <w:tcPr>
            <w:tcW w:w="10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Pre-Approval</w:t>
            </w:r>
          </w:p>
        </w:tc>
        <w:tc>
          <w:tcPr>
            <w:tcW w:w="720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Policies and Procedures</w:t>
            </w: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STOCKHOLDER COMMUNICATIONS</w:t>
            </w:r>
          </w:p>
        </w:tc>
        <w:tc>
          <w:tcPr>
            <w:tcW w:w="5240" w:type="dxa"/>
            <w:vAlign w:val="bottom"/>
            <w:gridSpan w:val="8"/>
          </w:tcPr>
          <w:p>
            <w:pPr>
              <w:spacing w:after="0"/>
              <w:rPr>
                <w:sz w:val="24"/>
                <w:szCs w:val="24"/>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58"/>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Annual Report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69"/>
        </w:trPr>
        <w:tc>
          <w:tcPr>
            <w:tcW w:w="10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Stockholder</w:t>
            </w:r>
          </w:p>
        </w:tc>
        <w:tc>
          <w:tcPr>
            <w:tcW w:w="718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Communications with Directors</w:t>
            </w:r>
          </w:p>
        </w:tc>
        <w:tc>
          <w:tcPr>
            <w:tcW w:w="2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60" w:type="dxa"/>
            <w:vAlign w:val="bottom"/>
            <w:gridSpan w:val="7"/>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94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69"/>
        </w:trPr>
        <w:tc>
          <w:tcPr>
            <w:tcW w:w="3540" w:type="dxa"/>
            <w:vAlign w:val="bottom"/>
            <w:tcBorders>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9"/>
              </w:rPr>
              <w:t>Stockholder Proposals and Director Nominations</w:t>
            </w:r>
          </w:p>
        </w:tc>
        <w:tc>
          <w:tcPr>
            <w:tcW w:w="4720" w:type="dxa"/>
            <w:vAlign w:val="bottom"/>
            <w:gridSpan w:val="6"/>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60" w:type="dxa"/>
            <w:vAlign w:val="bottom"/>
            <w:gridSpan w:val="7"/>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DELIVERY OF PROXY MATERIALS TO HOUSEHOLDS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457200</wp:posOffset>
            </wp:positionV>
            <wp:extent cx="1834515" cy="831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3121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‎189 Second Avenue, Suite 2S, New York, New York 10003</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VIRTUAL ANNUAL MEETING OF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2:00 P.M., EASTERN TIME: THURSDAY, DECEMBER 4, 2025</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Deadline to Participate in our 2025 Annual Meeting</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p.m., Eastern Time: Monday, December 1,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proxy statement (the “Proxy Statement”) is furnished in connection with the solicitation by the Board of Directors (our “Board”) of Reading International, Inc. (our “Company,” “Reading,” “we,” “us,” or “our”) of proxies for use at our 2025 Annual Meeting to be held in a virtual format via the Internet on Thursday, December 4, 2025 , commencing at 2:00 p.m., Eastern Time, or at any adjournment or postponement thereof.</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October 14, 2025, the record date for our 2025 Annual Meeting (the “Record Date”), there were 1,680,590 shares of our Class B Voting Common Stock (“Class B Stock”) outstanding, held by 190 stockholders of record.</w:t>
      </w:r>
    </w:p>
    <w:p>
      <w:pPr>
        <w:spacing w:after="0" w:line="13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When proxies are properly executed and received, the shares represented thereby will be voted at our 2025 Annual Meeting in accordance with the directions noted thereon.</w:t>
      </w:r>
    </w:p>
    <w:p>
      <w:pPr>
        <w:spacing w:after="0" w:line="136" w:lineRule="exact"/>
        <w:rPr>
          <w:sz w:val="20"/>
          <w:szCs w:val="20"/>
          <w:color w:val="auto"/>
        </w:rPr>
      </w:pPr>
    </w:p>
    <w:p>
      <w:pPr>
        <w:ind w:right="14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Our Proxy Statement and Annual Report are both available free of charge at </w:t>
      </w:r>
      <w:r>
        <w:rPr>
          <w:rFonts w:ascii="Times New Roman" w:cs="Times New Roman" w:eastAsia="Times New Roman" w:hAnsi="Times New Roman"/>
          <w:sz w:val="18"/>
          <w:szCs w:val="18"/>
          <w:u w:val="single" w:color="auto"/>
          <w:color w:val="0000FF"/>
        </w:rPr>
        <w:t>https://investor.readingrdi.com/financial-information/annual-reports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www.envisionreports.com/RDI</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2025 Annual Meeting will be hosted on </w:t>
      </w:r>
      <w:r>
        <w:rPr>
          <w:rFonts w:ascii="Times New Roman" w:cs="Times New Roman" w:eastAsia="Times New Roman" w:hAnsi="Times New Roman"/>
          <w:sz w:val="18"/>
          <w:szCs w:val="18"/>
          <w:u w:val="single" w:color="auto"/>
          <w:color w:val="0000FF"/>
        </w:rPr>
        <w:t>www.meetnow.global/MCANXVA</w:t>
      </w:r>
      <w:r>
        <w:rPr>
          <w:rFonts w:ascii="Times New Roman" w:cs="Times New Roman" w:eastAsia="Times New Roman" w:hAnsi="Times New Roman"/>
          <w:sz w:val="18"/>
          <w:szCs w:val="18"/>
          <w:color w:val="auto"/>
        </w:rPr>
        <w:t xml:space="preserve"> (“Annual Meeting Website”).</w:t>
      </w:r>
    </w:p>
    <w:p>
      <w:pPr>
        <w:spacing w:after="0" w:line="356" w:lineRule="exact"/>
        <w:rPr>
          <w:sz w:val="20"/>
          <w:szCs w:val="20"/>
          <w:color w:val="auto"/>
        </w:rPr>
      </w:pPr>
    </w:p>
    <w:p>
      <w:pPr>
        <w:ind w:right="2820" w:firstLine="2809"/>
        <w:spacing w:after="0" w:line="440" w:lineRule="auto"/>
        <w:rPr>
          <w:sz w:val="20"/>
          <w:szCs w:val="20"/>
          <w:color w:val="auto"/>
        </w:rPr>
      </w:pPr>
      <w:r>
        <w:rPr>
          <w:rFonts w:ascii="Times New Roman" w:cs="Times New Roman" w:eastAsia="Times New Roman" w:hAnsi="Times New Roman"/>
          <w:sz w:val="18"/>
          <w:szCs w:val="18"/>
          <w:b w:val="1"/>
          <w:bCs w:val="1"/>
          <w:color w:val="auto"/>
        </w:rPr>
        <w:t>ABOUT OUR VIRTUAL ANNUAL MEETING AND VOTING How do I register to Participate in the Virtual Annual Meeting?</w:t>
      </w:r>
    </w:p>
    <w:p>
      <w:pPr>
        <w:spacing w:after="0" w:line="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Our 2025 Annual Meeting will be a completely virtual meeting of stockholders, which will be conducted exclusively by webcast on our Annual Meeting Website. You are entitled to participate in and vote at our 2025 Annual Meeting if you were a registered Class B stockholder (i.e., you hold your shares through our transfer agent, Computershare, Inc.) as of the close of business on the Record Date, October 14, 2025, or if you are the beneficial owner of shares of Class B Stock and your shares are held in the name of an intermediary, such as a bank, broker, trust, agent or other nominee (a “Nominee”), you have received a valid proxy from that Nominee to vote such shares at our 2025 Annual Meeting. Only the holders of Class B Stock or of proxies to vote Class B Stock, may vote at, make nominations at, or bring matters before our 2025 Annual Meeting.</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you were a stockholder of record of our Class B Stock on the Record Date, you do not need to register to participate in our 2025 Annual Meeting as you will be automatically pre-registered by Computershare, Inc. Please visit our Annual Meeting Website and follow the instructions on the accompanying proxy card if you are a holder of Class B Stock.</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6" w:name="page7"/>
    <w:bookmarkEnd w:id="6"/>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you are a beneficial owner of Class B Stock, and your shares are held in the name of a Nominee, you should receive from your Nominee a Voting Instruction Form (also known as a “VIF”). Please follow the instructions on your VIF.</w:t>
      </w:r>
    </w:p>
    <w:p>
      <w:pPr>
        <w:spacing w:after="0" w:line="14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If you are a beneficial owner of Class B Stock and your shares are held in the name of a Nominee, you must register in advance to participate in our 2025 Annual Meeting. To register you must submit proof of your proxy power (a valid proxy), reflecting your stock holdings along with your name and email address to Computershare directly. Requests for registration must be labeled as a “Legal Proxy” and must be received no later than 5:00 p.m., Eastern Time, on Monday, December 1, 2025. Filling in and returning the VIF will not by itself register you to attend our 2025 Annual Meeting. Even if you fill in and return the VIF, you will still need to separately register. Beneficial owners of Class B Stock holding valid proxies will have the same rights to participate in, nominate directors, and bring matters before and vote at our 2025 Annual Meeting as stockholders of record, but only to the extent that such valid proxy specifically grants such rights. For convenience, when we make reference to “stockholders” in these materials, we mean both Class B stockholders of record as of the Record Date, and holders of valid proxies (to the extent rights to participate in, nominate directors, and bring matters before and vote at our 2025 Annual Meeting have been granted to such holder by such valid proxy). Your Nominee should have available for your use a form of valid proxy.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You will receive an email confirmation of your registration after Computershare receives your proxy registration materials. Please visit our Annual Meeting Website and follow the instructions on the proxy card or your VIF to access our 2025 Annual Meeting on the Internet.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Requests for registration should be directed to us at the following: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 the email from your broker, or attach an image of your valid proxy, to legalproxy@computershare.com</w:t>
      </w:r>
      <w:r>
        <w:rPr>
          <w:rFonts w:ascii="Times New Roman" w:cs="Times New Roman" w:eastAsia="Times New Roman" w:hAnsi="Times New Roman"/>
          <w:sz w:val="18"/>
          <w:szCs w:val="18"/>
          <w:color w:val="0000FF"/>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 Inc.</w:t>
      </w:r>
    </w:p>
    <w:p>
      <w:pPr>
        <w:ind w:left="660"/>
        <w:spacing w:after="0" w:line="237" w:lineRule="auto"/>
        <w:rPr>
          <w:sz w:val="20"/>
          <w:szCs w:val="20"/>
          <w:color w:val="auto"/>
        </w:rPr>
      </w:pPr>
      <w:r>
        <w:rPr>
          <w:rFonts w:ascii="Times New Roman" w:cs="Times New Roman" w:eastAsia="Times New Roman" w:hAnsi="Times New Roman"/>
          <w:sz w:val="18"/>
          <w:szCs w:val="18"/>
          <w:color w:val="auto"/>
        </w:rPr>
        <w:t>Reading International, Inc. Legal Proxy</w:t>
      </w:r>
    </w:p>
    <w:p>
      <w:pPr>
        <w:ind w:left="660"/>
        <w:spacing w:after="0" w:line="219" w:lineRule="auto"/>
        <w:rPr>
          <w:sz w:val="20"/>
          <w:szCs w:val="20"/>
          <w:color w:val="auto"/>
        </w:rPr>
      </w:pPr>
      <w:r>
        <w:rPr>
          <w:rFonts w:ascii="Times New Roman" w:cs="Times New Roman" w:eastAsia="Times New Roman" w:hAnsi="Times New Roman"/>
          <w:sz w:val="18"/>
          <w:szCs w:val="18"/>
          <w:color w:val="auto"/>
        </w:rPr>
        <w:t>P.O. Box 43001</w:t>
      </w:r>
    </w:p>
    <w:p>
      <w:pPr>
        <w:ind w:left="66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our 2025 Annual Meeting if I Only Hold Class A Non-Voting Stock?</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Any stockholder that only holds Class A Non-Voting Common Stock (“Class A Stock”) will receive a courtesy notice regarding our 2025 Annual Meeting which will include instructions on how to attend. Holders of Class A Stock will only be permitted to attend our 2025 Annual Meeting in “listen only” mode and will have no right to communicate, participate in or vote at our 2025 Annual Meeting or any adjournment of postponement thereof.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trouble accessing our 2025 Annual Meeting virtually?</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Participants should ensure that they have a strong WiFi connection wherever they intend to participate in our 2025 Annual Meeting.</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encourage you to access the meeting prior to the start time to allow time to resolve any technical issues that you might experience with logging in or participating in our 2025 Annual Meeting. Live technical support will be available if you have any problems accessing our Annual Meeting Website. If you need further assistance, you may call Local 1-888-724-2416 or International 1-781-575-2748.</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items of business will be voted on at our 2025 Annual Meeting?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(4) items of business scheduled to be considered for a vote at our 2025 Annual Meeting: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PROPOSAL 1: Election of five (5) Directors to our Board (the “Election of Directors”);</w:t>
      </w:r>
    </w:p>
    <w:p>
      <w:pPr>
        <w:spacing w:after="0" w:line="15" w:lineRule="exact"/>
        <w:rPr>
          <w:sz w:val="20"/>
          <w:szCs w:val="20"/>
          <w:color w:val="auto"/>
        </w:rPr>
      </w:pPr>
    </w:p>
    <w:p>
      <w:pPr>
        <w:ind w:left="1300"/>
        <w:spacing w:after="0" w:line="224" w:lineRule="auto"/>
        <w:rPr>
          <w:sz w:val="20"/>
          <w:szCs w:val="20"/>
          <w:color w:val="auto"/>
        </w:rPr>
      </w:pPr>
      <w:r>
        <w:rPr>
          <w:rFonts w:ascii="Times New Roman" w:cs="Times New Roman" w:eastAsia="Times New Roman" w:hAnsi="Times New Roman"/>
          <w:sz w:val="18"/>
          <w:szCs w:val="18"/>
          <w:color w:val="auto"/>
        </w:rPr>
        <w:t>PROPOSAL 2: Ratification of the appointment of Grant Thornton, LLP, retained by our Company’s Audit and Conflict Committee, as the Company’s registered Independent Registered Public Accounting Firm for the fiscal year ended December 31, 2025 (“Independent Auditor Ratification Proposal”);</w:t>
      </w:r>
    </w:p>
    <w:p>
      <w:pPr>
        <w:ind w:left="1300" w:right="20"/>
        <w:spacing w:after="0" w:line="226" w:lineRule="auto"/>
        <w:rPr>
          <w:sz w:val="20"/>
          <w:szCs w:val="20"/>
          <w:color w:val="auto"/>
        </w:rPr>
      </w:pPr>
      <w:r>
        <w:rPr>
          <w:rFonts w:ascii="Times New Roman" w:cs="Times New Roman" w:eastAsia="Times New Roman" w:hAnsi="Times New Roman"/>
          <w:sz w:val="18"/>
          <w:szCs w:val="18"/>
          <w:color w:val="auto"/>
        </w:rPr>
        <w:t>PROPOSAL 3: Approval, on a non-binding, advisory basis, of the executive compensation of our named executive officers (the “Advisory Vote on Executive Officer Compensation Proposal”); and</w:t>
      </w:r>
    </w:p>
    <w:p>
      <w:pPr>
        <w:spacing w:after="0" w:line="1" w:lineRule="exact"/>
        <w:rPr>
          <w:sz w:val="20"/>
          <w:szCs w:val="20"/>
          <w:color w:val="auto"/>
        </w:rPr>
      </w:pPr>
    </w:p>
    <w:p>
      <w:pPr>
        <w:ind w:left="1300" w:right="20"/>
        <w:spacing w:after="0" w:line="233" w:lineRule="auto"/>
        <w:rPr>
          <w:sz w:val="20"/>
          <w:szCs w:val="20"/>
          <w:color w:val="auto"/>
        </w:rPr>
      </w:pPr>
      <w:r>
        <w:rPr>
          <w:rFonts w:ascii="Times New Roman" w:cs="Times New Roman" w:eastAsia="Times New Roman" w:hAnsi="Times New Roman"/>
          <w:sz w:val="18"/>
          <w:szCs w:val="18"/>
          <w:color w:val="auto"/>
        </w:rPr>
        <w:t>PROPOSAL 4: To transact such other business as may properly come before our 2025 Annual Meeting and any adjournment or postponement thereof.</w:t>
      </w:r>
    </w:p>
    <w:p>
      <w:pPr>
        <w:spacing w:after="0" w:line="330" w:lineRule="exact"/>
        <w:rPr>
          <w:sz w:val="20"/>
          <w:szCs w:val="20"/>
          <w:color w:val="auto"/>
        </w:rPr>
      </w:pPr>
    </w:p>
    <w:p>
      <w:pPr>
        <w:jc w:val="right"/>
        <w:ind w:right="7060"/>
        <w:spacing w:after="0"/>
        <w:rPr>
          <w:sz w:val="20"/>
          <w:szCs w:val="20"/>
          <w:color w:val="auto"/>
        </w:rPr>
      </w:pPr>
      <w:r>
        <w:rPr>
          <w:rFonts w:ascii="Times New Roman" w:cs="Times New Roman" w:eastAsia="Times New Roman" w:hAnsi="Times New Roman"/>
          <w:sz w:val="17"/>
          <w:szCs w:val="17"/>
          <w:b w:val="1"/>
          <w:bCs w:val="1"/>
          <w:color w:val="auto"/>
        </w:rPr>
        <w:t>How does our Board recommend that I vote?</w:t>
      </w:r>
    </w:p>
    <w:p>
      <w:pPr>
        <w:spacing w:after="0" w:line="187" w:lineRule="exact"/>
        <w:rPr>
          <w:sz w:val="20"/>
          <w:szCs w:val="20"/>
          <w:color w:val="auto"/>
        </w:rPr>
      </w:pPr>
    </w:p>
    <w:p>
      <w:pPr>
        <w:jc w:val="right"/>
        <w:ind w:right="7100"/>
        <w:spacing w:after="0"/>
        <w:rPr>
          <w:sz w:val="20"/>
          <w:szCs w:val="20"/>
          <w:color w:val="auto"/>
        </w:rPr>
      </w:pPr>
      <w:r>
        <w:rPr>
          <w:rFonts w:ascii="Times New Roman" w:cs="Times New Roman" w:eastAsia="Times New Roman" w:hAnsi="Times New Roman"/>
          <w:sz w:val="18"/>
          <w:szCs w:val="18"/>
          <w:color w:val="auto"/>
        </w:rPr>
        <w:t>Our Board recommends that you vote: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PROPOSAL 1: “FOR” the election of each of our nominees to our Board;</w:t>
      </w:r>
    </w:p>
    <w:p>
      <w:pPr>
        <w:spacing w:after="0" w:line="2" w:lineRule="exact"/>
        <w:rPr>
          <w:sz w:val="20"/>
          <w:szCs w:val="20"/>
          <w:color w:val="auto"/>
        </w:rPr>
      </w:pPr>
    </w:p>
    <w:p>
      <w:pPr>
        <w:ind w:left="980"/>
        <w:spacing w:after="0" w:line="219" w:lineRule="auto"/>
        <w:rPr>
          <w:sz w:val="20"/>
          <w:szCs w:val="20"/>
          <w:color w:val="auto"/>
        </w:rPr>
      </w:pPr>
      <w:r>
        <w:rPr>
          <w:rFonts w:ascii="Times New Roman" w:cs="Times New Roman" w:eastAsia="Times New Roman" w:hAnsi="Times New Roman"/>
          <w:sz w:val="18"/>
          <w:szCs w:val="18"/>
          <w:color w:val="auto"/>
        </w:rPr>
        <w:t>On PROPOSAL 2: “FOR” the Independent Auditor Ratification Proposal;</w:t>
      </w:r>
    </w:p>
    <w:p>
      <w:pPr>
        <w:ind w:left="980"/>
        <w:spacing w:after="0" w:line="234" w:lineRule="auto"/>
        <w:rPr>
          <w:sz w:val="20"/>
          <w:szCs w:val="20"/>
          <w:color w:val="auto"/>
        </w:rPr>
      </w:pPr>
      <w:r>
        <w:rPr>
          <w:rFonts w:ascii="Times New Roman" w:cs="Times New Roman" w:eastAsia="Times New Roman" w:hAnsi="Times New Roman"/>
          <w:sz w:val="18"/>
          <w:szCs w:val="18"/>
          <w:color w:val="auto"/>
        </w:rPr>
        <w:t>On PROPOSAL 3: “FOR” the Advisory Vote on Executive Officer Compensation Proposal; and</w:t>
      </w:r>
    </w:p>
    <w:p>
      <w:pPr>
        <w:ind w:left="980"/>
        <w:spacing w:after="0"/>
        <w:rPr>
          <w:sz w:val="20"/>
          <w:szCs w:val="20"/>
          <w:color w:val="auto"/>
        </w:rPr>
      </w:pPr>
      <w:r>
        <w:rPr>
          <w:rFonts w:ascii="Times New Roman" w:cs="Times New Roman" w:eastAsia="Times New Roman" w:hAnsi="Times New Roman"/>
          <w:sz w:val="18"/>
          <w:szCs w:val="18"/>
          <w:color w:val="auto"/>
        </w:rPr>
        <w:t>On PROPOSAL 4: “FOR” such other business that may come before our 2025 Annual Meeting.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our 2025 Annual Meeting?</w:t>
      </w:r>
    </w:p>
    <w:p>
      <w:pPr>
        <w:spacing w:after="0" w:line="175"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our 2025 Annual Meeting. If you grant a proxy, the persons named as proxies will have the discretion to vote your shares on any additional matters properly presented for a vote at our 2025 Annual Meeting, unless you indicate to the contrary on such proxy.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meeting be conducted and how do I participate?</w:t>
      </w:r>
    </w:p>
    <w:p>
      <w:pPr>
        <w:spacing w:after="0" w:line="16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As a corporation organized under the laws of the State of Nevada, our Company is subject to the Nevada corporation laws codified in Chapter 78 of the Nevada Revised Statutes (the “Nevada Corporation Law”). The Nevada Corporation Law provides for the conduct of virtual meetings, and our Class B stockholders’ remote participation at such a meeting via the procedures described in these materials is considered to be “participation” at that meeting for purposes of establishing a quorum, for voting and for all other purposes. The Nevada Corporation Law also requires that we verify the identity of each person participating through such means and provide our Class B stockholders a reasonable opportunity to participate in the meeting, to vote on matters submitted to the stockholders, including an opportunity to communicate, and to read or hear the proceedings of the meeting in a substantially concurrent manner with such proceedings. In order to satisfy these requirements, we have adopted certain registration requirements and communication provisions as further described in these materials.</w:t>
      </w:r>
    </w:p>
    <w:p>
      <w:pPr>
        <w:spacing w:after="0" w:line="148" w:lineRule="exact"/>
        <w:rPr>
          <w:sz w:val="20"/>
          <w:szCs w:val="20"/>
          <w:color w:val="auto"/>
        </w:rPr>
      </w:pPr>
    </w:p>
    <w:p>
      <w:pPr>
        <w:jc w:val="both"/>
        <w:ind w:right="20" w:firstLine="648"/>
        <w:spacing w:after="0" w:line="231" w:lineRule="auto"/>
        <w:rPr>
          <w:sz w:val="20"/>
          <w:szCs w:val="20"/>
          <w:color w:val="auto"/>
        </w:rPr>
      </w:pPr>
      <w:r>
        <w:rPr>
          <w:rFonts w:ascii="Times New Roman" w:cs="Times New Roman" w:eastAsia="Times New Roman" w:hAnsi="Times New Roman"/>
          <w:sz w:val="18"/>
          <w:szCs w:val="18"/>
          <w:color w:val="auto"/>
        </w:rPr>
        <w:t xml:space="preserve">As an initial step, in order to participate in our 2025 Annual Meeting, you will need to register in advance of the meeting if you did not hold shares of Class B Stock of record at October 14, 2025, and were therefore not automatically pre-registered by Computershare. If you own Class B shares held in the name of a Nominee, please make sure to follow the instructions in the section above – </w:t>
      </w:r>
      <w:r>
        <w:rPr>
          <w:rFonts w:ascii="Times New Roman" w:cs="Times New Roman" w:eastAsia="Times New Roman" w:hAnsi="Times New Roman"/>
          <w:sz w:val="18"/>
          <w:szCs w:val="18"/>
          <w:i w:val="1"/>
          <w:iCs w:val="1"/>
          <w:color w:val="auto"/>
        </w:rPr>
        <w:t>How do I Register to Participate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our 2025 Annual Meeting </w:t>
      </w:r>
      <w:r>
        <w:rPr>
          <w:rFonts w:ascii="Times New Roman" w:cs="Times New Roman" w:eastAsia="Times New Roman" w:hAnsi="Times New Roman"/>
          <w:sz w:val="18"/>
          <w:szCs w:val="18"/>
          <w:color w:val="auto"/>
        </w:rPr>
        <w:t>- in order to register for our 2025 Annual Meeting. We have adopted this registration procedure in order to assure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integrity of our 2025 Annual Meeting and the voting that takes place at that meeting and to comply with the Nevada Corporation Law. All registered Class B stockholders will be able to participate in our 2025 Annual Meeting webcast, ask a question and make nominations and vote online.</w:t>
      </w:r>
    </w:p>
    <w:p>
      <w:pPr>
        <w:spacing w:after="0" w:line="1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accordance with our Bylaws, Margaret Cotter, as the Chair of the Board, will be the Presiding Officer of our 2025 Annual Meeting.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Tompkins has been designated by the Board to serve as Secretary for our 2025 Annual Meeting.</w:t>
      </w:r>
    </w:p>
    <w:p>
      <w:pPr>
        <w:spacing w:after="0" w:line="15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Ms. Margaret Cotter, Ms. Ellen Cotter, our President and Chief Executive Officer, and other members of management may address attendees following our 2025 Annual Meeting. Stockholders desiring to pose questions to our management are encouraged to send their questions to us, care of the Secretary of our Annual Meeting, in advance of our 2025 Annual Meeting, so as to assist our management in preparing appropriate responses and to facilitate compliance with applicable securities laws. Questions may be submitted to us in advance via email at </w:t>
      </w:r>
      <w:r>
        <w:rPr>
          <w:rFonts w:ascii="Times New Roman" w:cs="Times New Roman" w:eastAsia="Times New Roman" w:hAnsi="Times New Roman"/>
          <w:sz w:val="18"/>
          <w:szCs w:val="18"/>
          <w:u w:val="single" w:color="auto"/>
          <w:color w:val="0000FF"/>
        </w:rPr>
        <w:t>AnnualMeeting@ReadingRDI.com</w:t>
      </w:r>
      <w:r>
        <w:rPr>
          <w:rFonts w:ascii="Times New Roman" w:cs="Times New Roman" w:eastAsia="Times New Roman" w:hAnsi="Times New Roman"/>
          <w:sz w:val="18"/>
          <w:szCs w:val="18"/>
          <w:color w:val="auto"/>
        </w:rPr>
        <w:t xml:space="preserve"> or during the course of our 2025 Annual Meeting using the log-in and meeting text procedure.</w:t>
      </w:r>
    </w:p>
    <w:p>
      <w:pPr>
        <w:spacing w:after="0" w:line="14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Presiding Officer has broad authority to conduct our 2025 Annual Meeting in an orderly and timely manner. This authority includes establishing rules for stockholders who wish to address the meeting or bring matters before our 2025 Annual Meeting, which rules will be posted to our Annual Meeting Website. These rules reflect the fact that there will be no physical meeting, and that stockholder communications during the meeting will need to be made by text rather than orally. The Presiding Officer may exercise broad discretion in responding to such texts and in communicating such texts with other participants at the meeting. In light of the need to conclude our 2025 Annual Meeting within a reasonable period of time, there can be no assurance that every stockholder who wishes to communicate with us during the meeting will be able to do so or that every question will be answered. The Presiding Officer has authority, in her discretion, to recess or adjourn our 2025 Annual Meeting at any time. Only Class B stockholders are entitled to participate in our 2025 Annual Meeting. Any questions or disputes as to who may or may not participate in our 2025 Annual Meeting will be determined by the Presiding Officer.</w:t>
      </w:r>
    </w:p>
    <w:p>
      <w:pPr>
        <w:spacing w:after="0" w:line="14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Only such business as shall have been properly brought before our 2025 Annual Meeting shall be conducted. Pursuant to our governing documents and applicable Nevada law, in order to be properly brought before our 2025 Annual Meeting, such business must be brought, (i) by or at the direction of the Chair, or our Board, or (ii) by a Class B stockholder.</w:t>
      </w:r>
    </w:p>
    <w:p>
      <w:pPr>
        <w:spacing w:after="0" w:line="14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Whether or not you have previous experience registering to participate in our virtual annual meetings, we encourage you to register as soon as possible, so as to allow time to take corrective action prior to the Registration Deadline in the event any issues should arise as to your registration. Also, if you are the beneficial owner, but not the record holder of shares of Class B Stock, you will need to obtain a valid proxy from the record holder of such Class B Stock in order to vote such shares electronically at our 2025 Annual Meeting, to nominate candidates to run for director and/or to bring non-agenda matters before the meeting. Beneficial owners of shares of Class B Stock will be permitted to participate in the meeting but, as noted above, they will need to obtain from the record holder a valid proxy.</w:t>
      </w:r>
    </w:p>
    <w:p>
      <w:pPr>
        <w:spacing w:after="0" w:line="14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If you register to participate in our 2025 Annual Meeting, you will be provided with a control number and a unique link that will allow you to log into our 2025 Annual Meeting and to receive streaming audio and video of the meeting. Upon completing your registration, you will receive further instructions via email. Please be sure to follow the instructions that will be delivered to your email approximately one (1) hour prior to the start of our 2025 Annual Meeting. Stockholders will be able to log into the meeting approximately fifteen (15) minutes prior to the start of the meeting. This log-in process will likely not be instantaneous, so please allow a reasonable amount of time to log-in prior to the scheduled 2:00 p.m. Eastern Time commencement time for our 2025 Annual Meeting.</w:t>
      </w:r>
    </w:p>
    <w:p>
      <w:pPr>
        <w:spacing w:after="0" w:line="14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Once logged-in, if you are a holder of record of Class B Stock or the holder of a valid proxy to vote shares of Class B Stock,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 matter before the meeting may do so using this Meeting Text Function. Note, the nomination of an individual to stand for election as a director will require (i) a second (which may also be provided by using the Meeting Text Function by any other Class B stockholder registered to participate in the meeting) and, (ii) prior to the stockholder vote, receipt by the Secretary of the Meeting of the signed consent of such nominee to stand for election and an undertaking by such nominee to serve as a director if so elected.</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As customary with our physical annual meetings, no recording of the meeting will be permitted. By registering for and participating in our 2025 Annual Meeting you are agreeing not to make any such recording.</w:t>
      </w:r>
    </w:p>
    <w:p>
      <w:pPr>
        <w:spacing w:after="0" w:line="1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Am I eligible to vote?</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You may vote your shares of Class B Stock at our 2025 Annual Meeting if you were a holder of record of Class B Stock on the Record Date. If, on the Record Date, your shares were held not in your name, but rather in an account at a Nominee, then you are the “beneficial owner” of such shares and you have the right to direct your Nominee regarding how to vote the shares in your account. As a beneficial owner of shares of Class B Stock, you are invited to participate in our 2025 Annual Meeting. However, if you are not a stockholder of record of such shares, you may not participate in, vote your shares, nominate candidates to run for director and/or bring non-agenda matters before our 2025 Annual Meeting, unless you obtain a valid proxy from your Nominee.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copy of the proxy materials?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You may receive more than one copy of the proxy materials and/or multiple proxy cards (or VIFs). For example, if you hold your shares of Class B Stock in more than one brokerage account, you may receive a separate set of proxy materials or a separate VIF for each brokerage account in which you hold shares. If you are a stockholder of record and your shares of Class B Stock are registered in more than one name, you may receive a separate copy of the proxy materials or a separate proxy card under each name under which your shares are so registered.</w:t>
      </w:r>
    </w:p>
    <w:p>
      <w:pPr>
        <w:spacing w:after="0" w:line="32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To vote all of your shares of Class B Stock by proxy card, you must either (i) complete, date, sign and return each proxy card (and/or VIF) that you receive or (ii) vote over the Internet or by telephone the shares represented by each proxy card (and/or VIF) that you receive. Alternatively, if you are a record owner or hold a valid proxy to vote such shares, you can vote your shares yourself, in whole or in part, electronically at our 2025 Annual Meeting.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stockholders hold their shares through a broker, bank, trustee, agent or other nominee rather than directly in their own name. As summarized below, there are some differences in how stockholders of record and beneficial owners are treated.</w:t>
      </w:r>
    </w:p>
    <w:p>
      <w:pPr>
        <w:spacing w:after="0" w:line="13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you are considered the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record with respect to those shares and these proxy materials are being sent directly to you. As the stockholder of record of Class B Stock, you have the right to vote electronically at the meeting. If you choose to do so, you can vote electronically by participating in our 2025 Annual Meeting and using the voting function (the “Meeting Voting Function”) of the unique link provided to you after you log-in to our Annual Meeting Website. Even if you plan to participate in our 2025 Annual Meeting, we recommend that you vote your shares in advance as described below so that your vote will be counted if you decide later not to participate in our 2025 Annual Meeting. As a stockholder of record of Class B Stock, you are also entitled to nominate additional candidates for election to our Board and to bring before the meeting other matters proper for consideration by stockholders at our 2025 Annual Meeting.</w:t>
      </w:r>
    </w:p>
    <w:p>
      <w:pPr>
        <w:spacing w:after="0" w:line="12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If you hold your shares through a Nominee rather than directly in your own name, you are considered the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such shares, and the proxy materials are being forwarded to you by your Nominee, who is the stockholder of record with respect to those shares. If you are the beneficial owner of shares of Class B Stock, while you are eligible to participate in our 2025 Annual Meeting, you must first obtain a valid proxy from your Nominee, giving you the right to register to attend and participate in the meeting and to vote the shares at the meeting. You will need to contact your Nominee to obtain a valid proxy in order to register to attend and participate in the meeting and to vote such shares using the Meeting Voting Function. Unless provided with proxy authority, beneficial owners of Class B Stock are not entitled to vote, to nominate additional candidates for election to our Board or to bring before the meeting any other matters for consideration by stockholders at our 2025 Annual Meeting.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Proxies are solicited by our Board to give holders of record of our Class B Stock the opportunity to vote their shares, whether or not they participate in our 2025 Annual Meeting. If you are a holder of record of shares of our Class B Stock as of the Record Date, you have the right to vote such shares at our 2025 Annual Meeting. Beneficial owners, who are not the record owners of Class B Stock, will need to obtain a valid proxy from the record holder of such shares. Even if you plan to participate in our 2025 Annual Meeting, we recommend that you vote your shares in advance as described below so that your vote will be counted if you decide later not to or for any reason cannot participate in our 2025 Annual Meeting.</w:t>
      </w:r>
    </w:p>
    <w:p>
      <w:pPr>
        <w:spacing w:after="0" w:line="1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You can vote by using any of the following methods:</w:t>
      </w:r>
    </w:p>
    <w:p>
      <w:pPr>
        <w:spacing w:after="0" w:line="171" w:lineRule="exact"/>
        <w:rPr>
          <w:sz w:val="20"/>
          <w:szCs w:val="20"/>
          <w:color w:val="auto"/>
        </w:rPr>
      </w:pPr>
    </w:p>
    <w:p>
      <w:pPr>
        <w:ind w:left="1300"/>
        <w:spacing w:after="0" w:line="232" w:lineRule="auto"/>
        <w:rPr>
          <w:sz w:val="20"/>
          <w:szCs w:val="20"/>
          <w:color w:val="auto"/>
        </w:rPr>
      </w:pP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xml:space="preserve"> — Holders of record of our Class B Stock may submit proxies over the Internet by following the instructions on the proxy card. Beneficial owners of our Class B Stock who hold a valid proxy may vote by Internet by following the instructions on the VIF sent to them by their Nominee.</w:t>
      </w:r>
    </w:p>
    <w:p>
      <w:pPr>
        <w:ind w:left="1300"/>
        <w:spacing w:after="0" w:line="224" w:lineRule="auto"/>
        <w:rPr>
          <w:sz w:val="20"/>
          <w:szCs w:val="20"/>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xml:space="preserv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Beneficial owners of our Class B Stock living in the United States or Canada and who have received a VIF by mail from their Nominee and who hold a valid proxy may vote by phone by calling the number specified on the VIF. Beneficial owners should check the VIF for telephone voting availability.</w:t>
      </w:r>
    </w:p>
    <w:p>
      <w:pPr>
        <w:spacing w:after="0" w:line="1" w:lineRule="exact"/>
        <w:rPr>
          <w:sz w:val="20"/>
          <w:szCs w:val="20"/>
          <w:color w:val="auto"/>
        </w:rPr>
      </w:pPr>
    </w:p>
    <w:p>
      <w:pPr>
        <w:ind w:left="1300"/>
        <w:spacing w:after="0" w:line="225" w:lineRule="auto"/>
        <w:rPr>
          <w:sz w:val="20"/>
          <w:szCs w:val="20"/>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xml:space="preserve"> — Holders of record of our Class B Stock who have received or downloaded a paper copy of a proxy card may submit proxies by completing, signing, and dating their proxy card and mailing it in the accompanying pre-addressed envelope. Beneficial owners of our Class B Stock who have received a VIF from their Nominee may return the VIF by mail as set forth on the VIF. Proxies submitted by mail must be received by the Inspector of Elections before the polls are closed for our 2025 Annual Meeting.</w:t>
      </w:r>
    </w:p>
    <w:p>
      <w:pPr>
        <w:spacing w:after="0" w:line="1" w:lineRule="exact"/>
        <w:rPr>
          <w:sz w:val="20"/>
          <w:szCs w:val="20"/>
          <w:color w:val="auto"/>
        </w:rPr>
      </w:pPr>
    </w:p>
    <w:p>
      <w:pPr>
        <w:ind w:left="1300"/>
        <w:spacing w:after="0" w:line="227" w:lineRule="auto"/>
        <w:rPr>
          <w:sz w:val="20"/>
          <w:szCs w:val="20"/>
          <w:color w:val="auto"/>
        </w:rPr>
      </w:pPr>
      <w:r>
        <w:rPr>
          <w:rFonts w:ascii="Times New Roman" w:cs="Times New Roman" w:eastAsia="Times New Roman" w:hAnsi="Times New Roman"/>
          <w:sz w:val="18"/>
          <w:szCs w:val="18"/>
          <w:u w:val="single" w:color="auto"/>
          <w:color w:val="auto"/>
        </w:rPr>
        <w:t>By participating and using the Meeting Voting Function</w:t>
      </w:r>
      <w:r>
        <w:rPr>
          <w:rFonts w:ascii="Times New Roman" w:cs="Times New Roman" w:eastAsia="Times New Roman" w:hAnsi="Times New Roman"/>
          <w:sz w:val="18"/>
          <w:szCs w:val="18"/>
          <w:color w:val="auto"/>
        </w:rPr>
        <w:t xml:space="preserve"> — Holders of record of our Class B Stock (and beneficial owners of our Class B Stock who have obtained a valid proxy) who register and participate in our 2025 Annual Meeting may vote electronically by using our Meeting Voting Function. Voting electronically at our 2025 Annual Meeting by registered holders or proxy holders will supersede any prior proxies or voting instructions. Class B stockholders are encouraged to vote their proxies by 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 Elections will be counted, and any other vote will be disregarded.</w:t>
      </w:r>
    </w:p>
    <w:p>
      <w:pPr>
        <w:spacing w:after="0" w:line="1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29" w:lineRule="exact"/>
        <w:rPr>
          <w:sz w:val="20"/>
          <w:szCs w:val="20"/>
          <w:color w:val="auto"/>
        </w:rPr>
      </w:pPr>
    </w:p>
    <w:p>
      <w:pPr>
        <w:jc w:val="both"/>
        <w:ind w:right="20" w:firstLine="726"/>
        <w:spacing w:after="0" w:line="268" w:lineRule="auto"/>
        <w:rPr>
          <w:sz w:val="20"/>
          <w:szCs w:val="20"/>
          <w:color w:val="auto"/>
        </w:rPr>
      </w:pPr>
      <w:r>
        <w:rPr>
          <w:rFonts w:ascii="Times New Roman" w:cs="Times New Roman" w:eastAsia="Times New Roman" w:hAnsi="Times New Roman"/>
          <w:sz w:val="18"/>
          <w:szCs w:val="18"/>
          <w:i w:val="1"/>
          <w:iCs w:val="1"/>
          <w:color w:val="auto"/>
        </w:rPr>
        <w:t>Shares held of record by an Entity</w:t>
      </w:r>
      <w:r>
        <w:rPr>
          <w:rFonts w:ascii="Times New Roman" w:cs="Times New Roman" w:eastAsia="Times New Roman" w:hAnsi="Times New Roman"/>
          <w:sz w:val="18"/>
          <w:szCs w:val="18"/>
          <w:color w:val="auto"/>
        </w:rPr>
        <w:t>. In order to vote shares on behalf of an Entity, you may need to provide evidence (such as a sealed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certified resolution) of your authority to vote such shares, unless you are listed as a record holder of such shares.</w:t>
      </w:r>
    </w:p>
    <w:p>
      <w:pPr>
        <w:spacing w:after="0" w:line="10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i w:val="1"/>
          <w:iCs w:val="1"/>
          <w:color w:val="auto"/>
        </w:rPr>
        <w:t>Shares held of record by a trust</w:t>
      </w:r>
      <w:r>
        <w:rPr>
          <w:rFonts w:ascii="Times New Roman" w:cs="Times New Roman" w:eastAsia="Times New Roman" w:hAnsi="Times New Roman"/>
          <w:sz w:val="18"/>
          <w:szCs w:val="18"/>
          <w:color w:val="auto"/>
        </w:rPr>
        <w:t>. The trustee of a trust is entitled to vote the shares held by the trust, either by proxy or by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voting electronically at our 2025 Annual Meeting. If you are voting as a trustee, and are not identified as a record owner of the shares, then you may need to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4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Shares held of record in the name of more than one person</w:t>
      </w:r>
      <w:r>
        <w:rPr>
          <w:rFonts w:ascii="Times New Roman" w:cs="Times New Roman" w:eastAsia="Times New Roman" w:hAnsi="Times New Roman"/>
          <w:sz w:val="18"/>
          <w:szCs w:val="18"/>
          <w:color w:val="auto"/>
        </w:rPr>
        <w:t>. If only one individual votes, that individual’s vote applies to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Shares held by a representative or fiduciary. </w:t>
      </w:r>
      <w:r>
        <w:rPr>
          <w:rFonts w:ascii="Times New Roman" w:cs="Times New Roman" w:eastAsia="Times New Roman" w:hAnsi="Times New Roman"/>
          <w:sz w:val="18"/>
          <w:szCs w:val="18"/>
          <w:color w:val="auto"/>
        </w:rPr>
        <w:t>A representative or fiduciary may only vote shares if they have been granted a valid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record holder of such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do not give specific voting instructions?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Class B Stockholder and you:</w:t>
      </w:r>
    </w:p>
    <w:p>
      <w:pPr>
        <w:spacing w:after="0" w:line="104" w:lineRule="exact"/>
        <w:rPr>
          <w:sz w:val="20"/>
          <w:szCs w:val="20"/>
          <w:color w:val="auto"/>
        </w:rPr>
      </w:pPr>
    </w:p>
    <w:p>
      <w:pPr>
        <w:ind w:left="1300" w:right="20"/>
        <w:spacing w:after="0" w:line="230" w:lineRule="auto"/>
        <w:rPr>
          <w:sz w:val="20"/>
          <w:szCs w:val="20"/>
          <w:color w:val="auto"/>
        </w:rPr>
      </w:pPr>
      <w:r>
        <w:rPr>
          <w:rFonts w:ascii="Times New Roman" w:cs="Times New Roman" w:eastAsia="Times New Roman" w:hAnsi="Times New Roman"/>
          <w:sz w:val="18"/>
          <w:szCs w:val="18"/>
          <w:color w:val="auto"/>
        </w:rPr>
        <w:t>Indicate when voting on the Internet or by telephone or, if applicable, by using the Meeting Voting Function, that you wish to vote as recommended by our Board, then your shares will be so voted; or</w:t>
      </w:r>
    </w:p>
    <w:p>
      <w:pPr>
        <w:spacing w:after="0" w:line="1" w:lineRule="exact"/>
        <w:rPr>
          <w:sz w:val="20"/>
          <w:szCs w:val="20"/>
          <w:color w:val="auto"/>
        </w:rPr>
      </w:pPr>
    </w:p>
    <w:p>
      <w:pPr>
        <w:ind w:left="1300" w:right="20"/>
        <w:spacing w:after="0" w:line="226" w:lineRule="auto"/>
        <w:rPr>
          <w:sz w:val="20"/>
          <w:szCs w:val="20"/>
          <w:color w:val="auto"/>
        </w:rPr>
      </w:pPr>
      <w:r>
        <w:rPr>
          <w:rFonts w:ascii="Times New Roman" w:cs="Times New Roman" w:eastAsia="Times New Roman" w:hAnsi="Times New Roman"/>
          <w:sz w:val="18"/>
          <w:szCs w:val="18"/>
          <w:color w:val="auto"/>
        </w:rPr>
        <w:t>Sign and send in your proxy card and do not indicate how you want to vote, then the proxyholders will vote your shares in the manner recommended by our Board as follows:</w:t>
      </w:r>
    </w:p>
    <w:p>
      <w:pPr>
        <w:spacing w:after="0" w:line="1" w:lineRule="exact"/>
        <w:rPr>
          <w:sz w:val="20"/>
          <w:szCs w:val="20"/>
          <w:color w:val="auto"/>
        </w:rPr>
      </w:pPr>
    </w:p>
    <w:p>
      <w:pPr>
        <w:ind w:left="1620" w:right="1080"/>
        <w:spacing w:after="0" w:line="226" w:lineRule="auto"/>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FOR each of the five (5) nominees for Director named below under “Proposal 1: Election of Directors;”</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FOR Proposal 2, the Independent Auditor Ratification Proposal;</w:t>
      </w:r>
    </w:p>
    <w:p>
      <w:pPr>
        <w:jc w:val="both"/>
        <w:ind w:left="1620" w:right="2340"/>
        <w:spacing w:after="0" w:line="283" w:lineRule="auto"/>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FOR Proposal 3, the Advisory Vote on Executive Officer Compensation Proposal; and</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FOR Proposal 4, such other business that may come before our 2025 Annual Meeting.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 and how is it counted?</w:t>
      </w:r>
    </w:p>
    <w:p>
      <w:pPr>
        <w:spacing w:after="0" w:line="10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If your shares are held by a broker on your behalf (that is, in so called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Independent Auditor Ratification Proposal is a “routine proposal.” All other matters contained in this Proxy Statement for submission to a vote of the stockholders are considered “non-routine.” Accordingly, if your shares of Class B Stock are held in street name and if you do not give your broker instructions as to how to vote, your broker will only be able to exercise its discretion in the case of Proposal 2, and will not be permitted to vote on Proposal 1, Proposal 3 or Proposal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“withhold authority” and “abstain” votes counted?</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Proxies that are voted to “withhold authority” or “abstain” are included only to determine whether a quorum is present. If “withhold authority” or “abstain” is selected with respect to the election of directors, then such votes will have no impact on the election of directors, as the five (5) nominees receiving the highest number of affirmative votes will be elected. If “withhold authority” or “abstain” is selected on a matter to be voted on for which approval by a majority of the votes cast at the meeting is required (specifically, Proposal 2 (the Independent Auditor Ratification Proposal) and Proposal 3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the Advisory Vote on Executive Officer Compensation Proposal), then such a selection would similarly not have an effect on the vote, since “withhold authority” and “abstain” votes do not count as votes cast on that matter.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change my vote after I submit a proxy?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Class B Stockholder, there are three ways you can change your vote or revoke your proxy after it has been submitted:</w:t>
      </w:r>
    </w:p>
    <w:p>
      <w:pPr>
        <w:spacing w:after="0" w:line="171" w:lineRule="exact"/>
        <w:rPr>
          <w:sz w:val="20"/>
          <w:szCs w:val="20"/>
          <w:color w:val="auto"/>
        </w:rPr>
      </w:pPr>
    </w:p>
    <w:p>
      <w:pPr>
        <w:ind w:left="1300" w:right="20"/>
        <w:spacing w:after="0" w:line="228" w:lineRule="auto"/>
        <w:rPr>
          <w:sz w:val="20"/>
          <w:szCs w:val="20"/>
          <w:color w:val="auto"/>
        </w:rPr>
      </w:pPr>
      <w:r>
        <w:rPr>
          <w:rFonts w:ascii="Times New Roman" w:cs="Times New Roman" w:eastAsia="Times New Roman" w:hAnsi="Times New Roman"/>
          <w:sz w:val="18"/>
          <w:szCs w:val="18"/>
          <w:color w:val="auto"/>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our 2025 Annual Meeting.</w:t>
      </w:r>
    </w:p>
    <w:p>
      <w:pPr>
        <w:spacing w:after="0" w:line="2" w:lineRule="exact"/>
        <w:rPr>
          <w:sz w:val="20"/>
          <w:szCs w:val="20"/>
          <w:color w:val="auto"/>
        </w:rPr>
      </w:pPr>
    </w:p>
    <w:p>
      <w:pPr>
        <w:ind w:left="1300"/>
        <w:spacing w:after="0" w:line="233" w:lineRule="auto"/>
        <w:rPr>
          <w:sz w:val="20"/>
          <w:szCs w:val="20"/>
          <w:color w:val="auto"/>
        </w:rPr>
      </w:pPr>
      <w:r>
        <w:rPr>
          <w:rFonts w:ascii="Times New Roman" w:cs="Times New Roman" w:eastAsia="Times New Roman" w:hAnsi="Times New Roman"/>
          <w:sz w:val="18"/>
          <w:szCs w:val="18"/>
          <w:color w:val="auto"/>
        </w:rPr>
        <w:t>Second, you may complete and submit a new proxy in one of the manners described above under the caption, “How do I vote?” Any earlier proxies will be revoked automatically.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you may register for and participate in our 2025 Annual Meeting, and vote using the Meeting Voting Function.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we solicit proxies and who will pay the costs?</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Our Board is soliciting proxies for our 2025 Annual Meeting from our Class B stockholders. We will pay the costs of the solicitation of proxies. We may reimburse brokerage firms and other persons representing beneficial owners of shares for expenses incurred in forwarding the voting materials to their customers who are beneficial</w:t>
      </w:r>
    </w:p>
    <w:p>
      <w:pPr>
        <w:spacing w:after="0" w:line="1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owners and obtaining their voting instructions. In addition to soliciting proxies by mail, our board members, officers and employees may solicit</w:t>
      </w:r>
    </w:p>
    <w:p>
      <w:pPr>
        <w:sectPr>
          <w:pgSz w:w="11900" w:h="16838" w:orient="portrait"/>
          <w:cols w:equalWidth="0" w:num="1">
            <w:col w:w="10520"/>
          </w:cols>
          <w:pgMar w:left="320" w:top="297" w:right="1059" w:bottom="1440" w:gutter="0" w:footer="0" w:header="0"/>
        </w:sectPr>
      </w:pPr>
    </w:p>
    <w:p>
      <w:pPr>
        <w:spacing w:after="0" w:line="237" w:lineRule="auto"/>
        <w:rPr>
          <w:sz w:val="20"/>
          <w:szCs w:val="20"/>
          <w:color w:val="auto"/>
        </w:rPr>
      </w:pPr>
      <w:r>
        <w:rPr>
          <w:rFonts w:ascii="Times New Roman" w:cs="Times New Roman" w:eastAsia="Times New Roman" w:hAnsi="Times New Roman"/>
          <w:sz w:val="18"/>
          <w:szCs w:val="18"/>
          <w:color w:val="auto"/>
        </w:rPr>
        <w:t>proxies on our behalf, without additional compensation, personally or by telephone.</w:t>
      </w:r>
    </w:p>
    <w:p>
      <w:pPr>
        <w:spacing w:after="0"/>
        <w:rPr>
          <w:sz w:val="20"/>
          <w:szCs w:val="20"/>
          <w:color w:val="auto"/>
        </w:rPr>
      </w:pPr>
      <w:r>
        <w:rPr>
          <w:rFonts w:ascii="Times New Roman" w:cs="Times New Roman" w:eastAsia="Times New Roman" w:hAnsi="Times New Roman"/>
          <w:sz w:val="18"/>
          <w:szCs w:val="18"/>
          <w:color w:val="auto"/>
        </w:rPr>
        <w:t>the solicitation of proxies.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intend to hire a proxy solicitor to assist in</w:t>
      </w:r>
    </w:p>
    <w:p>
      <w:pPr>
        <w:spacing w:after="0" w:line="335" w:lineRule="exact"/>
        <w:rPr>
          <w:sz w:val="20"/>
          <w:szCs w:val="20"/>
          <w:color w:val="auto"/>
        </w:rPr>
      </w:pPr>
    </w:p>
    <w:p>
      <w:pPr>
        <w:sectPr>
          <w:pgSz w:w="11900" w:h="16838" w:orient="portrait"/>
          <w:cols w:equalWidth="0" w:num="2">
            <w:col w:w="6040" w:space="680"/>
            <w:col w:w="3800"/>
          </w:cols>
          <w:pgMar w:left="320" w:top="297" w:right="10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our 2025 Annual Meeting?</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The names of stockholders of record entitled to vote at our 2025 Annual Meeting will be available to persons registered to participate in our 2025 Annual Meeting for ten days prior to the meeting, at our New York office, 189 Second Avenue, Suite 2S, New York, New York 10003, between the hours of 9.00 a.m. and 5.00 p.m., Eastern Standard Time, for any purpose germane to our 2025 Annual Meeting. To arrange to view this list during the times specified above, please contact the Secretary of our 2025 Annual Meeting at (213) 235-2240.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presence by valid proxy or by virtual participation as provided in this Proxy Statement of the holders of record of a majority of our outstanding shares of Class B Stock will constitute a quorum at our 2025 Annual Meeting. Each share of our Class B Stock entitles the holder of record to one vote on all matters to come before our 2025 Annual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who will certify the results?</w:t>
      </w:r>
    </w:p>
    <w:p>
      <w:pPr>
        <w:spacing w:after="0" w:line="162"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Computershare, Inc. will act as the independent Inspector of Elections and will determine whether a quorum is present, count the votes, evaluate the validity of proxies and electronic votes, and certify the results. The final voting results will be reported by us on a Current Report on Form 8-K to be filed with the SEC within four business days following our 2025 Annual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a proposal to pass?</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Proposal 1 (the Election of Directors): The five (5) nominees for election as Directors at our 2025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 We are advised by the holders of approximately 72% of the Class B Stock that they currently intend to vote “FOR” the election of each of the candidates nominated by our Board. Accordingly, it is anticipated that each of these individuals will be elected.</w:t>
      </w:r>
    </w:p>
    <w:p>
      <w:pPr>
        <w:spacing w:after="0" w:line="14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Proposal 2 (the Independent Auditor Ratification Proposal): This proposal requires the “FOR” vote of a majority of the votes cast in order to pass. We are advised by the holders of approximately 72% of the Class B Stock that they currently intend to vote “FOR” this proposal. Accordingly, it is anticipated that the Independent Auditor Ratification Proposal will pass.</w:t>
      </w:r>
    </w:p>
    <w:p>
      <w:pPr>
        <w:spacing w:after="0" w:line="14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Proposal 3 (the Advisory Vote on Executive Officer Compensation Proposal): This proposal requires the “FOR” vote of a majority of the votes cast in order to pass. Because your vote is advisory, it will not be binding on us, our Board or our Compensation and Stock Options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Committee (the “Compensation Committee”). However, the Board and our Compensation Committee, as applicable, will review the voting results and take them into consideration when making future decisions and recommendations regarding executive compensation. We are advised by the holders of approximately 72% of the Class B Stock that they currently intend to vote “FOR” this proposal. Accordingly, it is anticipated that the Advisory Vote on Executive Officer Compensation Proposal will pass.</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Proposal 4 (the Other Business Proposal): To transact such other business as may properly come before our 2025 Annual Meeting and any adjournment or postponement thereof. The Board is currently unaware of any other such proposal.</w:t>
      </w:r>
    </w:p>
    <w:p>
      <w:pPr>
        <w:spacing w:after="0" w:line="1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7" w:right="10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Proxies, electronic votes and voting tabulations identifying stockholders are kept confidential and will not be disclosed to third parties, except as may be necessary to meet legal requirements.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Leadership Structure</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Margaret Cotter is our Chair of the Board and also serves as our Executive Vice President – Real Estate Management and Development. Margaret Cotter has served as a director of our Company since 2002. Over that time, she has also been responsible for the management of our domestic live theatre properties and, has general oversight of all our U.S. real estate. At the present time, our Board continues to believe that having a Board Chair who is also a senior executive officer of our Company is in the best interests of our Company and our stockholders. This structure (i) continues the tradition of having a member of the Cotter family (which currently controls approximately 72% of the voting power of our Company) serve as Chair, a leadership structure in which many of our stockholders have invested, (ii) recognizes the ongoing value of Margaret Cotter as the head of our real estate operations, and also (iii) reflects the reality of our status as a “controlled company” under relevant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Nasdaq Listing Rules, with Margaret Cotter having (a) sole voting control over 1,058,988 company shares of our Class B Stock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and (b) shared voting power with her sister, Ellen M. Cotter over an additional 100,000 shares of our Class B Voting Stock, for voting power equal to approximately 69% of our outstanding voting stock.</w:t>
      </w:r>
    </w:p>
    <w:p>
      <w:pPr>
        <w:spacing w:after="0" w:line="131"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18"/>
          <w:szCs w:val="18"/>
          <w:color w:val="auto"/>
        </w:rPr>
        <w:t>Ellen M. Cotter is our Vice-Chair and also serves as our Chief Executive Officer and President. Prior to her appointment in 2015 as our Chief Executive Officer and President, she principally focused on the cinema operations aspects of our business, including the development of our various cinema assets. Ellen M. Cotter has sole voting and dispositive power over 50,000 shares of our Class B Stock and shared voting power and dispositive power with her sister, Margaret Cotter, over an additional 100,000 shares of our Class B Stock. In addition, Ellen M. Cotter is the direct owner of an additional 307,166 shares of Class B Stock, but has granted sole voting power and, pending the negotiation and execution of a more definitive stockholders agreement between them, shared dispositive power to Margaret Cotter.</w:t>
      </w:r>
    </w:p>
    <w:p>
      <w:pPr>
        <w:spacing w:after="0" w:line="14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Margaret Cotter and Ellen M. Cotter each have a substantial stake in our Company, directly owning, respectively, as of the date of this Proxy Statement, 853,718 shares of Class A Stock and 342,266 shares of Class B Stock, and 1,008,957 shares of Class A Stock and 357,166 shares of Class B Stock, respectively. In addition, Margaret Cotter and Ellen M. Cotter are the Co-Executors of the Estate of James J. Cotter, Sr. (the “Cotter Estate”) and Co-Trustees of the James J. Cotter, Sr. Living Trust (the “Cotter Living Trust”) which own respectively 326,800 and 1,163,649 shares of Class A Stock and, in the case of the Cotter Estate, 100,000 shares of Class B Stock. Margaret Cotter is, in addition, the sole-trustee of the James J. Cotter Education Trust #1 which holds 84,956 shares of Class A Stock and the designated trustee of a to-be formed trust for the benefit of her children which is to be funded with 327,808 shares of Class B Stock (currently is held in the name of the Cotter Estate but not included in the Cotter Estate holdings described above) and 81,747 shares of Class B Stock (currently held in the name of the Cotter Living Trust but not included in the Cotter Living Trust holdings described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Board Oversight Structure</w:t>
      </w:r>
    </w:p>
    <w:p>
      <w:pPr>
        <w:spacing w:after="0" w:line="16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 Independent Directors, and is nominating a majority of Independent Directors for election to our Board this year. Also, the Charter of our Compensation and Stock Options Committee requires that all of the committee’s members be independent. In determining who is an Independent Director, we follow the definition in Section 5605(a)(2) of the Nasdaq Listing Rules. Under such rules, we consider the following Directors to be independent: Guy Adams, Dr. Judy Codding, and Douglas McEachern. Our Board annually reviews the independence of our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4" w:lineRule="exact"/>
        <w:rPr>
          <w:sz w:val="20"/>
          <w:szCs w:val="20"/>
          <w:color w:val="auto"/>
        </w:rPr>
      </w:pPr>
    </w:p>
    <w:p>
      <w:pPr>
        <w:jc w:val="both"/>
        <w:ind w:right="20" w:firstLine="8"/>
        <w:spacing w:after="0" w:line="217" w:lineRule="auto"/>
        <w:tabs>
          <w:tab w:leader="none" w:pos="148"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Pursuant to an interim agreement between Margaret Cotter and Ellen M. Cotter, Margaret Cotter has sole voting power and, pending the negotiation and execution of a more definitive stockholders’ agreement between them, shares dispositive power with Ellen M. Cotter over 307,166 of the Class B Stock owned directly by Ellen M. Cotter.</w:t>
      </w: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14" w:name="page15"/>
    <w:bookmarkEnd w:id="14"/>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currently have an Audit and Conflicts Committee (the “Audit Committee”) and a Compensation and Stock Options Committee (the “Compensation Committee”), each composed entirely of Independent Directors. Historically, our Lead Independent Director chairs meetings of the Independent Directors (typically held as a separate part of board meetings) and acts as liaison between our Chair, Chief Executive Officer and President and our Independent Directors</w:t>
      </w:r>
    </w:p>
    <w:p>
      <w:pPr>
        <w:spacing w:after="0" w:line="158" w:lineRule="exact"/>
        <w:rPr>
          <w:sz w:val="20"/>
          <w:szCs w:val="20"/>
          <w:color w:val="auto"/>
        </w:rPr>
      </w:pPr>
    </w:p>
    <w:p>
      <w:pPr>
        <w:jc w:val="both"/>
        <w:ind w:right="60" w:firstLine="648"/>
        <w:spacing w:after="0" w:line="236" w:lineRule="auto"/>
        <w:rPr>
          <w:sz w:val="20"/>
          <w:szCs w:val="20"/>
          <w:color w:val="auto"/>
        </w:rPr>
      </w:pPr>
      <w:r>
        <w:rPr>
          <w:rFonts w:ascii="Times New Roman" w:cs="Times New Roman" w:eastAsia="Times New Roman" w:hAnsi="Times New Roman"/>
          <w:sz w:val="18"/>
          <w:szCs w:val="18"/>
          <w:color w:val="auto"/>
        </w:rPr>
        <w:t>We also currently have a four-member Executive Committee composed of our Chair, Vice-Chair, the Chair of the Compensation Committee (Dr. Judy Codding) and our Lead Technology and Cyber Risk Director (Guy W. Adams). As a consequence of this structure, the concurrence of at least one non-management member of the Executive Committee is required in order for the Executive Committee to take action.</w:t>
      </w:r>
    </w:p>
    <w:p>
      <w:pPr>
        <w:spacing w:after="0" w:line="144" w:lineRule="exact"/>
        <w:rPr>
          <w:sz w:val="20"/>
          <w:szCs w:val="20"/>
          <w:color w:val="auto"/>
        </w:rPr>
      </w:pPr>
    </w:p>
    <w:p>
      <w:pPr>
        <w:jc w:val="both"/>
        <w:ind w:right="60" w:firstLine="648"/>
        <w:spacing w:after="0" w:line="229" w:lineRule="auto"/>
        <w:rPr>
          <w:sz w:val="20"/>
          <w:szCs w:val="20"/>
          <w:color w:val="auto"/>
        </w:rPr>
      </w:pPr>
      <w:r>
        <w:rPr>
          <w:rFonts w:ascii="Times New Roman" w:cs="Times New Roman" w:eastAsia="Times New Roman" w:hAnsi="Times New Roman"/>
          <w:sz w:val="18"/>
          <w:szCs w:val="18"/>
          <w:color w:val="auto"/>
        </w:rPr>
        <w:t>Our Board has (i) adopted a best practices charter for our Compensation Committee, (ii) adopted a best practices charter for our Audit Committee, (iii) completed, with the assistance of compensation consultants and outside counsel, a review of our compensation practices, (iv) adopted and updated a Code of Business Conduct and Ethics, (v) adopted and updated a Supplemental Insider Trading Policy restricting trading in our stock by our Directors and executive officers, (vi) adopted an Anti-Discrimination, Anti-Harassment and Anti-Bullying policy, (vii) adopted and updated a Whistleblower Policy, and (viii) adopted a Stock Ownership Policy, setting out minimum stock ownership levels for our directors and senior executives. With respect to that Stock Ownership Policy, based on current market conditions and challenges facing, (a) the exhibition industry, including the COVID-19 pandemic and the negative impact to the movie release schedule due to the 2023 Hollywood Strikes, and (b) the real estate industry, including the high interest rate environment and office leasing market, our Board has resolved to postpone compliance with the Stock Ownership Policy until December 31, 2026.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136" w:lineRule="exact"/>
        <w:rPr>
          <w:sz w:val="20"/>
          <w:szCs w:val="20"/>
          <w:color w:val="auto"/>
        </w:rPr>
      </w:pPr>
    </w:p>
    <w:p>
      <w:pPr>
        <w:jc w:val="both"/>
        <w:ind w:right="60" w:firstLine="648"/>
        <w:spacing w:after="0" w:line="242" w:lineRule="auto"/>
        <w:rPr>
          <w:sz w:val="20"/>
          <w:szCs w:val="20"/>
          <w:color w:val="auto"/>
        </w:rPr>
      </w:pPr>
      <w:r>
        <w:rPr>
          <w:rFonts w:ascii="Times New Roman" w:cs="Times New Roman" w:eastAsia="Times New Roman" w:hAnsi="Times New Roman"/>
          <w:sz w:val="18"/>
          <w:szCs w:val="18"/>
          <w:color w:val="auto"/>
        </w:rPr>
        <w:t>Since 2019, when the Compensation Committee has sought advice from an independent compensation consultant, the Compensation Committee has engaged AON. Prior to its appointment, the Compensation Committee concluded that AON was independent pursuant to SEC rules and the Nasdaq Listing Standards. The Compensation Committee consults with AON from time to time as needed.</w:t>
      </w:r>
    </w:p>
    <w:p>
      <w:pPr>
        <w:spacing w:after="0" w:line="143" w:lineRule="exact"/>
        <w:rPr>
          <w:sz w:val="20"/>
          <w:szCs w:val="20"/>
          <w:color w:val="auto"/>
        </w:rPr>
      </w:pPr>
    </w:p>
    <w:p>
      <w:pPr>
        <w:jc w:val="both"/>
        <w:ind w:right="60" w:firstLine="648"/>
        <w:spacing w:after="0" w:line="233" w:lineRule="auto"/>
        <w:rPr>
          <w:sz w:val="20"/>
          <w:szCs w:val="20"/>
          <w:color w:val="auto"/>
        </w:rPr>
      </w:pPr>
      <w:r>
        <w:rPr>
          <w:rFonts w:ascii="Times New Roman" w:cs="Times New Roman" w:eastAsia="Times New Roman" w:hAnsi="Times New Roman"/>
          <w:sz w:val="18"/>
          <w:szCs w:val="18"/>
          <w:color w:val="auto"/>
        </w:rPr>
        <w:t>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 information is brought to our Board, coordinates the timely presentation of such information to, and facilitates the consideration of such information by all directors.</w:t>
      </w:r>
    </w:p>
    <w:p>
      <w:pPr>
        <w:spacing w:after="0" w:line="131" w:lineRule="exact"/>
        <w:rPr>
          <w:sz w:val="20"/>
          <w:szCs w:val="20"/>
          <w:color w:val="auto"/>
        </w:rPr>
      </w:pPr>
    </w:p>
    <w:p>
      <w:pPr>
        <w:jc w:val="both"/>
        <w:ind w:right="60" w:firstLine="648"/>
        <w:spacing w:after="0" w:line="233" w:lineRule="auto"/>
        <w:rPr>
          <w:sz w:val="20"/>
          <w:szCs w:val="20"/>
          <w:color w:val="auto"/>
        </w:rPr>
      </w:pPr>
      <w:r>
        <w:rPr>
          <w:rFonts w:ascii="Times New Roman" w:cs="Times New Roman" w:eastAsia="Times New Roman" w:hAnsi="Times New Roman"/>
          <w:sz w:val="18"/>
          <w:szCs w:val="18"/>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our 2025 Annual Meeting were made by our entire Board. Each of the nominees received the unanimous vote of the Independent Directors and each such nominee abstained with respect to his or her own nomination.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75" w:lineRule="exact"/>
        <w:rPr>
          <w:sz w:val="20"/>
          <w:szCs w:val="20"/>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18"/>
          <w:szCs w:val="18"/>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43" w:lineRule="exact"/>
        <w:rPr>
          <w:sz w:val="20"/>
          <w:szCs w:val="20"/>
          <w:color w:val="auto"/>
        </w:rPr>
      </w:pPr>
    </w:p>
    <w:p>
      <w:pPr>
        <w:jc w:val="both"/>
        <w:ind w:right="60" w:firstLine="648"/>
        <w:spacing w:after="0" w:line="232" w:lineRule="auto"/>
        <w:rPr>
          <w:sz w:val="20"/>
          <w:szCs w:val="20"/>
          <w:color w:val="auto"/>
        </w:rPr>
      </w:pPr>
      <w:r>
        <w:rPr>
          <w:rFonts w:ascii="Times New Roman" w:cs="Times New Roman" w:eastAsia="Times New Roman" w:hAnsi="Times New Roman"/>
          <w:sz w:val="18"/>
          <w:szCs w:val="18"/>
          <w:color w:val="auto"/>
        </w:rPr>
        <w:t>The Board plays an important role in risk oversight at our Company through direct decision-making authority with respect to significant matters, as well as through the oversight of management by the Board and its committees. In particular, the Board administers its risk oversight function through (1) the review and discussion of regular period reports by the Board and its committees on topics relating to the risks that our Company faces, (2) the required approval by the Board (or a committee of the Board) of significant transactions and other decisions, (3) the direct oversight of specific areas of our Company’s business by the Audit Committee and the Compensation</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499" w:right="999" w:bottom="1440" w:gutter="0" w:footer="0" w:header="0"/>
        </w:sectPr>
      </w:pPr>
    </w:p>
    <w:bookmarkStart w:id="15" w:name="page16"/>
    <w:bookmarkEnd w:id="15"/>
    <w:p>
      <w:pPr>
        <w:jc w:val="both"/>
        <w:spacing w:after="0" w:line="242" w:lineRule="auto"/>
        <w:rPr>
          <w:sz w:val="20"/>
          <w:szCs w:val="20"/>
          <w:color w:val="auto"/>
        </w:rPr>
      </w:pPr>
      <w:r>
        <w:rPr>
          <w:rFonts w:ascii="Times New Roman" w:cs="Times New Roman" w:eastAsia="Times New Roman" w:hAnsi="Times New Roman"/>
          <w:sz w:val="18"/>
          <w:szCs w:val="18"/>
          <w:color w:val="auto"/>
        </w:rPr>
        <w:t>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our Company to the attention of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Status</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Under Section 5615(c)(1) of the Nasdaq Listing Rules, a “controlled company” is a company in which more than 50% of the voting power for the election of Directors is held by an individual, a group, or another company. As of the date of this Proxy Statement, Chair Margaret Cotter holds sole voting power over 1,058,988 shares of our Class B Stock, representing 63% of such shares outstanding. Together, Chair Margaret Cotter and Vice-Chair Ellen M. Cotter have voting power, as of the Record Date, over 1,208,988 shares, representing approximately 72% of our outstanding Class B Stock. Our Class A Stock does not have voting rights. Under applicable Nevada Law the holders of shares representing 2/3rds of the outstanding voting stock can, either by written consent or at a meeting, remove any and all directors. Based on advice of counsel, our Board has determined that the Company is therefore a “controlled company” within the Nasdaq Listing Rules.</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w:t>
      </w:r>
    </w:p>
    <w:p>
      <w:pPr>
        <w:sectPr>
          <w:pgSz w:w="11900" w:h="16838" w:orient="portrait"/>
          <w:cols w:equalWidth="0" w:num="1">
            <w:col w:w="10520"/>
          </w:cols>
          <w:pgMar w:left="320" w:top="297" w:right="1059" w:bottom="1440" w:gutter="0" w:footer="0" w:header="0"/>
        </w:sectPr>
      </w:pPr>
    </w:p>
    <w:p>
      <w:pPr>
        <w:spacing w:after="0" w:line="209" w:lineRule="auto"/>
        <w:rPr>
          <w:sz w:val="20"/>
          <w:szCs w:val="20"/>
          <w:color w:val="auto"/>
        </w:rPr>
      </w:pPr>
      <w:r>
        <w:rPr>
          <w:rFonts w:ascii="Times New Roman" w:cs="Times New Roman" w:eastAsia="Times New Roman" w:hAnsi="Times New Roman"/>
          <w:sz w:val="18"/>
          <w:szCs w:val="18"/>
          <w:color w:val="auto"/>
        </w:rPr>
        <w:t>Independent Directors, approved each of the nominees for our 2025 Annual Meeting.</w:t>
      </w:r>
    </w:p>
    <w:p>
      <w:pPr>
        <w:spacing w:after="0"/>
        <w:rPr>
          <w:sz w:val="20"/>
          <w:szCs w:val="20"/>
          <w:color w:val="auto"/>
        </w:rPr>
      </w:pPr>
      <w:r>
        <w:rPr>
          <w:rFonts w:ascii="Times New Roman" w:cs="Times New Roman" w:eastAsia="Times New Roman" w:hAnsi="Times New Roman"/>
          <w:sz w:val="18"/>
          <w:szCs w:val="18"/>
          <w:i w:val="1"/>
          <w:iCs w:val="1"/>
          <w:color w:val="auto"/>
        </w:rPr>
        <w:t>Director Nominees</w:t>
      </w:r>
      <w:r>
        <w:rPr>
          <w:rFonts w:ascii="Times New Roman" w:cs="Times New Roman" w:eastAsia="Times New Roman" w:hAnsi="Times New Roman"/>
          <w:sz w:val="18"/>
          <w:szCs w:val="18"/>
          <w:color w:val="auto"/>
        </w:rPr>
        <w:t>,” below.</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Consideration and Selection of the Board's</w:t>
      </w:r>
    </w:p>
    <w:p>
      <w:pPr>
        <w:spacing w:after="0" w:line="329" w:lineRule="exact"/>
        <w:rPr>
          <w:sz w:val="20"/>
          <w:szCs w:val="20"/>
          <w:color w:val="auto"/>
        </w:rPr>
      </w:pPr>
    </w:p>
    <w:p>
      <w:pPr>
        <w:sectPr>
          <w:pgSz w:w="11900" w:h="16838" w:orient="portrait"/>
          <w:cols w:equalWidth="0" w:num="2">
            <w:col w:w="6260" w:space="700"/>
            <w:col w:w="3560"/>
          </w:cols>
          <w:pgMar w:left="320" w:top="297" w:right="10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has a standing Executive Committee, Audit Committee, and Compensation Committee. These committees are discussed in greater detail below.</w:t>
      </w:r>
    </w:p>
    <w:p>
      <w:pPr>
        <w:spacing w:after="0" w:line="12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Our Executive Committee operates pursuant to a resolution adopted by our Board and is currently composed of Director Guy W. Adams, who serves as Chair, Dr. Judy Codding, who serves as Chair of the Compensation Committee, Chair Margaret Cotter, and Vice-Chair Ellen M. Cotter. As a consequence of this structure, the concurrence of at least one non-management member of the Executive Committee is required in order for the Executive Committee to take action. Pursuant to that resolution, the Executive Committee is authorized, to the fullest extent permitted by Nevada law and our Bylaws, to take any and all actions that could have been taken by the full Board between meetings of the full Board.</w:t>
      </w:r>
    </w:p>
    <w:p>
      <w:pPr>
        <w:spacing w:after="0" w:line="131"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Director Doug McEachern currently serves as our Lead Independent Director. Historically, our Lead Independent Director chairs meetings of the Independent Directors (typically held as a separate part of many of our board meetings) and acts as liaison between our Chair, Chief Executive Officer and President and our Independent Directors.</w:t>
      </w:r>
    </w:p>
    <w:p>
      <w:pPr>
        <w:spacing w:after="0" w:line="14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Our Audit Committee operates pursuant to its charter which is available on our website at www.investor.readingrdi.com/corporate-governance/governance-overview.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w:t>
      </w:r>
    </w:p>
    <w:p>
      <w:pPr>
        <w:spacing w:after="0"/>
        <w:rPr>
          <w:sz w:val="20"/>
          <w:szCs w:val="20"/>
          <w:color w:val="auto"/>
        </w:rPr>
      </w:pPr>
      <w:r>
        <w:rPr>
          <w:rFonts w:ascii="Times New Roman" w:cs="Times New Roman" w:eastAsia="Times New Roman" w:hAnsi="Times New Roman"/>
          <w:sz w:val="18"/>
          <w:szCs w:val="18"/>
          <w:color w:val="auto"/>
        </w:rPr>
        <w:t>discussion in the section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below).</w:t>
      </w:r>
    </w:p>
    <w:p>
      <w:pPr>
        <w:spacing w:after="0" w:line="13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Board has determined that the Audit Committee is composed entirely of Independent Directors (as defined in section 5605(a)(2) of the Nasdaq Listing Rules) and Rule 10A-3(b)(1) of the Exchange Act, and that Director Douglas McEachern, the Chair of our Audit Committee, is an Independent Director who meets the foregoing guidelines and is qualified as an Audit Committee Financial Expert. Our Audit Committee is currently composed of Director McEachern, Director Dr. Judy Codding and Director Guy Adams.</w:t>
      </w:r>
    </w:p>
    <w:p>
      <w:pPr>
        <w:spacing w:after="0" w:line="13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Our Board has established a standing Compensation Committee consisting of our three (3) Independent Directors. Director Dr. Judy Codding, who serves as Chair, Director Guy Adams and Director Douglas McEachern. As a “controlled company,” we are exempt from the Nasdaq Listing Rules regarding</w:t>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7" w:right="1059" w:bottom="1440" w:gutter="0" w:footer="0" w:header="0"/>
          <w:type w:val="continuous"/>
        </w:sectPr>
      </w:pPr>
    </w:p>
    <w:bookmarkStart w:id="16" w:name="page17"/>
    <w:bookmarkEnd w:id="16"/>
    <w:p>
      <w:pPr>
        <w:jc w:val="both"/>
        <w:spacing w:after="0"/>
        <w:rPr>
          <w:sz w:val="20"/>
          <w:szCs w:val="20"/>
          <w:color w:val="auto"/>
        </w:rPr>
      </w:pPr>
      <w:r>
        <w:rPr>
          <w:rFonts w:ascii="Times New Roman" w:cs="Times New Roman" w:eastAsia="Times New Roman" w:hAnsi="Times New Roman"/>
          <w:sz w:val="18"/>
          <w:szCs w:val="18"/>
          <w:color w:val="auto"/>
        </w:rPr>
        <w:t>the determination of executive compensation solely by independent directors, who additionally meet the heightened independence requirements specific to compensation committee members. Notwithstanding such exemption, we adopted a Compensation Committee charter requiring our Compensation Committee members to meet the independence rules and regulations of the SEC and the Nasdaq. Our Compensation Committee charter is available on our website at https://investor.readingrdi.com/corporate-governance/governance-overview.</w:t>
      </w:r>
    </w:p>
    <w:p>
      <w:pPr>
        <w:spacing w:after="0" w:line="13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Pursuant to its charter, the Compensation Committee has delegated authority to establish the compensation for all executive officers, including the Chief Executive Officer and President. However, pursuant to the charter, compensation decisions related to Ellen Cotter or Margaret Cotter are subject to review and approval by the Board, so our Compensation Committee makes recommendations for Ellen Cotter and Margaret Cotter, subject to the approval of the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and Selection of the Board’s Director Nominees</w:t>
      </w:r>
    </w:p>
    <w:p>
      <w:pPr>
        <w:spacing w:after="0" w:line="175"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Our Company has elected to take advantage of the “controlled company” exemption under applicable Nasdaq Listing Rules. Accordingly, the Company does not maintain a standing Nominating Committee. Our Board, consisting of a majority of Independent Directors, approved each of the Board nominees for our 2025 Annual Meeting.</w:t>
      </w:r>
    </w:p>
    <w:p>
      <w:pPr>
        <w:spacing w:after="0" w:line="14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Our Board does not have a formal policy with respect to the consideration of Director candidates recommended by our stockholders. No non-Director stockholder has, in more than the past decade, made any formal 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w:t>
      </w:r>
    </w:p>
    <w:p>
      <w:pPr>
        <w:spacing w:after="0" w:line="144"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18"/>
          <w:szCs w:val="18"/>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Currently, we have no policy of considering diversity or any other specific criteria in identifying Director nominees.</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Board has resolved to nominate all five (5) of our incumbent Directors, named in Proposal 1, for election as Directors of our Company at our 2025 Annual Meeting.</w:t>
      </w:r>
    </w:p>
    <w:p>
      <w:pPr>
        <w:spacing w:after="0" w:line="13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Each of the nominees named in Proposal 1 received the unanimous approval of the Directors, with each such nominee abstaining as to his or her nomination.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designed to help our Directors and employees resolve ethical issues. Our Code of Conduct applies to all Employees, Officers and Directors, including the Chief Executive Officer, the Chief Financial Officer, the Chief Accounting Officer and the Controller and all persons performing similar functions. Our Code of Conduct is posted on our website at https://investor.readingrdi.com/governance/governance-documents/default.aspx.</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Our Board has established a means for employees to report a violation or suspected violation of the Code of Conduct anonymously. In addition, we have adopted an “Amended and Restated Whistleblower Policy and Procedures,” which is posted on our website, at </w:t>
      </w:r>
      <w:r>
        <w:rPr>
          <w:rFonts w:ascii="Times New Roman" w:cs="Times New Roman" w:eastAsia="Times New Roman" w:hAnsi="Times New Roman"/>
          <w:sz w:val="18"/>
          <w:szCs w:val="18"/>
          <w:u w:val="single" w:color="auto"/>
          <w:color w:val="0000FF"/>
        </w:rPr>
        <w:t>www.investor.readingrdi.com/corporate-governance/governance-overview</w:t>
      </w:r>
      <w:r>
        <w:rPr>
          <w:rFonts w:ascii="Times New Roman" w:cs="Times New Roman" w:eastAsia="Times New Roman" w:hAnsi="Times New Roman"/>
          <w:sz w:val="18"/>
          <w:szCs w:val="18"/>
          <w:color w:val="000000"/>
        </w:rPr>
        <w:t>, that establishes a process by which employees may anonymously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disclose to our Principal Compliance Officer (currently the Chair of our Audit Committee) alleged fraud or violations of accounting, internal accounting controls or auditing matters.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7" w:right="10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Our Audit Committee charter delegates to that committee responsibility for review and approval of transactions between our Company and our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w:t>
      </w:r>
      <w:r>
        <w:rPr>
          <w:rFonts w:ascii="Times New Roman" w:cs="Times New Roman" w:eastAsia="Times New Roman" w:hAnsi="Times New Roman"/>
          <w:sz w:val="18"/>
          <w:szCs w:val="18"/>
          <w:u w:val="single" w:color="auto"/>
          <w:color w:val="0000FF"/>
        </w:rPr>
        <w:t>www.investor.readingrdi.com/corporate-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governance/governance-overview</w:t>
      </w:r>
      <w:r>
        <w:rPr>
          <w:rFonts w:ascii="Times New Roman" w:cs="Times New Roman" w:eastAsia="Times New Roman" w:hAnsi="Times New Roman"/>
          <w:sz w:val="18"/>
          <w:szCs w:val="18"/>
          <w:color w:val="000000"/>
        </w:rPr>
        <w:t>. For additional information, see the section entitled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“Certain Relationships and Related Party Transactions.”</w:t>
      </w: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3" w:right="1059" w:bottom="1440" w:gutter="0" w:footer="0" w:header="0"/>
        </w:sectPr>
      </w:pPr>
    </w:p>
    <w:bookmarkStart w:id="18" w:name="page19"/>
    <w:bookmarkEnd w:id="18"/>
    <w:p>
      <w:pPr>
        <w:ind w:left="38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w:t>
      </w:r>
    </w:p>
    <w:p>
      <w:pPr>
        <w:spacing w:after="0" w:line="175" w:lineRule="exact"/>
        <w:rPr>
          <w:sz w:val="20"/>
          <w:szCs w:val="20"/>
          <w:color w:val="auto"/>
        </w:rPr>
      </w:pPr>
    </w:p>
    <w:p>
      <w:pPr>
        <w:jc w:val="both"/>
        <w:ind w:right="620" w:firstLine="648"/>
        <w:spacing w:after="0" w:line="236" w:lineRule="auto"/>
        <w:rPr>
          <w:sz w:val="20"/>
          <w:szCs w:val="20"/>
          <w:color w:val="auto"/>
        </w:rPr>
      </w:pPr>
      <w:r>
        <w:rPr>
          <w:rFonts w:ascii="Times New Roman" w:cs="Times New Roman" w:eastAsia="Times New Roman" w:hAnsi="Times New Roman"/>
          <w:sz w:val="18"/>
          <w:szCs w:val="18"/>
          <w:color w:val="auto"/>
        </w:rPr>
        <w:t>Five (5) directors are to be elected at our 2025 Annual Meeting to serve until the Annual Meeting of Stockholders to be held in 2026 or until their successors are duly elected and qualified. Unless otherwise instructed, the proxyholders will vote the proxies received by us “FOR” the election of the nominees below, all of whom currently serve as Directors. The five (5) nominees for election to the Board who receive the greatest number of votes cast for the election of Directors by the shares present and entitled to vote will be elected Directors.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names of the nominees for Director, together with certain information regarding them, are as follows: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tcBorders>
              <w:top w:val="single" w:sz="8" w:color="auto"/>
              <w:right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68"/>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5500" w:type="dxa"/>
            <w:vAlign w:val="bottom"/>
            <w:tcBorders>
              <w:bottom w:val="single" w:sz="8" w:color="auto"/>
              <w:right w:val="single" w:sz="8" w:color="auto"/>
            </w:tcBorders>
          </w:tcPr>
          <w:p>
            <w:pPr>
              <w:spacing w:after="0"/>
              <w:rPr>
                <w:sz w:val="5"/>
                <w:szCs w:val="5"/>
                <w:color w:val="auto"/>
              </w:rPr>
            </w:pPr>
          </w:p>
        </w:tc>
      </w:tr>
      <w:tr>
        <w:trPr>
          <w:trHeight w:val="164"/>
        </w:trPr>
        <w:tc>
          <w:tcPr>
            <w:tcW w:w="4140" w:type="dxa"/>
            <w:vAlign w:val="bottom"/>
            <w:tcBorders>
              <w:left w:val="single" w:sz="8" w:color="auto"/>
              <w:right w:val="single" w:sz="8" w:color="auto"/>
            </w:tcBorders>
            <w:shd w:val="clear" w:color="auto" w:fill="D0E7FC"/>
          </w:tcPr>
          <w:p>
            <w:pPr>
              <w:ind w:left="120"/>
              <w:spacing w:after="0" w:line="164" w:lineRule="exact"/>
              <w:rPr>
                <w:sz w:val="20"/>
                <w:szCs w:val="20"/>
                <w:color w:val="auto"/>
              </w:rPr>
            </w:pPr>
            <w:r>
              <w:rPr>
                <w:rFonts w:ascii="Times New Roman" w:cs="Times New Roman" w:eastAsia="Times New Roman" w:hAnsi="Times New Roman"/>
                <w:sz w:val="18"/>
                <w:szCs w:val="18"/>
                <w:color w:val="auto"/>
              </w:rPr>
              <w:t>Margaret Cotter</w:t>
            </w:r>
          </w:p>
        </w:tc>
        <w:tc>
          <w:tcPr>
            <w:tcW w:w="1500" w:type="dxa"/>
            <w:vAlign w:val="bottom"/>
            <w:tcBorders>
              <w:right w:val="single" w:sz="8" w:color="auto"/>
            </w:tcBorders>
            <w:shd w:val="clear" w:color="auto" w:fill="D0E7FC"/>
          </w:tcPr>
          <w:p>
            <w:pPr>
              <w:jc w:val="center"/>
              <w:ind w:right="670"/>
              <w:spacing w:after="0" w:line="164" w:lineRule="exact"/>
              <w:rPr>
                <w:sz w:val="20"/>
                <w:szCs w:val="20"/>
                <w:color w:val="auto"/>
              </w:rPr>
            </w:pPr>
            <w:r>
              <w:rPr>
                <w:rFonts w:ascii="Times New Roman" w:cs="Times New Roman" w:eastAsia="Times New Roman" w:hAnsi="Times New Roman"/>
                <w:sz w:val="18"/>
                <w:szCs w:val="18"/>
                <w:color w:val="auto"/>
                <w:w w:val="99"/>
              </w:rPr>
              <w:t>57</w:t>
            </w:r>
          </w:p>
        </w:tc>
        <w:tc>
          <w:tcPr>
            <w:tcW w:w="5500" w:type="dxa"/>
            <w:vAlign w:val="bottom"/>
            <w:tcBorders>
              <w:right w:val="single" w:sz="8" w:color="auto"/>
            </w:tcBorders>
            <w:shd w:val="clear" w:color="auto" w:fill="D0E7FC"/>
          </w:tcPr>
          <w:p>
            <w:pPr>
              <w:ind w:left="80"/>
              <w:spacing w:after="0" w:line="164" w:lineRule="exact"/>
              <w:rPr>
                <w:sz w:val="20"/>
                <w:szCs w:val="20"/>
                <w:color w:val="auto"/>
              </w:rPr>
            </w:pPr>
            <w:r>
              <w:rPr>
                <w:rFonts w:ascii="Times New Roman" w:cs="Times New Roman" w:eastAsia="Times New Roman" w:hAnsi="Times New Roman"/>
                <w:sz w:val="18"/>
                <w:szCs w:val="18"/>
                <w:color w:val="auto"/>
              </w:rPr>
              <w:t>Chair of the Board and Executive Vice President, Real Estate</w:t>
            </w:r>
          </w:p>
        </w:tc>
      </w:tr>
      <w:tr>
        <w:trPr>
          <w:trHeight w:val="293"/>
        </w:trPr>
        <w:tc>
          <w:tcPr>
            <w:tcW w:w="4140" w:type="dxa"/>
            <w:vAlign w:val="bottom"/>
            <w:tcBorders>
              <w:left w:val="single" w:sz="8" w:color="auto"/>
              <w:bottom w:val="single" w:sz="8" w:color="D0E7FC"/>
              <w:right w:val="single" w:sz="8" w:color="auto"/>
            </w:tcBorders>
            <w:shd w:val="clear" w:color="auto" w:fill="D0E7FC"/>
          </w:tcPr>
          <w:p>
            <w:pPr>
              <w:spacing w:after="0"/>
              <w:rPr>
                <w:sz w:val="24"/>
                <w:szCs w:val="24"/>
                <w:color w:val="auto"/>
              </w:rPr>
            </w:pPr>
          </w:p>
        </w:tc>
        <w:tc>
          <w:tcPr>
            <w:tcW w:w="1500" w:type="dxa"/>
            <w:vAlign w:val="bottom"/>
            <w:tcBorders>
              <w:bottom w:val="single" w:sz="8" w:color="D0E7FC"/>
              <w:right w:val="single" w:sz="8" w:color="auto"/>
            </w:tcBorders>
            <w:shd w:val="clear" w:color="auto" w:fill="D0E7FC"/>
          </w:tcPr>
          <w:p>
            <w:pPr>
              <w:spacing w:after="0"/>
              <w:rPr>
                <w:sz w:val="24"/>
                <w:szCs w:val="24"/>
                <w:color w:val="auto"/>
              </w:rPr>
            </w:pPr>
          </w:p>
        </w:tc>
        <w:tc>
          <w:tcPr>
            <w:tcW w:w="5500" w:type="dxa"/>
            <w:vAlign w:val="bottom"/>
            <w:tcBorders>
              <w:bottom w:val="single" w:sz="8" w:color="D0E7FC"/>
              <w:right w:val="single" w:sz="8" w:color="auto"/>
            </w:tcBorders>
            <w:shd w:val="clear" w:color="auto" w:fill="D0E7FC"/>
          </w:tcPr>
          <w:p>
            <w:pPr>
              <w:ind w:left="80"/>
              <w:spacing w:after="0"/>
              <w:rPr>
                <w:sz w:val="20"/>
                <w:szCs w:val="20"/>
                <w:color w:val="auto"/>
              </w:rPr>
            </w:pPr>
            <w:r>
              <w:rPr>
                <w:rFonts w:ascii="Times New Roman" w:cs="Times New Roman" w:eastAsia="Times New Roman" w:hAnsi="Times New Roman"/>
                <w:sz w:val="18"/>
                <w:szCs w:val="18"/>
                <w:color w:val="auto"/>
              </w:rPr>
              <w:t>Management and Development (1)</w:t>
            </w:r>
          </w:p>
        </w:tc>
      </w:tr>
      <w:tr>
        <w:trPr>
          <w:trHeight w:val="228"/>
        </w:trPr>
        <w:tc>
          <w:tcPr>
            <w:tcW w:w="4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Ellen M. Cotter</w:t>
            </w:r>
          </w:p>
        </w:tc>
        <w:tc>
          <w:tcPr>
            <w:tcW w:w="1500" w:type="dxa"/>
            <w:vAlign w:val="bottom"/>
            <w:tcBorders>
              <w:top w:val="single" w:sz="8" w:color="auto"/>
              <w:right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59</w:t>
            </w:r>
          </w:p>
        </w:tc>
        <w:tc>
          <w:tcPr>
            <w:tcW w:w="5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Vice-Chair, Chief Executive Officer and President (1)</w:t>
            </w:r>
          </w:p>
        </w:tc>
      </w:tr>
      <w:tr>
        <w:trPr>
          <w:trHeight w:val="238"/>
        </w:trPr>
        <w:tc>
          <w:tcPr>
            <w:tcW w:w="414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5500" w:type="dxa"/>
            <w:vAlign w:val="bottom"/>
            <w:tcBorders>
              <w:bottom w:val="single" w:sz="8" w:color="auto"/>
              <w:right w:val="single" w:sz="8" w:color="auto"/>
            </w:tcBorders>
          </w:tcPr>
          <w:p>
            <w:pPr>
              <w:spacing w:after="0"/>
              <w:rPr>
                <w:sz w:val="20"/>
                <w:szCs w:val="20"/>
                <w:color w:val="auto"/>
              </w:rPr>
            </w:pPr>
          </w:p>
        </w:tc>
      </w:tr>
      <w:tr>
        <w:trPr>
          <w:trHeight w:val="228"/>
        </w:trPr>
        <w:tc>
          <w:tcPr>
            <w:tcW w:w="4140" w:type="dxa"/>
            <w:vAlign w:val="bottom"/>
            <w:tcBorders>
              <w:left w:val="single" w:sz="8" w:color="auto"/>
              <w:right w:val="single" w:sz="8" w:color="auto"/>
            </w:tcBorders>
            <w:shd w:val="clear" w:color="auto" w:fill="D0E7FC"/>
          </w:tcPr>
          <w:p>
            <w:pPr>
              <w:ind w:left="120"/>
              <w:spacing w:after="0"/>
              <w:rPr>
                <w:sz w:val="20"/>
                <w:szCs w:val="20"/>
                <w:color w:val="auto"/>
              </w:rPr>
            </w:pPr>
            <w:r>
              <w:rPr>
                <w:rFonts w:ascii="Times New Roman" w:cs="Times New Roman" w:eastAsia="Times New Roman" w:hAnsi="Times New Roman"/>
                <w:sz w:val="18"/>
                <w:szCs w:val="18"/>
                <w:color w:val="auto"/>
              </w:rPr>
              <w:t>Guy W. Adams</w:t>
            </w:r>
          </w:p>
        </w:tc>
        <w:tc>
          <w:tcPr>
            <w:tcW w:w="1500" w:type="dxa"/>
            <w:vAlign w:val="bottom"/>
            <w:tcBorders>
              <w:right w:val="single" w:sz="8" w:color="auto"/>
            </w:tcBorders>
            <w:shd w:val="clear" w:color="auto" w:fill="D0E7FC"/>
          </w:tcPr>
          <w:p>
            <w:pPr>
              <w:jc w:val="center"/>
              <w:ind w:right="670"/>
              <w:spacing w:after="0"/>
              <w:rPr>
                <w:sz w:val="20"/>
                <w:szCs w:val="20"/>
                <w:color w:val="auto"/>
              </w:rPr>
            </w:pPr>
            <w:r>
              <w:rPr>
                <w:rFonts w:ascii="Times New Roman" w:cs="Times New Roman" w:eastAsia="Times New Roman" w:hAnsi="Times New Roman"/>
                <w:sz w:val="18"/>
                <w:szCs w:val="18"/>
                <w:color w:val="auto"/>
                <w:w w:val="99"/>
              </w:rPr>
              <w:t>74</w:t>
            </w:r>
          </w:p>
        </w:tc>
        <w:tc>
          <w:tcPr>
            <w:tcW w:w="5500" w:type="dxa"/>
            <w:vAlign w:val="bottom"/>
            <w:tcBorders>
              <w:right w:val="single" w:sz="8" w:color="auto"/>
            </w:tcBorders>
            <w:shd w:val="clear" w:color="auto" w:fill="D0E7FC"/>
          </w:tcPr>
          <w:p>
            <w:pPr>
              <w:ind w:left="80"/>
              <w:spacing w:after="0"/>
              <w:rPr>
                <w:sz w:val="20"/>
                <w:szCs w:val="20"/>
                <w:color w:val="auto"/>
              </w:rPr>
            </w:pPr>
            <w:r>
              <w:rPr>
                <w:rFonts w:ascii="Times New Roman" w:cs="Times New Roman" w:eastAsia="Times New Roman" w:hAnsi="Times New Roman"/>
                <w:sz w:val="18"/>
                <w:szCs w:val="18"/>
                <w:color w:val="auto"/>
              </w:rPr>
              <w:t>Director (2)(3)(5)(6)</w:t>
            </w:r>
          </w:p>
        </w:tc>
      </w:tr>
      <w:tr>
        <w:trPr>
          <w:trHeight w:val="225"/>
        </w:trPr>
        <w:tc>
          <w:tcPr>
            <w:tcW w:w="4140" w:type="dxa"/>
            <w:vAlign w:val="bottom"/>
            <w:tcBorders>
              <w:left w:val="single" w:sz="8" w:color="auto"/>
              <w:bottom w:val="single" w:sz="8" w:color="auto"/>
              <w:right w:val="single" w:sz="8" w:color="auto"/>
            </w:tcBorders>
            <w:shd w:val="clear" w:color="auto" w:fill="D0E7FC"/>
          </w:tcPr>
          <w:p>
            <w:pPr>
              <w:spacing w:after="0"/>
              <w:rPr>
                <w:sz w:val="19"/>
                <w:szCs w:val="19"/>
                <w:color w:val="auto"/>
              </w:rPr>
            </w:pPr>
          </w:p>
        </w:tc>
        <w:tc>
          <w:tcPr>
            <w:tcW w:w="1500" w:type="dxa"/>
            <w:vAlign w:val="bottom"/>
            <w:tcBorders>
              <w:bottom w:val="single" w:sz="8" w:color="auto"/>
              <w:right w:val="single" w:sz="8" w:color="auto"/>
            </w:tcBorders>
            <w:shd w:val="clear" w:color="auto" w:fill="D0E7FC"/>
          </w:tcPr>
          <w:p>
            <w:pPr>
              <w:spacing w:after="0"/>
              <w:rPr>
                <w:sz w:val="19"/>
                <w:szCs w:val="19"/>
                <w:color w:val="auto"/>
              </w:rPr>
            </w:pPr>
          </w:p>
        </w:tc>
        <w:tc>
          <w:tcPr>
            <w:tcW w:w="5500" w:type="dxa"/>
            <w:vAlign w:val="bottom"/>
            <w:tcBorders>
              <w:bottom w:val="single" w:sz="8" w:color="auto"/>
              <w:right w:val="single" w:sz="8" w:color="auto"/>
            </w:tcBorders>
            <w:shd w:val="clear" w:color="auto" w:fill="D0E7FC"/>
          </w:tcPr>
          <w:p>
            <w:pPr>
              <w:spacing w:after="0"/>
              <w:rPr>
                <w:sz w:val="19"/>
                <w:szCs w:val="19"/>
                <w:color w:val="auto"/>
              </w:rPr>
            </w:pPr>
          </w:p>
        </w:tc>
      </w:tr>
      <w:tr>
        <w:trPr>
          <w:trHeight w:val="228"/>
        </w:trPr>
        <w:tc>
          <w:tcPr>
            <w:tcW w:w="4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 Judy Codding</w:t>
            </w:r>
          </w:p>
        </w:tc>
        <w:tc>
          <w:tcPr>
            <w:tcW w:w="1500" w:type="dxa"/>
            <w:vAlign w:val="bottom"/>
            <w:tcBorders>
              <w:right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80</w:t>
            </w:r>
          </w:p>
        </w:tc>
        <w:tc>
          <w:tcPr>
            <w:tcW w:w="5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(1)(2)(8)</w:t>
            </w:r>
          </w:p>
        </w:tc>
      </w:tr>
      <w:tr>
        <w:trPr>
          <w:trHeight w:val="171"/>
        </w:trPr>
        <w:tc>
          <w:tcPr>
            <w:tcW w:w="41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5500" w:type="dxa"/>
            <w:vAlign w:val="bottom"/>
            <w:tcBorders>
              <w:bottom w:val="single" w:sz="8" w:color="auto"/>
              <w:right w:val="single" w:sz="8" w:color="auto"/>
            </w:tcBorders>
          </w:tcPr>
          <w:p>
            <w:pPr>
              <w:spacing w:after="0"/>
              <w:rPr>
                <w:sz w:val="14"/>
                <w:szCs w:val="14"/>
                <w:color w:val="auto"/>
              </w:rPr>
            </w:pPr>
          </w:p>
        </w:tc>
      </w:tr>
      <w:tr>
        <w:trPr>
          <w:trHeight w:val="228"/>
        </w:trPr>
        <w:tc>
          <w:tcPr>
            <w:tcW w:w="4140" w:type="dxa"/>
            <w:vAlign w:val="bottom"/>
            <w:tcBorders>
              <w:left w:val="single" w:sz="8" w:color="auto"/>
              <w:right w:val="single" w:sz="8" w:color="auto"/>
            </w:tcBorders>
            <w:shd w:val="clear" w:color="auto" w:fill="D0E7FC"/>
          </w:tcPr>
          <w:p>
            <w:pPr>
              <w:ind w:left="120"/>
              <w:spacing w:after="0"/>
              <w:rPr>
                <w:sz w:val="20"/>
                <w:szCs w:val="20"/>
                <w:color w:val="auto"/>
              </w:rPr>
            </w:pPr>
            <w:r>
              <w:rPr>
                <w:rFonts w:ascii="Times New Roman" w:cs="Times New Roman" w:eastAsia="Times New Roman" w:hAnsi="Times New Roman"/>
                <w:sz w:val="18"/>
                <w:szCs w:val="18"/>
                <w:color w:val="auto"/>
              </w:rPr>
              <w:t>Douglas J. McEachern</w:t>
            </w:r>
          </w:p>
        </w:tc>
        <w:tc>
          <w:tcPr>
            <w:tcW w:w="1500" w:type="dxa"/>
            <w:vAlign w:val="bottom"/>
            <w:tcBorders>
              <w:right w:val="single" w:sz="8" w:color="auto"/>
            </w:tcBorders>
            <w:shd w:val="clear" w:color="auto" w:fill="D0E7FC"/>
          </w:tcPr>
          <w:p>
            <w:pPr>
              <w:jc w:val="center"/>
              <w:ind w:right="670"/>
              <w:spacing w:after="0"/>
              <w:rPr>
                <w:sz w:val="20"/>
                <w:szCs w:val="20"/>
                <w:color w:val="auto"/>
              </w:rPr>
            </w:pPr>
            <w:r>
              <w:rPr>
                <w:rFonts w:ascii="Times New Roman" w:cs="Times New Roman" w:eastAsia="Times New Roman" w:hAnsi="Times New Roman"/>
                <w:sz w:val="18"/>
                <w:szCs w:val="18"/>
                <w:color w:val="auto"/>
                <w:w w:val="99"/>
              </w:rPr>
              <w:t>74</w:t>
            </w:r>
          </w:p>
        </w:tc>
        <w:tc>
          <w:tcPr>
            <w:tcW w:w="5500" w:type="dxa"/>
            <w:vAlign w:val="bottom"/>
            <w:tcBorders>
              <w:right w:val="single" w:sz="8" w:color="auto"/>
            </w:tcBorders>
            <w:shd w:val="clear" w:color="auto" w:fill="D0E7FC"/>
          </w:tcPr>
          <w:p>
            <w:pPr>
              <w:ind w:left="80"/>
              <w:spacing w:after="0"/>
              <w:rPr>
                <w:sz w:val="20"/>
                <w:szCs w:val="20"/>
                <w:color w:val="auto"/>
              </w:rPr>
            </w:pPr>
            <w:r>
              <w:rPr>
                <w:rFonts w:ascii="Times New Roman" w:cs="Times New Roman" w:eastAsia="Times New Roman" w:hAnsi="Times New Roman"/>
                <w:sz w:val="18"/>
                <w:szCs w:val="18"/>
                <w:color w:val="auto"/>
              </w:rPr>
              <w:t>Director (3)(6)(7)</w:t>
            </w:r>
          </w:p>
        </w:tc>
      </w:tr>
      <w:tr>
        <w:trPr>
          <w:trHeight w:val="130"/>
        </w:trPr>
        <w:tc>
          <w:tcPr>
            <w:tcW w:w="4140" w:type="dxa"/>
            <w:vAlign w:val="bottom"/>
            <w:tcBorders>
              <w:left w:val="single" w:sz="8" w:color="auto"/>
              <w:bottom w:val="single" w:sz="8" w:color="auto"/>
              <w:right w:val="single" w:sz="8" w:color="auto"/>
            </w:tcBorders>
            <w:shd w:val="clear" w:color="auto" w:fill="D0E7FC"/>
          </w:tcPr>
          <w:p>
            <w:pPr>
              <w:spacing w:after="0"/>
              <w:rPr>
                <w:sz w:val="11"/>
                <w:szCs w:val="11"/>
                <w:color w:val="auto"/>
              </w:rPr>
            </w:pPr>
          </w:p>
        </w:tc>
        <w:tc>
          <w:tcPr>
            <w:tcW w:w="1500" w:type="dxa"/>
            <w:vAlign w:val="bottom"/>
            <w:tcBorders>
              <w:bottom w:val="single" w:sz="8" w:color="auto"/>
              <w:right w:val="single" w:sz="8" w:color="auto"/>
            </w:tcBorders>
            <w:shd w:val="clear" w:color="auto" w:fill="D0E7FC"/>
          </w:tcPr>
          <w:p>
            <w:pPr>
              <w:spacing w:after="0"/>
              <w:rPr>
                <w:sz w:val="11"/>
                <w:szCs w:val="11"/>
                <w:color w:val="auto"/>
              </w:rPr>
            </w:pPr>
          </w:p>
        </w:tc>
        <w:tc>
          <w:tcPr>
            <w:tcW w:w="5500" w:type="dxa"/>
            <w:vAlign w:val="bottom"/>
            <w:tcBorders>
              <w:bottom w:val="single" w:sz="8" w:color="auto"/>
              <w:right w:val="single" w:sz="8" w:color="auto"/>
            </w:tcBorders>
            <w:shd w:val="clear" w:color="auto" w:fill="D0E7FC"/>
          </w:tcPr>
          <w:p>
            <w:pPr>
              <w:spacing w:after="0"/>
              <w:rPr>
                <w:sz w:val="11"/>
                <w:szCs w:val="11"/>
                <w:color w:val="auto"/>
              </w:rPr>
            </w:pPr>
          </w:p>
        </w:tc>
      </w:tr>
    </w:tbl>
    <w:p>
      <w:pPr>
        <w:spacing w:after="0" w:line="180"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Executive Committee.</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and Conflicts Committee.</w:t>
      </w:r>
    </w:p>
    <w:p>
      <w:pPr>
        <w:spacing w:after="0" w:line="1"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and Stock Options Committee.</w:t>
      </w: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w:t>
      </w:r>
    </w:p>
    <w:p>
      <w:pPr>
        <w:spacing w:after="0" w:line="1"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Technology and Cyber Risk Director.</w:t>
      </w: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Executive Committee.</w:t>
      </w:r>
    </w:p>
    <w:p>
      <w:pPr>
        <w:spacing w:after="0" w:line="1"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Audit and Conflicts Committee.</w:t>
      </w: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Compensation and Stock Options Committee.</w:t>
      </w:r>
    </w:p>
    <w:p>
      <w:pPr>
        <w:spacing w:after="0" w:line="161" w:lineRule="exact"/>
        <w:rPr>
          <w:sz w:val="20"/>
          <w:szCs w:val="20"/>
          <w:color w:val="auto"/>
        </w:rPr>
      </w:pPr>
    </w:p>
    <w:p>
      <w:pPr>
        <w:jc w:val="both"/>
        <w:ind w:right="620" w:firstLine="648"/>
        <w:spacing w:after="0" w:line="230" w:lineRule="auto"/>
        <w:rPr>
          <w:sz w:val="20"/>
          <w:szCs w:val="20"/>
          <w:color w:val="auto"/>
        </w:rPr>
      </w:pPr>
      <w:r>
        <w:rPr>
          <w:rFonts w:ascii="Times New Roman" w:cs="Times New Roman" w:eastAsia="Times New Roman" w:hAnsi="Times New Roman"/>
          <w:sz w:val="18"/>
          <w:szCs w:val="18"/>
          <w:b w:val="1"/>
          <w:bCs w:val="1"/>
          <w:u w:val="single" w:color="auto"/>
          <w:color w:val="auto"/>
        </w:rPr>
        <w:t>Margaret Cotter.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Margaret Cotter joined our Board on September 27, 2002, and currently serves as a member of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She was elected Chair of our Board on December 8, 2020. Prior to this, Chair Cotter served as the Vice-Chair of our Board from August 7, 2014 to December 7, 2020. Since March 10, 2016, Chair Cotter was appointed by the Board as Executive Vice President-Real Estate Management and Development, at which time Chair Cotter became a full-time employee of our Company. Prior to 2016, Chair Cotter was the owner and President of OBI, LLC ("OBI"), which from 2002 until her appointment as Executive Vice President-Real Estate Management and Development, managed our live theatre operations under a management agreement, served as President of Liberty Theaters, LLC and provided management and various services regarding the development of our New York theatre and cinema properties. The OBI management agreement was terminated with the appointment of Chair Cotter as Executive Vice President-Real Estate Management and Development. In her position, Chair Cotter oversees the day-to-day development, management and leasing of our 44 Union Square property and other New York and Pennsylvania real estate holdings. Chair Cotter is also the President of our Live Theatres business and manages our live theatre operations. Chair Cotter has produced theatrical shows in Chicago and New York and was a long-term board member of the League of Off-Broadway Theaters and Producers.</w:t>
      </w:r>
    </w:p>
    <w:p>
      <w:pPr>
        <w:spacing w:after="0" w:line="135"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Chair Cotter, a former prosecutor for the Brooklyn District Attorney in New York, graduated from Georgetown University and Georgetown University Law Center.</w:t>
      </w:r>
    </w:p>
    <w:p>
      <w:pPr>
        <w:spacing w:after="0" w:line="108" w:lineRule="exact"/>
        <w:rPr>
          <w:sz w:val="20"/>
          <w:szCs w:val="20"/>
          <w:color w:val="auto"/>
        </w:rPr>
      </w:pPr>
    </w:p>
    <w:p>
      <w:pPr>
        <w:jc w:val="both"/>
        <w:ind w:right="620" w:firstLine="648"/>
        <w:spacing w:after="0" w:line="233" w:lineRule="auto"/>
        <w:rPr>
          <w:sz w:val="20"/>
          <w:szCs w:val="20"/>
          <w:color w:val="auto"/>
        </w:rPr>
      </w:pPr>
      <w:r>
        <w:rPr>
          <w:rFonts w:ascii="Times New Roman" w:cs="Times New Roman" w:eastAsia="Times New Roman" w:hAnsi="Times New Roman"/>
          <w:sz w:val="18"/>
          <w:szCs w:val="18"/>
          <w:color w:val="auto"/>
        </w:rPr>
        <w:t>She is the sister of Vice-Chair Ellen M. Cotter. Chair Cotter is a Co-Executor of her father's estate, which is the record owner of Class A Non-Voting Common Stock and Class B Voting Common Stock. Chair Cotter is also a Co-Trustee of the James J. Cotter Living Trust (“Cotter Trust”), a Co-Trustee of the James J. Cotter Foundation (“Cotter Foundation”), and the Sole Trustee of the James J. Cotter Education Trust #1, each of which is a record holder of shares of Class A Non-Voting Common Stock. Chair Cotter holds various positions in her family's agricultural enterprises. She is a director of Cecelia Packing Corporation (a Cotter family-owned citrus grower, packer and marketer). In her capacity as the Co-Executor of the Estate of James J. Cotter (“Cotter Estate”), Chair Cotter (together with her sister and Co-Executor, Ellen M. Cotter) holds various positions in various real estate</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3" w:right="439" w:bottom="1440" w:gutter="0" w:footer="0" w:header="0"/>
        </w:sectPr>
      </w:pPr>
    </w:p>
    <w:bookmarkStart w:id="19" w:name="page20"/>
    <w:bookmarkEnd w:id="1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entities that are part of her father’s estate, which include, without limitation, acting as the 50% Cotter general partner of Sutton Hill Associates, which is the parent company of Sutton Hill Capital, L.L.C.</w:t>
      </w:r>
    </w:p>
    <w:p>
      <w:pPr>
        <w:spacing w:after="0" w:line="12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Chair Cotter brings to the Board her extensive experience as a live theatre operator, practical knowledge of managing unique entertainment properties, being an active member of the New York theatre community, and her insights into theatrical production trends. In addition, her oversight and management of our various real estate assets for over twenty-six (26) years supports Chair Cotter’s ability to contribute to the strategic direction and operation of our assets.</w:t>
      </w:r>
    </w:p>
    <w:p>
      <w:pPr>
        <w:spacing w:after="0" w:line="13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Chair Cotter, a significant stakeholder in our Company, has sole voting control over 1,058,988 shares of Class B Stock and shared voting power with Ellen M. Cotter over 100,000 shares of Class B Stock, collectively representing 69% of the outstanding Class B stock of the Company.</w:t>
      </w:r>
    </w:p>
    <w:p>
      <w:pPr>
        <w:spacing w:after="0" w:line="1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Guy W. Adams.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Guy W. Adams joined our Board on January 14, 2014, and currently serves as, (i) the Chair of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(ii) a member of our Audit Committee, (iii) a member of our Compensation Committee and, (iv) as our Lead Technology and Cyber Risk Director.</w:t>
      </w:r>
    </w:p>
    <w:p>
      <w:pPr>
        <w:spacing w:after="0" w:line="12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Since 2019, Director Adams has served as the Chairman of the Board of Avem Health Partners, Inc., a healthcare management company. For more than the past twenty-three (23) years, Director Adams has been, (i) a Managing Member of GWA Capital Partners, LLC, (ii) a Managing Member of GWA Advisors, LLC, making investments in and acting as an advisor to privately held companies, and (iii) has served as an independent director on the boards of directors of Lone Star Steakhouse &amp; Saloon, Mercer International, Exar Corporation and Vitesse Semiconductor. At these companies, Director Adams has held a variety of board positions, including lead director, audit committee Chair and compensation committee Chair. Director Adams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w:t>
      </w:r>
    </w:p>
    <w:p>
      <w:pPr>
        <w:spacing w:after="0" w:line="14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For a few years prior to the passing of Mr. James J. Cotter, Sr. on September 13, 2014, and through a certain period of the administration of the Cotter Estate, Director Adams, in his individual capacity, served as an advisor to Mr. James J. Cotter, Sr. providing advisory services to various enterprises now owned by either the Cotter Estate or the Cotter Trust. Until 2018, Director Adams also provided services to captive insurance companies, owned in equal shares by Chair Cotter, Vice-Chair Cotter, and Mr. James J. Cotter, Jr., that provided insurance for the Cotter family agricultural activities. Director Adams received his Bachelor of Science degree in Petroleum Engineering from Louisiana State University and his Master of Business Administration from Harvard Graduate School of Business Administration.</w:t>
      </w:r>
    </w:p>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Director Adams brings many years of experience serving as an independent director on public company boards, and in investing and providing financial advice with respect to investments in public companies. In December 2017, Director Adams was recognized as a Governance Fellow for the National Association of Corporate Directors, The Gold Standard Director Credential®.</w:t>
      </w:r>
    </w:p>
    <w:p>
      <w:pPr>
        <w:spacing w:after="0" w:line="1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Dr. Judy Codding.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Judy Codding joined our Board on October 5, 2015, and currently serves as, (i) the Chair of our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(ii) a member of our Audit Committee, and (iii) a member of our Executive Committee. Director Codding is a globally respected education leader.</w:t>
      </w:r>
    </w:p>
    <w:p>
      <w:pPr>
        <w:spacing w:after="0" w:line="14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Beginning in January 2025, Director Codding serves as the Chief Executive Officer of a nonprofit education company, Triangle Learning Community. From October 2010 until October 2015, she served as the Managing Director of "The System of Courses," a division of Pearson, PLC (NYSE: PSO), one of the largest education companies in the world that provides educational products and services to institutions, governments and individual learners. 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w:t>
      </w:r>
    </w:p>
    <w:p>
      <w:pPr>
        <w:spacing w:after="0" w:line="14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Director Codding received a Doctorate in Education from the University of Massachusetts at Amherst, completed postdoctoral work and served as a teaching associate in Education at Harvard University, where she taught graduate-level courses focused on moral leadership. Director Codding has served on various boards, including the Board of Trustees of Curtis School, Los Angeles, CA (since 2011) and the Board of Trustees of Educational Development Center, Inc. (since 2012).</w:t>
      </w:r>
    </w:p>
    <w:p>
      <w:pPr>
        <w:spacing w:after="0" w:line="1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7" w:right="1059" w:bottom="1440" w:gutter="0" w:footer="0" w:header="0"/>
        </w:sectPr>
      </w:pPr>
    </w:p>
    <w:bookmarkStart w:id="20" w:name="page21"/>
    <w:bookmarkEnd w:id="20"/>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Through family entities, Director Codding has been and continues to be involved in the real estate business in Florida and the exploration of mineral, oil and gas rights in Maryland and Kentucky. Director Codding brings to our Board her experience as an entrepreneur, a chief executive officer, an author, advisor and researcher in the areas of leadership training and decision-making, as well as her experience in the real estate business.</w:t>
      </w:r>
    </w:p>
    <w:p>
      <w:pPr>
        <w:spacing w:after="0" w:line="14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b w:val="1"/>
          <w:bCs w:val="1"/>
          <w:u w:val="single" w:color="auto"/>
          <w:color w:val="auto"/>
        </w:rPr>
        <w:t>Ellen M. Cotter.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Vice-Chair Ellen M. Cotter joined our Board on March 13, 2013, and currently serves as a member of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Vice-Chair Cotter served as Chair of our Board from August 7, 2014, until December 7, 2020. She served as our interim Chief Executive Officer and President from June 12, 2015, until January 8, 2016, when she was appointed our permanent Chief Executive Officer and President. She joined our Company in March 1998. Vice-Chair Cotter is the sister of Chair Margaret Cotter.</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Vice-Chair Cotter is also a director of Cecelia Packing Corporation. In her capacity as the Co-Executor of the Cotter Estate, Vice-Chair Cotter (together with her sister and Co-Executor, Margaret Cotter) holds various positions in various real estate entities that are part of her father’s estate, which include, without limitation, acting as the 50% general partner of Sutton Hill Associates, which is the parent company of Sutton Hill Capital, L.L.C.</w:t>
      </w:r>
    </w:p>
    <w:p>
      <w:pPr>
        <w:spacing w:after="0" w:line="13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Vice-Chair Cotter is a graduate of Smith College and holds a Juris Doctor from Georgetown University Law 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 Vice-Chair Cotter was awarded the first Gotham Appreciation Award at the 2015 Gotham Independent Film Awards. She was also inducted into the Show East Hall of Fame that same year. In recognition of her contributions to the movie cinema exhibition industry, Vice-Chair Cotter was honored at The Motion Picture Club Charity Event in June 2023 in New York City.</w:t>
      </w:r>
    </w:p>
    <w:p>
      <w:pPr>
        <w:spacing w:after="0" w:line="1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Vice-Chair Cotter has been a valuable liaison to the film industry. Vice-Chair Cotter brings to our Board more than twenty-seven (27) years of experience working in our Company's cinema operations, both in the United States and Australia. She has also served as the Chief Executive Officer of the subsidiary that operates substantially all of our cinemas in Hawaii and California. Vice-Chair Cotter is a significant stakeholder in our Company.</w:t>
      </w:r>
    </w:p>
    <w:p>
      <w:pPr>
        <w:spacing w:after="0" w:line="14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Douglas J. McEachern.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Douglas J. McEachern joined our Board on May 17, 2012, and currently serves as, (i) the Chair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Audit Committee, a position he has held since August 1, 2012, (ii) a member of our Compensation Committee, and (iii) as our Lead Independent Director.</w:t>
      </w:r>
    </w:p>
    <w:p>
      <w:pPr>
        <w:spacing w:after="0" w:line="14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Presently Director McEachern serves as a director and Vice President of Foothill Affordable Housing Foundation, a non-profit organization dedicated solely to the creation and preservation of affordable housing. Director McEachern has served as a member of the board and the audit and compensation committees for Willdan Group, a Nasdaq-listed engineering company, from 2009 until June 2022. From June 2011 until October 2015, he was a director of Community Bank in Pasadena, California, and a member of its audit committee. Director McEachern served as the Chair of the board of Community Bank from October 2013 until October 2015 and was a member of the finance committee of the Methodist Hospital of Arcadia. From September 2009 to December 2015, he served as an instructor of auditing and accountancy at Claremont McKenna College.</w:t>
      </w:r>
    </w:p>
    <w:p>
      <w:pPr>
        <w:spacing w:after="0" w:line="144"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Director McEachern was an audit partner from July 1985 to May 2009 with the audit firm Deloitte &amp; Touche, LLP, with client concentrations in financial institutions and real estate. He was also a Professional Accounting Fellow with the Federal Home Loan Bank board in Washington DC from June 1983 to July 1985. From June 1976 to June 1983, Director McEachern was a staff member and subsequently a manager with the audit firm of Touche Ross &amp; Co. (predecessor to Deloitte &amp; Touche, LLP).</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Director McEachern received a B.S. in Business Administration in 1974 from the University of California, Berkeley, and an M.B.A. in 1976 from the University of Southern California. Director McEachern brings to our Board his more than forty-seven (47) years’ experience meeting the accounting and auditing needs of financial institutions and real estate clients, including our Company. Director McEachern also brings his experience reporting as an independent auditor to the boards of directors of a variety of public reporting companies and as a board member himself for various companies and not-for-profit organizations.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held twenty-one (21) meetings in 2024. The Audit Committee held four (4) meetings, the Compensation Committee held six</w:t>
      </w:r>
    </w:p>
    <w:p>
      <w:pPr>
        <w:spacing w:after="0" w:line="16" w:lineRule="exact"/>
        <w:rPr>
          <w:sz w:val="20"/>
          <w:szCs w:val="20"/>
          <w:color w:val="auto"/>
        </w:rPr>
      </w:pPr>
    </w:p>
    <w:p>
      <w:pPr>
        <w:jc w:val="both"/>
        <w:ind w:right="740" w:firstLine="8"/>
        <w:spacing w:after="0" w:line="234"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the Executive Committee did not hold any meetings in 2024. Each director attended at least 75% of these Board meetings and at least 75% of the meetings of all of the above referenced committees on which he or she served. We encourage, but do not require, our Board members to attend our 2025 Annual Meeting. All of our incumbent Directors attended the 2024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75" w:lineRule="exact"/>
        <w:rPr>
          <w:sz w:val="20"/>
          <w:szCs w:val="20"/>
          <w:color w:val="auto"/>
        </w:rPr>
      </w:pPr>
    </w:p>
    <w:p>
      <w:pPr>
        <w:jc w:val="both"/>
        <w:ind w:right="740" w:firstLine="648"/>
        <w:spacing w:after="0" w:line="236" w:lineRule="auto"/>
        <w:rPr>
          <w:sz w:val="20"/>
          <w:szCs w:val="20"/>
          <w:color w:val="auto"/>
        </w:rPr>
      </w:pPr>
      <w:r>
        <w:rPr>
          <w:rFonts w:ascii="Times New Roman" w:cs="Times New Roman" w:eastAsia="Times New Roman" w:hAnsi="Times New Roman"/>
          <w:sz w:val="18"/>
          <w:szCs w:val="18"/>
          <w:color w:val="auto"/>
        </w:rPr>
        <w:t>During 2024, we paid our non-employee Directors a combination of (a) base annual cash fees for service as Directors; (b) base and special fees for service as members of standing and special committees; (c) base cash fees for service as Chair of committees and (d) equity compensation for service as Directors in the form of stock options, each of which are set forth in more detail below in the “Director Compensation Table.”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Directors in 2024:</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220" w:type="dxa"/>
            <w:vAlign w:val="bottom"/>
            <w:tcBorders>
              <w:top w:val="single" w:sz="8" w:color="auto"/>
              <w:left w:val="single" w:sz="8" w:color="auto"/>
              <w:right w:val="single" w:sz="8" w:color="auto"/>
            </w:tcBorders>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tcBorders>
              <w:top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Fees Earned or Paid in</w:t>
            </w: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Stock Awards ($)</w:t>
            </w:r>
            <w:r>
              <w:rPr>
                <w:rFonts w:ascii="Times New Roman" w:cs="Times New Roman" w:eastAsia="Times New Roman" w:hAnsi="Times New Roman"/>
                <w:sz w:val="29"/>
                <w:szCs w:val="29"/>
                <w:b w:val="1"/>
                <w:bCs w:val="1"/>
                <w:color w:val="auto"/>
                <w:w w:val="96"/>
                <w:vertAlign w:val="superscript"/>
              </w:rPr>
              <w:t>(1)</w:t>
            </w:r>
          </w:p>
        </w:tc>
        <w:tc>
          <w:tcPr>
            <w:tcW w:w="2000" w:type="dxa"/>
            <w:vAlign w:val="bottom"/>
            <w:tcBorders>
              <w:top w:val="single" w:sz="8" w:color="auto"/>
              <w:right w:val="single" w:sz="8" w:color="auto"/>
            </w:tcBorders>
          </w:tcPr>
          <w:p>
            <w:pPr>
              <w:jc w:val="right"/>
              <w:ind w:right="570"/>
              <w:spacing w:after="0" w:line="180"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2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12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w:t>
            </w:r>
          </w:p>
        </w:tc>
        <w:tc>
          <w:tcPr>
            <w:tcW w:w="0" w:type="dxa"/>
            <w:vAlign w:val="bottom"/>
          </w:tcPr>
          <w:p>
            <w:pPr>
              <w:spacing w:after="0"/>
              <w:rPr>
                <w:sz w:val="1"/>
                <w:szCs w:val="1"/>
                <w:color w:val="auto"/>
              </w:rPr>
            </w:pPr>
          </w:p>
        </w:tc>
      </w:tr>
      <w:tr>
        <w:trPr>
          <w:trHeight w:val="95"/>
        </w:trPr>
        <w:tc>
          <w:tcPr>
            <w:tcW w:w="322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vMerge w:val="continue"/>
          </w:tcPr>
          <w:p>
            <w:pPr>
              <w:spacing w:after="0"/>
              <w:rPr>
                <w:sz w:val="8"/>
                <w:szCs w:val="8"/>
                <w:color w:val="auto"/>
              </w:rPr>
            </w:pPr>
          </w:p>
        </w:tc>
        <w:tc>
          <w:tcPr>
            <w:tcW w:w="2000" w:type="dxa"/>
            <w:vAlign w:val="bottom"/>
            <w:tcBorders>
              <w:bottom w:val="single" w:sz="8" w:color="auto"/>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3220" w:type="dxa"/>
            <w:vAlign w:val="bottom"/>
            <w:tcBorders>
              <w:left w:val="single" w:sz="8" w:color="auto"/>
              <w:bottom w:val="single" w:sz="8" w:color="C6E5FE"/>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8"/>
                <w:szCs w:val="18"/>
                <w:color w:val="auto"/>
              </w:rPr>
              <w:t>Guy W. Adams</w:t>
            </w:r>
          </w:p>
        </w:tc>
        <w:tc>
          <w:tcPr>
            <w:tcW w:w="2040" w:type="dxa"/>
            <w:vAlign w:val="bottom"/>
            <w:tcBorders>
              <w:bottom w:val="single" w:sz="8" w:color="C6E5FE"/>
              <w:right w:val="single" w:sz="8" w:color="auto"/>
            </w:tcBorders>
            <w:shd w:val="clear" w:color="auto" w:fill="C6E5FE"/>
          </w:tcPr>
          <w:p>
            <w:pPr>
              <w:jc w:val="center"/>
              <w:spacing w:after="0" w:line="291" w:lineRule="exact"/>
              <w:rPr>
                <w:sz w:val="20"/>
                <w:szCs w:val="20"/>
                <w:color w:val="auto"/>
              </w:rPr>
            </w:pPr>
            <w:r>
              <w:rPr>
                <w:rFonts w:ascii="Times New Roman" w:cs="Times New Roman" w:eastAsia="Times New Roman" w:hAnsi="Times New Roman"/>
                <w:sz w:val="18"/>
                <w:szCs w:val="18"/>
                <w:color w:val="auto"/>
                <w:w w:val="94"/>
              </w:rPr>
              <w:t>82,500</w:t>
            </w:r>
            <w:r>
              <w:rPr>
                <w:rFonts w:ascii="Times New Roman" w:cs="Times New Roman" w:eastAsia="Times New Roman" w:hAnsi="Times New Roman"/>
                <w:sz w:val="29"/>
                <w:szCs w:val="29"/>
                <w:color w:val="auto"/>
                <w:w w:val="94"/>
                <w:vertAlign w:val="superscript"/>
              </w:rPr>
              <w:t>(3)</w:t>
            </w:r>
          </w:p>
        </w:tc>
        <w:tc>
          <w:tcPr>
            <w:tcW w:w="2120" w:type="dxa"/>
            <w:vAlign w:val="bottom"/>
            <w:tcBorders>
              <w:bottom w:val="single" w:sz="8" w:color="C6E5FE"/>
              <w:right w:val="single" w:sz="8" w:color="auto"/>
            </w:tcBorders>
            <w:shd w:val="clear" w:color="auto" w:fill="C6E5FE"/>
          </w:tcPr>
          <w:p>
            <w:pPr>
              <w:jc w:val="center"/>
              <w:spacing w:after="0" w:line="291" w:lineRule="exact"/>
              <w:rPr>
                <w:sz w:val="20"/>
                <w:szCs w:val="20"/>
                <w:color w:val="auto"/>
              </w:rPr>
            </w:pPr>
            <w:r>
              <w:rPr>
                <w:rFonts w:ascii="Times New Roman" w:cs="Times New Roman" w:eastAsia="Times New Roman" w:hAnsi="Times New Roman"/>
                <w:sz w:val="18"/>
                <w:szCs w:val="18"/>
                <w:color w:val="auto"/>
                <w:w w:val="91"/>
              </w:rPr>
              <w:t>70,000</w:t>
            </w:r>
            <w:r>
              <w:rPr>
                <w:rFonts w:ascii="Times New Roman" w:cs="Times New Roman" w:eastAsia="Times New Roman" w:hAnsi="Times New Roman"/>
                <w:sz w:val="29"/>
                <w:szCs w:val="29"/>
                <w:color w:val="auto"/>
                <w:w w:val="91"/>
                <w:vertAlign w:val="superscript"/>
              </w:rPr>
              <w:t>(2)</w:t>
            </w:r>
          </w:p>
        </w:tc>
        <w:tc>
          <w:tcPr>
            <w:tcW w:w="2000" w:type="dxa"/>
            <w:vAlign w:val="bottom"/>
            <w:tcBorders>
              <w:bottom w:val="single" w:sz="8" w:color="C6E5FE"/>
              <w:right w:val="single" w:sz="8" w:color="auto"/>
            </w:tcBorders>
            <w:shd w:val="clear" w:color="auto" w:fill="C6E5FE"/>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6E5FE"/>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152,500</w:t>
            </w:r>
          </w:p>
        </w:tc>
        <w:tc>
          <w:tcPr>
            <w:tcW w:w="0" w:type="dxa"/>
            <w:vAlign w:val="bottom"/>
          </w:tcPr>
          <w:p>
            <w:pPr>
              <w:spacing w:after="0"/>
              <w:rPr>
                <w:sz w:val="1"/>
                <w:szCs w:val="1"/>
                <w:color w:val="auto"/>
              </w:rPr>
            </w:pPr>
          </w:p>
        </w:tc>
      </w:tr>
      <w:tr>
        <w:trPr>
          <w:trHeight w:val="290"/>
        </w:trPr>
        <w:tc>
          <w:tcPr>
            <w:tcW w:w="3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 Judy Codding</w:t>
            </w:r>
          </w:p>
        </w:tc>
        <w:tc>
          <w:tcPr>
            <w:tcW w:w="2040" w:type="dxa"/>
            <w:vAlign w:val="bottom"/>
            <w:tcBorders>
              <w:top w:val="single" w:sz="8" w:color="auto"/>
              <w:bottom w:val="single" w:sz="8" w:color="auto"/>
              <w:right w:val="single" w:sz="8" w:color="auto"/>
            </w:tcBorders>
          </w:tcPr>
          <w:p>
            <w:pPr>
              <w:jc w:val="center"/>
              <w:spacing w:after="0" w:line="291" w:lineRule="exact"/>
              <w:rPr>
                <w:sz w:val="20"/>
                <w:szCs w:val="20"/>
                <w:color w:val="auto"/>
              </w:rPr>
            </w:pPr>
            <w:r>
              <w:rPr>
                <w:rFonts w:ascii="Times New Roman" w:cs="Times New Roman" w:eastAsia="Times New Roman" w:hAnsi="Times New Roman"/>
                <w:sz w:val="18"/>
                <w:szCs w:val="18"/>
                <w:color w:val="auto"/>
                <w:w w:val="94"/>
              </w:rPr>
              <w:t>82,500</w:t>
            </w:r>
            <w:r>
              <w:rPr>
                <w:rFonts w:ascii="Times New Roman" w:cs="Times New Roman" w:eastAsia="Times New Roman" w:hAnsi="Times New Roman"/>
                <w:sz w:val="29"/>
                <w:szCs w:val="29"/>
                <w:color w:val="auto"/>
                <w:w w:val="94"/>
                <w:vertAlign w:val="superscript"/>
              </w:rPr>
              <w:t>(4)</w:t>
            </w:r>
          </w:p>
        </w:tc>
        <w:tc>
          <w:tcPr>
            <w:tcW w:w="2120" w:type="dxa"/>
            <w:vAlign w:val="bottom"/>
            <w:tcBorders>
              <w:top w:val="single" w:sz="8" w:color="auto"/>
              <w:bottom w:val="single" w:sz="8" w:color="auto"/>
              <w:right w:val="single" w:sz="8" w:color="auto"/>
            </w:tcBorders>
          </w:tcPr>
          <w:p>
            <w:pPr>
              <w:jc w:val="center"/>
              <w:spacing w:after="0" w:line="291" w:lineRule="exact"/>
              <w:rPr>
                <w:sz w:val="20"/>
                <w:szCs w:val="20"/>
                <w:color w:val="auto"/>
              </w:rPr>
            </w:pPr>
            <w:r>
              <w:rPr>
                <w:rFonts w:ascii="Times New Roman" w:cs="Times New Roman" w:eastAsia="Times New Roman" w:hAnsi="Times New Roman"/>
                <w:sz w:val="18"/>
                <w:szCs w:val="18"/>
                <w:color w:val="auto"/>
                <w:w w:val="91"/>
              </w:rPr>
              <w:t>70,000</w:t>
            </w:r>
            <w:r>
              <w:rPr>
                <w:rFonts w:ascii="Times New Roman" w:cs="Times New Roman" w:eastAsia="Times New Roman" w:hAnsi="Times New Roman"/>
                <w:sz w:val="29"/>
                <w:szCs w:val="29"/>
                <w:color w:val="auto"/>
                <w:w w:val="91"/>
                <w:vertAlign w:val="superscript"/>
              </w:rPr>
              <w:t>(2)</w:t>
            </w:r>
          </w:p>
        </w:tc>
        <w:tc>
          <w:tcPr>
            <w:tcW w:w="2000" w:type="dxa"/>
            <w:vAlign w:val="bottom"/>
            <w:tcBorders>
              <w:top w:val="single" w:sz="8" w:color="auto"/>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152,500</w:t>
            </w:r>
          </w:p>
        </w:tc>
        <w:tc>
          <w:tcPr>
            <w:tcW w:w="0" w:type="dxa"/>
            <w:vAlign w:val="bottom"/>
          </w:tcPr>
          <w:p>
            <w:pPr>
              <w:spacing w:after="0"/>
              <w:rPr>
                <w:sz w:val="1"/>
                <w:szCs w:val="1"/>
                <w:color w:val="auto"/>
              </w:rPr>
            </w:pPr>
          </w:p>
        </w:tc>
      </w:tr>
      <w:tr>
        <w:trPr>
          <w:trHeight w:val="304"/>
        </w:trPr>
        <w:tc>
          <w:tcPr>
            <w:tcW w:w="3220" w:type="dxa"/>
            <w:vAlign w:val="bottom"/>
            <w:tcBorders>
              <w:left w:val="single" w:sz="8" w:color="auto"/>
              <w:bottom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8"/>
                <w:szCs w:val="18"/>
                <w:color w:val="auto"/>
              </w:rPr>
              <w:t>Douglas J. McEachern</w:t>
            </w:r>
          </w:p>
        </w:tc>
        <w:tc>
          <w:tcPr>
            <w:tcW w:w="2040" w:type="dxa"/>
            <w:vAlign w:val="bottom"/>
            <w:tcBorders>
              <w:bottom w:val="single" w:sz="8" w:color="auto"/>
              <w:right w:val="single" w:sz="8" w:color="auto"/>
            </w:tcBorders>
            <w:shd w:val="clear" w:color="auto" w:fill="C6E5FE"/>
          </w:tcPr>
          <w:p>
            <w:pPr>
              <w:jc w:val="center"/>
              <w:spacing w:after="0" w:line="303" w:lineRule="exact"/>
              <w:rPr>
                <w:sz w:val="20"/>
                <w:szCs w:val="20"/>
                <w:color w:val="auto"/>
              </w:rPr>
            </w:pPr>
            <w:r>
              <w:rPr>
                <w:rFonts w:ascii="Times New Roman" w:cs="Times New Roman" w:eastAsia="Times New Roman" w:hAnsi="Times New Roman"/>
                <w:sz w:val="18"/>
                <w:szCs w:val="18"/>
                <w:color w:val="auto"/>
                <w:w w:val="94"/>
              </w:rPr>
              <w:t>82,500</w:t>
            </w:r>
            <w:r>
              <w:rPr>
                <w:rFonts w:ascii="Times New Roman" w:cs="Times New Roman" w:eastAsia="Times New Roman" w:hAnsi="Times New Roman"/>
                <w:sz w:val="29"/>
                <w:szCs w:val="29"/>
                <w:color w:val="auto"/>
                <w:w w:val="94"/>
                <w:vertAlign w:val="superscript"/>
              </w:rPr>
              <w:t>(5)</w:t>
            </w:r>
          </w:p>
        </w:tc>
        <w:tc>
          <w:tcPr>
            <w:tcW w:w="2120" w:type="dxa"/>
            <w:vAlign w:val="bottom"/>
            <w:tcBorders>
              <w:bottom w:val="single" w:sz="8" w:color="auto"/>
              <w:right w:val="single" w:sz="8" w:color="auto"/>
            </w:tcBorders>
            <w:shd w:val="clear" w:color="auto" w:fill="C6E5FE"/>
          </w:tcPr>
          <w:p>
            <w:pPr>
              <w:jc w:val="center"/>
              <w:spacing w:after="0" w:line="303" w:lineRule="exact"/>
              <w:rPr>
                <w:sz w:val="20"/>
                <w:szCs w:val="20"/>
                <w:color w:val="auto"/>
              </w:rPr>
            </w:pPr>
            <w:r>
              <w:rPr>
                <w:rFonts w:ascii="Times New Roman" w:cs="Times New Roman" w:eastAsia="Times New Roman" w:hAnsi="Times New Roman"/>
                <w:sz w:val="18"/>
                <w:szCs w:val="18"/>
                <w:color w:val="auto"/>
                <w:w w:val="91"/>
              </w:rPr>
              <w:t>70,000</w:t>
            </w:r>
            <w:r>
              <w:rPr>
                <w:rFonts w:ascii="Times New Roman" w:cs="Times New Roman" w:eastAsia="Times New Roman" w:hAnsi="Times New Roman"/>
                <w:sz w:val="29"/>
                <w:szCs w:val="29"/>
                <w:color w:val="auto"/>
                <w:w w:val="91"/>
                <w:vertAlign w:val="superscript"/>
              </w:rPr>
              <w:t>(2)</w:t>
            </w:r>
          </w:p>
        </w:tc>
        <w:tc>
          <w:tcPr>
            <w:tcW w:w="2000" w:type="dxa"/>
            <w:vAlign w:val="bottom"/>
            <w:tcBorders>
              <w:bottom w:val="single" w:sz="8" w:color="auto"/>
              <w:right w:val="single" w:sz="8" w:color="auto"/>
            </w:tcBorders>
            <w:shd w:val="clear" w:color="auto" w:fill="C6E5FE"/>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152,500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3"/>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the award computed in accordance with FASB ASC Topic 718. Awards were issued as stock options.</w:t>
      </w:r>
    </w:p>
    <w:p>
      <w:pPr>
        <w:spacing w:after="0" w:line="17" w:lineRule="exact"/>
        <w:rPr>
          <w:rFonts w:ascii="Times New Roman" w:cs="Times New Roman" w:eastAsia="Times New Roman" w:hAnsi="Times New Roman"/>
          <w:sz w:val="14"/>
          <w:szCs w:val="14"/>
          <w:color w:val="auto"/>
        </w:rPr>
      </w:pPr>
    </w:p>
    <w:p>
      <w:pPr>
        <w:ind w:left="380" w:right="360" w:hanging="333"/>
        <w:spacing w:after="0" w:line="239"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number of stock options granted on December 5, 2024. The options will vest in full on December 4, 2025. Each stock option represents the right to acquire one share of Class A Non-Voting Common Stock.</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Guy W. Adams</w:t>
            </w:r>
          </w:p>
        </w:tc>
        <w:tc>
          <w:tcPr>
            <w:tcW w:w="4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78,384</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Dr. Judy Codding</w:t>
            </w:r>
          </w:p>
        </w:tc>
        <w:tc>
          <w:tcPr>
            <w:tcW w:w="4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78,384</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Douglas McEachern</w:t>
            </w:r>
          </w:p>
        </w:tc>
        <w:tc>
          <w:tcPr>
            <w:tcW w:w="4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40575" cy="45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454025"/>
                    </a:xfrm>
                    <a:prstGeom prst="rect">
                      <a:avLst/>
                    </a:prstGeom>
                    <a:noFill/>
                  </pic:spPr>
                </pic:pic>
              </a:graphicData>
            </a:graphic>
          </wp:anchor>
        </w:drawing>
      </w:r>
    </w:p>
    <w:p>
      <w:pPr>
        <w:spacing w:after="0" w:line="183" w:lineRule="exact"/>
        <w:rPr>
          <w:sz w:val="20"/>
          <w:szCs w:val="20"/>
          <w:color w:val="auto"/>
        </w:rPr>
      </w:pPr>
    </w:p>
    <w:p>
      <w:pPr>
        <w:ind w:left="260" w:right="840" w:hanging="216"/>
        <w:spacing w:after="0" w:line="271" w:lineRule="auto"/>
        <w:tabs>
          <w:tab w:leader="none" w:pos="66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 of Base Director Fee of $50,000, Audit Committee Member Fee of $10,000, Compensation Committee Member Fee of $7,500 and Lead Technology and Cyber Risk Director Fee of $15,000.</w:t>
      </w:r>
    </w:p>
    <w:p>
      <w:pPr>
        <w:ind w:left="260" w:hanging="252"/>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 of Base Director Fee of $50,000, Compensation Committee Chair Fee of $22,500, Audit Committee Member Fee of $10,000.</w:t>
      </w:r>
    </w:p>
    <w:p>
      <w:pPr>
        <w:spacing w:after="0" w:line="55" w:lineRule="exact"/>
        <w:rPr>
          <w:rFonts w:ascii="Times New Roman" w:cs="Times New Roman" w:eastAsia="Times New Roman" w:hAnsi="Times New Roman"/>
          <w:sz w:val="14"/>
          <w:szCs w:val="14"/>
          <w:color w:val="auto"/>
        </w:rPr>
      </w:pPr>
    </w:p>
    <w:p>
      <w:pPr>
        <w:ind w:left="260" w:right="860" w:hanging="252"/>
        <w:spacing w:after="0" w:line="261"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 of Base Director Fee of $50,000, Audit Committee Chair Fee of $20,000, Compensation Committee Member Fee of $7,500 and Lead Independent Director Fee of $5,000.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and Future Outside Director Compensation</w:t>
      </w:r>
      <w:r>
        <w:rPr>
          <w:rFonts w:ascii="Times New Roman" w:cs="Times New Roman" w:eastAsia="Times New Roman" w:hAnsi="Times New Roman"/>
          <w:sz w:val="29"/>
          <w:szCs w:val="29"/>
          <w:b w:val="1"/>
          <w:bCs w:val="1"/>
          <w:color w:val="auto"/>
          <w:vertAlign w:val="superscript"/>
        </w:rPr>
        <w:t>2</w:t>
      </w:r>
    </w:p>
    <w:p>
      <w:pPr>
        <w:spacing w:after="0" w:line="85" w:lineRule="exact"/>
        <w:rPr>
          <w:sz w:val="20"/>
          <w:szCs w:val="20"/>
          <w:color w:val="auto"/>
        </w:rPr>
      </w:pPr>
    </w:p>
    <w:p>
      <w:pPr>
        <w:jc w:val="both"/>
        <w:ind w:right="740" w:firstLine="648"/>
        <w:spacing w:after="0" w:line="235" w:lineRule="auto"/>
        <w:rPr>
          <w:sz w:val="20"/>
          <w:szCs w:val="20"/>
          <w:color w:val="auto"/>
        </w:rPr>
      </w:pPr>
      <w:r>
        <w:rPr>
          <w:rFonts w:ascii="Times New Roman" w:cs="Times New Roman" w:eastAsia="Times New Roman" w:hAnsi="Times New Roman"/>
          <w:sz w:val="18"/>
          <w:szCs w:val="18"/>
          <w:color w:val="auto"/>
        </w:rPr>
        <w:t>Our Board requested our Compensation Committee to evaluate our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 officers and outside directors of our Company. In past years, the Compensation Committee retained the international compensation consulting firm of AON as its advisor in this process and has also relied on our outside legal counsel, Greenberg Traurig, LLP.</w:t>
      </w:r>
    </w:p>
    <w:p>
      <w:pPr>
        <w:spacing w:after="0" w:line="134" w:lineRule="exact"/>
        <w:rPr>
          <w:sz w:val="20"/>
          <w:szCs w:val="20"/>
          <w:color w:val="auto"/>
        </w:rPr>
      </w:pPr>
    </w:p>
    <w:p>
      <w:pPr>
        <w:jc w:val="both"/>
        <w:ind w:right="740" w:firstLine="648"/>
        <w:spacing w:after="0" w:line="266" w:lineRule="auto"/>
        <w:rPr>
          <w:sz w:val="20"/>
          <w:szCs w:val="20"/>
          <w:color w:val="auto"/>
        </w:rPr>
      </w:pPr>
      <w:r>
        <w:rPr>
          <w:rFonts w:ascii="Times New Roman" w:cs="Times New Roman" w:eastAsia="Times New Roman" w:hAnsi="Times New Roman"/>
          <w:sz w:val="18"/>
          <w:szCs w:val="18"/>
          <w:color w:val="auto"/>
        </w:rPr>
        <w:t>After input was received, reviewed, discussed and considered by our Compensation Committee in 2020, and taking into account, among other things, our efforts to reduce cash expenses and consolidation of workloads 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ind w:left="100" w:hanging="92"/>
        <w:spacing w:after="0" w:line="191" w:lineRule="auto"/>
        <w:tabs>
          <w:tab w:leader="none" w:pos="10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There is no Chair or Vice-Chair Director fee where the position is held by an Executive Officer of the Company.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bookmarkStart w:id="22" w:name="page23"/>
    <w:bookmarkEnd w:id="22"/>
    <w:p>
      <w:pPr>
        <w:ind w:right="20"/>
        <w:spacing w:after="0" w:line="250" w:lineRule="auto"/>
        <w:rPr>
          <w:sz w:val="20"/>
          <w:szCs w:val="20"/>
          <w:color w:val="auto"/>
        </w:rPr>
      </w:pPr>
      <w:r>
        <w:rPr>
          <w:rFonts w:ascii="Times New Roman" w:cs="Times New Roman" w:eastAsia="Times New Roman" w:hAnsi="Times New Roman"/>
          <w:sz w:val="18"/>
          <w:szCs w:val="18"/>
          <w:color w:val="auto"/>
        </w:rPr>
        <w:t>light of the reduction in our Board from seven to five directors, our Compensation Committee recommended and our Board authorized that the following annual compensation for our non-employee directors for 2024:</w:t>
      </w:r>
    </w:p>
    <w:p>
      <w:pPr>
        <w:spacing w:after="0" w:line="136" w:lineRule="exact"/>
        <w:rPr>
          <w:sz w:val="20"/>
          <w:szCs w:val="20"/>
          <w:color w:val="auto"/>
        </w:rPr>
      </w:pPr>
    </w:p>
    <w:p>
      <w:pPr>
        <w:ind w:left="1960" w:hanging="332"/>
        <w:spacing w:after="0"/>
        <w:tabs>
          <w:tab w:leader="none" w:pos="196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Board Base Director fee was $50,000.</w:t>
      </w:r>
    </w:p>
    <w:p>
      <w:pPr>
        <w:spacing w:after="0" w:line="169" w:lineRule="exact"/>
        <w:rPr>
          <w:rFonts w:ascii="Courier New" w:cs="Courier New" w:eastAsia="Courier New" w:hAnsi="Courier New"/>
          <w:sz w:val="18"/>
          <w:szCs w:val="18"/>
          <w:color w:val="auto"/>
        </w:rPr>
      </w:pPr>
    </w:p>
    <w:p>
      <w:pPr>
        <w:ind w:left="1960" w:hanging="332"/>
        <w:spacing w:after="0"/>
        <w:tabs>
          <w:tab w:leader="none" w:pos="196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Committee Chair retainers were $20,000 for our Audit Committee and $22,500 for our Compensation Committee.</w:t>
      </w:r>
    </w:p>
    <w:p>
      <w:pPr>
        <w:ind w:left="1960" w:right="20" w:hanging="332"/>
        <w:spacing w:after="0" w:line="226" w:lineRule="auto"/>
        <w:tabs>
          <w:tab w:leader="none" w:pos="196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committee member fees were $10,000 for our Audit Committee, $7,500 Compensation Committee and a “per meeting fee” for our Executive Committee and Special Independent Committee.</w:t>
      </w:r>
    </w:p>
    <w:p>
      <w:pPr>
        <w:ind w:left="1960" w:hanging="332"/>
        <w:spacing w:after="0" w:line="218" w:lineRule="auto"/>
        <w:tabs>
          <w:tab w:leader="none" w:pos="196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Lead Independent Director fee was $5,000.</w:t>
      </w:r>
    </w:p>
    <w:p>
      <w:pPr>
        <w:ind w:left="1960" w:hanging="332"/>
        <w:spacing w:after="0" w:line="231" w:lineRule="auto"/>
        <w:tabs>
          <w:tab w:leader="none" w:pos="196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Lead Technology and Cyber Risk Director fee was $15,000.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five (5) nominees receiving the greatest number of votes cast at our 2025 Annual Meeting will be elected to the Board.</w:t>
      </w:r>
    </w:p>
    <w:p>
      <w:pPr>
        <w:spacing w:after="0" w:line="1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Board has nominated each of the nominees discussed above to hold office until our 2026 Annual Meeting of Stockholders (our “2026 Annual Meeting”)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spacing w:after="0" w:line="131"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1,208,988 shares, or approximately 72% of our outstanding Class B Stock, have informed the Board that they intend to vote these shares in favor of the nominees named in this Proxy Statement for election to the Board discussed under Proposal 1 (the Election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23" w:name="page24"/>
    <w:bookmarkEnd w:id="23"/>
    <w:p>
      <w:pPr>
        <w:ind w:left="296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51"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The Audit Committee has appointed Grant Thornton, LLP (“Grant Thornton”) as our Company’s independent registered public accounting firm to audit the consolidated financial statements of our Company for the year ending December 31, 2025. Grant Thornton was engaged as our independent registered public accounting firm for the years ended December 31, 2011 thru December 31, 2024. Our Company is seeking stockholder ratification of the appointment of Grant Thornton as our independent registered public accounting firm for year ending December 31, 2025.</w:t>
      </w:r>
    </w:p>
    <w:p>
      <w:pPr>
        <w:spacing w:after="0" w:line="161"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our Company and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jc w:val="both"/>
        <w:ind w:right="20" w:firstLine="324"/>
        <w:spacing w:after="0" w:line="280" w:lineRule="auto"/>
        <w:rPr>
          <w:sz w:val="20"/>
          <w:szCs w:val="20"/>
          <w:color w:val="auto"/>
        </w:rPr>
      </w:pPr>
      <w:r>
        <w:rPr>
          <w:rFonts w:ascii="Times New Roman" w:cs="Times New Roman" w:eastAsia="Times New Roman" w:hAnsi="Times New Roman"/>
          <w:sz w:val="18"/>
          <w:szCs w:val="18"/>
          <w:color w:val="auto"/>
        </w:rPr>
        <w:t>The approval of this proposal requires the number of votes cast in favor of this proposal to exceed the number of votes cast in opposition to this proposal</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1,208,988 shares, or approximately 72% of our outstanding Class B Stock, have informed the Board that they intend to vote these shares in favor of the ratification of appointment of Grant Thornton as our Company’s registered independent public accounting firm discussed under Proposal 2 (the Independent Auditor Ratification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INDEPENDENT AUDITOR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PROPOSAL.</w:t>
      </w: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24" w:name="page25"/>
    <w:bookmarkEnd w:id="2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OFFICER COMPENSATION</w:t>
      </w:r>
    </w:p>
    <w:p>
      <w:pPr>
        <w:spacing w:after="0" w:line="94" w:lineRule="exact"/>
        <w:rPr>
          <w:sz w:val="20"/>
          <w:szCs w:val="20"/>
          <w:color w:val="auto"/>
        </w:rPr>
      </w:pPr>
    </w:p>
    <w:p>
      <w:pPr>
        <w:jc w:val="both"/>
        <w:ind w:right="20" w:firstLine="324"/>
        <w:spacing w:after="0" w:line="24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6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our stockholders the opportunity to approve or not approve the compensation of each of the named executive officers that is disclosed in this Proxy Statement by voting for or against the following resolution (or by abstaining with respect to the resolution).</w:t>
      </w:r>
    </w:p>
    <w:p>
      <w:pPr>
        <w:spacing w:after="0" w:line="6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At our 2024 Annual Meeting of Stockholders held on December 7, 2024, we held an advisory vote on executive compensation. Our stockholders voted in favor of our Company’s executive compensation. Our Board and our Compensation Committee reviewed the results of the advisory vote on executive compensation in 2024 and, as the vote approved our executive compensation for 2024, we did not make any changes to our compensation based on the results of the vote.</w:t>
      </w:r>
    </w:p>
    <w:p>
      <w:pPr>
        <w:spacing w:after="0" w:line="6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this proposal seeks a stockholder advisory vote on the compensation of our named executive officers as disclosed pursuant to Item 402 of Regulation S-K through the following resolution:</w:t>
      </w:r>
    </w:p>
    <w:p>
      <w:pPr>
        <w:spacing w:after="0" w:line="41" w:lineRule="exact"/>
        <w:rPr>
          <w:sz w:val="20"/>
          <w:szCs w:val="20"/>
          <w:color w:val="auto"/>
        </w:rPr>
      </w:pPr>
    </w:p>
    <w:p>
      <w:pPr>
        <w:jc w:val="both"/>
        <w:ind w:left="980" w:right="900" w:hanging="77"/>
        <w:spacing w:after="0" w:line="236" w:lineRule="auto"/>
        <w:rPr>
          <w:sz w:val="20"/>
          <w:szCs w:val="20"/>
          <w:color w:val="auto"/>
        </w:rPr>
      </w:pPr>
      <w:r>
        <w:rPr>
          <w:rFonts w:ascii="Times New Roman" w:cs="Times New Roman" w:eastAsia="Times New Roman" w:hAnsi="Times New Roman"/>
          <w:sz w:val="18"/>
          <w:szCs w:val="18"/>
          <w:color w:val="auto"/>
        </w:rPr>
        <w:t>“RESOLVED, that the holders of the Company’s Class B Stock approve, on an advisory basis, the compensation paid to the Company’s named executive officers, as disclosed in the Company’s Proxy Statement for our 2025 Annual Meeting of Stockholders pursuant to Item 402 of Regulation S-K, including the compensation tables and related narrative disclosures.”</w:t>
      </w:r>
    </w:p>
    <w:p>
      <w:pPr>
        <w:spacing w:after="0" w:line="7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jc w:val="both"/>
        <w:ind w:right="20" w:firstLine="324"/>
        <w:spacing w:after="0" w:line="294" w:lineRule="auto"/>
        <w:rPr>
          <w:sz w:val="20"/>
          <w:szCs w:val="20"/>
          <w:color w:val="auto"/>
        </w:rPr>
      </w:pPr>
      <w:r>
        <w:rPr>
          <w:rFonts w:ascii="Times New Roman" w:cs="Times New Roman" w:eastAsia="Times New Roman" w:hAnsi="Times New Roman"/>
          <w:sz w:val="18"/>
          <w:szCs w:val="18"/>
          <w:color w:val="auto"/>
        </w:rPr>
        <w:t>The approval of this proposal requires the number of votes cast in favor of this proposal to exceed the number of votes cast in opposition to this proposal</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jc w:val="both"/>
        <w:ind w:right="20" w:firstLine="324"/>
        <w:spacing w:after="0" w:line="236" w:lineRule="auto"/>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an aggregate of 1,208,988 shares, or approximately 72% of our outstanding Class B Stock, have informed the Board that they intend to vote these shares in favor of the advisory vote on the “say on pay” for our “named executive officers” discussed under Proposal 3 (the Advisory Vote on Executive Officer Compensation Proposal).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98" w:lineRule="exact"/>
        <w:rPr>
          <w:sz w:val="20"/>
          <w:szCs w:val="20"/>
          <w:color w:val="auto"/>
        </w:rPr>
      </w:pPr>
    </w:p>
    <w:p>
      <w:pPr>
        <w:jc w:val="center"/>
        <w:ind w:right="60"/>
        <w:spacing w:after="0" w:line="31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ADVISORY VOTE ON EXECUTIVE OFFICER COMPENSATION PROPOSAL.</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5" w:right="10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is the report of the Audit Committee of our Board with respect to our audited financial statements for the fiscal year ended December 31, 2024.</w:t>
      </w:r>
    </w:p>
    <w:p>
      <w:pPr>
        <w:spacing w:after="0" w:line="108"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43"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3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In this context, the Audit Committee has reviewed and discussed the Company’s audited financial statements with management and Grant Thorton,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Audit Committee has discussed with Grant Thornton LLP the matters required to be discussed by Auditing Standard No. 16, “Communications with Audit Committees”.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4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Based on their review of the consolidated financial statements and discussions with and representations from management and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Thornton</w:t>
      </w:r>
      <w:r>
        <w:rPr>
          <w:rFonts w:ascii="Times New Roman" w:cs="Times New Roman" w:eastAsia="Times New Roman" w:hAnsi="Times New Roman"/>
          <w:sz w:val="18"/>
          <w:szCs w:val="18"/>
          <w:color w:val="auto"/>
        </w:rPr>
        <w:t xml:space="preserve"> referred to above, the Audit Committee recommended to our Board that the audited financial statements be included in our Annual Report on Form 10-K for the year ended December 31, 2024 for filing with the SEC.</w:t>
      </w:r>
    </w:p>
    <w:p>
      <w:pPr>
        <w:spacing w:after="0" w:line="130"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ind w:left="5640"/>
        <w:spacing w:after="0" w:line="237" w:lineRule="auto"/>
        <w:rPr>
          <w:sz w:val="20"/>
          <w:szCs w:val="20"/>
          <w:color w:val="auto"/>
        </w:rPr>
      </w:pPr>
      <w:r>
        <w:rPr>
          <w:rFonts w:ascii="Times New Roman" w:cs="Times New Roman" w:eastAsia="Times New Roman" w:hAnsi="Times New Roman"/>
          <w:sz w:val="18"/>
          <w:szCs w:val="18"/>
          <w:color w:val="auto"/>
        </w:rPr>
        <w:t>Douglas J. McEachern, Chair</w:t>
      </w:r>
    </w:p>
    <w:p>
      <w:pPr>
        <w:ind w:left="5640"/>
        <w:spacing w:after="0" w:line="234" w:lineRule="auto"/>
        <w:rPr>
          <w:sz w:val="20"/>
          <w:szCs w:val="20"/>
          <w:color w:val="auto"/>
        </w:rPr>
      </w:pPr>
      <w:r>
        <w:rPr>
          <w:rFonts w:ascii="Times New Roman" w:cs="Times New Roman" w:eastAsia="Times New Roman" w:hAnsi="Times New Roman"/>
          <w:sz w:val="18"/>
          <w:szCs w:val="18"/>
          <w:color w:val="auto"/>
        </w:rPr>
        <w:t>Dr. Judy Codding</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Guy W. Adams</w:t>
      </w: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293" w:right="1059" w:bottom="1440" w:gutter="0" w:footer="0" w:header="0"/>
        </w:sectPr>
      </w:pPr>
    </w:p>
    <w:bookmarkStart w:id="26" w:name="page27"/>
    <w:bookmarkEnd w:id="26"/>
    <w:p>
      <w:pPr>
        <w:ind w:left="338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the following table sets forth the shares of Class A Stock and Class B Stock beneficially owned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(October 14, 2025) by:</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our Directors;</w:t>
      </w:r>
    </w:p>
    <w:p>
      <w:pPr>
        <w:spacing w:after="0" w:line="2" w:lineRule="exact"/>
        <w:rPr>
          <w:sz w:val="20"/>
          <w:szCs w:val="20"/>
          <w:color w:val="auto"/>
        </w:rPr>
      </w:pPr>
    </w:p>
    <w:p>
      <w:pPr>
        <w:ind w:left="1300" w:right="800"/>
        <w:spacing w:after="0" w:line="226" w:lineRule="auto"/>
        <w:rPr>
          <w:sz w:val="20"/>
          <w:szCs w:val="20"/>
          <w:color w:val="auto"/>
        </w:rPr>
      </w:pPr>
      <w:r>
        <w:rPr>
          <w:rFonts w:ascii="Times New Roman" w:cs="Times New Roman" w:eastAsia="Times New Roman" w:hAnsi="Times New Roman"/>
          <w:sz w:val="18"/>
          <w:szCs w:val="18"/>
          <w:color w:val="auto"/>
        </w:rPr>
        <w:t>each of our current named executive officers (“NEOs”) set forth in the Summary Compensation Table of this Proxy Statement; each person known to us to be the beneficial owner of more than 5% of our Class B Stock; and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of our Directors and executive officers as a group.</w:t>
      </w:r>
    </w:p>
    <w:p>
      <w:pPr>
        <w:spacing w:after="0" w:line="165" w:lineRule="exact"/>
        <w:rPr>
          <w:sz w:val="20"/>
          <w:szCs w:val="20"/>
          <w:color w:val="auto"/>
        </w:rPr>
      </w:pPr>
    </w:p>
    <w:p>
      <w:pPr>
        <w:ind w:right="740" w:firstLine="648"/>
        <w:spacing w:after="0" w:line="250" w:lineRule="auto"/>
        <w:rPr>
          <w:sz w:val="20"/>
          <w:szCs w:val="20"/>
          <w:color w:val="auto"/>
        </w:rPr>
      </w:pPr>
      <w:r>
        <w:rPr>
          <w:rFonts w:ascii="Times New Roman" w:cs="Times New Roman" w:eastAsia="Times New Roman" w:hAnsi="Times New Roman"/>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114935</wp:posOffset>
            </wp:positionV>
            <wp:extent cx="825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889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43180"/>
                    </a:xfrm>
                    <a:prstGeom prst="rect">
                      <a:avLst/>
                    </a:prstGeom>
                    <a:noFill/>
                  </pic:spPr>
                </pic:pic>
              </a:graphicData>
            </a:graphic>
          </wp:anchor>
        </w:drawing>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900" w:type="dxa"/>
            <w:vAlign w:val="bottom"/>
            <w:tcBorders>
              <w:top w:val="single" w:sz="8" w:color="auto"/>
              <w:bottom w:val="single" w:sz="8" w:color="auto"/>
            </w:tcBorders>
          </w:tcPr>
          <w:p>
            <w:pPr>
              <w:spacing w:after="0"/>
              <w:rPr>
                <w:sz w:val="3"/>
                <w:szCs w:val="3"/>
                <w:color w:val="auto"/>
              </w:rPr>
            </w:pPr>
          </w:p>
        </w:tc>
        <w:tc>
          <w:tcPr>
            <w:tcW w:w="334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32"/>
        </w:trPr>
        <w:tc>
          <w:tcPr>
            <w:tcW w:w="90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3"/>
          </w:tcPr>
          <w:p>
            <w:pPr>
              <w:jc w:val="right"/>
              <w:spacing w:after="0" w:line="331" w:lineRule="exact"/>
              <w:rPr>
                <w:sz w:val="20"/>
                <w:szCs w:val="20"/>
                <w:color w:val="auto"/>
              </w:rPr>
            </w:pPr>
            <w:r>
              <w:rPr>
                <w:rFonts w:ascii="Times New Roman" w:cs="Times New Roman" w:eastAsia="Times New Roman" w:hAnsi="Times New Roman"/>
                <w:sz w:val="18"/>
                <w:szCs w:val="18"/>
                <w:b w:val="1"/>
                <w:bCs w:val="1"/>
                <w:color w:val="auto"/>
              </w:rPr>
              <w:t xml:space="preserve">Amount and Nature of Beneficial Ownership </w:t>
            </w:r>
            <w:r>
              <w:rPr>
                <w:rFonts w:ascii="Times New Roman" w:cs="Times New Roman" w:eastAsia="Times New Roman" w:hAnsi="Times New Roman"/>
                <w:sz w:val="29"/>
                <w:szCs w:val="29"/>
                <w:b w:val="1"/>
                <w:bCs w:val="1"/>
                <w:color w:val="auto"/>
                <w:vertAlign w:val="superscript"/>
              </w:rPr>
              <w:t>(1)</w:t>
            </w:r>
          </w:p>
        </w:tc>
        <w:tc>
          <w:tcPr>
            <w:tcW w:w="1640" w:type="dxa"/>
            <w:vAlign w:val="bottom"/>
            <w:tcBorders>
              <w:bottom w:val="single" w:sz="8" w:color="auto"/>
              <w:right w:val="single" w:sz="8" w:color="auto"/>
            </w:tcBorders>
          </w:tcPr>
          <w:p>
            <w:pPr>
              <w:spacing w:after="0"/>
              <w:rPr>
                <w:sz w:val="24"/>
                <w:szCs w:val="24"/>
                <w:color w:val="auto"/>
              </w:rPr>
            </w:pPr>
          </w:p>
        </w:tc>
      </w:tr>
      <w:tr>
        <w:trPr>
          <w:trHeight w:val="291"/>
        </w:trPr>
        <w:tc>
          <w:tcPr>
            <w:tcW w:w="90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Class A Stock (non-voting)</w:t>
            </w:r>
          </w:p>
        </w:tc>
        <w:tc>
          <w:tcPr>
            <w:tcW w:w="3400" w:type="dxa"/>
            <w:vAlign w:val="bottom"/>
            <w:tcBorders>
              <w:bottom w:val="single" w:sz="8" w:color="auto"/>
              <w:right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Class B Stock (voting)</w:t>
            </w:r>
          </w:p>
        </w:tc>
      </w:tr>
      <w:tr>
        <w:trPr>
          <w:trHeight w:val="160"/>
        </w:trPr>
        <w:tc>
          <w:tcPr>
            <w:tcW w:w="4240" w:type="dxa"/>
            <w:vAlign w:val="bottom"/>
            <w:tcBorders>
              <w:left w:val="single" w:sz="8" w:color="auto"/>
              <w:right w:val="single" w:sz="8" w:color="auto"/>
            </w:tcBorders>
            <w:gridSpan w:val="2"/>
          </w:tcPr>
          <w:p>
            <w:pPr>
              <w:ind w:left="120"/>
              <w:spacing w:after="0" w:line="160" w:lineRule="exact"/>
              <w:rPr>
                <w:sz w:val="20"/>
                <w:szCs w:val="20"/>
                <w:color w:val="auto"/>
              </w:rPr>
            </w:pPr>
            <w:r>
              <w:rPr>
                <w:rFonts w:ascii="Times New Roman" w:cs="Times New Roman" w:eastAsia="Times New Roman" w:hAnsi="Times New Roman"/>
                <w:sz w:val="18"/>
                <w:szCs w:val="18"/>
                <w:b w:val="1"/>
                <w:bCs w:val="1"/>
                <w:color w:val="auto"/>
              </w:rPr>
              <w:t>Name and Address of</w:t>
            </w:r>
          </w:p>
        </w:tc>
        <w:tc>
          <w:tcPr>
            <w:tcW w:w="202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right"/>
              <w:ind w:right="230"/>
              <w:spacing w:after="0" w:line="160"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right"/>
              <w:ind w:right="250"/>
              <w:spacing w:after="0" w:line="160"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25"/>
        </w:trPr>
        <w:tc>
          <w:tcPr>
            <w:tcW w:w="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3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20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76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4"/>
        </w:trPr>
        <w:tc>
          <w:tcPr>
            <w:tcW w:w="4240" w:type="dxa"/>
            <w:vAlign w:val="bottom"/>
            <w:tcBorders>
              <w:left w:val="single" w:sz="8" w:color="auto"/>
              <w:bottom w:val="single" w:sz="8" w:color="auto"/>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NEOs</w:t>
            </w:r>
          </w:p>
        </w:tc>
        <w:tc>
          <w:tcPr>
            <w:tcW w:w="2020" w:type="dxa"/>
            <w:vAlign w:val="bottom"/>
            <w:tcBorders>
              <w:bottom w:val="single" w:sz="8" w:color="auto"/>
              <w:right w:val="single" w:sz="8" w:color="CCEEFF"/>
            </w:tcBorders>
            <w:shd w:val="clear" w:color="auto" w:fill="CCEEFF"/>
          </w:tcPr>
          <w:p>
            <w:pPr>
              <w:spacing w:after="0"/>
              <w:rPr>
                <w:sz w:val="20"/>
                <w:szCs w:val="20"/>
                <w:color w:val="auto"/>
              </w:rPr>
            </w:pPr>
          </w:p>
        </w:tc>
        <w:tc>
          <w:tcPr>
            <w:tcW w:w="1580" w:type="dxa"/>
            <w:vAlign w:val="bottom"/>
            <w:tcBorders>
              <w:bottom w:val="single" w:sz="8" w:color="auto"/>
              <w:right w:val="single" w:sz="8" w:color="CCEEFF"/>
            </w:tcBorders>
            <w:shd w:val="clear" w:color="auto" w:fill="CCEEFF"/>
          </w:tcPr>
          <w:p>
            <w:pPr>
              <w:spacing w:after="0"/>
              <w:rPr>
                <w:sz w:val="20"/>
                <w:szCs w:val="20"/>
                <w:color w:val="auto"/>
              </w:rPr>
            </w:pPr>
          </w:p>
        </w:tc>
        <w:tc>
          <w:tcPr>
            <w:tcW w:w="1760" w:type="dxa"/>
            <w:vAlign w:val="bottom"/>
            <w:tcBorders>
              <w:bottom w:val="single" w:sz="8" w:color="auto"/>
              <w:right w:val="single" w:sz="8" w:color="CCEEFF"/>
            </w:tcBorders>
            <w:shd w:val="clear" w:color="auto" w:fill="CCEEFF"/>
          </w:tcPr>
          <w:p>
            <w:pPr>
              <w:spacing w:after="0"/>
              <w:rPr>
                <w:sz w:val="20"/>
                <w:szCs w:val="20"/>
                <w:color w:val="auto"/>
              </w:rPr>
            </w:pPr>
          </w:p>
        </w:tc>
        <w:tc>
          <w:tcPr>
            <w:tcW w:w="16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34"/>
        </w:trPr>
        <w:tc>
          <w:tcPr>
            <w:tcW w:w="42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Margaret Cotter (2) (8)</w:t>
            </w:r>
          </w:p>
        </w:tc>
        <w:tc>
          <w:tcPr>
            <w:tcW w:w="2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2,661,759</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17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1,158,988</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r>
      <w:tr>
        <w:trPr>
          <w:trHeight w:val="237"/>
        </w:trPr>
        <w:tc>
          <w:tcPr>
            <w:tcW w:w="42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Ellen M. Cotter (3) (8)</w:t>
            </w:r>
          </w:p>
        </w:tc>
        <w:tc>
          <w:tcPr>
            <w:tcW w:w="2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3,086,656</w:t>
            </w:r>
          </w:p>
        </w:tc>
        <w:tc>
          <w:tcPr>
            <w:tcW w:w="15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w:t>
            </w:r>
          </w:p>
        </w:tc>
        <w:tc>
          <w:tcPr>
            <w:tcW w:w="176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457,166</w:t>
            </w:r>
          </w:p>
        </w:tc>
        <w:tc>
          <w:tcPr>
            <w:tcW w:w="16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42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Guy W. Adams (4)</w:t>
            </w:r>
          </w:p>
        </w:tc>
        <w:tc>
          <w:tcPr>
            <w:tcW w:w="2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225,751</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2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Dr. Judy Codding (5)</w:t>
            </w:r>
          </w:p>
        </w:tc>
        <w:tc>
          <w:tcPr>
            <w:tcW w:w="20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210,233</w:t>
            </w:r>
          </w:p>
        </w:tc>
        <w:tc>
          <w:tcPr>
            <w:tcW w:w="15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2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Douglas J. McEachern (6)</w:t>
            </w:r>
          </w:p>
        </w:tc>
        <w:tc>
          <w:tcPr>
            <w:tcW w:w="2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215,608</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 Craig Tompkins (7)</w:t>
            </w:r>
          </w:p>
        </w:tc>
        <w:tc>
          <w:tcPr>
            <w:tcW w:w="20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263,066</w:t>
            </w:r>
          </w:p>
        </w:tc>
        <w:tc>
          <w:tcPr>
            <w:tcW w:w="158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0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r>
      <w:tr>
        <w:trPr>
          <w:trHeight w:val="234"/>
        </w:trPr>
        <w:tc>
          <w:tcPr>
            <w:tcW w:w="4240" w:type="dxa"/>
            <w:vAlign w:val="bottom"/>
            <w:tcBorders>
              <w:left w:val="single" w:sz="8" w:color="auto"/>
              <w:bottom w:val="single" w:sz="8" w:color="auto"/>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020" w:type="dxa"/>
            <w:vAlign w:val="bottom"/>
            <w:tcBorders>
              <w:bottom w:val="single" w:sz="8" w:color="auto"/>
              <w:right w:val="single" w:sz="8" w:color="CCEEFF"/>
            </w:tcBorders>
            <w:shd w:val="clear" w:color="auto" w:fill="CCEEFF"/>
          </w:tcPr>
          <w:p>
            <w:pPr>
              <w:spacing w:after="0"/>
              <w:rPr>
                <w:sz w:val="20"/>
                <w:szCs w:val="20"/>
                <w:color w:val="auto"/>
              </w:rPr>
            </w:pPr>
          </w:p>
        </w:tc>
        <w:tc>
          <w:tcPr>
            <w:tcW w:w="1580" w:type="dxa"/>
            <w:vAlign w:val="bottom"/>
            <w:tcBorders>
              <w:bottom w:val="single" w:sz="8" w:color="auto"/>
              <w:right w:val="single" w:sz="8" w:color="CCEEFF"/>
            </w:tcBorders>
            <w:shd w:val="clear" w:color="auto" w:fill="CCEEFF"/>
          </w:tcPr>
          <w:p>
            <w:pPr>
              <w:spacing w:after="0"/>
              <w:rPr>
                <w:sz w:val="20"/>
                <w:szCs w:val="20"/>
                <w:color w:val="auto"/>
              </w:rPr>
            </w:pPr>
          </w:p>
        </w:tc>
        <w:tc>
          <w:tcPr>
            <w:tcW w:w="1760" w:type="dxa"/>
            <w:vAlign w:val="bottom"/>
            <w:tcBorders>
              <w:bottom w:val="single" w:sz="8" w:color="auto"/>
              <w:right w:val="single" w:sz="8" w:color="CCEEFF"/>
            </w:tcBorders>
            <w:shd w:val="clear" w:color="auto" w:fill="CCEEFF"/>
          </w:tcPr>
          <w:p>
            <w:pPr>
              <w:spacing w:after="0"/>
              <w:rPr>
                <w:sz w:val="20"/>
                <w:szCs w:val="20"/>
                <w:color w:val="auto"/>
              </w:rPr>
            </w:pPr>
          </w:p>
        </w:tc>
        <w:tc>
          <w:tcPr>
            <w:tcW w:w="16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6"/>
        </w:trPr>
        <w:tc>
          <w:tcPr>
            <w:tcW w:w="4240" w:type="dxa"/>
            <w:vAlign w:val="bottom"/>
            <w:tcBorders>
              <w:left w:val="single" w:sz="8" w:color="auto"/>
              <w:right w:val="single" w:sz="8" w:color="auto"/>
            </w:tcBorders>
            <w:gridSpan w:val="2"/>
          </w:tcPr>
          <w:p>
            <w:pPr>
              <w:ind w:left="120"/>
              <w:spacing w:after="0" w:line="167" w:lineRule="exact"/>
              <w:rPr>
                <w:sz w:val="20"/>
                <w:szCs w:val="20"/>
                <w:color w:val="auto"/>
              </w:rPr>
            </w:pPr>
            <w:r>
              <w:rPr>
                <w:rFonts w:ascii="Times New Roman" w:cs="Times New Roman" w:eastAsia="Times New Roman" w:hAnsi="Times New Roman"/>
                <w:sz w:val="18"/>
                <w:szCs w:val="18"/>
                <w:color w:val="auto"/>
              </w:rPr>
              <w:t>James J. Cotter Living Trust (8)</w:t>
            </w:r>
          </w:p>
        </w:tc>
        <w:tc>
          <w:tcPr>
            <w:tcW w:w="2020" w:type="dxa"/>
            <w:vAlign w:val="bottom"/>
            <w:tcBorders>
              <w:right w:val="single" w:sz="8" w:color="auto"/>
            </w:tcBorders>
          </w:tcPr>
          <w:p>
            <w:pPr>
              <w:jc w:val="right"/>
              <w:ind w:right="90"/>
              <w:spacing w:after="0" w:line="167" w:lineRule="exact"/>
              <w:rPr>
                <w:sz w:val="20"/>
                <w:szCs w:val="20"/>
                <w:color w:val="auto"/>
              </w:rPr>
            </w:pPr>
            <w:r>
              <w:rPr>
                <w:rFonts w:ascii="Times New Roman" w:cs="Times New Roman" w:eastAsia="Times New Roman" w:hAnsi="Times New Roman"/>
                <w:sz w:val="18"/>
                <w:szCs w:val="18"/>
                <w:color w:val="auto"/>
              </w:rPr>
              <w:t>1,163,649</w:t>
            </w:r>
          </w:p>
        </w:tc>
        <w:tc>
          <w:tcPr>
            <w:tcW w:w="1580" w:type="dxa"/>
            <w:vAlign w:val="bottom"/>
            <w:tcBorders>
              <w:right w:val="single" w:sz="8" w:color="auto"/>
            </w:tcBorders>
          </w:tcPr>
          <w:p>
            <w:pPr>
              <w:jc w:val="right"/>
              <w:ind w:right="70"/>
              <w:spacing w:after="0" w:line="167" w:lineRule="exact"/>
              <w:rPr>
                <w:sz w:val="20"/>
                <w:szCs w:val="20"/>
                <w:color w:val="auto"/>
              </w:rPr>
            </w:pPr>
            <w:r>
              <w:rPr>
                <w:rFonts w:ascii="Times New Roman" w:cs="Times New Roman" w:eastAsia="Times New Roman" w:hAnsi="Times New Roman"/>
                <w:sz w:val="18"/>
                <w:szCs w:val="18"/>
                <w:color w:val="auto"/>
              </w:rPr>
              <w:t>5.5%</w:t>
            </w:r>
          </w:p>
        </w:tc>
        <w:tc>
          <w:tcPr>
            <w:tcW w:w="1760" w:type="dxa"/>
            <w:vAlign w:val="bottom"/>
            <w:tcBorders>
              <w:right w:val="single" w:sz="8" w:color="auto"/>
            </w:tcBorders>
          </w:tcPr>
          <w:p>
            <w:pPr>
              <w:jc w:val="right"/>
              <w:ind w:right="30"/>
              <w:spacing w:after="0" w:line="167"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30"/>
              <w:spacing w:after="0" w:line="167"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240" w:type="dxa"/>
            <w:vAlign w:val="bottom"/>
            <w:tcBorders>
              <w:left w:val="single" w:sz="8" w:color="auto"/>
              <w:right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c/o‎ Reading International, Inc.</w:t>
            </w:r>
          </w:p>
        </w:tc>
        <w:tc>
          <w:tcPr>
            <w:tcW w:w="20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189"/>
        </w:trPr>
        <w:tc>
          <w:tcPr>
            <w:tcW w:w="4240" w:type="dxa"/>
            <w:vAlign w:val="bottom"/>
            <w:tcBorders>
              <w:left w:val="single" w:sz="8" w:color="auto"/>
              <w:right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189 Second Avenue</w:t>
            </w:r>
          </w:p>
        </w:tc>
        <w:tc>
          <w:tcPr>
            <w:tcW w:w="20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203"/>
        </w:trPr>
        <w:tc>
          <w:tcPr>
            <w:tcW w:w="900" w:type="dxa"/>
            <w:vAlign w:val="bottom"/>
            <w:tcBorders>
              <w:lef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Suite 2S</w:t>
            </w:r>
          </w:p>
        </w:tc>
        <w:tc>
          <w:tcPr>
            <w:tcW w:w="33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r>
      <w:tr>
        <w:trPr>
          <w:trHeight w:val="221"/>
        </w:trPr>
        <w:tc>
          <w:tcPr>
            <w:tcW w:w="42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New York, New York 10003</w:t>
            </w:r>
          </w:p>
        </w:tc>
        <w:tc>
          <w:tcPr>
            <w:tcW w:w="20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r>
      <w:tr>
        <w:trPr>
          <w:trHeight w:val="164"/>
        </w:trPr>
        <w:tc>
          <w:tcPr>
            <w:tcW w:w="4240" w:type="dxa"/>
            <w:vAlign w:val="bottom"/>
            <w:tcBorders>
              <w:left w:val="single" w:sz="8" w:color="auto"/>
              <w:right w:val="single" w:sz="8" w:color="auto"/>
            </w:tcBorders>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8"/>
                <w:szCs w:val="18"/>
                <w:color w:val="auto"/>
              </w:rPr>
              <w:t>Estate of James J. Cotter, Sr. (Deceased) (8)</w:t>
            </w:r>
          </w:p>
        </w:tc>
        <w:tc>
          <w:tcPr>
            <w:tcW w:w="2020" w:type="dxa"/>
            <w:vAlign w:val="bottom"/>
            <w:tcBorders>
              <w:right w:val="single" w:sz="8" w:color="auto"/>
            </w:tcBorders>
            <w:shd w:val="clear" w:color="auto" w:fill="CCEEFF"/>
          </w:tcPr>
          <w:p>
            <w:pPr>
              <w:jc w:val="right"/>
              <w:ind w:right="90"/>
              <w:spacing w:after="0" w:line="164" w:lineRule="exact"/>
              <w:rPr>
                <w:sz w:val="20"/>
                <w:szCs w:val="20"/>
                <w:color w:val="auto"/>
              </w:rPr>
            </w:pPr>
            <w:r>
              <w:rPr>
                <w:rFonts w:ascii="Times New Roman" w:cs="Times New Roman" w:eastAsia="Times New Roman" w:hAnsi="Times New Roman"/>
                <w:sz w:val="18"/>
                <w:szCs w:val="18"/>
                <w:color w:val="auto"/>
              </w:rPr>
              <w:t>326,800</w:t>
            </w:r>
          </w:p>
        </w:tc>
        <w:tc>
          <w:tcPr>
            <w:tcW w:w="1580" w:type="dxa"/>
            <w:vAlign w:val="bottom"/>
            <w:tcBorders>
              <w:right w:val="single" w:sz="8" w:color="auto"/>
            </w:tcBorders>
            <w:shd w:val="clear" w:color="auto" w:fill="CCEEFF"/>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1.6%</w:t>
            </w:r>
          </w:p>
        </w:tc>
        <w:tc>
          <w:tcPr>
            <w:tcW w:w="1760" w:type="dxa"/>
            <w:vAlign w:val="bottom"/>
            <w:tcBorders>
              <w:right w:val="single" w:sz="8" w:color="auto"/>
            </w:tcBorders>
            <w:shd w:val="clear" w:color="auto" w:fill="CCEEFF"/>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100,000</w:t>
            </w:r>
          </w:p>
        </w:tc>
        <w:tc>
          <w:tcPr>
            <w:tcW w:w="1640" w:type="dxa"/>
            <w:vAlign w:val="bottom"/>
            <w:tcBorders>
              <w:right w:val="single" w:sz="8" w:color="auto"/>
            </w:tcBorders>
            <w:shd w:val="clear" w:color="auto" w:fill="CCEEFF"/>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6.0%</w:t>
            </w:r>
          </w:p>
        </w:tc>
      </w:tr>
      <w:tr>
        <w:trPr>
          <w:trHeight w:val="189"/>
        </w:trPr>
        <w:tc>
          <w:tcPr>
            <w:tcW w:w="4240" w:type="dxa"/>
            <w:vAlign w:val="bottom"/>
            <w:tcBorders>
              <w:left w:val="single" w:sz="8" w:color="auto"/>
              <w:right w:val="single" w:sz="8" w:color="auto"/>
            </w:tcBorders>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c/o Reading International, Inc.</w:t>
            </w:r>
          </w:p>
        </w:tc>
        <w:tc>
          <w:tcPr>
            <w:tcW w:w="2020" w:type="dxa"/>
            <w:vAlign w:val="bottom"/>
            <w:tcBorders>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spacing w:after="0"/>
              <w:rPr>
                <w:sz w:val="16"/>
                <w:szCs w:val="16"/>
                <w:color w:val="auto"/>
              </w:rPr>
            </w:pPr>
          </w:p>
        </w:tc>
        <w:tc>
          <w:tcPr>
            <w:tcW w:w="1640" w:type="dxa"/>
            <w:vAlign w:val="bottom"/>
            <w:tcBorders>
              <w:right w:val="single" w:sz="8" w:color="auto"/>
            </w:tcBorders>
            <w:shd w:val="clear" w:color="auto" w:fill="CCEEFF"/>
          </w:tcPr>
          <w:p>
            <w:pPr>
              <w:spacing w:after="0"/>
              <w:rPr>
                <w:sz w:val="16"/>
                <w:szCs w:val="16"/>
                <w:color w:val="auto"/>
              </w:rPr>
            </w:pPr>
          </w:p>
        </w:tc>
      </w:tr>
      <w:tr>
        <w:trPr>
          <w:trHeight w:val="189"/>
        </w:trPr>
        <w:tc>
          <w:tcPr>
            <w:tcW w:w="4240" w:type="dxa"/>
            <w:vAlign w:val="bottom"/>
            <w:tcBorders>
              <w:left w:val="single" w:sz="8" w:color="auto"/>
              <w:right w:val="single" w:sz="8" w:color="auto"/>
            </w:tcBorders>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189 Second Avenue</w:t>
            </w:r>
          </w:p>
        </w:tc>
        <w:tc>
          <w:tcPr>
            <w:tcW w:w="2020" w:type="dxa"/>
            <w:vAlign w:val="bottom"/>
            <w:tcBorders>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spacing w:after="0"/>
              <w:rPr>
                <w:sz w:val="16"/>
                <w:szCs w:val="16"/>
                <w:color w:val="auto"/>
              </w:rPr>
            </w:pPr>
          </w:p>
        </w:tc>
        <w:tc>
          <w:tcPr>
            <w:tcW w:w="1640" w:type="dxa"/>
            <w:vAlign w:val="bottom"/>
            <w:tcBorders>
              <w:right w:val="single" w:sz="8" w:color="auto"/>
            </w:tcBorders>
            <w:shd w:val="clear" w:color="auto" w:fill="CCEEFF"/>
          </w:tcPr>
          <w:p>
            <w:pPr>
              <w:spacing w:after="0"/>
              <w:rPr>
                <w:sz w:val="16"/>
                <w:szCs w:val="16"/>
                <w:color w:val="auto"/>
              </w:rPr>
            </w:pPr>
          </w:p>
        </w:tc>
      </w:tr>
      <w:tr>
        <w:trPr>
          <w:trHeight w:val="203"/>
        </w:trPr>
        <w:tc>
          <w:tcPr>
            <w:tcW w:w="900" w:type="dxa"/>
            <w:vAlign w:val="bottom"/>
            <w:tcBorders>
              <w:left w:val="single" w:sz="8" w:color="auto"/>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Suite 2S</w:t>
            </w:r>
          </w:p>
        </w:tc>
        <w:tc>
          <w:tcPr>
            <w:tcW w:w="3340" w:type="dxa"/>
            <w:vAlign w:val="bottom"/>
            <w:tcBorders>
              <w:right w:val="single" w:sz="8" w:color="auto"/>
            </w:tcBorders>
            <w:shd w:val="clear" w:color="auto" w:fill="CCEEFF"/>
          </w:tcPr>
          <w:p>
            <w:pPr>
              <w:spacing w:after="0"/>
              <w:rPr>
                <w:sz w:val="17"/>
                <w:szCs w:val="17"/>
                <w:color w:val="auto"/>
              </w:rPr>
            </w:pPr>
          </w:p>
        </w:tc>
        <w:tc>
          <w:tcPr>
            <w:tcW w:w="202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1760" w:type="dxa"/>
            <w:vAlign w:val="bottom"/>
            <w:tcBorders>
              <w:right w:val="single" w:sz="8" w:color="auto"/>
            </w:tcBorders>
            <w:shd w:val="clear" w:color="auto" w:fill="CCEEFF"/>
          </w:tcPr>
          <w:p>
            <w:pPr>
              <w:spacing w:after="0"/>
              <w:rPr>
                <w:sz w:val="17"/>
                <w:szCs w:val="17"/>
                <w:color w:val="auto"/>
              </w:rPr>
            </w:pPr>
          </w:p>
        </w:tc>
        <w:tc>
          <w:tcPr>
            <w:tcW w:w="1640" w:type="dxa"/>
            <w:vAlign w:val="bottom"/>
            <w:tcBorders>
              <w:right w:val="single" w:sz="8" w:color="auto"/>
            </w:tcBorders>
            <w:shd w:val="clear" w:color="auto" w:fill="CCEEFF"/>
          </w:tcPr>
          <w:p>
            <w:pPr>
              <w:spacing w:after="0"/>
              <w:rPr>
                <w:sz w:val="17"/>
                <w:szCs w:val="17"/>
                <w:color w:val="auto"/>
              </w:rPr>
            </w:pPr>
          </w:p>
        </w:tc>
      </w:tr>
      <w:tr>
        <w:trPr>
          <w:trHeight w:val="221"/>
        </w:trPr>
        <w:tc>
          <w:tcPr>
            <w:tcW w:w="42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York, New York 10003</w:t>
            </w: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760" w:type="dxa"/>
            <w:vAlign w:val="bottom"/>
            <w:tcBorders>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4"/>
        </w:trPr>
        <w:tc>
          <w:tcPr>
            <w:tcW w:w="4240" w:type="dxa"/>
            <w:vAlign w:val="bottom"/>
            <w:tcBorders>
              <w:left w:val="single" w:sz="8" w:color="auto"/>
              <w:right w:val="single" w:sz="8" w:color="auto"/>
            </w:tcBorders>
            <w:gridSpan w:val="2"/>
          </w:tcPr>
          <w:p>
            <w:pPr>
              <w:ind w:left="120"/>
              <w:spacing w:after="0" w:line="164" w:lineRule="exact"/>
              <w:rPr>
                <w:sz w:val="20"/>
                <w:szCs w:val="20"/>
                <w:color w:val="auto"/>
              </w:rPr>
            </w:pPr>
            <w:r>
              <w:rPr>
                <w:rFonts w:ascii="Times New Roman" w:cs="Times New Roman" w:eastAsia="Times New Roman" w:hAnsi="Times New Roman"/>
                <w:sz w:val="18"/>
                <w:szCs w:val="18"/>
                <w:color w:val="auto"/>
              </w:rPr>
              <w:t>Mark Cuban (9)</w:t>
            </w:r>
          </w:p>
        </w:tc>
        <w:tc>
          <w:tcPr>
            <w:tcW w:w="202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172,355</w:t>
            </w:r>
          </w:p>
        </w:tc>
        <w:tc>
          <w:tcPr>
            <w:tcW w:w="164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10.3%</w:t>
            </w:r>
          </w:p>
        </w:tc>
      </w:tr>
      <w:tr>
        <w:trPr>
          <w:trHeight w:val="189"/>
        </w:trPr>
        <w:tc>
          <w:tcPr>
            <w:tcW w:w="4240" w:type="dxa"/>
            <w:vAlign w:val="bottom"/>
            <w:tcBorders>
              <w:left w:val="single" w:sz="8" w:color="auto"/>
              <w:right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1229 Slocum Street</w:t>
            </w:r>
          </w:p>
        </w:tc>
        <w:tc>
          <w:tcPr>
            <w:tcW w:w="20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221"/>
        </w:trPr>
        <w:tc>
          <w:tcPr>
            <w:tcW w:w="42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Dallas, Texas 75207</w:t>
            </w:r>
          </w:p>
        </w:tc>
        <w:tc>
          <w:tcPr>
            <w:tcW w:w="20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r>
      <w:tr>
        <w:trPr>
          <w:trHeight w:val="164"/>
        </w:trPr>
        <w:tc>
          <w:tcPr>
            <w:tcW w:w="4240" w:type="dxa"/>
            <w:vAlign w:val="bottom"/>
            <w:tcBorders>
              <w:left w:val="single" w:sz="8" w:color="auto"/>
              <w:right w:val="single" w:sz="8" w:color="auto"/>
            </w:tcBorders>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8"/>
                <w:szCs w:val="18"/>
                <w:color w:val="auto"/>
              </w:rPr>
              <w:t>GAMCO (10)</w:t>
            </w:r>
          </w:p>
        </w:tc>
        <w:tc>
          <w:tcPr>
            <w:tcW w:w="2020" w:type="dxa"/>
            <w:vAlign w:val="bottom"/>
            <w:tcBorders>
              <w:right w:val="single" w:sz="8" w:color="auto"/>
            </w:tcBorders>
            <w:shd w:val="clear" w:color="auto" w:fill="CCEEFF"/>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518,100</w:t>
            </w:r>
          </w:p>
        </w:tc>
        <w:tc>
          <w:tcPr>
            <w:tcW w:w="1580" w:type="dxa"/>
            <w:vAlign w:val="bottom"/>
            <w:tcBorders>
              <w:right w:val="single" w:sz="8" w:color="auto"/>
            </w:tcBorders>
            <w:shd w:val="clear" w:color="auto" w:fill="CCEEFF"/>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2.5%</w:t>
            </w:r>
          </w:p>
        </w:tc>
        <w:tc>
          <w:tcPr>
            <w:tcW w:w="1760" w:type="dxa"/>
            <w:vAlign w:val="bottom"/>
            <w:tcBorders>
              <w:right w:val="single" w:sz="8" w:color="auto"/>
            </w:tcBorders>
            <w:shd w:val="clear" w:color="auto" w:fill="CCEEFF"/>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123,930</w:t>
            </w:r>
          </w:p>
        </w:tc>
        <w:tc>
          <w:tcPr>
            <w:tcW w:w="1640" w:type="dxa"/>
            <w:vAlign w:val="bottom"/>
            <w:tcBorders>
              <w:right w:val="single" w:sz="8" w:color="auto"/>
            </w:tcBorders>
            <w:shd w:val="clear" w:color="auto" w:fill="CCEEFF"/>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7.4%</w:t>
            </w:r>
          </w:p>
        </w:tc>
      </w:tr>
      <w:tr>
        <w:trPr>
          <w:trHeight w:val="189"/>
        </w:trPr>
        <w:tc>
          <w:tcPr>
            <w:tcW w:w="4240" w:type="dxa"/>
            <w:vAlign w:val="bottom"/>
            <w:tcBorders>
              <w:left w:val="single" w:sz="8" w:color="auto"/>
              <w:right w:val="single" w:sz="8" w:color="auto"/>
            </w:tcBorders>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One Corporate Center</w:t>
            </w:r>
          </w:p>
        </w:tc>
        <w:tc>
          <w:tcPr>
            <w:tcW w:w="2020" w:type="dxa"/>
            <w:vAlign w:val="bottom"/>
            <w:tcBorders>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spacing w:after="0"/>
              <w:rPr>
                <w:sz w:val="16"/>
                <w:szCs w:val="16"/>
                <w:color w:val="auto"/>
              </w:rPr>
            </w:pPr>
          </w:p>
        </w:tc>
        <w:tc>
          <w:tcPr>
            <w:tcW w:w="1640" w:type="dxa"/>
            <w:vAlign w:val="bottom"/>
            <w:tcBorders>
              <w:right w:val="single" w:sz="8" w:color="auto"/>
            </w:tcBorders>
            <w:shd w:val="clear" w:color="auto" w:fill="CCEEFF"/>
          </w:tcPr>
          <w:p>
            <w:pPr>
              <w:spacing w:after="0"/>
              <w:rPr>
                <w:sz w:val="16"/>
                <w:szCs w:val="16"/>
                <w:color w:val="auto"/>
              </w:rPr>
            </w:pPr>
          </w:p>
        </w:tc>
      </w:tr>
      <w:tr>
        <w:trPr>
          <w:trHeight w:val="221"/>
        </w:trPr>
        <w:tc>
          <w:tcPr>
            <w:tcW w:w="42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Rye, New York 10580</w:t>
            </w: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760" w:type="dxa"/>
            <w:vAlign w:val="bottom"/>
            <w:tcBorders>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4"/>
        </w:trPr>
        <w:tc>
          <w:tcPr>
            <w:tcW w:w="4240" w:type="dxa"/>
            <w:vAlign w:val="bottom"/>
            <w:tcBorders>
              <w:left w:val="single" w:sz="8" w:color="auto"/>
              <w:right w:val="single" w:sz="8" w:color="auto"/>
            </w:tcBorders>
            <w:gridSpan w:val="2"/>
          </w:tcPr>
          <w:p>
            <w:pPr>
              <w:ind w:left="120"/>
              <w:spacing w:after="0" w:line="164" w:lineRule="exact"/>
              <w:rPr>
                <w:sz w:val="20"/>
                <w:szCs w:val="20"/>
                <w:color w:val="auto"/>
              </w:rPr>
            </w:pPr>
            <w:r>
              <w:rPr>
                <w:rFonts w:ascii="Times New Roman" w:cs="Times New Roman" w:eastAsia="Times New Roman" w:hAnsi="Times New Roman"/>
                <w:sz w:val="18"/>
                <w:szCs w:val="18"/>
                <w:color w:val="auto"/>
              </w:rPr>
              <w:t>All Directors and executive officers as a group (14</w:t>
            </w:r>
          </w:p>
        </w:tc>
        <w:tc>
          <w:tcPr>
            <w:tcW w:w="202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6,151,215</w:t>
            </w:r>
          </w:p>
        </w:tc>
        <w:tc>
          <w:tcPr>
            <w:tcW w:w="1580" w:type="dxa"/>
            <w:vAlign w:val="bottom"/>
            <w:tcBorders>
              <w:right w:val="single" w:sz="8" w:color="auto"/>
            </w:tcBorders>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29.2%</w:t>
            </w:r>
          </w:p>
        </w:tc>
        <w:tc>
          <w:tcPr>
            <w:tcW w:w="176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1,208,988</w:t>
            </w:r>
          </w:p>
        </w:tc>
        <w:tc>
          <w:tcPr>
            <w:tcW w:w="164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71.9%</w:t>
            </w:r>
          </w:p>
        </w:tc>
      </w:tr>
      <w:tr>
        <w:trPr>
          <w:trHeight w:val="234"/>
        </w:trPr>
        <w:tc>
          <w:tcPr>
            <w:tcW w:w="42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persons) (11)</w:t>
            </w:r>
          </w:p>
        </w:tc>
        <w:tc>
          <w:tcPr>
            <w:tcW w:w="20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r>
      <w:tr>
        <w:trPr>
          <w:trHeight w:val="203"/>
        </w:trPr>
        <w:tc>
          <w:tcPr>
            <w:tcW w:w="900" w:type="dxa"/>
            <w:vAlign w:val="bottom"/>
            <w:tcBorders>
              <w:left w:val="single" w:sz="8" w:color="auto"/>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r>
      <w:tr>
        <w:trPr>
          <w:trHeight w:val="228"/>
        </w:trPr>
        <w:tc>
          <w:tcPr>
            <w:tcW w:w="9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99"/>
        </w:trPr>
        <w:tc>
          <w:tcPr>
            <w:tcW w:w="9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27" w:name="page28"/>
    <w:bookmarkEnd w:id="27"/>
    <w:p>
      <w:pPr>
        <w:jc w:val="both"/>
        <w:ind w:left="328" w:hanging="328"/>
        <w:spacing w:after="0" w:line="253"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Percentage ownership is determined based on 21,036,670 shares of Class A Non-Voting Common Stock and 1,680,590 shares of Class B Voting Common Stock outstanding as of October 14, 2025.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spacing w:after="0" w:line="275" w:lineRule="exact"/>
        <w:rPr>
          <w:rFonts w:ascii="Times New Roman" w:cs="Times New Roman" w:eastAsia="Times New Roman" w:hAnsi="Times New Roman"/>
          <w:sz w:val="14"/>
          <w:szCs w:val="14"/>
          <w:color w:val="auto"/>
        </w:rPr>
      </w:pPr>
    </w:p>
    <w:p>
      <w:pPr>
        <w:jc w:val="both"/>
        <w:ind w:left="328" w:hanging="328"/>
        <w:spacing w:after="0" w:line="253"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853,718 shares held directly and 129,885 shares subject to stock options. The Class A Non-Voting Common Stock shown also includes 84,956 shares held by the James J. Cotter Education Trust #1. Margaret Cotter is sole Trustee of the James J. Cotter Education Trust #1 and, as such, is deemed to beneficially own such shares. The Class A Non-Voting Common Stock shown includes 326,800 shares of Class A Non-Voting Common Stock that are part of the Cotter Estate. As Co-Executors of the Cotter Estate, Margaret. Cotter and Ellen M. Cotter are each deemed to beneficially own such shares. The shares of Class A Non-Voting Common Stock shown includes 1,163,649 shares held by the Cotter Living Trust. See footnote 5 to this table for information regarding beneficial ownership of the shares held by the Cotter Estate and/or the Cotter Living Trust. As Co-Trustees of the Living Trust, Margaret Cotter and Ellen Cotter are each deemed to beneficially own such shares. The Class A Non-Voting Common Stock shown also includes 102,751 shares held by the Cotter Foundation, of which Margaret Cotter and Ellen M. Cotter are Co-Trustees and accordingly each deemed a beneficial owner.</w:t>
      </w:r>
    </w:p>
    <w:p>
      <w:pPr>
        <w:spacing w:after="0" w:line="261" w:lineRule="exact"/>
        <w:rPr>
          <w:rFonts w:ascii="Times New Roman" w:cs="Times New Roman" w:eastAsia="Times New Roman" w:hAnsi="Times New Roman"/>
          <w:sz w:val="14"/>
          <w:szCs w:val="14"/>
          <w:color w:val="auto"/>
        </w:rPr>
      </w:pPr>
    </w:p>
    <w:p>
      <w:pPr>
        <w:jc w:val="both"/>
        <w:ind w:left="328"/>
        <w:spacing w:after="0" w:line="2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B Voting Common Stock shown include 342,266 shares owned directly by Margaret Cotter, 100,000 of shares of Class B Voting Common Stock held by the Cotter Estate, 307,166 shares owned by Ellen M. Cotter but as to which Ellen M. Cotter has granted sole voting power and, pending negotiation and execution of a definitive stockholders agreement between them, shared dispositive power to Margaret Cotter, and 409,555 shares held of record by the Cotter Estate and/or the Cotter Living Trust, approved for distribution to a to-be-formed trust for the benefit of the children of Margaret Cotter and over which Margaret Cotter has sole voting and dispositive power. Margaret Cotter disclaims beneficial ownership of the shares held by the James J. Cotter Education Trust #1, the Cotter Foundation, the Cotter Estate and the Cotter Living Trust, except to the extent of her pecuniary interest, if any, in such shares.</w:t>
      </w:r>
    </w:p>
    <w:p>
      <w:pPr>
        <w:spacing w:after="0" w:line="135" w:lineRule="exact"/>
        <w:rPr>
          <w:rFonts w:ascii="Times New Roman" w:cs="Times New Roman" w:eastAsia="Times New Roman" w:hAnsi="Times New Roman"/>
          <w:sz w:val="14"/>
          <w:szCs w:val="14"/>
          <w:color w:val="auto"/>
        </w:rPr>
      </w:pPr>
    </w:p>
    <w:p>
      <w:pPr>
        <w:jc w:val="both"/>
        <w:ind w:left="328" w:right="20" w:hanging="328"/>
        <w:spacing w:after="0" w:line="251"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1,008,957 shares held directly and 484,499 shares subject to stock options. The Class A Non-Voting Common Stock shown also includes 102,751 shares held by the Cotter Foundation of which Ellen M. Cotter and Margaret Cotter are Co-Trustees and accordingly, are each deemed to own such shares. The Class A Non-Voting Common Stock shown also includes 326,800 shares that are part of the Cotter Estate. As Co-Executors of the Cotter Estate, Ellen M. Cotter and Margaret Cotter are each deemed to beneficially own such shares. The shares of Class A Non-Voting Common Stock shown also include 1,163,649 shares held by the Cotter Living Trust. See footnote 5 to this table for information regarding beneficial ownership of the shares held by the Cotter Estate and the Cotter Living Trust. As Co-Trustees of the Cotter Living Trust, Ellen M. Cotter and Margaret Cotter are deemed to beneficially own such shares.</w:t>
      </w:r>
    </w:p>
    <w:p>
      <w:pPr>
        <w:spacing w:after="0" w:line="116" w:lineRule="exact"/>
        <w:rPr>
          <w:rFonts w:ascii="Times New Roman" w:cs="Times New Roman" w:eastAsia="Times New Roman" w:hAnsi="Times New Roman"/>
          <w:sz w:val="14"/>
          <w:szCs w:val="14"/>
          <w:color w:val="auto"/>
        </w:rPr>
      </w:pPr>
    </w:p>
    <w:p>
      <w:pPr>
        <w:jc w:val="both"/>
        <w:ind w:left="328" w:right="20"/>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B Voting Common Stock shown includes (i) 50,000 shares owned directly by Ellen M. Cotter, (ii) 100,000 shares of Class B Voting Common Stock held by the Cotter Estate and (iii) 307,166 shares of Class B Voting Common Stock of which Ms. Margaret Cotter has sole voting power and, pending the negotiation and execution of a definitive stockholders agreement between them, shared dispositive power over such shares even though she retains all pecuniary interest in such shares. Ellen M. Cotter disclaims beneficial ownership of the shares held by the Cotter Foundation, the Cotter Estate and the Cotter Living Trust, except to the extent of her pecuniary interest, if any, in such shares.</w:t>
      </w:r>
    </w:p>
    <w:p>
      <w:pPr>
        <w:spacing w:after="0" w:line="134"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78,148 shares held directly and 147,603 shares subject to stock options.</w:t>
      </w:r>
    </w:p>
    <w:p>
      <w:pPr>
        <w:spacing w:after="0" w:line="136"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62,630 shares held directly and 147,603 shares subject to stock options.</w:t>
      </w:r>
    </w:p>
    <w:p>
      <w:pPr>
        <w:spacing w:after="0" w:line="136"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68,005 shares held directly and 147,603 shares subject to stock options.</w:t>
      </w:r>
    </w:p>
    <w:p>
      <w:pPr>
        <w:spacing w:after="0" w:line="136"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Class A Non-Voting Common Stock shown includes 135,197 shares held directly and 127,869 shares subject to stock options.</w:t>
      </w:r>
    </w:p>
    <w:p>
      <w:pPr>
        <w:spacing w:after="0" w:line="149" w:lineRule="exact"/>
        <w:rPr>
          <w:rFonts w:ascii="Times New Roman" w:cs="Times New Roman" w:eastAsia="Times New Roman" w:hAnsi="Times New Roman"/>
          <w:sz w:val="14"/>
          <w:szCs w:val="14"/>
          <w:color w:val="auto"/>
        </w:rPr>
      </w:pPr>
    </w:p>
    <w:p>
      <w:pPr>
        <w:jc w:val="both"/>
        <w:ind w:left="328" w:hanging="328"/>
        <w:spacing w:after="0" w:line="251"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Effective as of September 19, 2022, (i) subject to the final administration of the Cotter Estate, 327,808 shares of Class B Voting Common Stock held of record by the Cotter Estate will be distributed to a to-be-formed trust for the benefit of the children of Margaret Cotter, (ii) 307,166 shares of the Class B Voting Common Stock held by the Cotter Living Trust were conveyed to Ellen M. Cotter, (iii) 307,166 shares of the Class B Voting Common Stock held by the Cotter Living Trust were conveyed to Margaret Cotter, and (iv) 81,747 shares of the Class B Voting Common Stock were approved for distribution to the to-be-formed trust for the benefit of the children of Margaret Cotter. As a result of these transactions, the table sets forth only the residual 100,000 shares of such Class B Voting Common Stock as beneficially owned by the Cotter Estate and no Class B Voting Common Stock as beneficially owned by the Cotter Living Trust. Margaret Cotter and Ellen M. Cotter continue to have shared voting and dispositive power over the 100,000 shares of Class B Voting Common Stock beneficially owned by the Estate. Pursuant to the terms of the settlement agreement, Margaret Cotter now has sole voting and sole dispositive power over the 327,808 shares of Class B Voting Common Stock held by the Cotter Estate and the 81,747 shares of Class B Voting Common Stock held by the Cotter Living Trust that are to be distributed to the to-be-formed trust for her children.</w:t>
      </w:r>
    </w:p>
    <w:p>
      <w:pPr>
        <w:spacing w:after="0" w:line="276"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Based on Mr. Cuban's Schedule 13D/A filed with the SEC on July 3, 2023 and his Form 4 filed with the SEC on September 15, 2023.</w:t>
      </w:r>
    </w:p>
    <w:p>
      <w:pPr>
        <w:spacing w:after="0" w:line="149" w:lineRule="exact"/>
        <w:rPr>
          <w:rFonts w:ascii="Times New Roman" w:cs="Times New Roman" w:eastAsia="Times New Roman" w:hAnsi="Times New Roman"/>
          <w:sz w:val="14"/>
          <w:szCs w:val="14"/>
          <w:color w:val="auto"/>
        </w:rPr>
      </w:pPr>
    </w:p>
    <w:p>
      <w:pPr>
        <w:jc w:val="both"/>
        <w:ind w:left="328" w:right="20" w:hanging="328"/>
        <w:spacing w:after="0" w:line="259"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Based on GAMCO Investors, Inc.’s Schedule 13D/A filed with the SEC on November 27, 2024, on behalf of Mario J. Gabelli (“Mario Gabelli”) and various entities which Mario Gabelli directly or indirectly controls or for which he acts as Chief Investment Officer, Mario Gabelli holds 119,530 shares of Class B Voting Common Stock. The Company has reason to believe that Mr. Gabelli also holds an aggregate amount of 565,600 shares of Class A Non-Voting Common Stock.</w:t>
      </w:r>
    </w:p>
    <w:p>
      <w:pPr>
        <w:spacing w:after="0" w:line="97" w:lineRule="exact"/>
        <w:rPr>
          <w:rFonts w:ascii="Times New Roman" w:cs="Times New Roman" w:eastAsia="Times New Roman" w:hAnsi="Times New Roman"/>
          <w:sz w:val="14"/>
          <w:szCs w:val="14"/>
          <w:color w:val="auto"/>
        </w:rPr>
      </w:pPr>
    </w:p>
    <w:p>
      <w:pPr>
        <w:ind w:left="328" w:right="20" w:hanging="328"/>
        <w:spacing w:after="0" w:line="259" w:lineRule="auto"/>
        <w:tabs>
          <w:tab w:leader="none" w:pos="32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A Stock shown includes 1,707,412 shares subject to stock options currently exercisable or exercisable within 60 days, and RSUs that have vested or will vest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8"/>
          </w:cols>
          <w:pgMar w:left="652" w:top="518"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Section 16(a) Reports</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all of our executive officers and Directors, and greater than 10% beneficial owners, complied with the reporting requirements of Section 16(a) during 2024.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current executive officers, other than Chair Margaret Cotter and Vice-Chair Ellen Cotter, whose information is set forth above under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357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357120"/>
                    </a:xfrm>
                    <a:prstGeom prst="rect">
                      <a:avLst/>
                    </a:prstGeom>
                    <a:noFill/>
                  </pic:spPr>
                </pic:pic>
              </a:graphicData>
            </a:graphic>
          </wp:anchor>
        </w:drawing>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0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Gilbert Avanes</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51</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39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Robert F. Smerling</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90</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US Cinemas</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 Craig Tompkins</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74</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Andrzej Matyczynski</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73</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Global Operations</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John Goeddel</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62</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Chief Information Officer</w:t>
            </w:r>
          </w:p>
        </w:tc>
      </w:tr>
      <w:tr>
        <w:trPr>
          <w:trHeight w:val="39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Terri Moore</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74</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US Cinemas Operations</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Steve Lucas</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55</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Mark Douglas</w:t>
            </w:r>
          </w:p>
        </w:tc>
        <w:tc>
          <w:tcPr>
            <w:tcW w:w="1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55</w:t>
            </w: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Managing Director, Australia and New Zealand</w:t>
            </w:r>
          </w:p>
        </w:tc>
      </w:tr>
    </w:tbl>
    <w:p>
      <w:pPr>
        <w:spacing w:after="0" w:line="360"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18"/>
          <w:szCs w:val="18"/>
          <w:u w:val="single" w:color="auto"/>
          <w:color w:val="auto"/>
        </w:rPr>
        <w:t>Gilbert Avanes</w:t>
      </w:r>
      <w:r>
        <w:rPr>
          <w:rFonts w:ascii="Times New Roman" w:cs="Times New Roman" w:eastAsia="Times New Roman" w:hAnsi="Times New Roman"/>
          <w:sz w:val="18"/>
          <w:szCs w:val="18"/>
          <w:color w:val="auto"/>
        </w:rPr>
        <w:t>. Mr. Avanes serves as the Executive Vice President, Chief Financial Officer and Treasurer; he was appointed to this position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Reading, Mr. Avanes served in various finance and accounting roles over the course of a decade at Toronto-Dominion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Toronto Metropolitan University.</w:t>
      </w:r>
    </w:p>
    <w:p>
      <w:pPr>
        <w:spacing w:after="0" w:line="15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u w:val="single" w:color="auto"/>
          <w:color w:val="auto"/>
        </w:rPr>
        <w:t>Robert F. Smerling</w:t>
      </w:r>
      <w:r>
        <w:rPr>
          <w:rFonts w:ascii="Times New Roman" w:cs="Times New Roman" w:eastAsia="Times New Roman" w:hAnsi="Times New Roman"/>
          <w:sz w:val="18"/>
          <w:szCs w:val="18"/>
          <w:color w:val="auto"/>
        </w:rPr>
        <w:t>. Mr. Smerling has served as President of our US cinema operations since 1994. He has been involved in the acquisition and/or development of all of our existing domestic cinemas. Prior to joining our Company, Mr. Smerling was the President of Loews Theatres,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 Chair of USA Cinemas in Boston, and President of Cinemanational Theatres. Mr. Smerling, a recognized leader in our industry, has been a director of the National Association of Theatre Owners, the principal trade group representing the cinema exhibition industry. In recognition of his contributions to the movie cinema exhibition industry, Mr. Smerling (i) was honored at The Motion Picture Club Charity Event in June 2023 in New York City and (ii) recently received the 2024 Bingham Ray Spirit Award at ShowEast in Miami.</w:t>
      </w:r>
    </w:p>
    <w:p>
      <w:pPr>
        <w:spacing w:after="0" w:line="15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671" w:right="1059" w:bottom="1440" w:gutter="0" w:footer="0" w:header="0"/>
        </w:sectPr>
      </w:pPr>
    </w:p>
    <w:bookmarkStart w:id="29" w:name="page30"/>
    <w:bookmarkEnd w:id="29"/>
    <w:p>
      <w:pPr>
        <w:jc w:val="both"/>
        <w:ind w:firstLine="648"/>
        <w:spacing w:after="0" w:line="231" w:lineRule="auto"/>
        <w:rPr>
          <w:sz w:val="20"/>
          <w:szCs w:val="20"/>
          <w:color w:val="auto"/>
        </w:rPr>
      </w:pPr>
      <w:r>
        <w:rPr>
          <w:rFonts w:ascii="Times New Roman" w:cs="Times New Roman" w:eastAsia="Times New Roman" w:hAnsi="Times New Roman"/>
          <w:sz w:val="18"/>
          <w:szCs w:val="18"/>
          <w:u w:val="single" w:color="auto"/>
          <w:color w:val="auto"/>
        </w:rPr>
        <w:t>S. Craig Tompkins</w:t>
      </w:r>
      <w:r>
        <w:rPr>
          <w:rFonts w:ascii="Times New Roman" w:cs="Times New Roman" w:eastAsia="Times New Roman" w:hAnsi="Times New Roman"/>
          <w:sz w:val="18"/>
          <w:szCs w:val="18"/>
          <w:color w:val="auto"/>
        </w:rPr>
        <w:t>. Mr. Tompkins has worked in various capacities for our Company and its predecessors for more than the past thirty-one (31) years. He has served as Vice Chair of our Company and as the President of two of its predecessors public companies, as a consultant and outside counsel and, since 2017, as Executive Vice President and General Counsel. Prior to his employment at our Company, Mr. Tompkins was a partner at Gibson, Dunn &amp; Crutcher. Mr. Tompkins from May 2023 until its merger with Mechanics Bank on September 2, 2025, served on the Board of Directors of HomeStreet, Inc. and of its wholly owned subsidiary, Homestreet Bank. Between 2007 and December 2022, Mr. Tompkins was a principal equity holder in and the Chair of Marshall &amp; Stevens, Incorporated, a privately held valuation and consulting firm specializing in the valuation of real estate, business enterprises and alternative energy assets.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December 2022, Mr. Tompkins sold his interest in Marshall &amp; Stevens and retired from its Board of Directors. Mr. Tompkins is currently providing limited consulting services to Marshall &amp; Stevens serving as Chair of the firm’s Opinions Committee. From 1993 to 2006 (when the company went private), Mr. Tompkins served as a director and as the Chair of the Audit Committee of G&amp;L Realty (an NYSE REIT specializing in medical properties), and from 1998 to 2001 (when the bank was sold) as a member of the Board of Directors, of the Compensation Committee, and of the Special Independent Committee of Fidelity Federal Bank, FSB. Mr. Tompkins is also the Chair and Chief Executive Officer of Kirtland Farms, Inc. (a Tompkins family-owned agricultural operation in Southern Oregon).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Andrzej J. Matyczynski</w:t>
      </w:r>
      <w:r>
        <w:rPr>
          <w:rFonts w:ascii="Times New Roman" w:cs="Times New Roman" w:eastAsia="Times New Roman" w:hAnsi="Times New Roman"/>
          <w:sz w:val="18"/>
          <w:szCs w:val="18"/>
          <w:color w:val="auto"/>
        </w:rPr>
        <w:t>. Mr. Matyczynski serves as our Executive Vice President, Global Operations, he was appointed to this position on March 10, 2016. From May 11, 2015 until March 10, 2016, Mr. Matyczynski acted as the Strategic Corporate Advisor to our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holds a Master's Degree in Business Administration from the University of Southern California.</w:t>
      </w:r>
    </w:p>
    <w:p>
      <w:pPr>
        <w:spacing w:after="0" w:line="14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John Goeddel</w:t>
      </w:r>
      <w:r>
        <w:rPr>
          <w:rFonts w:ascii="Times New Roman" w:cs="Times New Roman" w:eastAsia="Times New Roman" w:hAnsi="Times New Roman"/>
          <w:sz w:val="18"/>
          <w:szCs w:val="18"/>
          <w:color w:val="auto"/>
        </w:rPr>
        <w:t>. Mr. Goeddel serves as the Executive Vice President, Chief Information Officer; he was appointed to this position on December 8, 2021. Mr. Goeddel has been an employee of our Company since December 2003, most recently serving as Vice President, Chief Information Officer. Prior thereto, Mr. Goeddel served as our Chief Information Officer (2016), Director of Information Technology (December 2003 to 2016). Mr. Goeddel brings over 40 years of information technology and motion picture cinema operations experience. Prior to joining Reading, Mr. Goeddel served in various information technology and cinema operation roles over the course of 25 years at Decurion located in Beverly Hills, CA. Mr. Goeddel has a Bachelors in Business Administration with an IT concentration from Colorado Technical University.</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Terri Moore</w:t>
      </w:r>
      <w:r>
        <w:rPr>
          <w:rFonts w:ascii="Times New Roman" w:cs="Times New Roman" w:eastAsia="Times New Roman" w:hAnsi="Times New Roman"/>
          <w:sz w:val="18"/>
          <w:szCs w:val="18"/>
          <w:color w:val="auto"/>
        </w:rPr>
        <w:t>. Ms. Moore serves as the Executive Vice President, US Cinema Operations; she was appointed to this position on December 8, 2021. Ms. Moore joined our Company in 2001 in New York as Director of Theatre Operations, and in 2008 moved to Los Angeles to become Vice President-US Cinema Operations. Ms. Moore started her career in the motion picture theatre business as an hourly concessions employee in 1968. A year later she joined Pacific Theatres where she held many different executive positions, including general manager, district manager, HR training &amp; development and Special Project Manager for their theatre operations in Warsaw, Poland. Terri lived in Poland for three years and was responsible for the opening of one of Poland’s first modernized cinema circuits.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Steven J. Lucas</w:t>
      </w:r>
      <w:r>
        <w:rPr>
          <w:rFonts w:ascii="Times New Roman" w:cs="Times New Roman" w:eastAsia="Times New Roman" w:hAnsi="Times New Roman"/>
          <w:sz w:val="18"/>
          <w:szCs w:val="18"/>
          <w:color w:val="auto"/>
        </w:rPr>
        <w:t>. Mr. Lucas serves as our Vice President, Controller and Chief Accounting Officer; he was appointed to this position in 2015. From 2011 to 2015, Mr. Lucas worked in our accounting group holding the role of Asia Pacific Controller. Prior to joining our Company, Mr. Lucas worked for Arthur Andersen and Ernst &amp; Young for more than sixteen (16) years. He is a Chartered Accountant and has been a member of Chartered Accountants Australia and New Zealand for over twenty-three (23)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30" w:name="page31"/>
    <w:bookmarkEnd w:id="30"/>
    <w:p>
      <w:pPr>
        <w:jc w:val="both"/>
        <w:ind w:firstLine="648"/>
        <w:spacing w:after="0" w:line="231" w:lineRule="auto"/>
        <w:rPr>
          <w:sz w:val="20"/>
          <w:szCs w:val="20"/>
          <w:color w:val="auto"/>
        </w:rPr>
      </w:pPr>
      <w:r>
        <w:rPr>
          <w:rFonts w:ascii="Times New Roman" w:cs="Times New Roman" w:eastAsia="Times New Roman" w:hAnsi="Times New Roman"/>
          <w:sz w:val="18"/>
          <w:szCs w:val="18"/>
          <w:u w:val="single" w:color="auto"/>
          <w:color w:val="auto"/>
        </w:rPr>
        <w:t>Mark D. Douglas</w:t>
      </w:r>
      <w:r>
        <w:rPr>
          <w:rFonts w:ascii="Times New Roman" w:cs="Times New Roman" w:eastAsia="Times New Roman" w:hAnsi="Times New Roman"/>
          <w:sz w:val="18"/>
          <w:szCs w:val="18"/>
          <w:color w:val="auto"/>
        </w:rPr>
        <w:t>. Mr. Douglas serves as our Managing Director, Australia and New Zealand, overseeing our international cinema 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and Authority of the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18"/>
          <w:szCs w:val="18"/>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(3) of our independent Directors. Our Compensation Committee charter requires our Compensation Committee members to meet the independence rules and regulations of the SEC and the Nasdaq Stock Market (“Nasdaq”).</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Philosophy</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short-term incentive (“STI”) bonuses generally support goals 1, 2 and 3 above, our long-term incentives (“LTI”) generally support goals 1, 2 and 4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r>
        <w:rPr>
          <w:rFonts w:ascii="Times New Roman" w:cs="Times New Roman" w:eastAsia="Times New Roman" w:hAnsi="Times New Roman"/>
          <w:sz w:val="29"/>
          <w:szCs w:val="29"/>
          <w:b w:val="1"/>
          <w:bCs w:val="1"/>
          <w:i w:val="1"/>
          <w:iCs w:val="1"/>
          <w:color w:val="auto"/>
          <w:vertAlign w:val="superscript"/>
        </w:rPr>
        <w:t>3</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Charter delegates significant executive compensation responsibilities to our Compensation Committee, including: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establish our compensation philosophy and objectives;</w:t>
      </w:r>
    </w:p>
    <w:p>
      <w:pPr>
        <w:spacing w:after="0" w:line="15" w:lineRule="exact"/>
        <w:rPr>
          <w:sz w:val="20"/>
          <w:szCs w:val="20"/>
          <w:color w:val="auto"/>
        </w:rPr>
      </w:pPr>
    </w:p>
    <w:p>
      <w:pPr>
        <w:ind w:left="660"/>
        <w:spacing w:after="0" w:line="219" w:lineRule="auto"/>
        <w:rPr>
          <w:sz w:val="20"/>
          <w:szCs w:val="20"/>
          <w:color w:val="auto"/>
        </w:rPr>
      </w:pPr>
      <w:r>
        <w:rPr>
          <w:rFonts w:ascii="Times New Roman" w:cs="Times New Roman" w:eastAsia="Times New Roman" w:hAnsi="Times New Roman"/>
          <w:sz w:val="18"/>
          <w:szCs w:val="18"/>
          <w:color w:val="auto"/>
        </w:rPr>
        <w:t>to review and approve all compensation, for our CEO and our executive officers;</w:t>
      </w:r>
    </w:p>
    <w:p>
      <w:pPr>
        <w:ind w:left="980"/>
        <w:spacing w:after="0" w:line="226" w:lineRule="auto"/>
        <w:rPr>
          <w:sz w:val="20"/>
          <w:szCs w:val="20"/>
          <w:color w:val="auto"/>
        </w:rPr>
      </w:pPr>
      <w:r>
        <w:rPr>
          <w:rFonts w:ascii="Times New Roman" w:cs="Times New Roman" w:eastAsia="Times New Roman" w:hAnsi="Times New Roman"/>
          <w:sz w:val="18"/>
          <w:szCs w:val="18"/>
          <w:color w:val="auto"/>
        </w:rPr>
        <w:t>to approve all employment agreements, severance arrangements, change in control provisions and agreements and any special or supplemental benefits applicable to our CEO and other executive officers;</w:t>
      </w:r>
    </w:p>
    <w:p>
      <w:pPr>
        <w:spacing w:after="0" w:line="1" w:lineRule="exact"/>
        <w:rPr>
          <w:sz w:val="20"/>
          <w:szCs w:val="20"/>
          <w:color w:val="auto"/>
        </w:rPr>
      </w:pPr>
    </w:p>
    <w:p>
      <w:pPr>
        <w:ind w:left="980"/>
        <w:spacing w:after="0" w:line="226" w:lineRule="auto"/>
        <w:rPr>
          <w:sz w:val="20"/>
          <w:szCs w:val="20"/>
          <w:color w:val="auto"/>
        </w:rPr>
      </w:pPr>
      <w:r>
        <w:rPr>
          <w:rFonts w:ascii="Times New Roman" w:cs="Times New Roman" w:eastAsia="Times New Roman" w:hAnsi="Times New Roman"/>
          <w:sz w:val="18"/>
          <w:szCs w:val="18"/>
          <w:color w:val="auto"/>
        </w:rPr>
        <w:t>to approve and adopt, on behalf of our Board, incentive compensation and equity-based compensation plans, or, in the case of plans requiring stockholder approval, to review and recommend such plan to the stockholders;</w:t>
      </w:r>
    </w:p>
    <w:p>
      <w:pPr>
        <w:spacing w:after="0" w:line="1" w:lineRule="exact"/>
        <w:rPr>
          <w:sz w:val="20"/>
          <w:szCs w:val="20"/>
          <w:color w:val="auto"/>
        </w:rPr>
      </w:pPr>
    </w:p>
    <w:p>
      <w:pPr>
        <w:ind w:left="980" w:right="20"/>
        <w:spacing w:after="0" w:line="233" w:lineRule="auto"/>
        <w:rPr>
          <w:sz w:val="20"/>
          <w:szCs w:val="20"/>
          <w:color w:val="auto"/>
        </w:rPr>
      </w:pPr>
      <w:r>
        <w:rPr>
          <w:rFonts w:ascii="Times New Roman" w:cs="Times New Roman" w:eastAsia="Times New Roman" w:hAnsi="Times New Roman"/>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prepare an annual compensation committee report for inclusion in our proxy statement for the annual meeting of stockholders;</w:t>
      </w:r>
    </w:p>
    <w:p>
      <w:pPr>
        <w:spacing w:after="0" w:line="15" w:lineRule="exact"/>
        <w:rPr>
          <w:sz w:val="20"/>
          <w:szCs w:val="20"/>
          <w:color w:val="auto"/>
        </w:rPr>
      </w:pPr>
    </w:p>
    <w:p>
      <w:pPr>
        <w:ind w:left="980" w:right="20"/>
        <w:spacing w:after="0" w:line="226" w:lineRule="auto"/>
        <w:rPr>
          <w:sz w:val="20"/>
          <w:szCs w:val="20"/>
          <w:color w:val="auto"/>
        </w:rPr>
      </w:pPr>
      <w:r>
        <w:rPr>
          <w:rFonts w:ascii="Times New Roman" w:cs="Times New Roman" w:eastAsia="Times New Roman" w:hAnsi="Times New Roman"/>
          <w:sz w:val="18"/>
          <w:szCs w:val="18"/>
          <w:color w:val="auto"/>
        </w:rPr>
        <w:t>to administer our equity-based compensation plans, including the grant of stock options and other equity awards under such plans; and</w:t>
      </w:r>
    </w:p>
    <w:p>
      <w:pPr>
        <w:spacing w:after="0" w:line="1" w:lineRule="exact"/>
        <w:rPr>
          <w:sz w:val="20"/>
          <w:szCs w:val="20"/>
          <w:color w:val="auto"/>
        </w:rPr>
      </w:pPr>
    </w:p>
    <w:p>
      <w:pPr>
        <w:ind w:left="980" w:right="20"/>
        <w:spacing w:after="0" w:line="233" w:lineRule="auto"/>
        <w:rPr>
          <w:sz w:val="20"/>
          <w:szCs w:val="20"/>
          <w:color w:val="auto"/>
        </w:rPr>
      </w:pPr>
      <w:r>
        <w:rPr>
          <w:rFonts w:ascii="Times New Roman" w:cs="Times New Roman" w:eastAsia="Times New Roman" w:hAnsi="Times New Roman"/>
          <w:sz w:val="18"/>
          <w:szCs w:val="18"/>
          <w:color w:val="auto"/>
        </w:rPr>
        <w:t>to consider the results of the most recent stockholder advisory vote on executive compensation when determining compensation policies and making decisions on executive compensation.</w:t>
      </w:r>
    </w:p>
    <w:p>
      <w:pPr>
        <w:spacing w:after="0" w:line="1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31" w:name="page32"/>
    <w:bookmarkEnd w:id="31"/>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Charter is available on our website at </w:t>
      </w:r>
      <w:r>
        <w:rPr>
          <w:rFonts w:ascii="Times New Roman" w:cs="Times New Roman" w:eastAsia="Times New Roman" w:hAnsi="Times New Roman"/>
          <w:sz w:val="18"/>
          <w:szCs w:val="18"/>
          <w:u w:val="single" w:color="auto"/>
          <w:color w:val="0000FF"/>
        </w:rPr>
        <w:t>www.investor.readingrdi.com/corporate-governance/governance-overview</w:t>
      </w:r>
      <w:r>
        <w:rPr>
          <w:rFonts w:ascii="Times New Roman" w:cs="Times New Roman" w:eastAsia="Times New Roman" w:hAnsi="Times New Roman"/>
          <w:sz w:val="18"/>
          <w:szCs w:val="18"/>
          <w:color w:val="000000"/>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Setting Process</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Considering the Company’s 2024 liquidity condition, the continuing headwinds faced by our global cinema business and our efforts to manage and utilize our real estate business for cash flow and liquidity sources, our Compensation Committee continued to execute NEO compensation decisions in a conservative and prudent manner.</w:t>
      </w:r>
    </w:p>
    <w:p>
      <w:pPr>
        <w:spacing w:after="0" w:line="15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Our Compensation Committee considered the prudent use of base salaries, STI bonuses and LTI equity grants. In its analysis, our Compensation Committee relied on, among other things, input from our Chief Executive Officer, review of Company financial data, review of historical NEO compensation data, and compensation peer data from earlier years provided by compensation consultants.</w:t>
      </w:r>
    </w:p>
    <w:p>
      <w:pPr>
        <w:spacing w:after="0" w:line="15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For 2024, our Compensation Committee (i) maintained, without base salary increases, existing annual base salaries through such year for our NEOs and (ii) did not grant any cash bonuses under our STI program, but, instead issued stock options (valued according to the Black Scholes method) to purchase Class A Non-Voting Common Stock. In light of our need to conserve cash, the Compensation Committee granted options in a number tied to a potential cash bonus based on each NEO attaining certain Company and individual goals. These stock options have an exercise price of $1.43 per share (determined by the market price for Class A Non-Voting Common Stock), a one year vesting period and a five year exercise period. In light of the prudent course the Compensation Committee took related to compensation issues in 2024 due to the headwinds faced by the global cinema business, coupled with an evaluation of the stock options granted to NEOs, the Compensation Committee did not issue LTI awards for 2024.</w:t>
      </w:r>
    </w:p>
    <w:p>
      <w:pPr>
        <w:spacing w:after="0" w:line="14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As it does annually, in early 2024, our Compensation Committee approved objective performance goals for each NEO based on target Company performance and individual NEO performance goals. In 2025, our Compensation Committee evaluated the target Company and individual NEO performance goals against 2024 results. Our Compensation Committee determined that certain objective corporate performance criteria had been met and, as a result, the portion of outstanding PRSUs issued to NEOs prior to 2024 that were based on 2024 performance were determined to have been vested.</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This discussion covers executive compensation matters for the year ended December 31, 2024, and does not reflect information for subsequent years, including 2025.</w:t>
      </w:r>
    </w:p>
    <w:p>
      <w:pPr>
        <w:spacing w:after="0" w:line="14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Clawback Policy</w:t>
      </w:r>
    </w:p>
    <w:p>
      <w:pPr>
        <w:spacing w:after="0" w:line="18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November 29, 2023, our Board adopted an Executive Officer Clawback Policy, in compliance with Nasdaq Stock Market Listing Rules (the “2023 Clawback Policy”).</w:t>
      </w:r>
    </w:p>
    <w:p>
      <w:pPr>
        <w:spacing w:after="0" w:line="149"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18"/>
          <w:szCs w:val="18"/>
          <w:color w:val="auto"/>
        </w:rPr>
        <w:t>Any STI cash payment made to our NEOs is subject to forfeiture, recovery by our Company or other action pursuant to any agreement evidencing any incentive compensation or any clawback or recoupment policy which our Company may adopt from time to time, including, without limitation, our 2023 Clawback Policy or any</w:t>
      </w: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52" w:lineRule="exact"/>
        <w:rPr>
          <w:sz w:val="20"/>
          <w:szCs w:val="20"/>
          <w:color w:val="auto"/>
        </w:rPr>
      </w:pPr>
    </w:p>
    <w:p>
      <w:pPr>
        <w:ind w:right="20" w:firstLine="8"/>
        <w:spacing w:after="0" w:line="207" w:lineRule="auto"/>
        <w:tabs>
          <w:tab w:leader="none" w:pos="121"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1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99" w:right="1059" w:bottom="1440" w:gutter="0" w:footer="0" w:header="0"/>
        </w:sectPr>
      </w:pPr>
    </w:p>
    <w:bookmarkStart w:id="32" w:name="page33"/>
    <w:bookmarkEnd w:id="32"/>
    <w:p>
      <w:pPr>
        <w:jc w:val="both"/>
        <w:ind w:right="740"/>
        <w:spacing w:after="0" w:line="242" w:lineRule="auto"/>
        <w:rPr>
          <w:sz w:val="20"/>
          <w:szCs w:val="20"/>
          <w:color w:val="auto"/>
        </w:rPr>
      </w:pPr>
      <w:r>
        <w:rPr>
          <w:rFonts w:ascii="Times New Roman" w:cs="Times New Roman" w:eastAsia="Times New Roman" w:hAnsi="Times New Roman"/>
          <w:sz w:val="18"/>
          <w:szCs w:val="18"/>
          <w:color w:val="auto"/>
        </w:rPr>
        <w:t>other such policy which our Company may be required to adopt under the listing rules of The Nasdaq Capital Market, the Dodd-Frank Wall Street Reform and Consumer Protection Act or any successor or replacement law, and implementing rules and regulations thereunder, or as otherwise required by law.</w:t>
      </w:r>
    </w:p>
    <w:p>
      <w:pPr>
        <w:spacing w:after="0" w:line="143" w:lineRule="exact"/>
        <w:rPr>
          <w:sz w:val="20"/>
          <w:szCs w:val="20"/>
          <w:color w:val="auto"/>
        </w:rPr>
      </w:pPr>
    </w:p>
    <w:p>
      <w:pPr>
        <w:jc w:val="both"/>
        <w:ind w:right="740" w:firstLine="648"/>
        <w:spacing w:after="0" w:line="235" w:lineRule="auto"/>
        <w:rPr>
          <w:sz w:val="20"/>
          <w:szCs w:val="20"/>
          <w:color w:val="auto"/>
        </w:rPr>
      </w:pPr>
      <w:r>
        <w:rPr>
          <w:rFonts w:ascii="Times New Roman" w:cs="Times New Roman" w:eastAsia="Times New Roman" w:hAnsi="Times New Roman"/>
          <w:sz w:val="18"/>
          <w:szCs w:val="18"/>
          <w:color w:val="auto"/>
        </w:rPr>
        <w:t>Under our 2020 Stock Incentive Plan, described in above and greater detail under the caption 2020 Stock Incentive Plan below, all LTIs or shares issued in respect thereof and cash or other proceeds in respect thereof issued to our NEOs are subject to clawback, reduction, cancelation, forfeiture and recoupment to the extent necessary to comply with applicable law or the listing rules of Nasdaq or other principal stock exchange on which our Common Stock is then listed. In accepting an award under our 2020 Stock Incentive Plan, a participant agrees to be bound by any such clawback. Our 2023 Clawback Policy implements the Nasdaq Stock Market Listing Rules in this regard.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Anti-Put/Call/Short Sale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NEOs may not trade in puts or calls or engage in short sales with respect to our Company’s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189" w:lineRule="exact"/>
        <w:rPr>
          <w:sz w:val="20"/>
          <w:szCs w:val="20"/>
          <w:color w:val="auto"/>
        </w:rPr>
      </w:pPr>
    </w:p>
    <w:p>
      <w:pPr>
        <w:jc w:val="both"/>
        <w:ind w:right="740" w:firstLine="648"/>
        <w:spacing w:after="0" w:line="250" w:lineRule="auto"/>
        <w:rPr>
          <w:sz w:val="20"/>
          <w:szCs w:val="20"/>
          <w:color w:val="auto"/>
        </w:rPr>
      </w:pPr>
      <w:r>
        <w:rPr>
          <w:rFonts w:ascii="Times New Roman" w:cs="Times New Roman" w:eastAsia="Times New Roman" w:hAnsi="Times New Roman"/>
          <w:sz w:val="18"/>
          <w:szCs w:val="18"/>
          <w:color w:val="auto"/>
        </w:rPr>
        <w:t>Our NEOs may not engage in certain hedging transactions with respect to our Company’s securities, such as zero-cost collars, equity swaps, prepaid variable forward contracts and exchange funds.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received by our Principal Executive Officer (PEO) and our other named executive officers compared to compensation actually paid to such officers, and certain financial performance measures during the last three completed fiscal years.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400" w:type="dxa"/>
            <w:vAlign w:val="bottom"/>
            <w:tcBorders>
              <w:top w:val="single" w:sz="8" w:color="auto"/>
              <w:left w:val="single" w:sz="8" w:color="auto"/>
              <w:right w:val="single" w:sz="8" w:color="auto"/>
            </w:tcBorders>
          </w:tcPr>
          <w:p>
            <w:pPr>
              <w:spacing w:after="0"/>
              <w:rPr>
                <w:sz w:val="23"/>
                <w:szCs w:val="23"/>
                <w:color w:val="auto"/>
              </w:rPr>
            </w:pPr>
          </w:p>
        </w:tc>
        <w:tc>
          <w:tcPr>
            <w:tcW w:w="1760" w:type="dxa"/>
            <w:vAlign w:val="bottom"/>
            <w:tcBorders>
              <w:top w:val="single" w:sz="8" w:color="auto"/>
              <w:right w:val="single" w:sz="8" w:color="auto"/>
            </w:tcBorders>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620" w:type="dxa"/>
            <w:vAlign w:val="bottom"/>
            <w:tcBorders>
              <w:top w:val="single" w:sz="8" w:color="auto"/>
              <w:right w:val="single" w:sz="8" w:color="auto"/>
            </w:tcBorders>
          </w:tcPr>
          <w:p>
            <w:pPr>
              <w:spacing w:after="0"/>
              <w:rPr>
                <w:sz w:val="23"/>
                <w:szCs w:val="23"/>
                <w:color w:val="auto"/>
              </w:rPr>
            </w:pPr>
          </w:p>
        </w:tc>
        <w:tc>
          <w:tcPr>
            <w:tcW w:w="1880" w:type="dxa"/>
            <w:vAlign w:val="bottom"/>
            <w:tcBorders>
              <w:top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Average Summary</w:t>
            </w:r>
          </w:p>
        </w:tc>
        <w:tc>
          <w:tcPr>
            <w:tcW w:w="1880" w:type="dxa"/>
            <w:vAlign w:val="bottom"/>
            <w:tcBorders>
              <w:top w:val="single" w:sz="8" w:color="auto"/>
              <w:right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360" w:type="dxa"/>
            <w:vAlign w:val="bottom"/>
            <w:tcBorders>
              <w:top w:val="single" w:sz="8" w:color="auto"/>
              <w:right w:val="single" w:sz="8" w:color="auto"/>
            </w:tcBorders>
          </w:tcPr>
          <w:p>
            <w:pPr>
              <w:spacing w:after="0"/>
              <w:rPr>
                <w:sz w:val="23"/>
                <w:szCs w:val="23"/>
                <w:color w:val="auto"/>
              </w:rPr>
            </w:pPr>
          </w:p>
        </w:tc>
        <w:tc>
          <w:tcPr>
            <w:tcW w:w="14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80" w:type="dxa"/>
            <w:vAlign w:val="bottom"/>
            <w:tcBorders>
              <w:right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 Table</w:t>
            </w:r>
          </w:p>
        </w:tc>
        <w:tc>
          <w:tcPr>
            <w:tcW w:w="1880" w:type="dxa"/>
            <w:vAlign w:val="bottom"/>
            <w:tcBorders>
              <w:right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Compensation</w:t>
            </w:r>
          </w:p>
        </w:tc>
        <w:tc>
          <w:tcPr>
            <w:tcW w:w="9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3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1620" w:type="dxa"/>
            <w:vAlign w:val="bottom"/>
            <w:tcBorders>
              <w:right w:val="single" w:sz="8" w:color="auto"/>
            </w:tcBorders>
          </w:tcPr>
          <w:p>
            <w:pPr>
              <w:jc w:val="center"/>
              <w:ind w:right="61"/>
              <w:spacing w:after="0" w:line="175" w:lineRule="exact"/>
              <w:rPr>
                <w:sz w:val="20"/>
                <w:szCs w:val="20"/>
                <w:color w:val="auto"/>
              </w:rPr>
            </w:pPr>
            <w:r>
              <w:rPr>
                <w:rFonts w:ascii="Times New Roman" w:cs="Times New Roman" w:eastAsia="Times New Roman" w:hAnsi="Times New Roman"/>
                <w:sz w:val="16"/>
                <w:szCs w:val="16"/>
                <w:b w:val="1"/>
                <w:bCs w:val="1"/>
                <w:color w:val="auto"/>
              </w:rPr>
              <w:t>Actually Paid to PEO</w:t>
            </w:r>
          </w:p>
        </w:tc>
        <w:tc>
          <w:tcPr>
            <w:tcW w:w="1880" w:type="dxa"/>
            <w:vAlign w:val="bottom"/>
            <w:tcBorders>
              <w:right w:val="single" w:sz="8" w:color="auto"/>
            </w:tcBorders>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Total for Non-PEO</w:t>
            </w:r>
          </w:p>
        </w:tc>
        <w:tc>
          <w:tcPr>
            <w:tcW w:w="1880" w:type="dxa"/>
            <w:vAlign w:val="bottom"/>
            <w:tcBorders>
              <w:right w:val="single" w:sz="8" w:color="auto"/>
            </w:tcBorders>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Actually Paid to Non-</w:t>
            </w:r>
          </w:p>
        </w:tc>
        <w:tc>
          <w:tcPr>
            <w:tcW w:w="1320" w:type="dxa"/>
            <w:vAlign w:val="bottom"/>
            <w:tcBorders>
              <w:right w:val="single" w:sz="8" w:color="auto"/>
            </w:tcBorders>
            <w:gridSpan w:val="2"/>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760" w:type="dxa"/>
            <w:vAlign w:val="bottom"/>
            <w:tcBorders>
              <w:right w:val="single" w:sz="8" w:color="auto"/>
            </w:tcBorders>
          </w:tcPr>
          <w:p>
            <w:pPr>
              <w:jc w:val="center"/>
              <w:ind w:right="80"/>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Total for PEO </w:t>
            </w:r>
            <w:r>
              <w:rPr>
                <w:rFonts w:ascii="Times New Roman" w:cs="Times New Roman" w:eastAsia="Times New Roman" w:hAnsi="Times New Roman"/>
                <w:sz w:val="24"/>
                <w:szCs w:val="24"/>
                <w:b w:val="1"/>
                <w:bCs w:val="1"/>
                <w:color w:val="auto"/>
                <w:vertAlign w:val="superscript"/>
              </w:rPr>
              <w:t>(1)</w:t>
            </w:r>
          </w:p>
        </w:tc>
        <w:tc>
          <w:tcPr>
            <w:tcW w:w="162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(2)</w:t>
            </w:r>
          </w:p>
        </w:tc>
        <w:tc>
          <w:tcPr>
            <w:tcW w:w="1880" w:type="dxa"/>
            <w:vAlign w:val="bottom"/>
            <w:tcBorders>
              <w:right w:val="single" w:sz="8" w:color="auto"/>
            </w:tcBorders>
          </w:tcPr>
          <w:p>
            <w:pPr>
              <w:jc w:val="center"/>
              <w:ind w:right="40"/>
              <w:spacing w:after="0" w:line="213" w:lineRule="exact"/>
              <w:rPr>
                <w:sz w:val="20"/>
                <w:szCs w:val="20"/>
                <w:color w:val="auto"/>
              </w:rPr>
            </w:pPr>
            <w:r>
              <w:rPr>
                <w:rFonts w:ascii="Times New Roman" w:cs="Times New Roman" w:eastAsia="Times New Roman" w:hAnsi="Times New Roman"/>
                <w:sz w:val="15"/>
                <w:szCs w:val="15"/>
                <w:b w:val="1"/>
                <w:bCs w:val="1"/>
                <w:color w:val="auto"/>
                <w:w w:val="98"/>
              </w:rPr>
              <w:t xml:space="preserve">NEOs </w:t>
            </w:r>
            <w:r>
              <w:rPr>
                <w:rFonts w:ascii="Times New Roman" w:cs="Times New Roman" w:eastAsia="Times New Roman" w:hAnsi="Times New Roman"/>
                <w:sz w:val="24"/>
                <w:szCs w:val="24"/>
                <w:b w:val="1"/>
                <w:bCs w:val="1"/>
                <w:color w:val="auto"/>
                <w:w w:val="98"/>
                <w:vertAlign w:val="superscript"/>
              </w:rPr>
              <w:t>(3</w:t>
            </w:r>
            <w:r>
              <w:rPr>
                <w:rFonts w:ascii="Times New Roman" w:cs="Times New Roman" w:eastAsia="Times New Roman" w:hAnsi="Times New Roman"/>
                <w:sz w:val="24"/>
                <w:szCs w:val="24"/>
                <w:color w:val="auto"/>
                <w:w w:val="98"/>
                <w:vertAlign w:val="superscript"/>
              </w:rPr>
              <w:t>)</w:t>
            </w:r>
          </w:p>
        </w:tc>
        <w:tc>
          <w:tcPr>
            <w:tcW w:w="1880" w:type="dxa"/>
            <w:vAlign w:val="bottom"/>
            <w:tcBorders>
              <w:right w:val="single" w:sz="8" w:color="auto"/>
            </w:tcBorders>
          </w:tcPr>
          <w:p>
            <w:pPr>
              <w:jc w:val="center"/>
              <w:ind w:right="60"/>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PEO NEOs </w:t>
            </w:r>
            <w:r>
              <w:rPr>
                <w:rFonts w:ascii="Times New Roman" w:cs="Times New Roman" w:eastAsia="Times New Roman" w:hAnsi="Times New Roman"/>
                <w:sz w:val="24"/>
                <w:szCs w:val="24"/>
                <w:b w:val="1"/>
                <w:bCs w:val="1"/>
                <w:color w:val="auto"/>
                <w:vertAlign w:val="superscript"/>
              </w:rPr>
              <w:t>(4)</w:t>
            </w:r>
          </w:p>
        </w:tc>
        <w:tc>
          <w:tcPr>
            <w:tcW w:w="960" w:type="dxa"/>
            <w:vAlign w:val="bottom"/>
          </w:tcPr>
          <w:p>
            <w:pPr>
              <w:jc w:val="center"/>
              <w:ind w:left="140"/>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Return </w:t>
            </w:r>
            <w:r>
              <w:rPr>
                <w:rFonts w:ascii="Times New Roman" w:cs="Times New Roman" w:eastAsia="Times New Roman" w:hAnsi="Times New Roman"/>
                <w:sz w:val="24"/>
                <w:szCs w:val="24"/>
                <w:b w:val="1"/>
                <w:bCs w:val="1"/>
                <w:color w:val="auto"/>
                <w:vertAlign w:val="superscript"/>
              </w:rPr>
              <w:t>(5)</w:t>
            </w:r>
          </w:p>
        </w:tc>
        <w:tc>
          <w:tcPr>
            <w:tcW w:w="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w:t>
            </w:r>
          </w:p>
        </w:tc>
        <w:tc>
          <w:tcPr>
            <w:tcW w:w="1880" w:type="dxa"/>
            <w:vAlign w:val="bottom"/>
            <w:tcBorders>
              <w:right w:val="single" w:sz="8" w:color="auto"/>
            </w:tcBorders>
          </w:tcPr>
          <w:p>
            <w:pPr>
              <w:jc w:val="right"/>
              <w:ind w:right="88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right"/>
              <w:ind w:right="6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176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w:t>
            </w:r>
          </w:p>
        </w:tc>
        <w:tc>
          <w:tcPr>
            <w:tcW w:w="16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(c)</w:t>
            </w:r>
          </w:p>
        </w:tc>
        <w:tc>
          <w:tcPr>
            <w:tcW w:w="1880" w:type="dxa"/>
            <w:vAlign w:val="bottom"/>
            <w:tcBorders>
              <w:bottom w:val="single" w:sz="8" w:color="auto"/>
              <w:right w:val="single" w:sz="8" w:color="auto"/>
            </w:tcBorders>
            <w:vMerge w:val="continue"/>
          </w:tcPr>
          <w:p>
            <w:pPr>
              <w:spacing w:after="0"/>
              <w:rPr>
                <w:sz w:val="17"/>
                <w:szCs w:val="17"/>
                <w:color w:val="auto"/>
              </w:rPr>
            </w:pPr>
          </w:p>
        </w:tc>
        <w:tc>
          <w:tcPr>
            <w:tcW w:w="18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w:t>
            </w:r>
          </w:p>
        </w:tc>
        <w:tc>
          <w:tcPr>
            <w:tcW w:w="96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36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(g)‎</w:t>
            </w:r>
          </w:p>
        </w:tc>
        <w:tc>
          <w:tcPr>
            <w:tcW w:w="0" w:type="dxa"/>
            <w:vAlign w:val="bottom"/>
          </w:tcPr>
          <w:p>
            <w:pPr>
              <w:spacing w:after="0"/>
              <w:rPr>
                <w:sz w:val="1"/>
                <w:szCs w:val="1"/>
                <w:color w:val="auto"/>
              </w:rPr>
            </w:pPr>
          </w:p>
        </w:tc>
      </w:tr>
      <w:tr>
        <w:trPr>
          <w:trHeight w:val="331"/>
        </w:trPr>
        <w:tc>
          <w:tcPr>
            <w:tcW w:w="1400" w:type="dxa"/>
            <w:vAlign w:val="bottom"/>
            <w:tcBorders>
              <w:left w:val="single" w:sz="8" w:color="auto"/>
              <w:bottom w:val="single" w:sz="8" w:color="auto"/>
              <w:right w:val="single" w:sz="8" w:color="auto"/>
            </w:tcBorders>
            <w:shd w:val="clear" w:color="auto" w:fill="C1E1FB"/>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760" w:type="dxa"/>
            <w:vAlign w:val="bottom"/>
            <w:tcBorders>
              <w:bottom w:val="single" w:sz="8" w:color="auto"/>
              <w:right w:val="single" w:sz="8" w:color="auto"/>
            </w:tcBorders>
            <w:shd w:val="clear" w:color="auto" w:fill="C1E1FB"/>
          </w:tcPr>
          <w:p>
            <w:pPr>
              <w:jc w:val="right"/>
              <w:ind w:right="40"/>
              <w:spacing w:after="0"/>
              <w:rPr>
                <w:sz w:val="20"/>
                <w:szCs w:val="20"/>
                <w:color w:val="auto"/>
              </w:rPr>
            </w:pPr>
            <w:r>
              <w:rPr>
                <w:rFonts w:ascii="Times New Roman" w:cs="Times New Roman" w:eastAsia="Times New Roman" w:hAnsi="Times New Roman"/>
                <w:sz w:val="16"/>
                <w:szCs w:val="16"/>
                <w:color w:val="auto"/>
              </w:rPr>
              <w:t>1,004,760</w:t>
            </w:r>
          </w:p>
        </w:tc>
        <w:tc>
          <w:tcPr>
            <w:tcW w:w="1620" w:type="dxa"/>
            <w:vAlign w:val="bottom"/>
            <w:tcBorders>
              <w:bottom w:val="single" w:sz="8" w:color="auto"/>
              <w:right w:val="single" w:sz="8" w:color="auto"/>
            </w:tcBorders>
            <w:shd w:val="clear" w:color="auto" w:fill="C1E1FB"/>
          </w:tcPr>
          <w:p>
            <w:pPr>
              <w:jc w:val="right"/>
              <w:ind w:right="41"/>
              <w:spacing w:after="0"/>
              <w:rPr>
                <w:sz w:val="20"/>
                <w:szCs w:val="20"/>
                <w:color w:val="auto"/>
              </w:rPr>
            </w:pPr>
            <w:r>
              <w:rPr>
                <w:rFonts w:ascii="Times New Roman" w:cs="Times New Roman" w:eastAsia="Times New Roman" w:hAnsi="Times New Roman"/>
                <w:sz w:val="16"/>
                <w:szCs w:val="16"/>
                <w:color w:val="auto"/>
              </w:rPr>
              <w:t>536,130</w:t>
            </w:r>
          </w:p>
        </w:tc>
        <w:tc>
          <w:tcPr>
            <w:tcW w:w="1880" w:type="dxa"/>
            <w:vAlign w:val="bottom"/>
            <w:tcBorders>
              <w:bottom w:val="single" w:sz="8" w:color="auto"/>
              <w:right w:val="single" w:sz="8" w:color="auto"/>
            </w:tcBorders>
            <w:shd w:val="clear" w:color="auto" w:fill="C1E1FB"/>
          </w:tcPr>
          <w:p>
            <w:pPr>
              <w:jc w:val="right"/>
              <w:ind w:right="40"/>
              <w:spacing w:after="0"/>
              <w:rPr>
                <w:sz w:val="20"/>
                <w:szCs w:val="20"/>
                <w:color w:val="auto"/>
              </w:rPr>
            </w:pPr>
            <w:r>
              <w:rPr>
                <w:rFonts w:ascii="Times New Roman" w:cs="Times New Roman" w:eastAsia="Times New Roman" w:hAnsi="Times New Roman"/>
                <w:sz w:val="16"/>
                <w:szCs w:val="16"/>
                <w:color w:val="auto"/>
              </w:rPr>
              <w:t>585,458</w:t>
            </w:r>
          </w:p>
        </w:tc>
        <w:tc>
          <w:tcPr>
            <w:tcW w:w="1880" w:type="dxa"/>
            <w:vAlign w:val="bottom"/>
            <w:tcBorders>
              <w:bottom w:val="single" w:sz="8" w:color="auto"/>
              <w:right w:val="single" w:sz="8" w:color="auto"/>
            </w:tcBorders>
            <w:shd w:val="clear" w:color="auto" w:fill="C1E1FB"/>
          </w:tcPr>
          <w:p>
            <w:pPr>
              <w:jc w:val="right"/>
              <w:ind w:right="40"/>
              <w:spacing w:after="0"/>
              <w:rPr>
                <w:sz w:val="20"/>
                <w:szCs w:val="20"/>
                <w:color w:val="auto"/>
              </w:rPr>
            </w:pPr>
            <w:r>
              <w:rPr>
                <w:rFonts w:ascii="Times New Roman" w:cs="Times New Roman" w:eastAsia="Times New Roman" w:hAnsi="Times New Roman"/>
                <w:sz w:val="16"/>
                <w:szCs w:val="16"/>
                <w:color w:val="auto"/>
              </w:rPr>
              <w:t>444,558</w:t>
            </w:r>
          </w:p>
        </w:tc>
        <w:tc>
          <w:tcPr>
            <w:tcW w:w="960" w:type="dxa"/>
            <w:vAlign w:val="bottom"/>
            <w:tcBorders>
              <w:bottom w:val="single" w:sz="8" w:color="auto"/>
            </w:tcBorders>
            <w:shd w:val="clear" w:color="auto" w:fill="C1E1FB"/>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right w:val="single" w:sz="8" w:color="auto"/>
            </w:tcBorders>
            <w:shd w:val="clear" w:color="auto" w:fill="C1E1FB"/>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400" w:type="dxa"/>
            <w:vAlign w:val="bottom"/>
            <w:tcBorders>
              <w:bottom w:val="single" w:sz="8" w:color="auto"/>
              <w:right w:val="single" w:sz="8" w:color="auto"/>
            </w:tcBorders>
            <w:shd w:val="clear" w:color="auto" w:fill="C1E1FB"/>
          </w:tcPr>
          <w:p>
            <w:pPr>
              <w:jc w:val="right"/>
              <w:ind w:right="39"/>
              <w:spacing w:after="0"/>
              <w:rPr>
                <w:sz w:val="20"/>
                <w:szCs w:val="20"/>
                <w:color w:val="auto"/>
              </w:rPr>
            </w:pPr>
            <w:r>
              <w:rPr>
                <w:rFonts w:ascii="Times New Roman" w:cs="Times New Roman" w:eastAsia="Times New Roman" w:hAnsi="Times New Roman"/>
                <w:sz w:val="16"/>
                <w:szCs w:val="16"/>
                <w:color w:val="auto"/>
              </w:rPr>
              <w:t>(35,898,000)</w:t>
            </w:r>
          </w:p>
        </w:tc>
        <w:tc>
          <w:tcPr>
            <w:tcW w:w="0" w:type="dxa"/>
            <w:vAlign w:val="bottom"/>
          </w:tcPr>
          <w:p>
            <w:pPr>
              <w:spacing w:after="0"/>
              <w:rPr>
                <w:sz w:val="1"/>
                <w:szCs w:val="1"/>
                <w:color w:val="auto"/>
              </w:rPr>
            </w:pPr>
          </w:p>
        </w:tc>
      </w:tr>
      <w:tr>
        <w:trPr>
          <w:trHeight w:val="371"/>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76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1,020,580</w:t>
            </w:r>
          </w:p>
        </w:tc>
        <w:tc>
          <w:tcPr>
            <w:tcW w:w="16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318,935</w:t>
            </w:r>
          </w:p>
        </w:tc>
        <w:tc>
          <w:tcPr>
            <w:tcW w:w="18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678,357</w:t>
            </w:r>
          </w:p>
        </w:tc>
        <w:tc>
          <w:tcPr>
            <w:tcW w:w="18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353,107</w:t>
            </w: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4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(31,185,000)</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bottom w:val="single" w:sz="8" w:color="auto"/>
              <w:right w:val="single" w:sz="8" w:color="auto"/>
            </w:tcBorders>
            <w:shd w:val="clear" w:color="auto" w:fill="C1E1F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760" w:type="dxa"/>
            <w:vAlign w:val="bottom"/>
            <w:tcBorders>
              <w:bottom w:val="single" w:sz="8" w:color="auto"/>
              <w:right w:val="single" w:sz="8" w:color="auto"/>
            </w:tcBorders>
            <w:shd w:val="clear" w:color="auto" w:fill="C1E1FB"/>
          </w:tcPr>
          <w:p>
            <w:pPr>
              <w:jc w:val="right"/>
              <w:ind w:right="80"/>
              <w:spacing w:after="0"/>
              <w:rPr>
                <w:sz w:val="20"/>
                <w:szCs w:val="20"/>
                <w:color w:val="auto"/>
              </w:rPr>
            </w:pPr>
            <w:r>
              <w:rPr>
                <w:rFonts w:ascii="Times New Roman" w:cs="Times New Roman" w:eastAsia="Times New Roman" w:hAnsi="Times New Roman"/>
                <w:sz w:val="16"/>
                <w:szCs w:val="16"/>
                <w:color w:val="auto"/>
              </w:rPr>
              <w:t>1,137,580</w:t>
            </w:r>
          </w:p>
        </w:tc>
        <w:tc>
          <w:tcPr>
            <w:tcW w:w="1620" w:type="dxa"/>
            <w:vAlign w:val="bottom"/>
            <w:tcBorders>
              <w:bottom w:val="single" w:sz="8" w:color="auto"/>
              <w:right w:val="single" w:sz="8" w:color="auto"/>
            </w:tcBorders>
            <w:shd w:val="clear" w:color="auto" w:fill="C1E1FB"/>
          </w:tcPr>
          <w:p>
            <w:pPr>
              <w:jc w:val="right"/>
              <w:ind w:right="41"/>
              <w:spacing w:after="0"/>
              <w:rPr>
                <w:sz w:val="20"/>
                <w:szCs w:val="20"/>
                <w:color w:val="auto"/>
              </w:rPr>
            </w:pPr>
            <w:r>
              <w:rPr>
                <w:rFonts w:ascii="Times New Roman" w:cs="Times New Roman" w:eastAsia="Times New Roman" w:hAnsi="Times New Roman"/>
                <w:sz w:val="16"/>
                <w:szCs w:val="16"/>
                <w:color w:val="auto"/>
              </w:rPr>
              <w:t>313,281</w:t>
            </w:r>
          </w:p>
        </w:tc>
        <w:tc>
          <w:tcPr>
            <w:tcW w:w="1880" w:type="dxa"/>
            <w:vAlign w:val="bottom"/>
            <w:tcBorders>
              <w:bottom w:val="single" w:sz="8" w:color="auto"/>
              <w:right w:val="single" w:sz="8" w:color="auto"/>
            </w:tcBorders>
            <w:shd w:val="clear" w:color="auto" w:fill="C1E1FB"/>
          </w:tcPr>
          <w:p>
            <w:pPr>
              <w:jc w:val="right"/>
              <w:ind w:right="80"/>
              <w:spacing w:after="0"/>
              <w:rPr>
                <w:sz w:val="20"/>
                <w:szCs w:val="20"/>
                <w:color w:val="auto"/>
              </w:rPr>
            </w:pPr>
            <w:r>
              <w:rPr>
                <w:rFonts w:ascii="Times New Roman" w:cs="Times New Roman" w:eastAsia="Times New Roman" w:hAnsi="Times New Roman"/>
                <w:sz w:val="16"/>
                <w:szCs w:val="16"/>
                <w:color w:val="auto"/>
              </w:rPr>
              <w:t>695,779</w:t>
            </w:r>
          </w:p>
        </w:tc>
        <w:tc>
          <w:tcPr>
            <w:tcW w:w="1880" w:type="dxa"/>
            <w:vAlign w:val="bottom"/>
            <w:tcBorders>
              <w:bottom w:val="single" w:sz="8" w:color="auto"/>
              <w:right w:val="single" w:sz="8" w:color="auto"/>
            </w:tcBorders>
            <w:shd w:val="clear" w:color="auto" w:fill="C1E1FB"/>
          </w:tcPr>
          <w:p>
            <w:pPr>
              <w:jc w:val="right"/>
              <w:ind w:right="80"/>
              <w:spacing w:after="0"/>
              <w:rPr>
                <w:sz w:val="20"/>
                <w:szCs w:val="20"/>
                <w:color w:val="auto"/>
              </w:rPr>
            </w:pPr>
            <w:r>
              <w:rPr>
                <w:rFonts w:ascii="Times New Roman" w:cs="Times New Roman" w:eastAsia="Times New Roman" w:hAnsi="Times New Roman"/>
                <w:sz w:val="16"/>
                <w:szCs w:val="16"/>
                <w:color w:val="auto"/>
              </w:rPr>
              <w:t>352,709</w:t>
            </w:r>
          </w:p>
        </w:tc>
        <w:tc>
          <w:tcPr>
            <w:tcW w:w="960" w:type="dxa"/>
            <w:vAlign w:val="bottom"/>
            <w:tcBorders>
              <w:bottom w:val="single" w:sz="8" w:color="auto"/>
            </w:tcBorders>
            <w:shd w:val="clear" w:color="auto" w:fill="C1E1FB"/>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right w:val="single" w:sz="8" w:color="auto"/>
            </w:tcBorders>
            <w:shd w:val="clear" w:color="auto" w:fill="C1E1FB"/>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400" w:type="dxa"/>
            <w:vAlign w:val="bottom"/>
            <w:tcBorders>
              <w:bottom w:val="single" w:sz="8" w:color="auto"/>
              <w:right w:val="single" w:sz="8" w:color="auto"/>
            </w:tcBorders>
            <w:shd w:val="clear" w:color="auto" w:fill="C1E1FB"/>
          </w:tcPr>
          <w:p>
            <w:pPr>
              <w:jc w:val="right"/>
              <w:ind w:right="79"/>
              <w:spacing w:after="0"/>
              <w:rPr>
                <w:sz w:val="20"/>
                <w:szCs w:val="20"/>
                <w:color w:val="auto"/>
              </w:rPr>
            </w:pPr>
            <w:r>
              <w:rPr>
                <w:rFonts w:ascii="Times New Roman" w:cs="Times New Roman" w:eastAsia="Times New Roman" w:hAnsi="Times New Roman"/>
                <w:sz w:val="16"/>
                <w:szCs w:val="16"/>
                <w:color w:val="auto"/>
              </w:rPr>
              <w:t>(36,660,000)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82" w:lineRule="auto"/>
        <w:tabs>
          <w:tab w:leader="none" w:pos="3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total compensation reported for Ms. Ellen Cotter, who served as our PEO in 2022, 2023 and 2024 for each corresponding fiscal year in the "Total($)" column of the Summary Compensation Table for the covered fiscal year. Refer to the "Summary Compensation Table" for the covered fiscal year for more information.</w:t>
      </w:r>
    </w:p>
    <w:p>
      <w:pPr>
        <w:spacing w:after="0" w:line="94" w:lineRule="exact"/>
        <w:rPr>
          <w:rFonts w:ascii="Times New Roman" w:cs="Times New Roman" w:eastAsia="Times New Roman" w:hAnsi="Times New Roman"/>
          <w:sz w:val="14"/>
          <w:szCs w:val="14"/>
          <w:color w:val="auto"/>
        </w:rPr>
      </w:pPr>
    </w:p>
    <w:p>
      <w:pPr>
        <w:jc w:val="both"/>
        <w:ind w:left="340" w:right="20" w:hanging="332"/>
        <w:spacing w:after="0" w:line="251" w:lineRule="auto"/>
        <w:tabs>
          <w:tab w:leader="none" w:pos="38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“compensation actually paid” to our PEO, as computed in accordance with Item 402(v) of Regulation S-K, in fiscal years 2022, 2023 and 2024. The dollar amounts do not reflect the actual amount of compensation earned by or paid to our PEO during the applicable fiscal year. In accordance with the requirements of Item 402(v) of Regulation S- K, the following adjustments were made to our PEO’s total compensation for each fiscal year to determine the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59"/>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 value at the</w:t>
            </w:r>
          </w:p>
        </w:tc>
        <w:tc>
          <w:tcPr>
            <w:tcW w:w="1160" w:type="dxa"/>
            <w:vAlign w:val="bottom"/>
            <w:tcBorders>
              <w:top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6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180" w:type="dxa"/>
            <w:vAlign w:val="bottom"/>
            <w:tcBorders>
              <w:right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end of the prior</w:t>
            </w:r>
          </w:p>
        </w:tc>
        <w:tc>
          <w:tcPr>
            <w:tcW w:w="11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fiscal year of</w:t>
            </w:r>
          </w:p>
        </w:tc>
        <w:tc>
          <w:tcPr>
            <w:tcW w:w="11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18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1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granted in the</w:t>
            </w:r>
          </w:p>
        </w:tc>
        <w:tc>
          <w:tcPr>
            <w:tcW w:w="11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in prior years</w:t>
            </w:r>
          </w:p>
        </w:tc>
        <w:tc>
          <w:tcPr>
            <w:tcW w:w="12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prior years that</w:t>
            </w:r>
          </w:p>
        </w:tc>
        <w:tc>
          <w:tcPr>
            <w:tcW w:w="118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116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Increase for</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Deduction for</w:t>
            </w:r>
          </w:p>
        </w:tc>
        <w:tc>
          <w:tcPr>
            <w:tcW w:w="11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that vested at the</w:t>
            </w: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are outstanding</w:t>
            </w: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were forfeited</w:t>
            </w:r>
          </w:p>
        </w:tc>
        <w:tc>
          <w:tcPr>
            <w:tcW w:w="116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end of or during</w:t>
            </w:r>
          </w:p>
        </w:tc>
        <w:tc>
          <w:tcPr>
            <w:tcW w:w="12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as of</w:t>
            </w:r>
          </w:p>
        </w:tc>
        <w:tc>
          <w:tcPr>
            <w:tcW w:w="1180" w:type="dxa"/>
            <w:vAlign w:val="bottom"/>
            <w:tcBorders>
              <w:right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service cost and</w:t>
            </w: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22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Deduction for</w:t>
            </w:r>
          </w:p>
        </w:tc>
        <w:tc>
          <w:tcPr>
            <w:tcW w:w="126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SCT "Restricted</w:t>
            </w:r>
          </w:p>
        </w:tc>
        <w:tc>
          <w:tcPr>
            <w:tcW w:w="116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the covered</w:t>
            </w:r>
          </w:p>
        </w:tc>
        <w:tc>
          <w:tcPr>
            <w:tcW w:w="126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18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covered fiscal</w:t>
            </w:r>
          </w:p>
        </w:tc>
        <w:tc>
          <w:tcPr>
            <w:tcW w:w="1160" w:type="dxa"/>
            <w:vAlign w:val="bottom"/>
            <w:tcBorders>
              <w:right w:val="single" w:sz="8" w:color="auto"/>
            </w:tcBorders>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prior service cost</w:t>
            </w:r>
          </w:p>
        </w:tc>
        <w:tc>
          <w:tcPr>
            <w:tcW w:w="144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93"/>
        </w:trPr>
        <w:tc>
          <w:tcPr>
            <w:tcW w:w="1140" w:type="dxa"/>
            <w:vAlign w:val="bottom"/>
            <w:tcBorders>
              <w:left w:val="single" w:sz="8" w:color="auto"/>
              <w:right w:val="single" w:sz="8" w:color="auto"/>
            </w:tcBorders>
          </w:tcPr>
          <w:p>
            <w:pPr>
              <w:spacing w:after="0"/>
              <w:rPr>
                <w:sz w:val="16"/>
                <w:szCs w:val="16"/>
                <w:color w:val="auto"/>
              </w:rPr>
            </w:pPr>
          </w:p>
        </w:tc>
        <w:tc>
          <w:tcPr>
            <w:tcW w:w="144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for PEO</w:t>
            </w: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covered fiscal year</w:t>
            </w:r>
          </w:p>
        </w:tc>
        <w:tc>
          <w:tcPr>
            <w:tcW w:w="11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 pension plans</w:t>
            </w:r>
          </w:p>
        </w:tc>
        <w:tc>
          <w:tcPr>
            <w:tcW w:w="144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293"/>
        </w:trPr>
        <w:tc>
          <w:tcPr>
            <w:tcW w:w="114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91"/>
        </w:trPr>
        <w:tc>
          <w:tcPr>
            <w:tcW w:w="1140" w:type="dxa"/>
            <w:vAlign w:val="bottom"/>
            <w:tcBorders>
              <w:left w:val="single" w:sz="8" w:color="auto"/>
              <w:bottom w:val="single" w:sz="8" w:color="auto"/>
              <w:right w:val="single" w:sz="8" w:color="auto"/>
            </w:tcBorders>
            <w:shd w:val="clear" w:color="auto" w:fill="C1E1FB"/>
          </w:tcPr>
          <w:p>
            <w:pPr>
              <w:ind w:left="420"/>
              <w:spacing w:after="0"/>
              <w:rPr>
                <w:sz w:val="20"/>
                <w:szCs w:val="20"/>
                <w:color w:val="auto"/>
              </w:rPr>
            </w:pPr>
            <w:r>
              <w:rPr>
                <w:rFonts w:ascii="Times New Roman" w:cs="Times New Roman" w:eastAsia="Times New Roman" w:hAnsi="Times New Roman"/>
                <w:sz w:val="14"/>
                <w:szCs w:val="14"/>
                <w:color w:val="auto"/>
              </w:rPr>
              <w:t>2024</w:t>
            </w:r>
          </w:p>
        </w:tc>
        <w:tc>
          <w:tcPr>
            <w:tcW w:w="144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1,004,760</w:t>
            </w:r>
          </w:p>
        </w:tc>
        <w:tc>
          <w:tcPr>
            <w:tcW w:w="1220" w:type="dxa"/>
            <w:vAlign w:val="bottom"/>
            <w:tcBorders>
              <w:bottom w:val="single" w:sz="8" w:color="auto"/>
              <w:right w:val="single" w:sz="8" w:color="auto"/>
            </w:tcBorders>
            <w:shd w:val="clear" w:color="auto" w:fill="C1E1FB"/>
          </w:tcPr>
          <w:p>
            <w:pPr>
              <w:jc w:val="right"/>
              <w:ind w:right="28"/>
              <w:spacing w:after="0"/>
              <w:rPr>
                <w:sz w:val="20"/>
                <w:szCs w:val="20"/>
                <w:color w:val="auto"/>
              </w:rPr>
            </w:pPr>
            <w:r>
              <w:rPr>
                <w:rFonts w:ascii="Times New Roman" w:cs="Times New Roman" w:eastAsia="Times New Roman" w:hAnsi="Times New Roman"/>
                <w:sz w:val="14"/>
                <w:szCs w:val="14"/>
                <w:color w:val="auto"/>
              </w:rPr>
              <w:t>(384,180)</w:t>
            </w:r>
          </w:p>
        </w:tc>
        <w:tc>
          <w:tcPr>
            <w:tcW w:w="126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(17,655)</w:t>
            </w:r>
          </w:p>
        </w:tc>
        <w:tc>
          <w:tcPr>
            <w:tcW w:w="126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(66,794)</w:t>
            </w:r>
          </w:p>
        </w:tc>
        <w:tc>
          <w:tcPr>
            <w:tcW w:w="118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shd w:val="clear" w:color="auto" w:fill="C1E1F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right w:val="single" w:sz="8" w:color="auto"/>
            </w:tcBorders>
            <w:shd w:val="clear" w:color="auto" w:fill="C1E1FB"/>
          </w:tcPr>
          <w:p>
            <w:pPr>
              <w:jc w:val="right"/>
              <w:ind w:right="48"/>
              <w:spacing w:after="0"/>
              <w:rPr>
                <w:sz w:val="20"/>
                <w:szCs w:val="20"/>
                <w:color w:val="auto"/>
              </w:rPr>
            </w:pPr>
            <w:r>
              <w:rPr>
                <w:rFonts w:ascii="Times New Roman" w:cs="Times New Roman" w:eastAsia="Times New Roman" w:hAnsi="Times New Roman"/>
                <w:sz w:val="14"/>
                <w:szCs w:val="14"/>
                <w:color w:val="auto"/>
              </w:rPr>
              <w:t>536,130</w:t>
            </w:r>
          </w:p>
        </w:tc>
        <w:tc>
          <w:tcPr>
            <w:tcW w:w="0" w:type="dxa"/>
            <w:vAlign w:val="bottom"/>
          </w:tcPr>
          <w:p>
            <w:pPr>
              <w:spacing w:after="0"/>
              <w:rPr>
                <w:sz w:val="1"/>
                <w:szCs w:val="1"/>
                <w:color w:val="auto"/>
              </w:rPr>
            </w:pPr>
          </w:p>
        </w:tc>
      </w:tr>
      <w:tr>
        <w:trPr>
          <w:trHeight w:val="290"/>
        </w:trPr>
        <w:tc>
          <w:tcPr>
            <w:tcW w:w="114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2023</w:t>
            </w:r>
          </w:p>
        </w:tc>
        <w:tc>
          <w:tcPr>
            <w:tcW w:w="14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1,020,580</w:t>
            </w:r>
          </w:p>
        </w:tc>
        <w:tc>
          <w:tcPr>
            <w:tcW w:w="122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11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(43,575)</w:t>
            </w:r>
          </w:p>
        </w:tc>
        <w:tc>
          <w:tcPr>
            <w:tcW w:w="12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(258,071)</w:t>
            </w:r>
          </w:p>
        </w:tc>
        <w:tc>
          <w:tcPr>
            <w:tcW w:w="11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318,935</w:t>
            </w:r>
          </w:p>
        </w:tc>
        <w:tc>
          <w:tcPr>
            <w:tcW w:w="0" w:type="dxa"/>
            <w:vAlign w:val="bottom"/>
          </w:tcPr>
          <w:p>
            <w:pPr>
              <w:spacing w:after="0"/>
              <w:rPr>
                <w:sz w:val="1"/>
                <w:szCs w:val="1"/>
                <w:color w:val="auto"/>
              </w:rPr>
            </w:pPr>
          </w:p>
        </w:tc>
      </w:tr>
      <w:tr>
        <w:trPr>
          <w:trHeight w:val="291"/>
        </w:trPr>
        <w:tc>
          <w:tcPr>
            <w:tcW w:w="1140" w:type="dxa"/>
            <w:vAlign w:val="bottom"/>
            <w:tcBorders>
              <w:left w:val="single" w:sz="8" w:color="auto"/>
              <w:bottom w:val="single" w:sz="8" w:color="auto"/>
              <w:right w:val="single" w:sz="8" w:color="auto"/>
            </w:tcBorders>
            <w:shd w:val="clear" w:color="auto" w:fill="BDD6EE"/>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440" w:type="dxa"/>
            <w:vAlign w:val="bottom"/>
            <w:tcBorders>
              <w:bottom w:val="single" w:sz="8" w:color="auto"/>
              <w:right w:val="single" w:sz="8" w:color="auto"/>
            </w:tcBorders>
            <w:shd w:val="clear" w:color="auto" w:fill="BDD6EE"/>
          </w:tcPr>
          <w:p>
            <w:pPr>
              <w:jc w:val="right"/>
              <w:ind w:right="88"/>
              <w:spacing w:after="0"/>
              <w:rPr>
                <w:sz w:val="20"/>
                <w:szCs w:val="20"/>
                <w:color w:val="auto"/>
              </w:rPr>
            </w:pPr>
            <w:r>
              <w:rPr>
                <w:rFonts w:ascii="Times New Roman" w:cs="Times New Roman" w:eastAsia="Times New Roman" w:hAnsi="Times New Roman"/>
                <w:sz w:val="14"/>
                <w:szCs w:val="14"/>
                <w:color w:val="auto"/>
              </w:rPr>
              <w:t>1,137,580</w:t>
            </w:r>
          </w:p>
        </w:tc>
        <w:tc>
          <w:tcPr>
            <w:tcW w:w="1220" w:type="dxa"/>
            <w:vAlign w:val="bottom"/>
            <w:tcBorders>
              <w:bottom w:val="single" w:sz="8" w:color="auto"/>
              <w:right w:val="single" w:sz="8" w:color="auto"/>
            </w:tcBorders>
            <w:shd w:val="clear" w:color="auto" w:fill="BDD6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(535,000)</w:t>
            </w:r>
          </w:p>
        </w:tc>
        <w:tc>
          <w:tcPr>
            <w:tcW w:w="1160" w:type="dxa"/>
            <w:vAlign w:val="bottom"/>
            <w:tcBorders>
              <w:bottom w:val="single" w:sz="8" w:color="auto"/>
              <w:right w:val="single" w:sz="8" w:color="auto"/>
            </w:tcBorders>
            <w:shd w:val="clear" w:color="auto" w:fill="BDD6EE"/>
          </w:tcPr>
          <w:p>
            <w:pPr>
              <w:jc w:val="right"/>
              <w:ind w:right="68"/>
              <w:spacing w:after="0"/>
              <w:rPr>
                <w:sz w:val="20"/>
                <w:szCs w:val="20"/>
                <w:color w:val="auto"/>
              </w:rPr>
            </w:pPr>
            <w:r>
              <w:rPr>
                <w:rFonts w:ascii="Times New Roman" w:cs="Times New Roman" w:eastAsia="Times New Roman" w:hAnsi="Times New Roman"/>
                <w:sz w:val="14"/>
                <w:szCs w:val="14"/>
                <w:color w:val="auto"/>
              </w:rPr>
              <w:t>5,541</w:t>
            </w:r>
          </w:p>
        </w:tc>
        <w:tc>
          <w:tcPr>
            <w:tcW w:w="126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(294,839)</w:t>
            </w:r>
          </w:p>
        </w:tc>
        <w:tc>
          <w:tcPr>
            <w:tcW w:w="118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shd w:val="clear" w:color="auto" w:fill="BDD6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right w:val="single" w:sz="8" w:color="auto"/>
            </w:tcBorders>
            <w:shd w:val="clear" w:color="auto" w:fill="BDD6EE"/>
          </w:tcPr>
          <w:p>
            <w:pPr>
              <w:jc w:val="right"/>
              <w:ind w:right="88"/>
              <w:spacing w:after="0"/>
              <w:rPr>
                <w:sz w:val="20"/>
                <w:szCs w:val="20"/>
                <w:color w:val="auto"/>
              </w:rPr>
            </w:pPr>
            <w:r>
              <w:rPr>
                <w:rFonts w:ascii="Times New Roman" w:cs="Times New Roman" w:eastAsia="Times New Roman" w:hAnsi="Times New Roman"/>
                <w:sz w:val="14"/>
                <w:szCs w:val="14"/>
                <w:color w:val="auto"/>
              </w:rPr>
              <w:t>313,281</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400" w:right="20" w:hanging="392"/>
        <w:spacing w:after="0" w:line="251" w:lineRule="auto"/>
        <w:tabs>
          <w:tab w:leader="none" w:pos="4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 reported represents the average of the amount of total compensation reported for our Company’s NEOs as a group, excluding our PEO, in the “Total” column of the Summary Compensation Table for the covered fiscal year. The NEOs included for purposes of calculating the average amounts in each applicable fiscal year are Ms. Margaret Cotter and Mr. Craig Tompkins.</w:t>
      </w:r>
    </w:p>
    <w:p>
      <w:pPr>
        <w:spacing w:after="0" w:line="115" w:lineRule="exact"/>
        <w:rPr>
          <w:rFonts w:ascii="Times New Roman" w:cs="Times New Roman" w:eastAsia="Times New Roman" w:hAnsi="Times New Roman"/>
          <w:sz w:val="14"/>
          <w:szCs w:val="14"/>
          <w:color w:val="auto"/>
        </w:rPr>
      </w:pPr>
    </w:p>
    <w:p>
      <w:pPr>
        <w:jc w:val="both"/>
        <w:ind w:left="400" w:right="20" w:hanging="392"/>
        <w:spacing w:after="0" w:line="249" w:lineRule="auto"/>
        <w:tabs>
          <w:tab w:leader="none" w:pos="4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“compensation actually paid” to our non-PEO NEOs, as computed in accordance with Item 402(v) of Regulation S-K, in fiscal years 2022, 2023 and 2024. The dollar amounts do not reflect the actual amount of compensation earned by our non-PEO NEOs during the applicable fiscal year. In accordance with the requirements of Item 402(v) of Regulation S-K, the following adjustments were made to our average non-PEO NEOs’ total compensation for each fiscal year to determine the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1060" w:type="dxa"/>
            <w:vAlign w:val="bottom"/>
            <w:tcBorders>
              <w:top w:val="single" w:sz="8" w:color="auto"/>
              <w:left w:val="single" w:sz="8" w:color="auto"/>
              <w:right w:val="single" w:sz="8" w:color="auto"/>
            </w:tcBorders>
          </w:tcPr>
          <w:p>
            <w:pPr>
              <w:spacing w:after="0"/>
              <w:rPr>
                <w:sz w:val="22"/>
                <w:szCs w:val="22"/>
                <w:color w:val="auto"/>
              </w:rPr>
            </w:pPr>
          </w:p>
        </w:tc>
        <w:tc>
          <w:tcPr>
            <w:tcW w:w="152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right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60" w:type="dxa"/>
            <w:vAlign w:val="bottom"/>
            <w:tcBorders>
              <w:top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at the</w:t>
            </w:r>
          </w:p>
        </w:tc>
        <w:tc>
          <w:tcPr>
            <w:tcW w:w="114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 of the prior</w:t>
            </w:r>
          </w:p>
        </w:tc>
        <w:tc>
          <w:tcPr>
            <w:tcW w:w="11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of</w:t>
            </w:r>
          </w:p>
        </w:tc>
        <w:tc>
          <w:tcPr>
            <w:tcW w:w="11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2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1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prior years</w:t>
            </w:r>
          </w:p>
        </w:tc>
        <w:tc>
          <w:tcPr>
            <w:tcW w:w="12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granted in the</w:t>
            </w:r>
          </w:p>
        </w:tc>
        <w:tc>
          <w:tcPr>
            <w:tcW w:w="114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Increase for</w:t>
            </w: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at</w:t>
            </w:r>
          </w:p>
        </w:tc>
        <w:tc>
          <w:tcPr>
            <w:tcW w:w="1260" w:type="dxa"/>
            <w:vAlign w:val="bottom"/>
            <w:tcBorders>
              <w:right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prior years that</w:t>
            </w:r>
          </w:p>
        </w:tc>
        <w:tc>
          <w:tcPr>
            <w:tcW w:w="114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11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Borders>
              <w:left w:val="single" w:sz="8" w:color="auto"/>
              <w:right w:val="single" w:sz="8" w:color="auto"/>
            </w:tcBorders>
          </w:tcPr>
          <w:p>
            <w:pPr>
              <w:spacing w:after="0"/>
              <w:rPr>
                <w:sz w:val="13"/>
                <w:szCs w:val="13"/>
                <w:color w:val="auto"/>
              </w:rPr>
            </w:pPr>
          </w:p>
        </w:tc>
        <w:tc>
          <w:tcPr>
            <w:tcW w:w="152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Deduction for SCT</w:t>
            </w:r>
          </w:p>
        </w:tc>
        <w:tc>
          <w:tcPr>
            <w:tcW w:w="114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the end of or</w:t>
            </w:r>
          </w:p>
        </w:tc>
        <w:tc>
          <w:tcPr>
            <w:tcW w:w="1260" w:type="dxa"/>
            <w:vAlign w:val="bottom"/>
            <w:tcBorders>
              <w:right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are outstanding</w:t>
            </w:r>
          </w:p>
        </w:tc>
        <w:tc>
          <w:tcPr>
            <w:tcW w:w="114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were forfeited</w:t>
            </w:r>
          </w:p>
        </w:tc>
        <w:tc>
          <w:tcPr>
            <w:tcW w:w="114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service cost and</w:t>
            </w:r>
          </w:p>
        </w:tc>
        <w:tc>
          <w:tcPr>
            <w:tcW w:w="150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51"/>
        </w:trPr>
        <w:tc>
          <w:tcPr>
            <w:tcW w:w="1060" w:type="dxa"/>
            <w:vAlign w:val="bottom"/>
            <w:tcBorders>
              <w:left w:val="single" w:sz="8" w:color="auto"/>
              <w:right w:val="single" w:sz="8" w:color="auto"/>
            </w:tcBorders>
          </w:tcPr>
          <w:p>
            <w:pPr>
              <w:spacing w:after="0"/>
              <w:rPr>
                <w:sz w:val="13"/>
                <w:szCs w:val="13"/>
                <w:color w:val="auto"/>
              </w:rPr>
            </w:pPr>
          </w:p>
        </w:tc>
        <w:tc>
          <w:tcPr>
            <w:tcW w:w="1520" w:type="dxa"/>
            <w:vAlign w:val="bottom"/>
            <w:tcBorders>
              <w:right w:val="single" w:sz="8" w:color="auto"/>
            </w:tcBorders>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260" w:type="dxa"/>
            <w:vAlign w:val="bottom"/>
            <w:tcBorders>
              <w:right w:val="single" w:sz="8" w:color="auto"/>
            </w:tcBorders>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and unvested as of</w:t>
            </w:r>
          </w:p>
        </w:tc>
        <w:tc>
          <w:tcPr>
            <w:tcW w:w="1140" w:type="dxa"/>
            <w:vAlign w:val="bottom"/>
            <w:tcBorders>
              <w:right w:val="single" w:sz="8" w:color="auto"/>
            </w:tcBorders>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40" w:type="dxa"/>
            <w:vAlign w:val="bottom"/>
            <w:tcBorders>
              <w:right w:val="single" w:sz="8" w:color="auto"/>
            </w:tcBorders>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Borders>
              <w:left w:val="single" w:sz="8" w:color="auto"/>
              <w:right w:val="single" w:sz="8" w:color="auto"/>
            </w:tcBorders>
          </w:tcPr>
          <w:p>
            <w:pPr>
              <w:spacing w:after="0"/>
              <w:rPr>
                <w:sz w:val="13"/>
                <w:szCs w:val="13"/>
                <w:color w:val="auto"/>
              </w:rPr>
            </w:pPr>
          </w:p>
        </w:tc>
        <w:tc>
          <w:tcPr>
            <w:tcW w:w="152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22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Deduction for</w:t>
            </w:r>
          </w:p>
        </w:tc>
        <w:tc>
          <w:tcPr>
            <w:tcW w:w="1280" w:type="dxa"/>
            <w:vAlign w:val="bottom"/>
            <w:tcBorders>
              <w:right w:val="single" w:sz="8" w:color="auto"/>
            </w:tcBorders>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140" w:type="dxa"/>
            <w:vAlign w:val="bottom"/>
            <w:tcBorders>
              <w:right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covered fiscal</w:t>
            </w:r>
          </w:p>
        </w:tc>
        <w:tc>
          <w:tcPr>
            <w:tcW w:w="1260" w:type="dxa"/>
            <w:vAlign w:val="bottom"/>
            <w:tcBorders>
              <w:right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14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covered fiscal</w:t>
            </w:r>
          </w:p>
        </w:tc>
        <w:tc>
          <w:tcPr>
            <w:tcW w:w="114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cost for pension</w:t>
            </w:r>
          </w:p>
        </w:tc>
        <w:tc>
          <w:tcPr>
            <w:tcW w:w="1500" w:type="dxa"/>
            <w:vAlign w:val="bottom"/>
            <w:tcBorders>
              <w:right w:val="single" w:sz="8" w:color="auto"/>
            </w:tcBorders>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93"/>
        </w:trPr>
        <w:tc>
          <w:tcPr>
            <w:tcW w:w="106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Awards"</w:t>
            </w:r>
          </w:p>
        </w:tc>
        <w:tc>
          <w:tcPr>
            <w:tcW w:w="114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covered fiscal year</w:t>
            </w:r>
          </w:p>
        </w:tc>
        <w:tc>
          <w:tcPr>
            <w:tcW w:w="114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14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293"/>
        </w:trPr>
        <w:tc>
          <w:tcPr>
            <w:tcW w:w="106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8"/>
        </w:trPr>
        <w:tc>
          <w:tcPr>
            <w:tcW w:w="1060" w:type="dxa"/>
            <w:vAlign w:val="bottom"/>
            <w:tcBorders>
              <w:left w:val="single" w:sz="8" w:color="auto"/>
              <w:bottom w:val="single" w:sz="8" w:color="auto"/>
              <w:right w:val="single" w:sz="8" w:color="auto"/>
            </w:tcBorders>
            <w:shd w:val="clear" w:color="auto" w:fill="BDD6EE"/>
          </w:tcPr>
          <w:p>
            <w:pPr>
              <w:ind w:left="400"/>
              <w:spacing w:after="0"/>
              <w:rPr>
                <w:sz w:val="20"/>
                <w:szCs w:val="20"/>
                <w:color w:val="auto"/>
              </w:rPr>
            </w:pPr>
            <w:r>
              <w:rPr>
                <w:rFonts w:ascii="Times New Roman" w:cs="Times New Roman" w:eastAsia="Times New Roman" w:hAnsi="Times New Roman"/>
                <w:sz w:val="14"/>
                <w:szCs w:val="14"/>
                <w:color w:val="auto"/>
              </w:rPr>
              <w:t>2024</w:t>
            </w:r>
          </w:p>
        </w:tc>
        <w:tc>
          <w:tcPr>
            <w:tcW w:w="152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585,458</w:t>
            </w:r>
          </w:p>
        </w:tc>
        <w:tc>
          <w:tcPr>
            <w:tcW w:w="122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(102,192)</w:t>
            </w:r>
          </w:p>
        </w:tc>
        <w:tc>
          <w:tcPr>
            <w:tcW w:w="128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(7,923)</w:t>
            </w:r>
          </w:p>
        </w:tc>
        <w:tc>
          <w:tcPr>
            <w:tcW w:w="126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(30,785)</w:t>
            </w:r>
          </w:p>
        </w:tc>
        <w:tc>
          <w:tcPr>
            <w:tcW w:w="1140" w:type="dxa"/>
            <w:vAlign w:val="bottom"/>
            <w:tcBorders>
              <w:bottom w:val="single" w:sz="8" w:color="auto"/>
              <w:right w:val="single" w:sz="8" w:color="auto"/>
            </w:tcBorders>
            <w:shd w:val="clear" w:color="auto" w:fill="BDD6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444,558</w:t>
            </w: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2023</w:t>
            </w:r>
          </w:p>
        </w:tc>
        <w:tc>
          <w:tcPr>
            <w:tcW w:w="1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678,357</w:t>
            </w:r>
          </w:p>
        </w:tc>
        <w:tc>
          <w:tcPr>
            <w:tcW w:w="12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(195,000)</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(17,038)</w:t>
            </w:r>
          </w:p>
        </w:tc>
        <w:tc>
          <w:tcPr>
            <w:tcW w:w="12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(113,212)</w:t>
            </w:r>
          </w:p>
        </w:tc>
        <w:tc>
          <w:tcPr>
            <w:tcW w:w="114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353,107</w:t>
            </w: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bottom w:val="single" w:sz="8" w:color="auto"/>
              <w:right w:val="single" w:sz="8" w:color="auto"/>
            </w:tcBorders>
            <w:shd w:val="clear" w:color="auto" w:fill="BDD6EE"/>
          </w:tcPr>
          <w:p>
            <w:pPr>
              <w:ind w:left="400"/>
              <w:spacing w:after="0"/>
              <w:rPr>
                <w:sz w:val="20"/>
                <w:szCs w:val="20"/>
                <w:color w:val="auto"/>
              </w:rPr>
            </w:pPr>
            <w:r>
              <w:rPr>
                <w:rFonts w:ascii="Times New Roman" w:cs="Times New Roman" w:eastAsia="Times New Roman" w:hAnsi="Times New Roman"/>
                <w:sz w:val="14"/>
                <w:szCs w:val="14"/>
                <w:color w:val="auto"/>
              </w:rPr>
              <w:t>2022</w:t>
            </w:r>
          </w:p>
        </w:tc>
        <w:tc>
          <w:tcPr>
            <w:tcW w:w="1520" w:type="dxa"/>
            <w:vAlign w:val="bottom"/>
            <w:tcBorders>
              <w:bottom w:val="single" w:sz="8" w:color="auto"/>
              <w:right w:val="single" w:sz="8" w:color="auto"/>
            </w:tcBorders>
            <w:shd w:val="clear" w:color="auto" w:fill="BDD6EE"/>
          </w:tcPr>
          <w:p>
            <w:pPr>
              <w:jc w:val="right"/>
              <w:ind w:right="88"/>
              <w:spacing w:after="0"/>
              <w:rPr>
                <w:sz w:val="20"/>
                <w:szCs w:val="20"/>
                <w:color w:val="auto"/>
              </w:rPr>
            </w:pPr>
            <w:r>
              <w:rPr>
                <w:rFonts w:ascii="Times New Roman" w:cs="Times New Roman" w:eastAsia="Times New Roman" w:hAnsi="Times New Roman"/>
                <w:sz w:val="14"/>
                <w:szCs w:val="14"/>
                <w:color w:val="auto"/>
              </w:rPr>
              <w:t>695,779</w:t>
            </w:r>
          </w:p>
        </w:tc>
        <w:tc>
          <w:tcPr>
            <w:tcW w:w="122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(233,754)</w:t>
            </w:r>
          </w:p>
        </w:tc>
        <w:tc>
          <w:tcPr>
            <w:tcW w:w="1140" w:type="dxa"/>
            <w:vAlign w:val="bottom"/>
            <w:tcBorders>
              <w:bottom w:val="single" w:sz="8" w:color="auto"/>
              <w:right w:val="single" w:sz="8" w:color="auto"/>
            </w:tcBorders>
            <w:shd w:val="clear" w:color="auto" w:fill="BDD6EE"/>
          </w:tcPr>
          <w:p>
            <w:pPr>
              <w:jc w:val="right"/>
              <w:ind w:right="88"/>
              <w:spacing w:after="0"/>
              <w:rPr>
                <w:sz w:val="20"/>
                <w:szCs w:val="20"/>
                <w:color w:val="auto"/>
              </w:rPr>
            </w:pPr>
            <w:r>
              <w:rPr>
                <w:rFonts w:ascii="Times New Roman" w:cs="Times New Roman" w:eastAsia="Times New Roman" w:hAnsi="Times New Roman"/>
                <w:sz w:val="14"/>
                <w:szCs w:val="14"/>
                <w:color w:val="auto"/>
              </w:rPr>
              <w:t>2,796</w:t>
            </w:r>
          </w:p>
        </w:tc>
        <w:tc>
          <w:tcPr>
            <w:tcW w:w="126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(112,112)</w:t>
            </w:r>
          </w:p>
        </w:tc>
        <w:tc>
          <w:tcPr>
            <w:tcW w:w="1140" w:type="dxa"/>
            <w:vAlign w:val="bottom"/>
            <w:tcBorders>
              <w:bottom w:val="single" w:sz="8" w:color="auto"/>
              <w:right w:val="single" w:sz="8" w:color="auto"/>
            </w:tcBorders>
            <w:shd w:val="clear" w:color="auto" w:fill="BDD6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BDD6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shd w:val="clear" w:color="auto" w:fill="BDD6EE"/>
          </w:tcPr>
          <w:p>
            <w:pPr>
              <w:jc w:val="right"/>
              <w:ind w:right="88"/>
              <w:spacing w:after="0"/>
              <w:rPr>
                <w:sz w:val="20"/>
                <w:szCs w:val="20"/>
                <w:color w:val="auto"/>
              </w:rPr>
            </w:pPr>
            <w:r>
              <w:rPr>
                <w:rFonts w:ascii="Times New Roman" w:cs="Times New Roman" w:eastAsia="Times New Roman" w:hAnsi="Times New Roman"/>
                <w:sz w:val="14"/>
                <w:szCs w:val="14"/>
                <w:color w:val="auto"/>
              </w:rPr>
              <w:t>352,709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is determined based on the value of an initial fixed investment of $100 as of December 31,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5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Cumulative Total Shareholder Return (“TSR”)</w:t>
      </w:r>
    </w:p>
    <w:p>
      <w:pPr>
        <w:spacing w:after="0" w:line="29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As described in “Executive Compensation ─ Compensation Overview,” our Compensation Committee makes long-term incentive awards in the form of time vested RSUs and PRSUs that are used as a means to further align our NEO’s long-term interests with those of our stockholders, with the ultimate objective of affording our executives an appropriate incentive to help drive increases in stockholder value. The following graph demonstrates the relationship between compensation actually paid to our PEO, the average of the compensation actually paid to our remaining non-PEO NEOs and the cumulative TSR of our Company during the last three completed fiscal years. The TSR amounts in the graph assume a fixed investment of $100 was 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26035</wp:posOffset>
            </wp:positionV>
            <wp:extent cx="4071620" cy="2597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716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graph demonstrates the relationship between compensation actually paid to our PEO, the average of the compensation actually paid to our remaining non-PEO NEOs and the net income of our Company during the last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260985</wp:posOffset>
            </wp:positionV>
            <wp:extent cx="4174490" cy="2331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744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5" w:name="page36"/>
    <w:bookmarkEnd w:id="35"/>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right="1320" w:firstLine="648"/>
        <w:spacing w:after="0" w:line="250" w:lineRule="auto"/>
        <w:rPr>
          <w:sz w:val="20"/>
          <w:szCs w:val="20"/>
          <w:color w:val="auto"/>
        </w:rPr>
      </w:pPr>
      <w:r>
        <w:rPr>
          <w:rFonts w:ascii="Times New Roman" w:cs="Times New Roman" w:eastAsia="Times New Roman" w:hAnsi="Times New Roman"/>
          <w:sz w:val="18"/>
          <w:szCs w:val="18"/>
          <w:color w:val="auto"/>
        </w:rPr>
        <w:t>This section discusses the material components of the compensation program for our executive officers named in the Summary Compensation Table below.</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jc w:val="both"/>
        <w:ind w:right="620" w:firstLine="648"/>
        <w:spacing w:after="0" w:line="242" w:lineRule="auto"/>
        <w:rPr>
          <w:sz w:val="20"/>
          <w:szCs w:val="20"/>
          <w:color w:val="auto"/>
        </w:rPr>
      </w:pPr>
      <w:r>
        <w:rPr>
          <w:rFonts w:ascii="Times New Roman" w:cs="Times New Roman" w:eastAsia="Times New Roman" w:hAnsi="Times New Roman"/>
          <w:sz w:val="18"/>
          <w:szCs w:val="18"/>
          <w:color w:val="auto"/>
        </w:rPr>
        <w:t>The following table shows the compensation paid or accrued during the last two fiscal years ended December 31, 2024, to (i) Vice Chair Ellen Cotter, who has served as our principal executive officer, and (ii) the other two most highly compensated persons who served as executive officers in 2024.</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executives herein referred to as our NEOs.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0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37"/>
              <w:spacing w:after="0" w:line="136" w:lineRule="exact"/>
              <w:rPr>
                <w:sz w:val="20"/>
                <w:szCs w:val="20"/>
                <w:color w:val="auto"/>
              </w:rPr>
            </w:pPr>
            <w:r>
              <w:rPr>
                <w:rFonts w:ascii="Times New Roman" w:cs="Times New Roman" w:eastAsia="Times New Roman" w:hAnsi="Times New Roman"/>
                <w:sz w:val="15"/>
                <w:szCs w:val="15"/>
                <w:b w:val="1"/>
                <w:bCs w:val="1"/>
                <w:color w:val="auto"/>
              </w:rPr>
              <w:t>Non-Equity</w:t>
            </w:r>
          </w:p>
        </w:tc>
        <w:tc>
          <w:tcPr>
            <w:tcW w:w="10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280" w:type="dxa"/>
            <w:vAlign w:val="bottom"/>
          </w:tcPr>
          <w:p>
            <w:pPr>
              <w:jc w:val="center"/>
              <w:ind w:right="17"/>
              <w:spacing w:after="0" w:line="162" w:lineRule="exact"/>
              <w:rPr>
                <w:sz w:val="20"/>
                <w:szCs w:val="20"/>
                <w:color w:val="auto"/>
              </w:rPr>
            </w:pPr>
            <w:r>
              <w:rPr>
                <w:rFonts w:ascii="Times New Roman" w:cs="Times New Roman" w:eastAsia="Times New Roman" w:hAnsi="Times New Roman"/>
                <w:sz w:val="15"/>
                <w:szCs w:val="15"/>
                <w:b w:val="1"/>
                <w:bCs w:val="1"/>
                <w:color w:val="auto"/>
              </w:rPr>
              <w:t>Incentive Plan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44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Termination</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Stock Awards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Awards ($)</w:t>
            </w:r>
          </w:p>
        </w:tc>
        <w:tc>
          <w:tcPr>
            <w:tcW w:w="12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Benefit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Named Executed Officers</w:t>
            </w: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Year</w:t>
            </w: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5"/>
                <w:szCs w:val="15"/>
                <w:b w:val="1"/>
                <w:bCs w:val="1"/>
                <w:color w:val="auto"/>
              </w:rPr>
              <w:t>Salary ($)</w:t>
            </w: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5"/>
                <w:szCs w:val="15"/>
                <w:b w:val="1"/>
                <w:bCs w:val="1"/>
                <w:color w:val="auto"/>
                <w:w w:val="88"/>
              </w:rPr>
              <w:t xml:space="preserve">($) </w:t>
            </w:r>
            <w:r>
              <w:rPr>
                <w:rFonts w:ascii="Times New Roman" w:cs="Times New Roman" w:eastAsia="Times New Roman" w:hAnsi="Times New Roman"/>
                <w:sz w:val="25"/>
                <w:szCs w:val="25"/>
                <w:color w:val="auto"/>
                <w:w w:val="88"/>
                <w:vertAlign w:val="superscript"/>
              </w:rPr>
              <w:t>(1)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2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Compensation ($)</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Total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80" w:type="dxa"/>
            <w:vAlign w:val="bottom"/>
            <w:gridSpan w:val="3"/>
            <w:shd w:val="clear" w:color="auto" w:fill="CEEEFA"/>
          </w:tcPr>
          <w:p>
            <w:pPr>
              <w:ind w:left="180"/>
              <w:spacing w:after="0" w:line="150" w:lineRule="exact"/>
              <w:rPr>
                <w:sz w:val="20"/>
                <w:szCs w:val="20"/>
                <w:color w:val="auto"/>
              </w:rPr>
            </w:pPr>
            <w:r>
              <w:rPr>
                <w:rFonts w:ascii="Times New Roman" w:cs="Times New Roman" w:eastAsia="Times New Roman" w:hAnsi="Times New Roman"/>
                <w:sz w:val="17"/>
                <w:szCs w:val="17"/>
                <w:b w:val="1"/>
                <w:bCs w:val="1"/>
                <w:color w:val="auto"/>
              </w:rPr>
              <w:t>Ellen M. Cotter</w:t>
            </w:r>
          </w:p>
        </w:tc>
        <w:tc>
          <w:tcPr>
            <w:tcW w:w="82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2024</w:t>
            </w:r>
          </w:p>
        </w:tc>
        <w:tc>
          <w:tcPr>
            <w:tcW w:w="100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618,000</w:t>
            </w:r>
          </w:p>
        </w:tc>
        <w:tc>
          <w:tcPr>
            <w:tcW w:w="1140" w:type="dxa"/>
            <w:vAlign w:val="bottom"/>
            <w:shd w:val="clear" w:color="auto" w:fill="CEEEFA"/>
          </w:tcPr>
          <w:p>
            <w:pPr>
              <w:jc w:val="right"/>
              <w:ind w:right="36"/>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EEEFA"/>
          </w:tcPr>
          <w:p>
            <w:pPr>
              <w:jc w:val="right"/>
              <w:ind w:right="18"/>
              <w:spacing w:after="0" w:line="150" w:lineRule="exact"/>
              <w:rPr>
                <w:sz w:val="20"/>
                <w:szCs w:val="20"/>
                <w:color w:val="auto"/>
              </w:rPr>
            </w:pPr>
            <w:r>
              <w:rPr>
                <w:rFonts w:ascii="Times New Roman" w:cs="Times New Roman" w:eastAsia="Times New Roman" w:hAnsi="Times New Roman"/>
                <w:sz w:val="17"/>
                <w:szCs w:val="17"/>
                <w:color w:val="auto"/>
              </w:rPr>
              <w:t>384,180</w:t>
            </w:r>
          </w:p>
        </w:tc>
        <w:tc>
          <w:tcPr>
            <w:tcW w:w="1280" w:type="dxa"/>
            <w:vAlign w:val="bottom"/>
            <w:shd w:val="clear" w:color="auto" w:fill="CEEEFA"/>
          </w:tcPr>
          <w:p>
            <w:pPr>
              <w:jc w:val="right"/>
              <w:ind w:right="97"/>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EEEFA"/>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rPr>
              <w:t>2,580</w:t>
            </w:r>
          </w:p>
        </w:tc>
        <w:tc>
          <w:tcPr>
            <w:tcW w:w="440" w:type="dxa"/>
            <w:vAlign w:val="bottom"/>
            <w:shd w:val="clear" w:color="auto" w:fill="CEEEFA"/>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shd w:val="clear" w:color="auto" w:fill="CEEEFA"/>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1,004,760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60" w:type="dxa"/>
            <w:vAlign w:val="bottom"/>
            <w:tcBorders>
              <w:bottom w:val="single" w:sz="8" w:color="CEEEFA"/>
            </w:tcBorders>
            <w:gridSpan w:val="2"/>
            <w:shd w:val="clear" w:color="auto" w:fill="CEEEFA"/>
          </w:tcPr>
          <w:p>
            <w:pPr>
              <w:ind w:left="340"/>
              <w:spacing w:after="0" w:line="189" w:lineRule="exact"/>
              <w:rPr>
                <w:sz w:val="20"/>
                <w:szCs w:val="20"/>
                <w:color w:val="auto"/>
              </w:rPr>
            </w:pPr>
            <w:r>
              <w:rPr>
                <w:rFonts w:ascii="Times New Roman" w:cs="Times New Roman" w:eastAsia="Times New Roman" w:hAnsi="Times New Roman"/>
                <w:sz w:val="18"/>
                <w:szCs w:val="18"/>
                <w:color w:val="auto"/>
                <w:w w:val="99"/>
              </w:rPr>
              <w:t>Chief‎</w:t>
            </w:r>
          </w:p>
        </w:tc>
        <w:tc>
          <w:tcPr>
            <w:tcW w:w="1320" w:type="dxa"/>
            <w:vAlign w:val="bottom"/>
            <w:tcBorders>
              <w:bottom w:val="single" w:sz="8" w:color="CEEEFA"/>
            </w:tcBorders>
            <w:shd w:val="clear" w:color="auto" w:fill="CEEEFA"/>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w:t>
            </w:r>
          </w:p>
        </w:tc>
        <w:tc>
          <w:tcPr>
            <w:tcW w:w="820" w:type="dxa"/>
            <w:vAlign w:val="bottom"/>
            <w:tcBorders>
              <w:bottom w:val="single" w:sz="8" w:color="CEEEFA"/>
            </w:tcBorders>
            <w:shd w:val="clear" w:color="auto" w:fill="CEEEFA"/>
          </w:tcPr>
          <w:p>
            <w:pPr>
              <w:spacing w:after="0"/>
              <w:rPr>
                <w:sz w:val="19"/>
                <w:szCs w:val="19"/>
                <w:color w:val="auto"/>
              </w:rPr>
            </w:pPr>
          </w:p>
        </w:tc>
        <w:tc>
          <w:tcPr>
            <w:tcW w:w="1000" w:type="dxa"/>
            <w:vAlign w:val="bottom"/>
            <w:tcBorders>
              <w:bottom w:val="single" w:sz="8" w:color="CEEEFA"/>
            </w:tcBorders>
            <w:shd w:val="clear" w:color="auto" w:fill="CEEEFA"/>
          </w:tcPr>
          <w:p>
            <w:pPr>
              <w:spacing w:after="0"/>
              <w:rPr>
                <w:sz w:val="19"/>
                <w:szCs w:val="19"/>
                <w:color w:val="auto"/>
              </w:rPr>
            </w:pPr>
          </w:p>
        </w:tc>
        <w:tc>
          <w:tcPr>
            <w:tcW w:w="1140" w:type="dxa"/>
            <w:vAlign w:val="bottom"/>
            <w:tcBorders>
              <w:bottom w:val="single" w:sz="8" w:color="CEEEFA"/>
            </w:tcBorders>
            <w:shd w:val="clear" w:color="auto" w:fill="CEEEFA"/>
          </w:tcPr>
          <w:p>
            <w:pPr>
              <w:spacing w:after="0"/>
              <w:rPr>
                <w:sz w:val="19"/>
                <w:szCs w:val="19"/>
                <w:color w:val="auto"/>
              </w:rPr>
            </w:pPr>
          </w:p>
        </w:tc>
        <w:tc>
          <w:tcPr>
            <w:tcW w:w="1000" w:type="dxa"/>
            <w:vAlign w:val="bottom"/>
            <w:tcBorders>
              <w:bottom w:val="single" w:sz="8" w:color="CEEEFA"/>
            </w:tcBorders>
            <w:shd w:val="clear" w:color="auto" w:fill="CEEEFA"/>
          </w:tcPr>
          <w:p>
            <w:pPr>
              <w:spacing w:after="0"/>
              <w:rPr>
                <w:sz w:val="19"/>
                <w:szCs w:val="19"/>
                <w:color w:val="auto"/>
              </w:rPr>
            </w:pPr>
          </w:p>
        </w:tc>
        <w:tc>
          <w:tcPr>
            <w:tcW w:w="1280" w:type="dxa"/>
            <w:vAlign w:val="bottom"/>
            <w:tcBorders>
              <w:bottom w:val="single" w:sz="8" w:color="CEEEFA"/>
            </w:tcBorders>
            <w:shd w:val="clear" w:color="auto" w:fill="CEEEFA"/>
          </w:tcPr>
          <w:p>
            <w:pPr>
              <w:spacing w:after="0"/>
              <w:rPr>
                <w:sz w:val="19"/>
                <w:szCs w:val="19"/>
                <w:color w:val="auto"/>
              </w:rPr>
            </w:pPr>
          </w:p>
        </w:tc>
        <w:tc>
          <w:tcPr>
            <w:tcW w:w="1040" w:type="dxa"/>
            <w:vAlign w:val="bottom"/>
            <w:tcBorders>
              <w:bottom w:val="single" w:sz="8" w:color="CEEEFA"/>
            </w:tcBorders>
            <w:shd w:val="clear" w:color="auto" w:fill="CEEEFA"/>
          </w:tcPr>
          <w:p>
            <w:pPr>
              <w:spacing w:after="0"/>
              <w:rPr>
                <w:sz w:val="19"/>
                <w:szCs w:val="19"/>
                <w:color w:val="auto"/>
              </w:rPr>
            </w:pPr>
          </w:p>
        </w:tc>
        <w:tc>
          <w:tcPr>
            <w:tcW w:w="440" w:type="dxa"/>
            <w:vAlign w:val="bottom"/>
            <w:tcBorders>
              <w:bottom w:val="single" w:sz="8" w:color="CEEEFA"/>
            </w:tcBorders>
            <w:shd w:val="clear" w:color="auto" w:fill="CEEEFA"/>
          </w:tcPr>
          <w:p>
            <w:pPr>
              <w:spacing w:after="0"/>
              <w:rPr>
                <w:sz w:val="19"/>
                <w:szCs w:val="19"/>
                <w:color w:val="auto"/>
              </w:rPr>
            </w:pPr>
          </w:p>
        </w:tc>
        <w:tc>
          <w:tcPr>
            <w:tcW w:w="1220" w:type="dxa"/>
            <w:vAlign w:val="bottom"/>
            <w:tcBorders>
              <w:bottom w:val="single" w:sz="8" w:color="CEEEFA"/>
            </w:tcBorders>
            <w:shd w:val="clear" w:color="auto" w:fill="CEEEFA"/>
          </w:tcPr>
          <w:p>
            <w:pPr>
              <w:spacing w:after="0"/>
              <w:rPr>
                <w:sz w:val="19"/>
                <w:szCs w:val="19"/>
                <w:color w:val="auto"/>
              </w:rPr>
            </w:pPr>
          </w:p>
        </w:tc>
        <w:tc>
          <w:tcPr>
            <w:tcW w:w="1080" w:type="dxa"/>
            <w:vAlign w:val="bottom"/>
            <w:tcBorders>
              <w:bottom w:val="single" w:sz="8" w:color="CEEEFA"/>
            </w:tcBorders>
            <w:shd w:val="clear" w:color="auto" w:fill="CEEEF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80" w:type="dxa"/>
            <w:vAlign w:val="bottom"/>
            <w:tcBorders>
              <w:top w:val="single" w:sz="8" w:color="CEEEFA"/>
            </w:tcBorders>
            <w:gridSpan w:val="3"/>
            <w:shd w:val="clear" w:color="auto" w:fill="CEEEFA"/>
          </w:tcPr>
          <w:p>
            <w:pPr>
              <w:ind w:left="340"/>
              <w:spacing w:after="0" w:line="182" w:lineRule="exact"/>
              <w:rPr>
                <w:sz w:val="20"/>
                <w:szCs w:val="20"/>
                <w:color w:val="auto"/>
              </w:rPr>
            </w:pPr>
            <w:r>
              <w:rPr>
                <w:rFonts w:ascii="Times New Roman" w:cs="Times New Roman" w:eastAsia="Times New Roman" w:hAnsi="Times New Roman"/>
                <w:sz w:val="18"/>
                <w:szCs w:val="18"/>
                <w:color w:val="auto"/>
              </w:rPr>
              <w:t>Officer &amp; President</w:t>
            </w:r>
          </w:p>
        </w:tc>
        <w:tc>
          <w:tcPr>
            <w:tcW w:w="820" w:type="dxa"/>
            <w:vAlign w:val="bottom"/>
            <w:tcBorders>
              <w:top w:val="single" w:sz="8" w:color="auto"/>
            </w:tcBorders>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top w:val="single" w:sz="8" w:color="auto"/>
            </w:tcBorders>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618,000</w:t>
            </w:r>
          </w:p>
        </w:tc>
        <w:tc>
          <w:tcPr>
            <w:tcW w:w="1140" w:type="dxa"/>
            <w:vAlign w:val="bottom"/>
            <w:tcBorders>
              <w:top w:val="single" w:sz="8" w:color="auto"/>
            </w:tcBorders>
            <w:shd w:val="clear" w:color="auto" w:fill="CEEEFA"/>
          </w:tcPr>
          <w:p>
            <w:pPr>
              <w:jc w:val="right"/>
              <w:ind w:right="36"/>
              <w:spacing w:after="0"/>
              <w:rPr>
                <w:sz w:val="20"/>
                <w:szCs w:val="20"/>
                <w:color w:val="auto"/>
              </w:rPr>
            </w:pPr>
            <w:r>
              <w:rPr>
                <w:rFonts w:ascii="Times New Roman" w:cs="Times New Roman" w:eastAsia="Times New Roman" w:hAnsi="Times New Roman"/>
                <w:sz w:val="18"/>
                <w:szCs w:val="18"/>
                <w:color w:val="auto"/>
              </w:rPr>
              <w:t>400,000</w:t>
            </w:r>
          </w:p>
        </w:tc>
        <w:tc>
          <w:tcPr>
            <w:tcW w:w="1000" w:type="dxa"/>
            <w:vAlign w:val="bottom"/>
            <w:tcBorders>
              <w:top w:val="single" w:sz="8" w:color="auto"/>
            </w:tcBorders>
            <w:shd w:val="clear" w:color="auto" w:fill="CEEEFA"/>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EEEFA"/>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EEEFA"/>
          </w:tcPr>
          <w:p>
            <w:pPr>
              <w:jc w:val="right"/>
              <w:ind w:right="116"/>
              <w:spacing w:after="0"/>
              <w:rPr>
                <w:sz w:val="20"/>
                <w:szCs w:val="20"/>
                <w:color w:val="auto"/>
              </w:rPr>
            </w:pPr>
            <w:r>
              <w:rPr>
                <w:rFonts w:ascii="Times New Roman" w:cs="Times New Roman" w:eastAsia="Times New Roman" w:hAnsi="Times New Roman"/>
                <w:sz w:val="18"/>
                <w:szCs w:val="18"/>
                <w:color w:val="auto"/>
              </w:rPr>
              <w:t>2,580</w:t>
            </w:r>
          </w:p>
        </w:tc>
        <w:tc>
          <w:tcPr>
            <w:tcW w:w="440" w:type="dxa"/>
            <w:vAlign w:val="bottom"/>
            <w:tcBorders>
              <w:top w:val="single" w:sz="8" w:color="auto"/>
            </w:tcBorders>
            <w:shd w:val="clear" w:color="auto" w:fill="CEEEFA"/>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tcBorders>
              <w:top w:val="single" w:sz="8" w:color="auto"/>
            </w:tcBorders>
            <w:shd w:val="clear" w:color="auto" w:fill="CEEEFA"/>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1,020,580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80" w:type="dxa"/>
            <w:vAlign w:val="bottom"/>
            <w:tcBorders>
              <w:bottom w:val="single" w:sz="8" w:color="auto"/>
            </w:tcBorders>
            <w:gridSpan w:val="3"/>
            <w:shd w:val="clear" w:color="auto" w:fill="CEEEFA"/>
          </w:tcPr>
          <w:p>
            <w:pPr>
              <w:spacing w:after="0"/>
              <w:rPr>
                <w:sz w:val="5"/>
                <w:szCs w:val="5"/>
                <w:color w:val="auto"/>
              </w:rPr>
            </w:pPr>
          </w:p>
        </w:tc>
        <w:tc>
          <w:tcPr>
            <w:tcW w:w="820" w:type="dxa"/>
            <w:vAlign w:val="bottom"/>
            <w:tcBorders>
              <w:bottom w:val="single" w:sz="8" w:color="auto"/>
            </w:tcBorders>
            <w:shd w:val="clear" w:color="auto" w:fill="CEEEFA"/>
          </w:tcPr>
          <w:p>
            <w:pPr>
              <w:spacing w:after="0"/>
              <w:rPr>
                <w:sz w:val="5"/>
                <w:szCs w:val="5"/>
                <w:color w:val="auto"/>
              </w:rPr>
            </w:pPr>
          </w:p>
        </w:tc>
        <w:tc>
          <w:tcPr>
            <w:tcW w:w="1000" w:type="dxa"/>
            <w:vAlign w:val="bottom"/>
            <w:tcBorders>
              <w:bottom w:val="single" w:sz="8" w:color="auto"/>
            </w:tcBorders>
            <w:shd w:val="clear" w:color="auto" w:fill="CEEEFA"/>
          </w:tcPr>
          <w:p>
            <w:pPr>
              <w:spacing w:after="0"/>
              <w:rPr>
                <w:sz w:val="5"/>
                <w:szCs w:val="5"/>
                <w:color w:val="auto"/>
              </w:rPr>
            </w:pPr>
          </w:p>
        </w:tc>
        <w:tc>
          <w:tcPr>
            <w:tcW w:w="1140" w:type="dxa"/>
            <w:vAlign w:val="bottom"/>
            <w:tcBorders>
              <w:bottom w:val="single" w:sz="8" w:color="auto"/>
            </w:tcBorders>
            <w:shd w:val="clear" w:color="auto" w:fill="CEEEFA"/>
          </w:tcPr>
          <w:p>
            <w:pPr>
              <w:spacing w:after="0"/>
              <w:rPr>
                <w:sz w:val="5"/>
                <w:szCs w:val="5"/>
                <w:color w:val="auto"/>
              </w:rPr>
            </w:pPr>
          </w:p>
        </w:tc>
        <w:tc>
          <w:tcPr>
            <w:tcW w:w="1000" w:type="dxa"/>
            <w:vAlign w:val="bottom"/>
            <w:tcBorders>
              <w:bottom w:val="single" w:sz="8" w:color="auto"/>
            </w:tcBorders>
            <w:shd w:val="clear" w:color="auto" w:fill="CEEEFA"/>
          </w:tcPr>
          <w:p>
            <w:pPr>
              <w:spacing w:after="0"/>
              <w:rPr>
                <w:sz w:val="5"/>
                <w:szCs w:val="5"/>
                <w:color w:val="auto"/>
              </w:rPr>
            </w:pPr>
          </w:p>
        </w:tc>
        <w:tc>
          <w:tcPr>
            <w:tcW w:w="1280" w:type="dxa"/>
            <w:vAlign w:val="bottom"/>
            <w:tcBorders>
              <w:bottom w:val="single" w:sz="8" w:color="auto"/>
            </w:tcBorders>
            <w:shd w:val="clear" w:color="auto" w:fill="CEEEFA"/>
          </w:tcPr>
          <w:p>
            <w:pPr>
              <w:spacing w:after="0"/>
              <w:rPr>
                <w:sz w:val="5"/>
                <w:szCs w:val="5"/>
                <w:color w:val="auto"/>
              </w:rPr>
            </w:pPr>
          </w:p>
        </w:tc>
        <w:tc>
          <w:tcPr>
            <w:tcW w:w="1040" w:type="dxa"/>
            <w:vAlign w:val="bottom"/>
            <w:tcBorders>
              <w:bottom w:val="single" w:sz="8" w:color="auto"/>
            </w:tcBorders>
            <w:shd w:val="clear" w:color="auto" w:fill="CEEEFA"/>
          </w:tcPr>
          <w:p>
            <w:pPr>
              <w:spacing w:after="0"/>
              <w:rPr>
                <w:sz w:val="5"/>
                <w:szCs w:val="5"/>
                <w:color w:val="auto"/>
              </w:rPr>
            </w:pPr>
          </w:p>
        </w:tc>
        <w:tc>
          <w:tcPr>
            <w:tcW w:w="440" w:type="dxa"/>
            <w:vAlign w:val="bottom"/>
            <w:tcBorders>
              <w:bottom w:val="single" w:sz="8" w:color="auto"/>
            </w:tcBorders>
            <w:shd w:val="clear" w:color="auto" w:fill="CEEEFA"/>
          </w:tcPr>
          <w:p>
            <w:pPr>
              <w:spacing w:after="0"/>
              <w:rPr>
                <w:sz w:val="5"/>
                <w:szCs w:val="5"/>
                <w:color w:val="auto"/>
              </w:rPr>
            </w:pPr>
          </w:p>
        </w:tc>
        <w:tc>
          <w:tcPr>
            <w:tcW w:w="1220" w:type="dxa"/>
            <w:vAlign w:val="bottom"/>
            <w:tcBorders>
              <w:bottom w:val="single" w:sz="8" w:color="auto"/>
            </w:tcBorders>
            <w:shd w:val="clear" w:color="auto" w:fill="CEEEFA"/>
          </w:tcPr>
          <w:p>
            <w:pPr>
              <w:spacing w:after="0"/>
              <w:rPr>
                <w:sz w:val="5"/>
                <w:szCs w:val="5"/>
                <w:color w:val="auto"/>
              </w:rPr>
            </w:pPr>
          </w:p>
        </w:tc>
        <w:tc>
          <w:tcPr>
            <w:tcW w:w="1080" w:type="dxa"/>
            <w:vAlign w:val="bottom"/>
            <w:tcBorders>
              <w:bottom w:val="single" w:sz="8" w:color="auto"/>
            </w:tcBorders>
            <w:shd w:val="clear" w:color="auto" w:fill="CEEEFA"/>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8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7"/>
                <w:szCs w:val="17"/>
                <w:b w:val="1"/>
                <w:bCs w:val="1"/>
                <w:color w:val="auto"/>
              </w:rPr>
              <w:t>Margaret Cotter</w:t>
            </w:r>
          </w:p>
        </w:tc>
        <w:tc>
          <w:tcPr>
            <w:tcW w:w="82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7"/>
                <w:szCs w:val="17"/>
                <w:color w:val="auto"/>
              </w:rPr>
              <w:t>2024</w:t>
            </w:r>
          </w:p>
        </w:tc>
        <w:tc>
          <w:tcPr>
            <w:tcW w:w="100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7"/>
                <w:szCs w:val="17"/>
                <w:color w:val="auto"/>
              </w:rPr>
              <w:t>479,250</w:t>
            </w:r>
          </w:p>
        </w:tc>
        <w:tc>
          <w:tcPr>
            <w:tcW w:w="1140" w:type="dxa"/>
            <w:vAlign w:val="bottom"/>
          </w:tcPr>
          <w:p>
            <w:pPr>
              <w:jc w:val="right"/>
              <w:ind w:right="36"/>
              <w:spacing w:after="0" w:line="147"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8"/>
              <w:spacing w:after="0" w:line="147" w:lineRule="exact"/>
              <w:rPr>
                <w:sz w:val="20"/>
                <w:szCs w:val="20"/>
                <w:color w:val="auto"/>
              </w:rPr>
            </w:pPr>
            <w:r>
              <w:rPr>
                <w:rFonts w:ascii="Times New Roman" w:cs="Times New Roman" w:eastAsia="Times New Roman" w:hAnsi="Times New Roman"/>
                <w:sz w:val="17"/>
                <w:szCs w:val="17"/>
                <w:color w:val="auto"/>
              </w:rPr>
              <w:t>102,991</w:t>
            </w:r>
          </w:p>
        </w:tc>
        <w:tc>
          <w:tcPr>
            <w:tcW w:w="128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6"/>
              <w:spacing w:after="0" w:line="147" w:lineRule="exact"/>
              <w:rPr>
                <w:sz w:val="20"/>
                <w:szCs w:val="20"/>
                <w:color w:val="auto"/>
              </w:rPr>
            </w:pPr>
            <w:r>
              <w:rPr>
                <w:rFonts w:ascii="Times New Roman" w:cs="Times New Roman" w:eastAsia="Times New Roman" w:hAnsi="Times New Roman"/>
                <w:sz w:val="17"/>
                <w:szCs w:val="17"/>
                <w:color w:val="auto"/>
              </w:rPr>
              <w:t>14,830</w:t>
            </w:r>
          </w:p>
        </w:tc>
        <w:tc>
          <w:tcPr>
            <w:tcW w:w="440" w:type="dxa"/>
            <w:vAlign w:val="bottom"/>
          </w:tcPr>
          <w:p>
            <w:pPr>
              <w:jc w:val="right"/>
              <w:ind w:right="217"/>
              <w:spacing w:after="0" w:line="147" w:lineRule="exact"/>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tcPr>
          <w:p>
            <w:pPr>
              <w:jc w:val="right"/>
              <w:ind w:right="136"/>
              <w:spacing w:after="0" w:line="14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7"/>
                <w:szCs w:val="17"/>
                <w:color w:val="auto"/>
              </w:rPr>
              <w:t>597,071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320"/>
              <w:spacing w:after="0" w:line="193" w:lineRule="exact"/>
              <w:rPr>
                <w:sz w:val="20"/>
                <w:szCs w:val="20"/>
                <w:color w:val="auto"/>
              </w:rPr>
            </w:pPr>
            <w:r>
              <w:rPr>
                <w:rFonts w:ascii="Times New Roman" w:cs="Times New Roman" w:eastAsia="Times New Roman" w:hAnsi="Times New Roman"/>
                <w:sz w:val="18"/>
                <w:szCs w:val="18"/>
                <w:color w:val="auto"/>
                <w:w w:val="93"/>
              </w:rPr>
              <w:t>EVP,</w:t>
            </w:r>
            <w:r>
              <w:rPr>
                <w:rFonts w:ascii="Times New Roman" w:cs="Times New Roman" w:eastAsia="Times New Roman" w:hAnsi="Times New Roman"/>
                <w:sz w:val="18"/>
                <w:szCs w:val="18"/>
                <w:b w:val="1"/>
                <w:bCs w:val="1"/>
                <w:color w:val="auto"/>
                <w:w w:val="93"/>
              </w:rPr>
              <w:t>‎</w:t>
            </w:r>
          </w:p>
        </w:tc>
        <w:tc>
          <w:tcPr>
            <w:tcW w:w="138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color w:val="auto"/>
              </w:rPr>
              <w:t>Real Estate</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80" w:type="dxa"/>
            <w:vAlign w:val="bottom"/>
            <w:gridSpan w:val="3"/>
            <w:vMerge w:val="restart"/>
          </w:tcPr>
          <w:p>
            <w:pPr>
              <w:ind w:left="320"/>
              <w:spacing w:after="0" w:line="189" w:lineRule="exact"/>
              <w:rPr>
                <w:sz w:val="20"/>
                <w:szCs w:val="20"/>
                <w:color w:val="auto"/>
              </w:rPr>
            </w:pPr>
            <w:r>
              <w:rPr>
                <w:rFonts w:ascii="Times New Roman" w:cs="Times New Roman" w:eastAsia="Times New Roman" w:hAnsi="Times New Roman"/>
                <w:sz w:val="18"/>
                <w:szCs w:val="18"/>
                <w:color w:val="auto"/>
              </w:rPr>
              <w:t>Management &amp;</w:t>
            </w:r>
          </w:p>
        </w:tc>
        <w:tc>
          <w:tcPr>
            <w:tcW w:w="8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80" w:type="dxa"/>
            <w:vAlign w:val="bottom"/>
            <w:gridSpan w:val="3"/>
            <w:vMerge w:val="continue"/>
          </w:tcPr>
          <w:p>
            <w:pPr>
              <w:spacing w:after="0"/>
              <w:rPr>
                <w:sz w:val="4"/>
                <w:szCs w:val="4"/>
                <w:color w:val="auto"/>
              </w:rPr>
            </w:pPr>
          </w:p>
        </w:tc>
        <w:tc>
          <w:tcPr>
            <w:tcW w:w="8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479,250</w:t>
            </w:r>
          </w:p>
        </w:tc>
        <w:tc>
          <w:tcPr>
            <w:tcW w:w="11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195,000</w:t>
            </w:r>
          </w:p>
        </w:tc>
        <w:tc>
          <w:tcPr>
            <w:tcW w:w="1000" w:type="dxa"/>
            <w:vAlign w:val="bottom"/>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14,830</w:t>
            </w:r>
          </w:p>
        </w:tc>
        <w:tc>
          <w:tcPr>
            <w:tcW w:w="44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689,080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Development</w:t>
            </w: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80" w:type="dxa"/>
            <w:vAlign w:val="bottom"/>
            <w:tcBorders>
              <w:bottom w:val="single" w:sz="8" w:color="auto"/>
            </w:tcBorders>
            <w:gridSpan w:val="3"/>
            <w:vMerge w:val="continue"/>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80" w:type="dxa"/>
            <w:vAlign w:val="bottom"/>
            <w:gridSpan w:val="3"/>
            <w:shd w:val="clear" w:color="auto" w:fill="CEEEFA"/>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S. Craig Tompkins</w:t>
            </w:r>
          </w:p>
        </w:tc>
        <w:tc>
          <w:tcPr>
            <w:tcW w:w="82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2024</w:t>
            </w:r>
          </w:p>
        </w:tc>
        <w:tc>
          <w:tcPr>
            <w:tcW w:w="100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450,883</w:t>
            </w:r>
          </w:p>
        </w:tc>
        <w:tc>
          <w:tcPr>
            <w:tcW w:w="1140" w:type="dxa"/>
            <w:vAlign w:val="bottom"/>
            <w:shd w:val="clear" w:color="auto" w:fill="CEEEFA"/>
          </w:tcPr>
          <w:p>
            <w:pPr>
              <w:jc w:val="right"/>
              <w:ind w:right="36"/>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EEEFA"/>
          </w:tcPr>
          <w:p>
            <w:pPr>
              <w:jc w:val="right"/>
              <w:ind w:right="18"/>
              <w:spacing w:after="0" w:line="150" w:lineRule="exact"/>
              <w:rPr>
                <w:sz w:val="20"/>
                <w:szCs w:val="20"/>
                <w:color w:val="auto"/>
              </w:rPr>
            </w:pPr>
            <w:r>
              <w:rPr>
                <w:rFonts w:ascii="Times New Roman" w:cs="Times New Roman" w:eastAsia="Times New Roman" w:hAnsi="Times New Roman"/>
                <w:sz w:val="17"/>
                <w:szCs w:val="17"/>
                <w:color w:val="auto"/>
              </w:rPr>
              <w:t>101,392</w:t>
            </w:r>
          </w:p>
        </w:tc>
        <w:tc>
          <w:tcPr>
            <w:tcW w:w="1280" w:type="dxa"/>
            <w:vAlign w:val="bottom"/>
            <w:shd w:val="clear" w:color="auto" w:fill="CEEEFA"/>
          </w:tcPr>
          <w:p>
            <w:pPr>
              <w:jc w:val="right"/>
              <w:ind w:right="97"/>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EEEFA"/>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rPr>
              <w:t>21,570</w:t>
            </w:r>
          </w:p>
        </w:tc>
        <w:tc>
          <w:tcPr>
            <w:tcW w:w="440" w:type="dxa"/>
            <w:vAlign w:val="bottom"/>
            <w:shd w:val="clear" w:color="auto" w:fill="CEEEFA"/>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shd w:val="clear" w:color="auto" w:fill="CEEEFA"/>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EEEFA"/>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573,845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00" w:type="dxa"/>
            <w:vAlign w:val="bottom"/>
            <w:tcBorders>
              <w:bottom w:val="single" w:sz="8" w:color="CEEEFA"/>
            </w:tcBorders>
            <w:shd w:val="clear" w:color="auto" w:fill="CEEEFA"/>
          </w:tcPr>
          <w:p>
            <w:pPr>
              <w:ind w:left="320"/>
              <w:spacing w:after="0"/>
              <w:rPr>
                <w:sz w:val="20"/>
                <w:szCs w:val="20"/>
                <w:color w:val="auto"/>
              </w:rPr>
            </w:pPr>
            <w:r>
              <w:rPr>
                <w:rFonts w:ascii="Times New Roman" w:cs="Times New Roman" w:eastAsia="Times New Roman" w:hAnsi="Times New Roman"/>
                <w:sz w:val="18"/>
                <w:szCs w:val="18"/>
                <w:color w:val="auto"/>
                <w:w w:val="93"/>
              </w:rPr>
              <w:t>EVP,‎</w:t>
            </w:r>
          </w:p>
        </w:tc>
        <w:tc>
          <w:tcPr>
            <w:tcW w:w="1380" w:type="dxa"/>
            <w:vAlign w:val="bottom"/>
            <w:tcBorders>
              <w:bottom w:val="single" w:sz="8" w:color="CEEEFA"/>
            </w:tcBorders>
            <w:gridSpan w:val="2"/>
            <w:shd w:val="clear" w:color="auto" w:fill="CEEEFA"/>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820" w:type="dxa"/>
            <w:vAlign w:val="bottom"/>
            <w:tcBorders>
              <w:bottom w:val="single" w:sz="8" w:color="auto"/>
            </w:tcBorders>
            <w:shd w:val="clear" w:color="auto" w:fill="CEEEFA"/>
          </w:tcPr>
          <w:p>
            <w:pPr>
              <w:spacing w:after="0"/>
              <w:rPr>
                <w:sz w:val="18"/>
                <w:szCs w:val="18"/>
                <w:color w:val="auto"/>
              </w:rPr>
            </w:pPr>
          </w:p>
        </w:tc>
        <w:tc>
          <w:tcPr>
            <w:tcW w:w="1000" w:type="dxa"/>
            <w:vAlign w:val="bottom"/>
            <w:tcBorders>
              <w:bottom w:val="single" w:sz="8" w:color="auto"/>
            </w:tcBorders>
            <w:shd w:val="clear" w:color="auto" w:fill="CEEEFA"/>
          </w:tcPr>
          <w:p>
            <w:pPr>
              <w:spacing w:after="0"/>
              <w:rPr>
                <w:sz w:val="18"/>
                <w:szCs w:val="18"/>
                <w:color w:val="auto"/>
              </w:rPr>
            </w:pPr>
          </w:p>
        </w:tc>
        <w:tc>
          <w:tcPr>
            <w:tcW w:w="1140" w:type="dxa"/>
            <w:vAlign w:val="bottom"/>
            <w:tcBorders>
              <w:bottom w:val="single" w:sz="8" w:color="auto"/>
            </w:tcBorders>
            <w:shd w:val="clear" w:color="auto" w:fill="CEEEFA"/>
          </w:tcPr>
          <w:p>
            <w:pPr>
              <w:spacing w:after="0"/>
              <w:rPr>
                <w:sz w:val="18"/>
                <w:szCs w:val="18"/>
                <w:color w:val="auto"/>
              </w:rPr>
            </w:pPr>
          </w:p>
        </w:tc>
        <w:tc>
          <w:tcPr>
            <w:tcW w:w="1000" w:type="dxa"/>
            <w:vAlign w:val="bottom"/>
            <w:tcBorders>
              <w:bottom w:val="single" w:sz="8" w:color="auto"/>
            </w:tcBorders>
            <w:shd w:val="clear" w:color="auto" w:fill="CEEEFA"/>
          </w:tcPr>
          <w:p>
            <w:pPr>
              <w:spacing w:after="0"/>
              <w:rPr>
                <w:sz w:val="18"/>
                <w:szCs w:val="18"/>
                <w:color w:val="auto"/>
              </w:rPr>
            </w:pPr>
          </w:p>
        </w:tc>
        <w:tc>
          <w:tcPr>
            <w:tcW w:w="1280" w:type="dxa"/>
            <w:vAlign w:val="bottom"/>
            <w:tcBorders>
              <w:bottom w:val="single" w:sz="8" w:color="auto"/>
            </w:tcBorders>
            <w:shd w:val="clear" w:color="auto" w:fill="CEEEFA"/>
          </w:tcPr>
          <w:p>
            <w:pPr>
              <w:spacing w:after="0"/>
              <w:rPr>
                <w:sz w:val="18"/>
                <w:szCs w:val="18"/>
                <w:color w:val="auto"/>
              </w:rPr>
            </w:pPr>
          </w:p>
        </w:tc>
        <w:tc>
          <w:tcPr>
            <w:tcW w:w="1040" w:type="dxa"/>
            <w:vAlign w:val="bottom"/>
            <w:tcBorders>
              <w:bottom w:val="single" w:sz="8" w:color="auto"/>
            </w:tcBorders>
            <w:shd w:val="clear" w:color="auto" w:fill="CEEEFA"/>
          </w:tcPr>
          <w:p>
            <w:pPr>
              <w:spacing w:after="0"/>
              <w:rPr>
                <w:sz w:val="18"/>
                <w:szCs w:val="18"/>
                <w:color w:val="auto"/>
              </w:rPr>
            </w:pPr>
          </w:p>
        </w:tc>
        <w:tc>
          <w:tcPr>
            <w:tcW w:w="440" w:type="dxa"/>
            <w:vAlign w:val="bottom"/>
            <w:tcBorders>
              <w:bottom w:val="single" w:sz="8" w:color="auto"/>
            </w:tcBorders>
            <w:shd w:val="clear" w:color="auto" w:fill="CEEEFA"/>
          </w:tcPr>
          <w:p>
            <w:pPr>
              <w:spacing w:after="0"/>
              <w:rPr>
                <w:sz w:val="18"/>
                <w:szCs w:val="18"/>
                <w:color w:val="auto"/>
              </w:rPr>
            </w:pPr>
          </w:p>
        </w:tc>
        <w:tc>
          <w:tcPr>
            <w:tcW w:w="1220" w:type="dxa"/>
            <w:vAlign w:val="bottom"/>
            <w:tcBorders>
              <w:bottom w:val="single" w:sz="8" w:color="auto"/>
            </w:tcBorders>
            <w:shd w:val="clear" w:color="auto" w:fill="CEEEFA"/>
          </w:tcPr>
          <w:p>
            <w:pPr>
              <w:spacing w:after="0"/>
              <w:rPr>
                <w:sz w:val="18"/>
                <w:szCs w:val="18"/>
                <w:color w:val="auto"/>
              </w:rPr>
            </w:pPr>
          </w:p>
        </w:tc>
        <w:tc>
          <w:tcPr>
            <w:tcW w:w="1080" w:type="dxa"/>
            <w:vAlign w:val="bottom"/>
            <w:tcBorders>
              <w:bottom w:val="single" w:sz="8" w:color="auto"/>
            </w:tcBorders>
            <w:shd w:val="clear" w:color="auto" w:fill="CEEEFA"/>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shd w:val="clear" w:color="auto" w:fill="CEEEFA"/>
          </w:tcPr>
          <w:p>
            <w:pPr>
              <w:spacing w:after="0"/>
              <w:rPr>
                <w:sz w:val="19"/>
                <w:szCs w:val="19"/>
                <w:color w:val="auto"/>
              </w:rPr>
            </w:pPr>
          </w:p>
        </w:tc>
        <w:tc>
          <w:tcPr>
            <w:tcW w:w="60" w:type="dxa"/>
            <w:vAlign w:val="bottom"/>
            <w:shd w:val="clear" w:color="auto" w:fill="CEEEFA"/>
          </w:tcPr>
          <w:p>
            <w:pPr>
              <w:spacing w:after="0"/>
              <w:rPr>
                <w:sz w:val="19"/>
                <w:szCs w:val="19"/>
                <w:color w:val="auto"/>
              </w:rPr>
            </w:pPr>
          </w:p>
        </w:tc>
        <w:tc>
          <w:tcPr>
            <w:tcW w:w="1320" w:type="dxa"/>
            <w:vAlign w:val="bottom"/>
            <w:shd w:val="clear" w:color="auto" w:fill="CEEEFA"/>
          </w:tcPr>
          <w:p>
            <w:pPr>
              <w:spacing w:after="0"/>
              <w:rPr>
                <w:sz w:val="19"/>
                <w:szCs w:val="19"/>
                <w:color w:val="auto"/>
              </w:rPr>
            </w:pPr>
          </w:p>
        </w:tc>
        <w:tc>
          <w:tcPr>
            <w:tcW w:w="820" w:type="dxa"/>
            <w:vAlign w:val="bottom"/>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450,883</w:t>
            </w:r>
          </w:p>
        </w:tc>
        <w:tc>
          <w:tcPr>
            <w:tcW w:w="1140" w:type="dxa"/>
            <w:vAlign w:val="bottom"/>
            <w:shd w:val="clear" w:color="auto" w:fill="CEEEFA"/>
          </w:tcPr>
          <w:p>
            <w:pPr>
              <w:jc w:val="right"/>
              <w:ind w:right="36"/>
              <w:spacing w:after="0"/>
              <w:rPr>
                <w:sz w:val="20"/>
                <w:szCs w:val="20"/>
                <w:color w:val="auto"/>
              </w:rPr>
            </w:pPr>
            <w:r>
              <w:rPr>
                <w:rFonts w:ascii="Times New Roman" w:cs="Times New Roman" w:eastAsia="Times New Roman" w:hAnsi="Times New Roman"/>
                <w:sz w:val="18"/>
                <w:szCs w:val="18"/>
                <w:color w:val="auto"/>
              </w:rPr>
              <w:t>195,000</w:t>
            </w:r>
          </w:p>
        </w:tc>
        <w:tc>
          <w:tcPr>
            <w:tcW w:w="1000" w:type="dxa"/>
            <w:vAlign w:val="bottom"/>
            <w:shd w:val="clear" w:color="auto" w:fill="CEEEFA"/>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EEEFA"/>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EEEFA"/>
          </w:tcPr>
          <w:p>
            <w:pPr>
              <w:jc w:val="right"/>
              <w:ind w:right="116"/>
              <w:spacing w:after="0"/>
              <w:rPr>
                <w:sz w:val="20"/>
                <w:szCs w:val="20"/>
                <w:color w:val="auto"/>
              </w:rPr>
            </w:pPr>
            <w:r>
              <w:rPr>
                <w:rFonts w:ascii="Times New Roman" w:cs="Times New Roman" w:eastAsia="Times New Roman" w:hAnsi="Times New Roman"/>
                <w:sz w:val="18"/>
                <w:szCs w:val="18"/>
                <w:color w:val="auto"/>
              </w:rPr>
              <w:t>21,570</w:t>
            </w:r>
          </w:p>
        </w:tc>
        <w:tc>
          <w:tcPr>
            <w:tcW w:w="440" w:type="dxa"/>
            <w:vAlign w:val="bottom"/>
            <w:shd w:val="clear" w:color="auto" w:fill="CEEEFA"/>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1220" w:type="dxa"/>
            <w:vAlign w:val="bottom"/>
            <w:shd w:val="clear" w:color="auto" w:fill="CEEEFA"/>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EEEFA"/>
          </w:tcPr>
          <w:p>
            <w:pPr>
              <w:jc w:val="right"/>
              <w:ind w:right="14"/>
              <w:spacing w:after="0"/>
              <w:rPr>
                <w:sz w:val="20"/>
                <w:szCs w:val="20"/>
                <w:color w:val="auto"/>
              </w:rPr>
            </w:pPr>
            <w:r>
              <w:rPr>
                <w:rFonts w:ascii="Times New Roman" w:cs="Times New Roman" w:eastAsia="Times New Roman" w:hAnsi="Times New Roman"/>
                <w:sz w:val="18"/>
                <w:szCs w:val="18"/>
                <w:color w:val="auto"/>
              </w:rPr>
              <w:t>667,453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700" w:type="dxa"/>
            <w:vAlign w:val="bottom"/>
            <w:shd w:val="clear" w:color="auto" w:fill="CEEEFA"/>
          </w:tcPr>
          <w:p>
            <w:pPr>
              <w:spacing w:after="0"/>
              <w:rPr>
                <w:sz w:val="7"/>
                <w:szCs w:val="7"/>
                <w:color w:val="auto"/>
              </w:rPr>
            </w:pPr>
          </w:p>
        </w:tc>
        <w:tc>
          <w:tcPr>
            <w:tcW w:w="60" w:type="dxa"/>
            <w:vAlign w:val="bottom"/>
            <w:shd w:val="clear" w:color="auto" w:fill="CEEEFA"/>
          </w:tcPr>
          <w:p>
            <w:pPr>
              <w:spacing w:after="0"/>
              <w:rPr>
                <w:sz w:val="7"/>
                <w:szCs w:val="7"/>
                <w:color w:val="auto"/>
              </w:rPr>
            </w:pPr>
          </w:p>
        </w:tc>
        <w:tc>
          <w:tcPr>
            <w:tcW w:w="1320" w:type="dxa"/>
            <w:vAlign w:val="bottom"/>
            <w:shd w:val="clear" w:color="auto" w:fill="CEEEFA"/>
          </w:tcPr>
          <w:p>
            <w:pPr>
              <w:spacing w:after="0"/>
              <w:rPr>
                <w:sz w:val="7"/>
                <w:szCs w:val="7"/>
                <w:color w:val="auto"/>
              </w:rPr>
            </w:pPr>
          </w:p>
        </w:tc>
        <w:tc>
          <w:tcPr>
            <w:tcW w:w="820" w:type="dxa"/>
            <w:vAlign w:val="bottom"/>
            <w:shd w:val="clear" w:color="auto" w:fill="CEEEFA"/>
          </w:tcPr>
          <w:p>
            <w:pPr>
              <w:spacing w:after="0"/>
              <w:rPr>
                <w:sz w:val="7"/>
                <w:szCs w:val="7"/>
                <w:color w:val="auto"/>
              </w:rPr>
            </w:pPr>
          </w:p>
        </w:tc>
        <w:tc>
          <w:tcPr>
            <w:tcW w:w="1000" w:type="dxa"/>
            <w:vAlign w:val="bottom"/>
            <w:shd w:val="clear" w:color="auto" w:fill="CEEEFA"/>
          </w:tcPr>
          <w:p>
            <w:pPr>
              <w:spacing w:after="0"/>
              <w:rPr>
                <w:sz w:val="7"/>
                <w:szCs w:val="7"/>
                <w:color w:val="auto"/>
              </w:rPr>
            </w:pPr>
          </w:p>
        </w:tc>
        <w:tc>
          <w:tcPr>
            <w:tcW w:w="1140" w:type="dxa"/>
            <w:vAlign w:val="bottom"/>
            <w:shd w:val="clear" w:color="auto" w:fill="CEEEFA"/>
          </w:tcPr>
          <w:p>
            <w:pPr>
              <w:spacing w:after="0"/>
              <w:rPr>
                <w:sz w:val="7"/>
                <w:szCs w:val="7"/>
                <w:color w:val="auto"/>
              </w:rPr>
            </w:pPr>
          </w:p>
        </w:tc>
        <w:tc>
          <w:tcPr>
            <w:tcW w:w="1000" w:type="dxa"/>
            <w:vAlign w:val="bottom"/>
            <w:shd w:val="clear" w:color="auto" w:fill="CEEEFA"/>
          </w:tcPr>
          <w:p>
            <w:pPr>
              <w:spacing w:after="0"/>
              <w:rPr>
                <w:sz w:val="7"/>
                <w:szCs w:val="7"/>
                <w:color w:val="auto"/>
              </w:rPr>
            </w:pPr>
          </w:p>
        </w:tc>
        <w:tc>
          <w:tcPr>
            <w:tcW w:w="1280" w:type="dxa"/>
            <w:vAlign w:val="bottom"/>
            <w:shd w:val="clear" w:color="auto" w:fill="CEEEFA"/>
          </w:tcPr>
          <w:p>
            <w:pPr>
              <w:spacing w:after="0"/>
              <w:rPr>
                <w:sz w:val="7"/>
                <w:szCs w:val="7"/>
                <w:color w:val="auto"/>
              </w:rPr>
            </w:pPr>
          </w:p>
        </w:tc>
        <w:tc>
          <w:tcPr>
            <w:tcW w:w="1040" w:type="dxa"/>
            <w:vAlign w:val="bottom"/>
            <w:shd w:val="clear" w:color="auto" w:fill="CEEEFA"/>
          </w:tcPr>
          <w:p>
            <w:pPr>
              <w:spacing w:after="0"/>
              <w:rPr>
                <w:sz w:val="7"/>
                <w:szCs w:val="7"/>
                <w:color w:val="auto"/>
              </w:rPr>
            </w:pPr>
          </w:p>
        </w:tc>
        <w:tc>
          <w:tcPr>
            <w:tcW w:w="440" w:type="dxa"/>
            <w:vAlign w:val="bottom"/>
            <w:shd w:val="clear" w:color="auto" w:fill="CEEEFA"/>
          </w:tcPr>
          <w:p>
            <w:pPr>
              <w:spacing w:after="0"/>
              <w:rPr>
                <w:sz w:val="7"/>
                <w:szCs w:val="7"/>
                <w:color w:val="auto"/>
              </w:rPr>
            </w:pPr>
          </w:p>
        </w:tc>
        <w:tc>
          <w:tcPr>
            <w:tcW w:w="1220" w:type="dxa"/>
            <w:vAlign w:val="bottom"/>
            <w:shd w:val="clear" w:color="auto" w:fill="CEEEFA"/>
          </w:tcPr>
          <w:p>
            <w:pPr>
              <w:spacing w:after="0"/>
              <w:rPr>
                <w:sz w:val="7"/>
                <w:szCs w:val="7"/>
                <w:color w:val="auto"/>
              </w:rPr>
            </w:pPr>
          </w:p>
        </w:tc>
        <w:tc>
          <w:tcPr>
            <w:tcW w:w="1080" w:type="dxa"/>
            <w:vAlign w:val="bottom"/>
            <w:shd w:val="clear" w:color="auto" w:fill="CEEEFA"/>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-1807845</wp:posOffset>
            </wp:positionV>
            <wp:extent cx="7054850" cy="1817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4850" cy="1817370"/>
                    </a:xfrm>
                    <a:prstGeom prst="rect">
                      <a:avLst/>
                    </a:prstGeom>
                    <a:noFill/>
                  </pic:spPr>
                </pic:pic>
              </a:graphicData>
            </a:graphic>
          </wp:anchor>
        </w:drawing>
      </w:r>
    </w:p>
    <w:p>
      <w:pPr>
        <w:jc w:val="both"/>
        <w:ind w:left="660" w:right="60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granted as a component of the 2024 and 2023 annual incentive awards are reported in this column as 2024 and 2023 compensation, respectively, to reflect the applicable service period for such awards. Amounts represent the aggregate grant date fair value of awards computed in accordance with ASC Topic 718. The assumptions used in the valuation of these awards are discussed in Note 15 to our consolidated financial statements. For a discussion of the material terms of each outstanding stock award, see “Compensation Discussion and Analysis – Long-Term Incentives” and the table below entitled “Outstanding Equity Awards at Year Ended December 31, 2024.”</w:t>
      </w:r>
    </w:p>
    <w:p>
      <w:pPr>
        <w:spacing w:after="0" w:line="27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matching employer contributions under our 401(k) Plan and dollar value of the key person life insurance premium.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Stock Incentive Plan</w:t>
      </w:r>
    </w:p>
    <w:p>
      <w:pPr>
        <w:spacing w:after="0" w:line="175" w:lineRule="exact"/>
        <w:rPr>
          <w:sz w:val="20"/>
          <w:szCs w:val="20"/>
          <w:color w:val="auto"/>
        </w:rPr>
      </w:pPr>
    </w:p>
    <w:p>
      <w:pPr>
        <w:jc w:val="both"/>
        <w:ind w:right="280" w:firstLine="648"/>
        <w:spacing w:after="0" w:line="226" w:lineRule="auto"/>
        <w:rPr>
          <w:sz w:val="20"/>
          <w:szCs w:val="20"/>
          <w:color w:val="auto"/>
        </w:rPr>
      </w:pPr>
      <w:r>
        <w:rPr>
          <w:rFonts w:ascii="Times New Roman" w:cs="Times New Roman" w:eastAsia="Times New Roman" w:hAnsi="Times New Roman"/>
          <w:sz w:val="18"/>
          <w:szCs w:val="18"/>
          <w:color w:val="auto"/>
        </w:rPr>
        <w:t>On November 4, 2020, our Board adopted the Reading International, Inc. 2020 Stock Plan (as amended the “2020 Stock Plan”) and recommended to our stockholders the adoption of that plan. The 2020 Stock Plan was adopted by our stockholders on December 8, 2020. Our Board adopted and recommended the 2020 Stock Plan to provide a means by which employees, directors and consultants of Reading and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 On October 26, 2023, our Board adopted the First Amendment to the 2020 Stock Plan (the “First Amendment”) to increase the number of shares available for issuance under our 2020 Stock Plan by an additional 971,807 shares of Class A Non-Voting Common Stock and recommended to our stockholders the adoption of that amendment. The First Amendment was adopted by our stockholders on December 7, 2023. On October 18, 2024, our Board adopted the Second Amendment to the 2020 Stock Plan (the “Second Amendment” and together with the First Amendment, the “Plan Amendments”) to increase the number of shares available for issuance under our 2020 Stock Plan by an additional 3,500,000 shares of Class A Non-Voting Common Stock and recommended to our stockholders the adoption of that amendment. The Second Amendment was adopted by our stockholders on December 5, 2024.</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1" w:right="459" w:bottom="1440" w:gutter="0" w:footer="0" w:header="0"/>
        </w:sectPr>
      </w:pPr>
    </w:p>
    <w:bookmarkStart w:id="36" w:name="page37"/>
    <w:bookmarkEnd w:id="36"/>
    <w:p>
      <w:pPr>
        <w:jc w:val="both"/>
        <w:ind w:right="400" w:firstLine="648"/>
        <w:spacing w:after="0"/>
        <w:rPr>
          <w:sz w:val="20"/>
          <w:szCs w:val="20"/>
          <w:color w:val="auto"/>
        </w:rPr>
      </w:pPr>
      <w:r>
        <w:rPr>
          <w:rFonts w:ascii="Times New Roman" w:cs="Times New Roman" w:eastAsia="Times New Roman" w:hAnsi="Times New Roman"/>
          <w:sz w:val="18"/>
          <w:szCs w:val="18"/>
          <w:color w:val="auto"/>
        </w:rPr>
        <w:t>As of April 18, 2025, there were 5,721,807 shares of Class A Non-Voting Common Stock and 200,000 shares of Class B Voting Common Stock available for issuance under our 2020 Stock Plan. If any awards that were outstanding under the now expired 2010 Stock Incentive Plan as of the day before the date on which the Board approved the 2020 Stock Incentive Plan are subsequently forfeited or if the related shares are repurchased, a corresponding number of shares will automatically become available for issuance under the 2020 Stock Incentive Plan, thus resulting in an increase in the number of shares available for issuance under the 2020 Stock Incentive Plan. Accordingly, a total of 834,246 shares of Class A Stock are reserved for issuance under the 2020 Stock Incentive Plan as a result of the forfeiture of options issued under our Company’s now expired 2010 Stock Incentive Plan, for a total of 6,556,053 shares of Class A Stock. If awards granted under the 2020 Stock Incentive Plan expire or otherwise terminate without being exercised in full, the shares of Common Stock not acquired pursuant to such awards will again become available for issuance under the 2020 Stock Incentive Plan. If shares of Common Stock issued pursuant to awards under the 2020 Stock Incentive Plan are forfeited to or repurchased by us, the forfeited or repurchased stock will again become available for issuance under the 2020 Stock Incentive Plan. If shares of Common Stock subject to an award under the 2020 Stock Incentive Plan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2020 Stock Incentive Plan. The maximum number of shares that may be issued upon the exercise of Incentive Stock Options shall not exceed 6,556,053 shares of Class A Stock and 200,000 shares of Class B Stock.</w:t>
      </w:r>
    </w:p>
    <w:p>
      <w:pPr>
        <w:spacing w:after="0" w:line="207" w:lineRule="exact"/>
        <w:rPr>
          <w:sz w:val="20"/>
          <w:szCs w:val="20"/>
          <w:color w:val="auto"/>
        </w:rPr>
      </w:pPr>
    </w:p>
    <w:p>
      <w:pPr>
        <w:jc w:val="both"/>
        <w:ind w:right="400" w:firstLine="648"/>
        <w:spacing w:after="0" w:line="231" w:lineRule="auto"/>
        <w:rPr>
          <w:sz w:val="20"/>
          <w:szCs w:val="20"/>
          <w:color w:val="auto"/>
        </w:rPr>
      </w:pPr>
      <w:r>
        <w:rPr>
          <w:rFonts w:ascii="Times New Roman" w:cs="Times New Roman" w:eastAsia="Times New Roman" w:hAnsi="Times New Roman"/>
          <w:sz w:val="18"/>
          <w:szCs w:val="18"/>
          <w:color w:val="auto"/>
        </w:rPr>
        <w:t>Our Board delegated administration of the 2020 Stock Plan to our Compensation Committee and has delegated to our Chairperson the authority to grant awards to eligible persons who are not then subject to Section 16 of the Securities and Exchange Act of 1934 and are not “covered employees” as defined in the 2020 Stock Plan. With such delegated authority, our Compensation Committee has the power to construe and interpret the 2020 Stock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158" w:lineRule="exact"/>
        <w:rPr>
          <w:sz w:val="20"/>
          <w:szCs w:val="20"/>
          <w:color w:val="auto"/>
        </w:rPr>
      </w:pPr>
    </w:p>
    <w:p>
      <w:pPr>
        <w:jc w:val="both"/>
        <w:ind w:right="400" w:firstLine="648"/>
        <w:spacing w:after="0" w:line="233" w:lineRule="auto"/>
        <w:rPr>
          <w:sz w:val="20"/>
          <w:szCs w:val="20"/>
          <w:color w:val="auto"/>
        </w:rPr>
      </w:pPr>
      <w:r>
        <w:rPr>
          <w:rFonts w:ascii="Times New Roman" w:cs="Times New Roman" w:eastAsia="Times New Roman" w:hAnsi="Times New Roman"/>
          <w:sz w:val="18"/>
          <w:szCs w:val="18"/>
          <w:color w:val="auto"/>
        </w:rPr>
        <w:t>In the event of a “Corporate Transaction” (as defined in the 2020 Stock Plan), any surviving or acquiring corporation may assume awards outstanding under the 2020 Stock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Plan provides that, in the event of a dissolution or liquidation of our Company, all outstanding awards under the 2020 Stock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spacing w:after="0" w:line="146" w:lineRule="exact"/>
        <w:rPr>
          <w:sz w:val="20"/>
          <w:szCs w:val="20"/>
          <w:color w:val="auto"/>
        </w:rPr>
      </w:pPr>
    </w:p>
    <w:p>
      <w:pPr>
        <w:jc w:val="both"/>
        <w:ind w:right="400" w:firstLine="648"/>
        <w:spacing w:after="0" w:line="236" w:lineRule="auto"/>
        <w:rPr>
          <w:sz w:val="20"/>
          <w:szCs w:val="20"/>
          <w:color w:val="auto"/>
        </w:rPr>
      </w:pPr>
      <w:r>
        <w:rPr>
          <w:rFonts w:ascii="Times New Roman" w:cs="Times New Roman" w:eastAsia="Times New Roman" w:hAnsi="Times New Roman"/>
          <w:sz w:val="18"/>
          <w:szCs w:val="18"/>
          <w:color w:val="auto"/>
        </w:rPr>
        <w:t>All stock awards issued under the 2020 Stock Plan are subject to reduction, cancellation, forfeiture and recoupment to the extent necessary to comply with applicable law or the Nasdaq Stock Market Listing Rules. An acceptance of a stock award under the 2020 Stock Plan is an agreement by the participant to be bound by any such laws or rules. On November 29, 2023, our Board adopted our 2023 Clawback Policy in compliance with applicable Nasdaq Stock Market Listing Rules.</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a copy of the 2020 Stock Plan, see our “SEC Schedule 14A, Proxy Statement,” filed with the SEC on November 6, 2020. For a more detailed summary of our 2020 Stock Plan, as amended by the Second Amendment, see our “SEC Schedule 14A, Proxy Statement,” filed with the SEC on October 25, 2024.</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a copy of the First Amendment see our “SEC Schedule 14A, Proxy Statement,” filed with the SEC on October 27, 2023. For a copy of the Second Amendment see our “SEC Schedule 14A, Proxy Statement,” with the SEC on October 25, 2024.</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outstanding equity awards held by our NEOs as of December 31, 2024 (and not subsequent awards) under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2020 Stock Incentive Plan:</w:t>
      </w:r>
    </w:p>
    <w:tbl>
      <w:tblPr>
        <w:tblLayout w:type="fixed"/>
        <w:tblInd w:w="10" w:type="dxa"/>
        <w:tblCellMar>
          <w:top w:w="0" w:type="dxa"/>
          <w:left w:w="0" w:type="dxa"/>
          <w:bottom w:w="0" w:type="dxa"/>
          <w:right w:w="0" w:type="dxa"/>
        </w:tblCellMar>
      </w:tblPr>
      <w:tr>
        <w:trPr>
          <w:trHeight w:val="250"/>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940" w:type="dxa"/>
            <w:vAlign w:val="bottom"/>
            <w:tcBorders>
              <w:left w:val="single" w:sz="8" w:color="auto"/>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8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No. Of</w:t>
            </w:r>
          </w:p>
        </w:tc>
        <w:tc>
          <w:tcPr>
            <w:tcW w:w="2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9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70"/>
        </w:trPr>
        <w:tc>
          <w:tcPr>
            <w:tcW w:w="940" w:type="dxa"/>
            <w:vAlign w:val="bottom"/>
            <w:tcBorders>
              <w:left w:val="single" w:sz="8" w:color="auto"/>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No. of</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or Payout</w:t>
            </w:r>
          </w:p>
        </w:tc>
        <w:tc>
          <w:tcPr>
            <w:tcW w:w="0" w:type="dxa"/>
            <w:vAlign w:val="bottom"/>
          </w:tcPr>
          <w:p>
            <w:pPr>
              <w:spacing w:after="0"/>
              <w:rPr>
                <w:sz w:val="1"/>
                <w:szCs w:val="1"/>
                <w:color w:val="auto"/>
              </w:rPr>
            </w:pPr>
          </w:p>
        </w:tc>
      </w:tr>
      <w:tr>
        <w:trPr>
          <w:trHeight w:val="106"/>
        </w:trPr>
        <w:tc>
          <w:tcPr>
            <w:tcW w:w="94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 of Shares</w:t>
            </w:r>
          </w:p>
        </w:tc>
        <w:tc>
          <w:tcPr>
            <w:tcW w:w="11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8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gridSpan w:val="2"/>
            <w:vMerge w:val="restart"/>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No. of</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9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92"/>
        </w:trPr>
        <w:tc>
          <w:tcPr>
            <w:tcW w:w="94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1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80" w:type="dxa"/>
            <w:vAlign w:val="bottom"/>
            <w:vMerge w:val="restart"/>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2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vMerge w:val="restart"/>
          </w:tcPr>
          <w:p>
            <w:pPr>
              <w:jc w:val="center"/>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Shares or</w:t>
            </w:r>
          </w:p>
        </w:tc>
        <w:tc>
          <w:tcPr>
            <w:tcW w:w="9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Shares or</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jc w:val="center"/>
              <w:ind w:left="79"/>
              <w:spacing w:after="0" w:line="175" w:lineRule="exact"/>
              <w:rPr>
                <w:sz w:val="20"/>
                <w:szCs w:val="20"/>
                <w:color w:val="auto"/>
              </w:rPr>
            </w:pPr>
            <w:r>
              <w:rPr>
                <w:rFonts w:ascii="Times New Roman" w:cs="Times New Roman" w:eastAsia="Times New Roman" w:hAnsi="Times New Roman"/>
                <w:sz w:val="16"/>
                <w:szCs w:val="16"/>
                <w:b w:val="1"/>
                <w:bCs w:val="1"/>
                <w:color w:val="auto"/>
              </w:rPr>
              <w:t>No. of Shares</w:t>
            </w: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Common</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92"/>
        </w:trPr>
        <w:tc>
          <w:tcPr>
            <w:tcW w:w="94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1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80" w:type="dxa"/>
            <w:vAlign w:val="bottom"/>
            <w:vMerge w:val="restart"/>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2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vMerge w:val="restart"/>
          </w:tcPr>
          <w:p>
            <w:pPr>
              <w:jc w:val="center"/>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Units of</w:t>
            </w:r>
          </w:p>
        </w:tc>
        <w:tc>
          <w:tcPr>
            <w:tcW w:w="9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Units that</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92"/>
        </w:trPr>
        <w:tc>
          <w:tcPr>
            <w:tcW w:w="94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1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80" w:type="dxa"/>
            <w:vAlign w:val="bottom"/>
            <w:vMerge w:val="restart"/>
          </w:tcPr>
          <w:p>
            <w:pPr>
              <w:jc w:val="center"/>
              <w:ind w:left="119"/>
              <w:spacing w:after="0" w:line="175"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2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Option</w:t>
            </w:r>
          </w:p>
        </w:tc>
        <w:tc>
          <w:tcPr>
            <w:tcW w:w="980" w:type="dxa"/>
            <w:vAlign w:val="bottom"/>
            <w:tcBorders>
              <w:right w:val="single" w:sz="8" w:color="auto"/>
            </w:tcBorders>
            <w:gridSpan w:val="2"/>
            <w:vMerge w:val="restart"/>
          </w:tcPr>
          <w:p>
            <w:pPr>
              <w:jc w:val="center"/>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9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jc w:val="center"/>
              <w:ind w:left="79"/>
              <w:spacing w:after="0" w:line="175"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That Have</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That</w:t>
            </w:r>
          </w:p>
        </w:tc>
        <w:tc>
          <w:tcPr>
            <w:tcW w:w="0" w:type="dxa"/>
            <w:vAlign w:val="bottom"/>
          </w:tcPr>
          <w:p>
            <w:pPr>
              <w:spacing w:after="0"/>
              <w:rPr>
                <w:sz w:val="1"/>
                <w:szCs w:val="1"/>
                <w:color w:val="auto"/>
              </w:rPr>
            </w:pPr>
          </w:p>
        </w:tc>
      </w:tr>
      <w:tr>
        <w:trPr>
          <w:trHeight w:val="92"/>
        </w:trPr>
        <w:tc>
          <w:tcPr>
            <w:tcW w:w="94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1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80" w:type="dxa"/>
            <w:vAlign w:val="bottom"/>
            <w:vMerge w:val="restart"/>
          </w:tcPr>
          <w:p>
            <w:pPr>
              <w:jc w:val="center"/>
              <w:ind w:left="119"/>
              <w:spacing w:after="0" w:line="175"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2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980" w:type="dxa"/>
            <w:vAlign w:val="bottom"/>
            <w:tcBorders>
              <w:right w:val="single" w:sz="8" w:color="auto"/>
            </w:tcBorders>
            <w:gridSpan w:val="2"/>
            <w:vMerge w:val="restart"/>
          </w:tcPr>
          <w:p>
            <w:pPr>
              <w:jc w:val="center"/>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9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Vested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20"/>
                <w:szCs w:val="20"/>
                <w:b w:val="1"/>
                <w:bCs w:val="1"/>
                <w:color w:val="auto"/>
                <w:vertAlign w:val="superscript"/>
              </w:rPr>
              <w:t>)</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right w:val="single" w:sz="8" w:color="auto"/>
            </w:tcBorders>
            <w:vMerge w:val="restart"/>
          </w:tcPr>
          <w:p>
            <w:pPr>
              <w:ind w:left="280"/>
              <w:spacing w:after="0" w:line="175" w:lineRule="exact"/>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116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Not Vested</w:t>
            </w:r>
          </w:p>
        </w:tc>
        <w:tc>
          <w:tcPr>
            <w:tcW w:w="9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92"/>
        </w:trPr>
        <w:tc>
          <w:tcPr>
            <w:tcW w:w="940" w:type="dxa"/>
            <w:vAlign w:val="bottom"/>
            <w:tcBorders>
              <w:left w:val="single" w:sz="8" w:color="auto"/>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8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94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08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gridSpan w:val="2"/>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shd w:val="clear" w:color="auto" w:fill="C6E5FE"/>
          </w:tcPr>
          <w:p>
            <w:pPr>
              <w:spacing w:after="0"/>
              <w:rPr>
                <w:sz w:val="12"/>
                <w:szCs w:val="12"/>
                <w:color w:val="auto"/>
              </w:rPr>
            </w:pPr>
          </w:p>
        </w:tc>
        <w:tc>
          <w:tcPr>
            <w:tcW w:w="7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484,499</w:t>
            </w:r>
          </w:p>
        </w:tc>
        <w:tc>
          <w:tcPr>
            <w:tcW w:w="1120" w:type="dxa"/>
            <w:vAlign w:val="bottom"/>
            <w:shd w:val="clear" w:color="auto" w:fill="C6E5FE"/>
          </w:tcPr>
          <w:p>
            <w:pPr>
              <w:spacing w:after="0"/>
              <w:rPr>
                <w:sz w:val="12"/>
                <w:szCs w:val="12"/>
                <w:color w:val="auto"/>
              </w:rPr>
            </w:pPr>
          </w:p>
        </w:tc>
        <w:tc>
          <w:tcPr>
            <w:tcW w:w="240" w:type="dxa"/>
            <w:vAlign w:val="bottom"/>
            <w:tcBorders>
              <w:right w:val="single" w:sz="8" w:color="auto"/>
            </w:tcBorders>
            <w:shd w:val="clear" w:color="auto" w:fill="C6E5FE"/>
          </w:tcPr>
          <w:p>
            <w:pPr>
              <w:ind w:lef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2"/>
                <w:szCs w:val="12"/>
                <w:color w:val="auto"/>
              </w:rPr>
            </w:pPr>
          </w:p>
        </w:tc>
        <w:tc>
          <w:tcPr>
            <w:tcW w:w="26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$1.47</w:t>
            </w:r>
          </w:p>
        </w:tc>
        <w:tc>
          <w:tcPr>
            <w:tcW w:w="98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6/5/2034</w:t>
            </w:r>
          </w:p>
        </w:tc>
        <w:tc>
          <w:tcPr>
            <w:tcW w:w="660" w:type="dxa"/>
            <w:vAlign w:val="bottom"/>
            <w:shd w:val="clear" w:color="auto" w:fill="C6E5FE"/>
          </w:tcPr>
          <w:p>
            <w:pPr>
              <w:spacing w:after="0"/>
              <w:rPr>
                <w:sz w:val="12"/>
                <w:szCs w:val="12"/>
                <w:color w:val="auto"/>
              </w:rPr>
            </w:pPr>
          </w:p>
        </w:tc>
        <w:tc>
          <w:tcPr>
            <w:tcW w:w="320" w:type="dxa"/>
            <w:vAlign w:val="bottom"/>
            <w:tcBorders>
              <w:right w:val="single" w:sz="8" w:color="auto"/>
            </w:tcBorders>
            <w:shd w:val="clear" w:color="auto" w:fill="C6E5FE"/>
          </w:tcPr>
          <w:p>
            <w:pPr>
              <w:jc w:val="right"/>
              <w:ind w:right="50"/>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shd w:val="clear" w:color="auto" w:fill="C6E5FE"/>
          </w:tcPr>
          <w:p>
            <w:pPr>
              <w:jc w:val="right"/>
              <w:ind w:right="1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vMerge w:val="restart"/>
            <w:shd w:val="clear" w:color="auto" w:fill="C6E5FE"/>
          </w:tcPr>
          <w:p>
            <w:pPr>
              <w:ind w:left="120"/>
              <w:spacing w:after="0"/>
              <w:rPr>
                <w:sz w:val="20"/>
                <w:szCs w:val="20"/>
                <w:color w:val="auto"/>
              </w:rPr>
            </w:pPr>
            <w:r>
              <w:rPr>
                <w:rFonts w:ascii="Times New Roman" w:cs="Times New Roman" w:eastAsia="Times New Roman" w:hAnsi="Times New Roman"/>
                <w:sz w:val="16"/>
                <w:szCs w:val="16"/>
                <w:color w:val="auto"/>
              </w:rPr>
              <w:t>Ellen M.</w:t>
            </w: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9"/>
                <w:szCs w:val="19"/>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9"/>
                <w:szCs w:val="19"/>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(2)</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$10,248</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continue"/>
            <w:shd w:val="clear" w:color="auto" w:fill="C6E5FE"/>
          </w:tcPr>
          <w:p>
            <w:pPr>
              <w:spacing w:after="0"/>
              <w:rPr>
                <w:sz w:val="18"/>
                <w:szCs w:val="18"/>
                <w:color w:val="auto"/>
              </w:rPr>
            </w:pP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8"/>
                <w:szCs w:val="18"/>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8"/>
                <w:szCs w:val="18"/>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23,980</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(2)</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$31,654</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6"/>
                <w:szCs w:val="16"/>
                <w:color w:val="auto"/>
              </w:rPr>
              <w:t>Cotter</w:t>
            </w:r>
          </w:p>
        </w:tc>
        <w:tc>
          <w:tcPr>
            <w:tcW w:w="780" w:type="dxa"/>
            <w:vAlign w:val="bottom"/>
            <w:tcBorders>
              <w:right w:val="single" w:sz="8" w:color="auto"/>
            </w:tcBorders>
            <w:vMerge w:val="restart"/>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8"/>
                <w:szCs w:val="18"/>
                <w:color w:val="auto"/>
              </w:rPr>
            </w:pPr>
          </w:p>
        </w:tc>
        <w:tc>
          <w:tcPr>
            <w:tcW w:w="240" w:type="dxa"/>
            <w:vAlign w:val="bottom"/>
            <w:tcBorders>
              <w:right w:val="single" w:sz="8" w:color="auto"/>
            </w:tcBorders>
            <w:vMerge w:val="restart"/>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8"/>
                <w:szCs w:val="18"/>
                <w:color w:val="auto"/>
              </w:rPr>
            </w:pPr>
          </w:p>
        </w:tc>
        <w:tc>
          <w:tcPr>
            <w:tcW w:w="26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32,454</w:t>
            </w:r>
          </w:p>
        </w:tc>
        <w:tc>
          <w:tcPr>
            <w:tcW w:w="320" w:type="dxa"/>
            <w:vAlign w:val="bottom"/>
            <w:tcBorders>
              <w:right w:val="single" w:sz="8" w:color="auto"/>
            </w:tcBorders>
            <w:vMerge w:val="restart"/>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(2)</w:t>
            </w:r>
          </w:p>
        </w:tc>
        <w:tc>
          <w:tcPr>
            <w:tcW w:w="98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$42,839</w:t>
            </w:r>
          </w:p>
        </w:tc>
        <w:tc>
          <w:tcPr>
            <w:tcW w:w="960" w:type="dxa"/>
            <w:vAlign w:val="bottom"/>
            <w:tcBorders>
              <w:right w:val="single" w:sz="8" w:color="auto"/>
            </w:tcBorders>
            <w:vMerge w:val="restart"/>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vMerge w:val="restart"/>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940" w:type="dxa"/>
            <w:vAlign w:val="bottom"/>
            <w:tcBorders>
              <w:left w:val="single" w:sz="8" w:color="auto"/>
              <w:right w:val="single" w:sz="8" w:color="auto"/>
            </w:tcBorders>
            <w:shd w:val="clear" w:color="auto" w:fill="C6E5FE"/>
          </w:tcPr>
          <w:p>
            <w:pPr>
              <w:spacing w:after="0"/>
              <w:rPr>
                <w:sz w:val="2"/>
                <w:szCs w:val="2"/>
                <w:color w:val="auto"/>
              </w:rPr>
            </w:pPr>
          </w:p>
        </w:tc>
        <w:tc>
          <w:tcPr>
            <w:tcW w:w="780" w:type="dxa"/>
            <w:vAlign w:val="bottom"/>
            <w:tcBorders>
              <w:right w:val="single" w:sz="8" w:color="auto"/>
            </w:tcBorders>
            <w:vMerge w:val="continue"/>
            <w:shd w:val="clear" w:color="auto" w:fill="C6E5FE"/>
          </w:tcPr>
          <w:p>
            <w:pPr>
              <w:spacing w:after="0"/>
              <w:rPr>
                <w:sz w:val="2"/>
                <w:szCs w:val="2"/>
                <w:color w:val="auto"/>
              </w:rPr>
            </w:pPr>
          </w:p>
        </w:tc>
        <w:tc>
          <w:tcPr>
            <w:tcW w:w="1160" w:type="dxa"/>
            <w:vAlign w:val="bottom"/>
            <w:tcBorders>
              <w:right w:val="single" w:sz="8" w:color="auto"/>
            </w:tcBorders>
            <w:vMerge w:val="continue"/>
            <w:shd w:val="clear" w:color="auto" w:fill="C6E5FE"/>
          </w:tcPr>
          <w:p>
            <w:pPr>
              <w:spacing w:after="0"/>
              <w:rPr>
                <w:sz w:val="2"/>
                <w:szCs w:val="2"/>
                <w:color w:val="auto"/>
              </w:rPr>
            </w:pPr>
          </w:p>
        </w:tc>
        <w:tc>
          <w:tcPr>
            <w:tcW w:w="1120" w:type="dxa"/>
            <w:vAlign w:val="bottom"/>
            <w:shd w:val="clear" w:color="auto" w:fill="C6E5FE"/>
          </w:tcPr>
          <w:p>
            <w:pPr>
              <w:spacing w:after="0"/>
              <w:rPr>
                <w:sz w:val="2"/>
                <w:szCs w:val="2"/>
                <w:color w:val="auto"/>
              </w:rPr>
            </w:pPr>
          </w:p>
        </w:tc>
        <w:tc>
          <w:tcPr>
            <w:tcW w:w="240" w:type="dxa"/>
            <w:vAlign w:val="bottom"/>
            <w:tcBorders>
              <w:right w:val="single" w:sz="8" w:color="auto"/>
            </w:tcBorders>
            <w:vMerge w:val="continue"/>
            <w:shd w:val="clear" w:color="auto" w:fill="C6E5FE"/>
          </w:tcPr>
          <w:p>
            <w:pPr>
              <w:spacing w:after="0"/>
              <w:rPr>
                <w:sz w:val="2"/>
                <w:szCs w:val="2"/>
                <w:color w:val="auto"/>
              </w:rPr>
            </w:pPr>
          </w:p>
        </w:tc>
        <w:tc>
          <w:tcPr>
            <w:tcW w:w="1080" w:type="dxa"/>
            <w:vAlign w:val="bottom"/>
            <w:shd w:val="clear" w:color="auto" w:fill="C6E5FE"/>
          </w:tcPr>
          <w:p>
            <w:pPr>
              <w:spacing w:after="0"/>
              <w:rPr>
                <w:sz w:val="2"/>
                <w:szCs w:val="2"/>
                <w:color w:val="auto"/>
              </w:rPr>
            </w:pPr>
          </w:p>
        </w:tc>
        <w:tc>
          <w:tcPr>
            <w:tcW w:w="260" w:type="dxa"/>
            <w:vAlign w:val="bottom"/>
            <w:tcBorders>
              <w:right w:val="single" w:sz="8" w:color="auto"/>
            </w:tcBorders>
            <w:vMerge w:val="continue"/>
            <w:shd w:val="clear" w:color="auto" w:fill="C6E5FE"/>
          </w:tcPr>
          <w:p>
            <w:pPr>
              <w:spacing w:after="0"/>
              <w:rPr>
                <w:sz w:val="2"/>
                <w:szCs w:val="2"/>
                <w:color w:val="auto"/>
              </w:rPr>
            </w:pPr>
          </w:p>
        </w:tc>
        <w:tc>
          <w:tcPr>
            <w:tcW w:w="840" w:type="dxa"/>
            <w:vAlign w:val="bottom"/>
            <w:tcBorders>
              <w:right w:val="single" w:sz="8" w:color="auto"/>
            </w:tcBorders>
            <w:vMerge w:val="continue"/>
            <w:shd w:val="clear" w:color="auto" w:fill="C6E5FE"/>
          </w:tcPr>
          <w:p>
            <w:pPr>
              <w:spacing w:after="0"/>
              <w:rPr>
                <w:sz w:val="2"/>
                <w:szCs w:val="2"/>
                <w:color w:val="auto"/>
              </w:rPr>
            </w:pPr>
          </w:p>
        </w:tc>
        <w:tc>
          <w:tcPr>
            <w:tcW w:w="980" w:type="dxa"/>
            <w:vAlign w:val="bottom"/>
            <w:tcBorders>
              <w:right w:val="single" w:sz="8" w:color="auto"/>
            </w:tcBorders>
            <w:vMerge w:val="continue"/>
            <w:shd w:val="clear" w:color="auto" w:fill="C6E5FE"/>
          </w:tcPr>
          <w:p>
            <w:pPr>
              <w:spacing w:after="0"/>
              <w:rPr>
                <w:sz w:val="2"/>
                <w:szCs w:val="2"/>
                <w:color w:val="auto"/>
              </w:rPr>
            </w:pPr>
          </w:p>
        </w:tc>
        <w:tc>
          <w:tcPr>
            <w:tcW w:w="660" w:type="dxa"/>
            <w:vAlign w:val="bottom"/>
            <w:vMerge w:val="continue"/>
            <w:shd w:val="clear" w:color="auto" w:fill="C6E5FE"/>
          </w:tcPr>
          <w:p>
            <w:pPr>
              <w:spacing w:after="0"/>
              <w:rPr>
                <w:sz w:val="2"/>
                <w:szCs w:val="2"/>
                <w:color w:val="auto"/>
              </w:rPr>
            </w:pPr>
          </w:p>
        </w:tc>
        <w:tc>
          <w:tcPr>
            <w:tcW w:w="320" w:type="dxa"/>
            <w:vAlign w:val="bottom"/>
            <w:tcBorders>
              <w:right w:val="single" w:sz="8" w:color="auto"/>
            </w:tcBorders>
            <w:vMerge w:val="continue"/>
            <w:shd w:val="clear" w:color="auto" w:fill="C6E5FE"/>
          </w:tcPr>
          <w:p>
            <w:pPr>
              <w:spacing w:after="0"/>
              <w:rPr>
                <w:sz w:val="2"/>
                <w:szCs w:val="2"/>
                <w:color w:val="auto"/>
              </w:rPr>
            </w:pPr>
          </w:p>
        </w:tc>
        <w:tc>
          <w:tcPr>
            <w:tcW w:w="980" w:type="dxa"/>
            <w:vAlign w:val="bottom"/>
            <w:tcBorders>
              <w:right w:val="single" w:sz="8" w:color="auto"/>
            </w:tcBorders>
            <w:vMerge w:val="continue"/>
            <w:shd w:val="clear" w:color="auto" w:fill="C6E5FE"/>
          </w:tcPr>
          <w:p>
            <w:pPr>
              <w:spacing w:after="0"/>
              <w:rPr>
                <w:sz w:val="2"/>
                <w:szCs w:val="2"/>
                <w:color w:val="auto"/>
              </w:rPr>
            </w:pPr>
          </w:p>
        </w:tc>
        <w:tc>
          <w:tcPr>
            <w:tcW w:w="960" w:type="dxa"/>
            <w:vAlign w:val="bottom"/>
            <w:tcBorders>
              <w:right w:val="single" w:sz="8" w:color="auto"/>
            </w:tcBorders>
            <w:vMerge w:val="continue"/>
            <w:shd w:val="clear" w:color="auto" w:fill="C6E5FE"/>
          </w:tcPr>
          <w:p>
            <w:pPr>
              <w:spacing w:after="0"/>
              <w:rPr>
                <w:sz w:val="2"/>
                <w:szCs w:val="2"/>
                <w:color w:val="auto"/>
              </w:rPr>
            </w:pPr>
          </w:p>
        </w:tc>
        <w:tc>
          <w:tcPr>
            <w:tcW w:w="920" w:type="dxa"/>
            <w:vAlign w:val="bottom"/>
            <w:tcBorders>
              <w:right w:val="single" w:sz="8" w:color="auto"/>
            </w:tcBorders>
            <w:vMerge w:val="continue"/>
            <w:shd w:val="clear" w:color="auto" w:fill="C6E5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0" w:type="dxa"/>
            <w:vAlign w:val="bottom"/>
            <w:tcBorders>
              <w:left w:val="single" w:sz="8" w:color="auto"/>
              <w:right w:val="single" w:sz="8" w:color="auto"/>
            </w:tcBorders>
            <w:shd w:val="clear" w:color="auto" w:fill="C6E5FE"/>
          </w:tcPr>
          <w:p>
            <w:pPr>
              <w:spacing w:after="0"/>
              <w:rPr>
                <w:sz w:val="19"/>
                <w:szCs w:val="19"/>
                <w:color w:val="auto"/>
              </w:rPr>
            </w:pP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9"/>
                <w:szCs w:val="19"/>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9"/>
                <w:szCs w:val="19"/>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shd w:val="clear" w:color="auto" w:fill="C6E5FE"/>
          </w:tcPr>
          <w:p>
            <w:pPr>
              <w:jc w:val="right"/>
              <w:ind w:right="90"/>
              <w:spacing w:after="0" w:line="230" w:lineRule="exact"/>
              <w:rPr>
                <w:sz w:val="20"/>
                <w:szCs w:val="20"/>
                <w:color w:val="auto"/>
              </w:rPr>
            </w:pPr>
            <w:r>
              <w:rPr>
                <w:rFonts w:ascii="Times New Roman" w:cs="Times New Roman" w:eastAsia="Times New Roman" w:hAnsi="Times New Roman"/>
                <w:sz w:val="16"/>
                <w:szCs w:val="16"/>
                <w:color w:val="auto"/>
              </w:rPr>
              <w:t xml:space="preserve">46,729 </w:t>
            </w:r>
            <w:r>
              <w:rPr>
                <w:rFonts w:ascii="Times New Roman" w:cs="Times New Roman" w:eastAsia="Times New Roman" w:hAnsi="Times New Roman"/>
                <w:sz w:val="26"/>
                <w:szCs w:val="26"/>
                <w:color w:val="auto"/>
                <w:vertAlign w:val="superscript"/>
              </w:rPr>
              <w:t>(2)</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$61,682</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940" w:type="dxa"/>
            <w:vAlign w:val="bottom"/>
            <w:tcBorders>
              <w:left w:val="single" w:sz="8" w:color="auto"/>
              <w:bottom w:val="single" w:sz="8" w:color="auto"/>
              <w:right w:val="single" w:sz="8" w:color="auto"/>
            </w:tcBorders>
            <w:shd w:val="clear" w:color="auto" w:fill="C6E5FE"/>
          </w:tcPr>
          <w:p>
            <w:pPr>
              <w:spacing w:after="0"/>
              <w:rPr>
                <w:sz w:val="22"/>
                <w:szCs w:val="22"/>
                <w:color w:val="auto"/>
              </w:rPr>
            </w:pPr>
          </w:p>
        </w:tc>
        <w:tc>
          <w:tcPr>
            <w:tcW w:w="7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6E5FE"/>
          </w:tcPr>
          <w:p>
            <w:pPr>
              <w:spacing w:after="0"/>
              <w:rPr>
                <w:sz w:val="22"/>
                <w:szCs w:val="22"/>
                <w:color w:val="auto"/>
              </w:rPr>
            </w:pPr>
          </w:p>
        </w:tc>
        <w:tc>
          <w:tcPr>
            <w:tcW w:w="240" w:type="dxa"/>
            <w:vAlign w:val="bottom"/>
            <w:tcBorders>
              <w:bottom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6E5FE"/>
          </w:tcPr>
          <w:p>
            <w:pPr>
              <w:spacing w:after="0"/>
              <w:rPr>
                <w:sz w:val="22"/>
                <w:szCs w:val="22"/>
                <w:color w:val="auto"/>
              </w:rPr>
            </w:pPr>
          </w:p>
        </w:tc>
        <w:tc>
          <w:tcPr>
            <w:tcW w:w="26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62,305</w:t>
            </w:r>
          </w:p>
        </w:tc>
        <w:tc>
          <w:tcPr>
            <w:tcW w:w="320" w:type="dxa"/>
            <w:vAlign w:val="bottom"/>
            <w:tcBorders>
              <w:bottom w:val="single" w:sz="8" w:color="auto"/>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(2)</w:t>
            </w:r>
          </w:p>
        </w:tc>
        <w:tc>
          <w:tcPr>
            <w:tcW w:w="98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$82,243</w:t>
            </w:r>
          </w:p>
        </w:tc>
        <w:tc>
          <w:tcPr>
            <w:tcW w:w="960" w:type="dxa"/>
            <w:vAlign w:val="bottom"/>
            <w:tcBorders>
              <w:bottom w:val="single" w:sz="8" w:color="auto"/>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129,885</w:t>
            </w:r>
          </w:p>
        </w:tc>
        <w:tc>
          <w:tcPr>
            <w:tcW w:w="1120" w:type="dxa"/>
            <w:vAlign w:val="bottom"/>
          </w:tcPr>
          <w:p>
            <w:pPr>
              <w:spacing w:after="0"/>
              <w:rPr>
                <w:sz w:val="12"/>
                <w:szCs w:val="12"/>
                <w:color w:val="auto"/>
              </w:rPr>
            </w:pPr>
          </w:p>
        </w:tc>
        <w:tc>
          <w:tcPr>
            <w:tcW w:w="24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2"/>
                <w:szCs w:val="12"/>
                <w:color w:val="auto"/>
              </w:rPr>
            </w:pPr>
          </w:p>
        </w:tc>
        <w:tc>
          <w:tcPr>
            <w:tcW w:w="26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$1.47</w:t>
            </w:r>
          </w:p>
        </w:tc>
        <w:tc>
          <w:tcPr>
            <w:tcW w:w="98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6/5/2034</w:t>
            </w:r>
          </w:p>
        </w:tc>
        <w:tc>
          <w:tcPr>
            <w:tcW w:w="660" w:type="dxa"/>
            <w:vAlign w:val="bottom"/>
          </w:tcPr>
          <w:p>
            <w:pPr>
              <w:spacing w:after="0"/>
              <w:rPr>
                <w:sz w:val="12"/>
                <w:szCs w:val="12"/>
                <w:color w:val="auto"/>
              </w:rPr>
            </w:pPr>
          </w:p>
        </w:tc>
        <w:tc>
          <w:tcPr>
            <w:tcW w:w="320" w:type="dxa"/>
            <w:vAlign w:val="bottom"/>
            <w:tcBorders>
              <w:right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Margaret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2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3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color w:val="auto"/>
                <w:w w:val="92"/>
              </w:rPr>
              <w:t>(3)</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$7,494</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4"/>
                <w:szCs w:val="4"/>
                <w:color w:val="auto"/>
              </w:rPr>
            </w:pPr>
          </w:p>
        </w:tc>
        <w:tc>
          <w:tcPr>
            <w:tcW w:w="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4"/>
                <w:szCs w:val="4"/>
                <w:color w:val="auto"/>
              </w:rPr>
            </w:pPr>
          </w:p>
        </w:tc>
        <w:tc>
          <w:tcPr>
            <w:tcW w:w="2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continue"/>
          </w:tcPr>
          <w:p>
            <w:pPr>
              <w:spacing w:after="0"/>
              <w:rPr>
                <w:sz w:val="4"/>
                <w:szCs w:val="4"/>
                <w:color w:val="auto"/>
              </w:rPr>
            </w:pPr>
          </w:p>
        </w:tc>
        <w:tc>
          <w:tcPr>
            <w:tcW w:w="32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3"/>
                <w:szCs w:val="13"/>
                <w:color w:val="auto"/>
                <w:w w:val="92"/>
              </w:rPr>
              <w:t>(3)</w:t>
            </w:r>
          </w:p>
        </w:tc>
        <w:tc>
          <w:tcPr>
            <w:tcW w:w="9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$23,148</w:t>
            </w:r>
          </w:p>
        </w:tc>
        <w:tc>
          <w:tcPr>
            <w:tcW w:w="96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94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Borders>
              <w:right w:val="single" w:sz="8" w:color="auto"/>
            </w:tcBorders>
            <w:vMerge w:val="continue"/>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32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40" w:type="dxa"/>
            <w:vAlign w:val="bottom"/>
            <w:tcBorders>
              <w:left w:val="single" w:sz="8" w:color="auto"/>
              <w:right w:val="single" w:sz="8" w:color="auto"/>
            </w:tcBorders>
            <w:vMerge w:val="restart"/>
          </w:tcPr>
          <w:p>
            <w:pPr>
              <w:ind w:left="120"/>
              <w:spacing w:after="0" w:line="163" w:lineRule="exact"/>
              <w:rPr>
                <w:sz w:val="20"/>
                <w:szCs w:val="20"/>
                <w:color w:val="auto"/>
              </w:rPr>
            </w:pPr>
            <w:r>
              <w:rPr>
                <w:rFonts w:ascii="Times New Roman" w:cs="Times New Roman" w:eastAsia="Times New Roman" w:hAnsi="Times New Roman"/>
                <w:sz w:val="16"/>
                <w:szCs w:val="16"/>
                <w:color w:val="auto"/>
              </w:rPr>
              <w:t>Cotter</w:t>
            </w:r>
          </w:p>
        </w:tc>
        <w:tc>
          <w:tcPr>
            <w:tcW w:w="7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right w:val="single" w:sz="8" w:color="auto"/>
            </w:tcBorders>
            <w:vMerge w:val="continue"/>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60" w:type="dxa"/>
            <w:vAlign w:val="bottom"/>
            <w:vMerge w:val="continue"/>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$10,443</w:t>
            </w:r>
          </w:p>
        </w:tc>
        <w:tc>
          <w:tcPr>
            <w:tcW w:w="96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2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90"/>
              <w:spacing w:after="0" w:line="214" w:lineRule="exact"/>
              <w:rPr>
                <w:sz w:val="20"/>
                <w:szCs w:val="20"/>
                <w:color w:val="auto"/>
              </w:rPr>
            </w:pPr>
            <w:r>
              <w:rPr>
                <w:rFonts w:ascii="Times New Roman" w:cs="Times New Roman" w:eastAsia="Times New Roman" w:hAnsi="Times New Roman"/>
                <w:sz w:val="15"/>
                <w:szCs w:val="15"/>
                <w:color w:val="auto"/>
              </w:rPr>
              <w:t xml:space="preserve">7,911 </w:t>
            </w:r>
            <w:r>
              <w:rPr>
                <w:rFonts w:ascii="Times New Roman" w:cs="Times New Roman" w:eastAsia="Times New Roman" w:hAnsi="Times New Roman"/>
                <w:sz w:val="24"/>
                <w:szCs w:val="24"/>
                <w:color w:val="auto"/>
                <w:vertAlign w:val="superscript"/>
              </w:rPr>
              <w:t>(3)</w:t>
            </w:r>
          </w:p>
        </w:tc>
        <w:tc>
          <w:tcPr>
            <w:tcW w:w="980" w:type="dxa"/>
            <w:vAlign w:val="bottom"/>
            <w:tcBorders>
              <w:right w:val="single" w:sz="8" w:color="auto"/>
            </w:tcBorders>
            <w:vMerge w:val="continue"/>
          </w:tcPr>
          <w:p>
            <w:pPr>
              <w:spacing w:after="0"/>
              <w:rPr>
                <w:sz w:val="18"/>
                <w:szCs w:val="1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9"/>
                <w:szCs w:val="19"/>
                <w:color w:val="auto"/>
              </w:rPr>
            </w:pPr>
          </w:p>
        </w:tc>
        <w:tc>
          <w:tcPr>
            <w:tcW w:w="2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34,170</w:t>
            </w: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$45,104</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$20,047</w:t>
            </w:r>
          </w:p>
        </w:tc>
        <w:tc>
          <w:tcPr>
            <w:tcW w:w="9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shd w:val="clear" w:color="auto" w:fill="C6E5FE"/>
          </w:tcPr>
          <w:p>
            <w:pPr>
              <w:spacing w:after="0"/>
              <w:rPr>
                <w:sz w:val="12"/>
                <w:szCs w:val="12"/>
                <w:color w:val="auto"/>
              </w:rPr>
            </w:pPr>
          </w:p>
        </w:tc>
        <w:tc>
          <w:tcPr>
            <w:tcW w:w="7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127,869</w:t>
            </w:r>
          </w:p>
        </w:tc>
        <w:tc>
          <w:tcPr>
            <w:tcW w:w="1120" w:type="dxa"/>
            <w:vAlign w:val="bottom"/>
            <w:shd w:val="clear" w:color="auto" w:fill="C6E5FE"/>
          </w:tcPr>
          <w:p>
            <w:pPr>
              <w:spacing w:after="0"/>
              <w:rPr>
                <w:sz w:val="12"/>
                <w:szCs w:val="12"/>
                <w:color w:val="auto"/>
              </w:rPr>
            </w:pPr>
          </w:p>
        </w:tc>
        <w:tc>
          <w:tcPr>
            <w:tcW w:w="240" w:type="dxa"/>
            <w:vAlign w:val="bottom"/>
            <w:tcBorders>
              <w:right w:val="single" w:sz="8" w:color="auto"/>
            </w:tcBorders>
            <w:shd w:val="clear" w:color="auto" w:fill="C6E5FE"/>
          </w:tcPr>
          <w:p>
            <w:pPr>
              <w:ind w:lef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2"/>
                <w:szCs w:val="12"/>
                <w:color w:val="auto"/>
              </w:rPr>
            </w:pPr>
          </w:p>
        </w:tc>
        <w:tc>
          <w:tcPr>
            <w:tcW w:w="26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$1.47</w:t>
            </w:r>
          </w:p>
        </w:tc>
        <w:tc>
          <w:tcPr>
            <w:tcW w:w="98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6/5/2034</w:t>
            </w:r>
          </w:p>
        </w:tc>
        <w:tc>
          <w:tcPr>
            <w:tcW w:w="660" w:type="dxa"/>
            <w:vAlign w:val="bottom"/>
            <w:shd w:val="clear" w:color="auto" w:fill="C6E5FE"/>
          </w:tcPr>
          <w:p>
            <w:pPr>
              <w:spacing w:after="0"/>
              <w:rPr>
                <w:sz w:val="12"/>
                <w:szCs w:val="12"/>
                <w:color w:val="auto"/>
              </w:rPr>
            </w:pPr>
          </w:p>
        </w:tc>
        <w:tc>
          <w:tcPr>
            <w:tcW w:w="320" w:type="dxa"/>
            <w:vAlign w:val="bottom"/>
            <w:tcBorders>
              <w:right w:val="single" w:sz="8" w:color="auto"/>
            </w:tcBorders>
            <w:shd w:val="clear" w:color="auto" w:fill="C6E5FE"/>
          </w:tcPr>
          <w:p>
            <w:pPr>
              <w:jc w:val="right"/>
              <w:ind w:right="50"/>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shd w:val="clear" w:color="auto" w:fill="C6E5FE"/>
          </w:tcPr>
          <w:p>
            <w:pPr>
              <w:jc w:val="right"/>
              <w:ind w:right="19"/>
              <w:spacing w:after="0" w:line="14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shd w:val="clear" w:color="auto" w:fill="C6E5FE"/>
          </w:tcPr>
          <w:p>
            <w:pPr>
              <w:spacing w:after="0"/>
              <w:rPr>
                <w:sz w:val="19"/>
                <w:szCs w:val="19"/>
                <w:color w:val="auto"/>
              </w:rPr>
            </w:pP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9"/>
                <w:szCs w:val="19"/>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9"/>
                <w:szCs w:val="19"/>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(4)</w:t>
            </w:r>
          </w:p>
        </w:tc>
        <w:tc>
          <w:tcPr>
            <w:tcW w:w="980" w:type="dxa"/>
            <w:vAlign w:val="bottom"/>
            <w:tcBorders>
              <w:right w:val="single" w:sz="8" w:color="auto"/>
            </w:tcBorders>
            <w:shd w:val="clear" w:color="auto" w:fill="C6E5FE"/>
          </w:tcPr>
          <w:p>
            <w:pPr>
              <w:jc w:val="right"/>
              <w:ind w:right="79"/>
              <w:spacing w:after="0"/>
              <w:rPr>
                <w:sz w:val="20"/>
                <w:szCs w:val="20"/>
                <w:color w:val="auto"/>
              </w:rPr>
            </w:pPr>
            <w:r>
              <w:rPr>
                <w:rFonts w:ascii="Times New Roman" w:cs="Times New Roman" w:eastAsia="Times New Roman" w:hAnsi="Times New Roman"/>
                <w:sz w:val="16"/>
                <w:szCs w:val="16"/>
                <w:color w:val="auto"/>
              </w:rPr>
              <w:t>$7,494</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6"/>
                <w:szCs w:val="16"/>
                <w:color w:val="auto"/>
              </w:rPr>
              <w:t>S. Craig</w:t>
            </w: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21"/>
                <w:szCs w:val="21"/>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21"/>
                <w:szCs w:val="21"/>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(4)</w:t>
            </w:r>
          </w:p>
        </w:tc>
        <w:tc>
          <w:tcPr>
            <w:tcW w:w="980" w:type="dxa"/>
            <w:vAlign w:val="bottom"/>
            <w:tcBorders>
              <w:right w:val="single" w:sz="8" w:color="auto"/>
            </w:tcBorders>
            <w:shd w:val="clear" w:color="auto" w:fill="C6E5FE"/>
          </w:tcPr>
          <w:p>
            <w:pPr>
              <w:jc w:val="right"/>
              <w:ind w:right="79"/>
              <w:spacing w:after="0"/>
              <w:rPr>
                <w:sz w:val="20"/>
                <w:szCs w:val="20"/>
                <w:color w:val="auto"/>
              </w:rPr>
            </w:pPr>
            <w:r>
              <w:rPr>
                <w:rFonts w:ascii="Times New Roman" w:cs="Times New Roman" w:eastAsia="Times New Roman" w:hAnsi="Times New Roman"/>
                <w:sz w:val="16"/>
                <w:szCs w:val="16"/>
                <w:color w:val="auto"/>
              </w:rPr>
              <w:t>$23,148</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6"/>
                <w:szCs w:val="16"/>
                <w:color w:val="auto"/>
              </w:rPr>
              <w:t>Tompkins</w:t>
            </w: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8"/>
                <w:szCs w:val="18"/>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8"/>
                <w:szCs w:val="18"/>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(4)</w:t>
            </w:r>
          </w:p>
        </w:tc>
        <w:tc>
          <w:tcPr>
            <w:tcW w:w="980" w:type="dxa"/>
            <w:vAlign w:val="bottom"/>
            <w:tcBorders>
              <w:right w:val="single" w:sz="8" w:color="auto"/>
            </w:tcBorders>
            <w:shd w:val="clear" w:color="auto" w:fill="C6E5FE"/>
          </w:tcPr>
          <w:p>
            <w:pPr>
              <w:jc w:val="right"/>
              <w:ind w:right="79"/>
              <w:spacing w:after="0"/>
              <w:rPr>
                <w:sz w:val="20"/>
                <w:szCs w:val="20"/>
                <w:color w:val="auto"/>
              </w:rPr>
            </w:pPr>
            <w:r>
              <w:rPr>
                <w:rFonts w:ascii="Times New Roman" w:cs="Times New Roman" w:eastAsia="Times New Roman" w:hAnsi="Times New Roman"/>
                <w:sz w:val="16"/>
                <w:szCs w:val="16"/>
                <w:color w:val="auto"/>
              </w:rPr>
              <w:t>$10,443</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shd w:val="clear" w:color="auto" w:fill="C6E5FE"/>
          </w:tcPr>
          <w:p>
            <w:pPr>
              <w:spacing w:after="0"/>
              <w:rPr>
                <w:sz w:val="19"/>
                <w:szCs w:val="19"/>
                <w:color w:val="auto"/>
              </w:rPr>
            </w:pPr>
          </w:p>
        </w:tc>
        <w:tc>
          <w:tcPr>
            <w:tcW w:w="7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6E5FE"/>
          </w:tcPr>
          <w:p>
            <w:pPr>
              <w:spacing w:after="0"/>
              <w:rPr>
                <w:sz w:val="19"/>
                <w:szCs w:val="19"/>
                <w:color w:val="auto"/>
              </w:rPr>
            </w:pPr>
          </w:p>
        </w:tc>
        <w:tc>
          <w:tcPr>
            <w:tcW w:w="240" w:type="dxa"/>
            <w:vAlign w:val="bottom"/>
            <w:tcBorders>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6E5FE"/>
          </w:tcPr>
          <w:p>
            <w:pPr>
              <w:spacing w:after="0"/>
              <w:rPr>
                <w:sz w:val="19"/>
                <w:szCs w:val="19"/>
                <w:color w:val="auto"/>
              </w:rPr>
            </w:pPr>
          </w:p>
        </w:tc>
        <w:tc>
          <w:tcPr>
            <w:tcW w:w="26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320" w:type="dxa"/>
            <w:vAlign w:val="bottom"/>
            <w:tcBorders>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(4)</w:t>
            </w:r>
          </w:p>
        </w:tc>
        <w:tc>
          <w:tcPr>
            <w:tcW w:w="980" w:type="dxa"/>
            <w:vAlign w:val="bottom"/>
            <w:tcBorders>
              <w:right w:val="single" w:sz="8" w:color="auto"/>
            </w:tcBorders>
            <w:shd w:val="clear" w:color="auto" w:fill="C6E5FE"/>
          </w:tcPr>
          <w:p>
            <w:pPr>
              <w:jc w:val="right"/>
              <w:ind w:right="79"/>
              <w:spacing w:after="0"/>
              <w:rPr>
                <w:sz w:val="20"/>
                <w:szCs w:val="20"/>
                <w:color w:val="auto"/>
              </w:rPr>
            </w:pPr>
            <w:r>
              <w:rPr>
                <w:rFonts w:ascii="Times New Roman" w:cs="Times New Roman" w:eastAsia="Times New Roman" w:hAnsi="Times New Roman"/>
                <w:sz w:val="16"/>
                <w:szCs w:val="16"/>
                <w:color w:val="auto"/>
              </w:rPr>
              <w:t>$44,550</w:t>
            </w:r>
          </w:p>
        </w:tc>
        <w:tc>
          <w:tcPr>
            <w:tcW w:w="960" w:type="dxa"/>
            <w:vAlign w:val="bottom"/>
            <w:tcBorders>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940" w:type="dxa"/>
            <w:vAlign w:val="bottom"/>
            <w:tcBorders>
              <w:left w:val="single" w:sz="8" w:color="auto"/>
              <w:right w:val="single" w:sz="8" w:color="auto"/>
            </w:tcBorders>
            <w:shd w:val="clear" w:color="auto" w:fill="C6E5FE"/>
          </w:tcPr>
          <w:p>
            <w:pPr>
              <w:spacing w:after="0"/>
              <w:rPr>
                <w:sz w:val="22"/>
                <w:szCs w:val="22"/>
                <w:color w:val="auto"/>
              </w:rPr>
            </w:pPr>
          </w:p>
        </w:tc>
        <w:tc>
          <w:tcPr>
            <w:tcW w:w="7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16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6E5FE"/>
          </w:tcPr>
          <w:p>
            <w:pPr>
              <w:spacing w:after="0"/>
              <w:rPr>
                <w:sz w:val="22"/>
                <w:szCs w:val="22"/>
                <w:color w:val="auto"/>
              </w:rPr>
            </w:pPr>
          </w:p>
        </w:tc>
        <w:tc>
          <w:tcPr>
            <w:tcW w:w="240" w:type="dxa"/>
            <w:vAlign w:val="bottom"/>
            <w:tcBorders>
              <w:bottom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6E5FE"/>
          </w:tcPr>
          <w:p>
            <w:pPr>
              <w:spacing w:after="0"/>
              <w:rPr>
                <w:sz w:val="22"/>
                <w:szCs w:val="22"/>
                <w:color w:val="auto"/>
              </w:rPr>
            </w:pPr>
          </w:p>
        </w:tc>
        <w:tc>
          <w:tcPr>
            <w:tcW w:w="26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320" w:type="dxa"/>
            <w:vAlign w:val="bottom"/>
            <w:tcBorders>
              <w:bottom w:val="single" w:sz="8" w:color="auto"/>
              <w:right w:val="single" w:sz="8" w:color="auto"/>
            </w:tcBorders>
            <w:shd w:val="clear" w:color="auto" w:fill="C6E5FE"/>
          </w:tcPr>
          <w:p>
            <w:pPr>
              <w:jc w:val="right"/>
              <w:ind w:right="50"/>
              <w:spacing w:after="0"/>
              <w:rPr>
                <w:sz w:val="20"/>
                <w:szCs w:val="20"/>
                <w:color w:val="auto"/>
              </w:rPr>
            </w:pPr>
            <w:r>
              <w:rPr>
                <w:rFonts w:ascii="Times New Roman" w:cs="Times New Roman" w:eastAsia="Times New Roman" w:hAnsi="Times New Roman"/>
                <w:sz w:val="13"/>
                <w:szCs w:val="13"/>
                <w:color w:val="auto"/>
              </w:rPr>
              <w:t>(4)</w:t>
            </w:r>
          </w:p>
        </w:tc>
        <w:tc>
          <w:tcPr>
            <w:tcW w:w="98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$19,800</w:t>
            </w:r>
          </w:p>
        </w:tc>
        <w:tc>
          <w:tcPr>
            <w:tcW w:w="960" w:type="dxa"/>
            <w:vAlign w:val="bottom"/>
            <w:tcBorders>
              <w:bottom w:val="single" w:sz="8" w:color="auto"/>
              <w:right w:val="single" w:sz="8" w:color="auto"/>
            </w:tcBorders>
            <w:shd w:val="clear" w:color="auto" w:fill="C6E5F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right w:val="single" w:sz="8" w:color="auto"/>
            </w:tcBorders>
            <w:shd w:val="clear" w:color="auto" w:fill="C6E5F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820" w:right="20" w:hanging="488"/>
        <w:spacing w:after="0" w:line="261" w:lineRule="auto"/>
        <w:tabs>
          <w:tab w:leader="none" w:pos="81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amount calculated by multiplying the number of unvested restricted shares by the closing price of our shares of Class A Non-Voting Common Stock as of December 31, 2024, or $1.32.</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15025" cy="805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80581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7,764 units of RSUs will vest on April 5, 2025;</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11,990 units of RSUs will vest on April 18, 2025 and April 18, 2026;</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32,454 units of PRSUs will vest on April 18, 2025;</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15,577 units of RSUs will vest on April 21, 2025. 15,576 units of RSUs will vest on April 21, 2026 and April 21, 2027; and</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62,305 units of PRSUs will vest on April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(3)</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5,677 units of RSUs will vest on April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915025" cy="805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5025" cy="80581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8,768 units of RSUs will vest on April 18, 2025 and April 18, 2026;</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7,911 units of PRSUs will vest on April 18, 2025;</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11,390 units of RSUs will vest on April 21, 2025, April 21, 2026 and April 21, 2027; and</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15,187 units of PRSUs will vest on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5915025" cy="822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50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5,677 units of RSUs will vest on April 5, 2025;</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8,768 units of RSUs will vest on April 18, 2025 and April 18, 2026;</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7,911 units of PRSUs will vest on April 18, 2025;</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11,250 units of RSUs will vest on April 11, 2025, April 11, 2026 and April 11, 2027; and</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15,000 units of PRSUs will vest on April 11, 2026.</w:t>
      </w: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482" w:right="339" w:bottom="754"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December 31, 2024, a summary of certain information related to our equity incentive plans under which our equity securities are authorized for issuance: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520" w:type="dxa"/>
            <w:vAlign w:val="bottom"/>
            <w:tcBorders>
              <w:top w:val="single" w:sz="8" w:color="auto"/>
              <w:left w:val="single" w:sz="8" w:color="auto"/>
              <w:right w:val="single" w:sz="8" w:color="auto"/>
            </w:tcBorders>
          </w:tcPr>
          <w:p>
            <w:pPr>
              <w:spacing w:after="0"/>
              <w:rPr>
                <w:sz w:val="16"/>
                <w:szCs w:val="16"/>
                <w:color w:val="auto"/>
              </w:rPr>
            </w:pPr>
          </w:p>
        </w:tc>
        <w:tc>
          <w:tcPr>
            <w:tcW w:w="2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120" w:type="dxa"/>
            <w:vAlign w:val="bottom"/>
            <w:tcBorders>
              <w:top w:val="single" w:sz="8" w:color="auto"/>
              <w:right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30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95"/>
        </w:trPr>
        <w:tc>
          <w:tcPr>
            <w:tcW w:w="3520" w:type="dxa"/>
            <w:vAlign w:val="bottom"/>
            <w:tcBorders>
              <w:left w:val="single" w:sz="8" w:color="auto"/>
              <w:right w:val="single" w:sz="8" w:color="auto"/>
            </w:tcBorders>
          </w:tcPr>
          <w:p>
            <w:pPr>
              <w:spacing w:after="0"/>
              <w:rPr>
                <w:sz w:val="8"/>
                <w:szCs w:val="8"/>
                <w:color w:val="auto"/>
              </w:rPr>
            </w:pPr>
          </w:p>
        </w:tc>
        <w:tc>
          <w:tcPr>
            <w:tcW w:w="260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12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 approved by</w:t>
            </w:r>
          </w:p>
        </w:tc>
        <w:tc>
          <w:tcPr>
            <w:tcW w:w="260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302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 warrants</w:t>
            </w:r>
          </w:p>
        </w:tc>
        <w:tc>
          <w:tcPr>
            <w:tcW w:w="2120" w:type="dxa"/>
            <w:vAlign w:val="bottom"/>
            <w:tcBorders>
              <w:right w:val="single" w:sz="8" w:color="auto"/>
            </w:tcBorders>
            <w:vMerge w:val="restart"/>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3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5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vMerge w:val="continue"/>
          </w:tcPr>
          <w:p>
            <w:pPr>
              <w:spacing w:after="0"/>
              <w:rPr>
                <w:sz w:val="8"/>
                <w:szCs w:val="8"/>
                <w:color w:val="auto"/>
              </w:rPr>
            </w:pPr>
          </w:p>
        </w:tc>
        <w:tc>
          <w:tcPr>
            <w:tcW w:w="3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44"/>
        </w:trPr>
        <w:tc>
          <w:tcPr>
            <w:tcW w:w="3520" w:type="dxa"/>
            <w:vAlign w:val="bottom"/>
            <w:tcBorders>
              <w:left w:val="single" w:sz="8" w:color="auto"/>
              <w:right w:val="single" w:sz="8" w:color="auto"/>
            </w:tcBorders>
            <w:vMerge w:val="restart"/>
          </w:tcPr>
          <w:p>
            <w:pPr>
              <w:jc w:val="center"/>
              <w:spacing w:after="0" w:line="278" w:lineRule="exact"/>
              <w:rPr>
                <w:sz w:val="20"/>
                <w:szCs w:val="20"/>
                <w:color w:val="auto"/>
              </w:rPr>
            </w:pPr>
            <w:r>
              <w:rPr>
                <w:rFonts w:ascii="Times New Roman" w:cs="Times New Roman" w:eastAsia="Times New Roman" w:hAnsi="Times New Roman"/>
                <w:sz w:val="18"/>
                <w:szCs w:val="18"/>
                <w:b w:val="1"/>
                <w:bCs w:val="1"/>
                <w:color w:val="auto"/>
                <w:w w:val="96"/>
              </w:rPr>
              <w:t xml:space="preserve">security holders </w:t>
            </w:r>
            <w:r>
              <w:rPr>
                <w:rFonts w:ascii="Times New Roman" w:cs="Times New Roman" w:eastAsia="Times New Roman" w:hAnsi="Times New Roman"/>
                <w:sz w:val="29"/>
                <w:szCs w:val="29"/>
                <w:b w:val="1"/>
                <w:bCs w:val="1"/>
                <w:color w:val="auto"/>
                <w:w w:val="96"/>
                <w:vertAlign w:val="superscript"/>
              </w:rPr>
              <w:t>(1)</w:t>
            </w: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60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3520" w:type="dxa"/>
            <w:vAlign w:val="bottom"/>
            <w:tcBorders>
              <w:left w:val="single" w:sz="8" w:color="auto"/>
              <w:bottom w:val="single" w:sz="8" w:color="auto"/>
              <w:right w:val="single" w:sz="8" w:color="auto"/>
            </w:tcBorders>
            <w:shd w:val="clear" w:color="auto" w:fill="DEEAF6"/>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600" w:type="dxa"/>
            <w:vAlign w:val="bottom"/>
            <w:tcBorders>
              <w:bottom w:val="single" w:sz="8" w:color="auto"/>
              <w:right w:val="single" w:sz="8" w:color="auto"/>
            </w:tcBorders>
            <w:shd w:val="clear" w:color="auto" w:fill="DEEAF6"/>
          </w:tcPr>
          <w:p>
            <w:pPr>
              <w:jc w:val="right"/>
              <w:ind w:right="30"/>
              <w:spacing w:after="0"/>
              <w:rPr>
                <w:sz w:val="20"/>
                <w:szCs w:val="20"/>
                <w:color w:val="auto"/>
              </w:rPr>
            </w:pPr>
            <w:r>
              <w:rPr>
                <w:rFonts w:ascii="Times New Roman" w:cs="Times New Roman" w:eastAsia="Times New Roman" w:hAnsi="Times New Roman"/>
                <w:sz w:val="18"/>
                <w:szCs w:val="18"/>
                <w:color w:val="auto"/>
              </w:rPr>
              <w:t>1,707,412</w:t>
            </w:r>
            <w:r>
              <w:rPr>
                <w:rFonts w:ascii="Times New Roman" w:cs="Times New Roman" w:eastAsia="Times New Roman" w:hAnsi="Times New Roman"/>
                <w:sz w:val="29"/>
                <w:szCs w:val="29"/>
                <w:color w:val="auto"/>
                <w:vertAlign w:val="superscript"/>
              </w:rPr>
              <w:t>(2)</w:t>
            </w:r>
          </w:p>
        </w:tc>
        <w:tc>
          <w:tcPr>
            <w:tcW w:w="2120" w:type="dxa"/>
            <w:vAlign w:val="bottom"/>
            <w:tcBorders>
              <w:bottom w:val="single" w:sz="8" w:color="auto"/>
              <w:right w:val="single" w:sz="8" w:color="auto"/>
            </w:tcBorders>
            <w:shd w:val="clear" w:color="auto" w:fill="DEEAF6"/>
          </w:tcPr>
          <w:p>
            <w:pPr>
              <w:jc w:val="right"/>
              <w:ind w:right="230"/>
              <w:spacing w:after="0"/>
              <w:rPr>
                <w:sz w:val="20"/>
                <w:szCs w:val="20"/>
                <w:color w:val="auto"/>
              </w:rPr>
            </w:pPr>
            <w:r>
              <w:rPr>
                <w:rFonts w:ascii="Times New Roman" w:cs="Times New Roman" w:eastAsia="Times New Roman" w:hAnsi="Times New Roman"/>
                <w:sz w:val="18"/>
                <w:szCs w:val="18"/>
                <w:color w:val="auto"/>
              </w:rPr>
              <w:t>1.63</w:t>
            </w:r>
          </w:p>
        </w:tc>
        <w:tc>
          <w:tcPr>
            <w:tcW w:w="3020" w:type="dxa"/>
            <w:vAlign w:val="bottom"/>
            <w:tcBorders>
              <w:bottom w:val="single" w:sz="8" w:color="auto"/>
              <w:right w:val="single" w:sz="8" w:color="auto"/>
            </w:tcBorders>
            <w:shd w:val="clear" w:color="auto" w:fill="DEEAF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2"/>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3,265,394</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28"/>
        </w:trPr>
        <w:tc>
          <w:tcPr>
            <w:tcW w:w="3520" w:type="dxa"/>
            <w:vAlign w:val="bottom"/>
            <w:tcBorders>
              <w:left w:val="single" w:sz="8" w:color="auto"/>
              <w:right w:val="single" w:sz="8" w:color="auto"/>
            </w:tcBorders>
            <w:shd w:val="clear" w:color="auto" w:fill="DEEAF6"/>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right w:val="single" w:sz="8" w:color="auto"/>
            </w:tcBorders>
            <w:shd w:val="clear" w:color="auto" w:fill="DEEAF6"/>
          </w:tcPr>
          <w:p>
            <w:pPr>
              <w:jc w:val="right"/>
              <w:ind w:right="30"/>
              <w:spacing w:after="0"/>
              <w:rPr>
                <w:sz w:val="20"/>
                <w:szCs w:val="20"/>
                <w:color w:val="auto"/>
              </w:rPr>
            </w:pPr>
            <w:r>
              <w:rPr>
                <w:rFonts w:ascii="Times New Roman" w:cs="Times New Roman" w:eastAsia="Times New Roman" w:hAnsi="Times New Roman"/>
                <w:sz w:val="18"/>
                <w:szCs w:val="18"/>
                <w:color w:val="auto"/>
              </w:rPr>
              <w:t>1,707,412</w:t>
            </w:r>
          </w:p>
        </w:tc>
        <w:tc>
          <w:tcPr>
            <w:tcW w:w="2120" w:type="dxa"/>
            <w:vAlign w:val="bottom"/>
            <w:tcBorders>
              <w:right w:val="single" w:sz="8" w:color="auto"/>
            </w:tcBorders>
            <w:shd w:val="clear" w:color="auto" w:fill="DEEAF6"/>
          </w:tcPr>
          <w:p>
            <w:pPr>
              <w:jc w:val="right"/>
              <w:ind w:right="230"/>
              <w:spacing w:after="0"/>
              <w:rPr>
                <w:sz w:val="20"/>
                <w:szCs w:val="20"/>
                <w:color w:val="auto"/>
              </w:rPr>
            </w:pPr>
            <w:r>
              <w:rPr>
                <w:rFonts w:ascii="Times New Roman" w:cs="Times New Roman" w:eastAsia="Times New Roman" w:hAnsi="Times New Roman"/>
                <w:sz w:val="18"/>
                <w:szCs w:val="18"/>
                <w:color w:val="auto"/>
              </w:rPr>
              <w:t>1.63</w:t>
            </w:r>
          </w:p>
        </w:tc>
        <w:tc>
          <w:tcPr>
            <w:tcW w:w="3020" w:type="dxa"/>
            <w:vAlign w:val="bottom"/>
            <w:tcBorders>
              <w:right w:val="single" w:sz="8" w:color="auto"/>
            </w:tcBorders>
            <w:shd w:val="clear" w:color="auto" w:fill="DEEAF6"/>
          </w:tcPr>
          <w:p>
            <w:pPr>
              <w:jc w:val="right"/>
              <w:ind w:right="370"/>
              <w:spacing w:after="0"/>
              <w:rPr>
                <w:sz w:val="20"/>
                <w:szCs w:val="20"/>
                <w:color w:val="auto"/>
              </w:rPr>
            </w:pPr>
            <w:r>
              <w:rPr>
                <w:rFonts w:ascii="Times New Roman" w:cs="Times New Roman" w:eastAsia="Times New Roman" w:hAnsi="Times New Roman"/>
                <w:sz w:val="18"/>
                <w:szCs w:val="18"/>
                <w:color w:val="auto"/>
              </w:rPr>
              <w:t>3,265,394</w:t>
            </w:r>
          </w:p>
        </w:tc>
        <w:tc>
          <w:tcPr>
            <w:tcW w:w="0" w:type="dxa"/>
            <w:vAlign w:val="bottom"/>
          </w:tcPr>
          <w:p>
            <w:pPr>
              <w:spacing w:after="0"/>
              <w:rPr>
                <w:sz w:val="1"/>
                <w:szCs w:val="1"/>
                <w:color w:val="auto"/>
              </w:rPr>
            </w:pPr>
          </w:p>
        </w:tc>
      </w:tr>
      <w:tr>
        <w:trPr>
          <w:trHeight w:val="144"/>
        </w:trPr>
        <w:tc>
          <w:tcPr>
            <w:tcW w:w="3520" w:type="dxa"/>
            <w:vAlign w:val="bottom"/>
            <w:tcBorders>
              <w:left w:val="single" w:sz="8" w:color="auto"/>
              <w:bottom w:val="single" w:sz="8" w:color="auto"/>
              <w:right w:val="single" w:sz="8" w:color="auto"/>
            </w:tcBorders>
            <w:shd w:val="clear" w:color="auto" w:fill="DEEAF6"/>
          </w:tcPr>
          <w:p>
            <w:pPr>
              <w:spacing w:after="0"/>
              <w:rPr>
                <w:sz w:val="12"/>
                <w:szCs w:val="12"/>
                <w:color w:val="auto"/>
              </w:rPr>
            </w:pPr>
          </w:p>
        </w:tc>
        <w:tc>
          <w:tcPr>
            <w:tcW w:w="2600" w:type="dxa"/>
            <w:vAlign w:val="bottom"/>
            <w:tcBorders>
              <w:bottom w:val="single" w:sz="8" w:color="auto"/>
              <w:right w:val="single" w:sz="8" w:color="auto"/>
            </w:tcBorders>
            <w:shd w:val="clear" w:color="auto" w:fill="DEEAF6"/>
          </w:tcPr>
          <w:p>
            <w:pPr>
              <w:spacing w:after="0"/>
              <w:rPr>
                <w:sz w:val="12"/>
                <w:szCs w:val="12"/>
                <w:color w:val="auto"/>
              </w:rPr>
            </w:pPr>
          </w:p>
        </w:tc>
        <w:tc>
          <w:tcPr>
            <w:tcW w:w="2120" w:type="dxa"/>
            <w:vAlign w:val="bottom"/>
            <w:tcBorders>
              <w:bottom w:val="single" w:sz="8" w:color="auto"/>
              <w:right w:val="single" w:sz="8" w:color="auto"/>
            </w:tcBorders>
            <w:shd w:val="clear" w:color="auto" w:fill="DEEAF6"/>
          </w:tcPr>
          <w:p>
            <w:pPr>
              <w:spacing w:after="0"/>
              <w:rPr>
                <w:sz w:val="12"/>
                <w:szCs w:val="12"/>
                <w:color w:val="auto"/>
              </w:rPr>
            </w:pPr>
          </w:p>
        </w:tc>
        <w:tc>
          <w:tcPr>
            <w:tcW w:w="3020" w:type="dxa"/>
            <w:vAlign w:val="bottom"/>
            <w:tcBorders>
              <w:bottom w:val="single" w:sz="8" w:color="auto"/>
              <w:right w:val="single" w:sz="8" w:color="auto"/>
            </w:tcBorders>
            <w:shd w:val="clear" w:color="auto" w:fill="DEEAF6"/>
          </w:tcPr>
          <w:p>
            <w:pPr>
              <w:spacing w:after="0"/>
              <w:rPr>
                <w:sz w:val="12"/>
                <w:szCs w:val="1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Stock Plan.</w:t>
      </w:r>
    </w:p>
    <w:p>
      <w:pPr>
        <w:spacing w:after="0" w:line="149"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stock option awards only.</w:t>
      </w:r>
    </w:p>
    <w:p>
      <w:pPr>
        <w:spacing w:after="0" w:line="149" w:lineRule="exact"/>
        <w:rPr>
          <w:rFonts w:ascii="Times New Roman" w:cs="Times New Roman" w:eastAsia="Times New Roman" w:hAnsi="Times New Roman"/>
          <w:sz w:val="14"/>
          <w:szCs w:val="14"/>
          <w:color w:val="auto"/>
        </w:rPr>
      </w:pPr>
    </w:p>
    <w:p>
      <w:pPr>
        <w:ind w:left="660" w:right="760" w:hanging="328"/>
        <w:spacing w:after="0" w:line="282"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Stock Plan permits the award of incentive stock options, non-statutory stock options, stock bonuses, rights to acquire restricted stock, stock appreciation rights (“SARs”), RSUs and PRSUs. This number represents the total number of shares available for all such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35"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following paragraphs provide information regarding potential payments to each of our NEOs in connection with certain termination events, including a termination related to a change of control of the Company, as of December 31, 2024:</w:t>
      </w:r>
    </w:p>
    <w:p>
      <w:pPr>
        <w:spacing w:after="0" w:line="135" w:lineRule="exact"/>
        <w:rPr>
          <w:sz w:val="20"/>
          <w:szCs w:val="20"/>
          <w:color w:val="auto"/>
        </w:rPr>
      </w:pPr>
    </w:p>
    <w:p>
      <w:pPr>
        <w:jc w:val="both"/>
        <w:ind w:right="520" w:firstLine="648"/>
        <w:spacing w:after="0" w:line="232" w:lineRule="auto"/>
        <w:rPr>
          <w:sz w:val="20"/>
          <w:szCs w:val="20"/>
          <w:color w:val="auto"/>
        </w:rPr>
      </w:pPr>
      <w:r>
        <w:rPr>
          <w:rFonts w:ascii="Times New Roman" w:cs="Times New Roman" w:eastAsia="Times New Roman" w:hAnsi="Times New Roman"/>
          <w:sz w:val="18"/>
          <w:szCs w:val="18"/>
          <w:u w:val="single" w:color="auto"/>
          <w:color w:val="auto"/>
        </w:rPr>
        <w:t>Certain Retirement Benefits</w:t>
      </w:r>
      <w:r>
        <w:rPr>
          <w:rFonts w:ascii="Times New Roman" w:cs="Times New Roman" w:eastAsia="Times New Roman" w:hAnsi="Times New Roman"/>
          <w:sz w:val="18"/>
          <w:szCs w:val="18"/>
          <w:color w:val="auto"/>
        </w:rPr>
        <w:t>. On August 29, 2017, our Compensation Committee approved a one-time retirement benefit for Craig Tompkins, Executive Vice President and General Counsel, incident to his retention as our General Counsel. The retirement benefit is a single year benefit in an amount equal to the average of the two (2) highest total cash compensation (base salary plus cash bonus) years paid to Mr. Tompkins in the then most recently completed five-year period, less the amount of $197,060, accrued to Mr. Tompkins under a separate vested benefit program established by one of the two companies acquired by our Company as a part of the consolidation transaction in 2000.</w:t>
      </w:r>
    </w:p>
    <w:p>
      <w:pPr>
        <w:spacing w:after="0" w:line="161" w:lineRule="exact"/>
        <w:rPr>
          <w:sz w:val="20"/>
          <w:szCs w:val="20"/>
          <w:color w:val="auto"/>
        </w:rPr>
      </w:pPr>
    </w:p>
    <w:p>
      <w:pPr>
        <w:jc w:val="both"/>
        <w:ind w:right="520" w:firstLine="648"/>
        <w:spacing w:after="0" w:line="233" w:lineRule="auto"/>
        <w:rPr>
          <w:sz w:val="20"/>
          <w:szCs w:val="20"/>
          <w:color w:val="auto"/>
        </w:rPr>
      </w:pPr>
      <w:r>
        <w:rPr>
          <w:rFonts w:ascii="Times New Roman" w:cs="Times New Roman" w:eastAsia="Times New Roman" w:hAnsi="Times New Roman"/>
          <w:sz w:val="18"/>
          <w:szCs w:val="18"/>
          <w:u w:val="single" w:color="auto"/>
          <w:color w:val="auto"/>
        </w:rPr>
        <w:t>Option and RSU and PRSU Grants</w:t>
      </w:r>
      <w:r>
        <w:rPr>
          <w:rFonts w:ascii="Times New Roman" w:cs="Times New Roman" w:eastAsia="Times New Roman" w:hAnsi="Times New Roman"/>
          <w:sz w:val="18"/>
          <w:szCs w:val="18"/>
          <w:color w:val="auto"/>
        </w:rPr>
        <w:t>. All long-term incentive awards are subject to other terms and conditions set forth in our 2020 Stock Incentive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spacing w:after="0" w:line="158" w:lineRule="exact"/>
        <w:rPr>
          <w:sz w:val="20"/>
          <w:szCs w:val="20"/>
          <w:color w:val="auto"/>
        </w:rPr>
      </w:pPr>
    </w:p>
    <w:p>
      <w:pPr>
        <w:jc w:val="both"/>
        <w:ind w:right="520" w:firstLine="648"/>
        <w:spacing w:after="0" w:line="232" w:lineRule="auto"/>
        <w:rPr>
          <w:sz w:val="20"/>
          <w:szCs w:val="20"/>
          <w:color w:val="auto"/>
        </w:rPr>
      </w:pPr>
      <w:r>
        <w:rPr>
          <w:rFonts w:ascii="Times New Roman" w:cs="Times New Roman" w:eastAsia="Times New Roman" w:hAnsi="Times New Roman"/>
          <w:sz w:val="18"/>
          <w:szCs w:val="18"/>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2024, assuming the transaction took place on December 31, 2024, at a price equal to the closing price of the Class A Non-Voting Common Stock, which was $1.32.</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433"/>
        </w:trPr>
        <w:tc>
          <w:tcPr>
            <w:tcW w:w="1380" w:type="dxa"/>
            <w:vAlign w:val="bottom"/>
            <w:tcBorders>
              <w:right w:val="single" w:sz="8" w:color="auto"/>
            </w:tcBorders>
          </w:tcPr>
          <w:p>
            <w:pPr>
              <w:spacing w:after="0"/>
              <w:rPr>
                <w:sz w:val="24"/>
                <w:szCs w:val="24"/>
                <w:color w:val="auto"/>
              </w:rPr>
            </w:pPr>
          </w:p>
        </w:tc>
        <w:tc>
          <w:tcPr>
            <w:tcW w:w="4360" w:type="dxa"/>
            <w:vAlign w:val="bottom"/>
            <w:tcBorders>
              <w:top w:val="single" w:sz="8" w:color="auto"/>
              <w:right w:val="single" w:sz="8" w:color="auto"/>
            </w:tcBorders>
            <w:gridSpan w:val="4"/>
            <w:vMerge w:val="restart"/>
          </w:tcPr>
          <w:p>
            <w:pPr>
              <w:ind w:left="420"/>
              <w:spacing w:after="0"/>
              <w:rPr>
                <w:sz w:val="20"/>
                <w:szCs w:val="20"/>
                <w:color w:val="auto"/>
              </w:rPr>
            </w:pPr>
            <w:r>
              <w:rPr>
                <w:rFonts w:ascii="Times New Roman" w:cs="Times New Roman" w:eastAsia="Times New Roman" w:hAnsi="Times New Roman"/>
                <w:sz w:val="17"/>
                <w:szCs w:val="17"/>
                <w:b w:val="1"/>
                <w:bCs w:val="1"/>
                <w:color w:val="auto"/>
              </w:rPr>
              <w:t>Payable on upon Termination without Cause ($)</w:t>
            </w:r>
          </w:p>
        </w:tc>
        <w:tc>
          <w:tcPr>
            <w:tcW w:w="386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Payable on upon Termination in Connection with</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Payable upon</w:t>
            </w: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gridSpan w:val="4"/>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3"/>
          </w:tcPr>
          <w:p>
            <w:pPr>
              <w:jc w:val="center"/>
              <w:ind w:right="932"/>
              <w:spacing w:after="0"/>
              <w:rPr>
                <w:sz w:val="20"/>
                <w:szCs w:val="20"/>
                <w:color w:val="auto"/>
              </w:rPr>
            </w:pPr>
            <w:r>
              <w:rPr>
                <w:rFonts w:ascii="Times New Roman" w:cs="Times New Roman" w:eastAsia="Times New Roman" w:hAnsi="Times New Roman"/>
                <w:sz w:val="17"/>
                <w:szCs w:val="17"/>
                <w:b w:val="1"/>
                <w:bCs w:val="1"/>
                <w:color w:val="auto"/>
              </w:rPr>
              <w:t>a Change in Control ($)</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Retirement ($)</w:t>
            </w:r>
          </w:p>
        </w:tc>
        <w:tc>
          <w:tcPr>
            <w:tcW w:w="0" w:type="dxa"/>
            <w:vAlign w:val="bottom"/>
          </w:tcPr>
          <w:p>
            <w:pPr>
              <w:spacing w:after="0"/>
              <w:rPr>
                <w:sz w:val="1"/>
                <w:szCs w:val="1"/>
                <w:color w:val="auto"/>
              </w:rPr>
            </w:pPr>
          </w:p>
        </w:tc>
      </w:tr>
      <w:tr>
        <w:trPr>
          <w:trHeight w:val="346"/>
        </w:trPr>
        <w:tc>
          <w:tcPr>
            <w:tcW w:w="1380" w:type="dxa"/>
            <w:vAlign w:val="bottom"/>
            <w:tcBorders>
              <w:left w:val="single" w:sz="8" w:color="auto"/>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06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Borders>
              <w:right w:val="single" w:sz="8" w:color="auto"/>
            </w:tcBorders>
          </w:tcPr>
          <w:p>
            <w:pPr>
              <w:jc w:val="center"/>
              <w:ind w:right="92"/>
              <w:spacing w:after="0" w:line="189"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10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7"/>
              </w:rPr>
              <w:t>Vested</w:t>
            </w:r>
          </w:p>
        </w:tc>
        <w:tc>
          <w:tcPr>
            <w:tcW w:w="1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5"/>
              </w:rPr>
              <w:t>Value of</w:t>
            </w: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13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Benefits Payable</w:t>
            </w:r>
          </w:p>
        </w:tc>
        <w:tc>
          <w:tcPr>
            <w:tcW w:w="0" w:type="dxa"/>
            <w:vAlign w:val="bottom"/>
          </w:tcPr>
          <w:p>
            <w:pPr>
              <w:spacing w:after="0"/>
              <w:rPr>
                <w:sz w:val="1"/>
                <w:szCs w:val="1"/>
                <w:color w:val="auto"/>
              </w:rPr>
            </w:pPr>
          </w:p>
        </w:tc>
      </w:tr>
      <w:tr>
        <w:trPr>
          <w:trHeight w:val="175"/>
        </w:trPr>
        <w:tc>
          <w:tcPr>
            <w:tcW w:w="138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Pr>
          <w:p>
            <w:pPr>
              <w:jc w:val="right"/>
              <w:ind w:right="52"/>
              <w:spacing w:after="0" w:line="176" w:lineRule="exact"/>
              <w:rPr>
                <w:sz w:val="20"/>
                <w:szCs w:val="20"/>
                <w:color w:val="auto"/>
              </w:rPr>
            </w:pPr>
            <w:r>
              <w:rPr>
                <w:rFonts w:ascii="Times New Roman" w:cs="Times New Roman" w:eastAsia="Times New Roman" w:hAnsi="Times New Roman"/>
                <w:sz w:val="17"/>
                <w:szCs w:val="17"/>
                <w:b w:val="1"/>
                <w:bCs w:val="1"/>
                <w:color w:val="auto"/>
              </w:rPr>
              <w:t>Severance</w:t>
            </w:r>
          </w:p>
        </w:tc>
        <w:tc>
          <w:tcPr>
            <w:tcW w:w="1180" w:type="dxa"/>
            <w:vAlign w:val="bottom"/>
            <w:tcBorders>
              <w:right w:val="single" w:sz="8" w:color="auto"/>
            </w:tcBorders>
          </w:tcPr>
          <w:p>
            <w:pPr>
              <w:jc w:val="center"/>
              <w:ind w:right="92"/>
              <w:spacing w:after="0" w:line="176" w:lineRule="exact"/>
              <w:rPr>
                <w:sz w:val="20"/>
                <w:szCs w:val="20"/>
                <w:color w:val="auto"/>
              </w:rPr>
            </w:pPr>
            <w:r>
              <w:rPr>
                <w:rFonts w:ascii="Times New Roman" w:cs="Times New Roman" w:eastAsia="Times New Roman" w:hAnsi="Times New Roman"/>
                <w:sz w:val="17"/>
                <w:szCs w:val="17"/>
                <w:b w:val="1"/>
                <w:bCs w:val="1"/>
                <w:color w:val="auto"/>
                <w:w w:val="97"/>
              </w:rPr>
              <w:t>Vested Stock</w:t>
            </w:r>
          </w:p>
        </w:tc>
        <w:tc>
          <w:tcPr>
            <w:tcW w:w="10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Option</w:t>
            </w:r>
          </w:p>
        </w:tc>
        <w:tc>
          <w:tcPr>
            <w:tcW w:w="10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Health</w:t>
            </w:r>
          </w:p>
        </w:tc>
        <w:tc>
          <w:tcPr>
            <w:tcW w:w="1000" w:type="dxa"/>
            <w:vAlign w:val="bottom"/>
          </w:tcPr>
          <w:p>
            <w:pPr>
              <w:jc w:val="center"/>
              <w:ind w:left="52"/>
              <w:spacing w:after="0" w:line="176" w:lineRule="exact"/>
              <w:rPr>
                <w:sz w:val="20"/>
                <w:szCs w:val="20"/>
                <w:color w:val="auto"/>
              </w:rPr>
            </w:pPr>
            <w:r>
              <w:rPr>
                <w:rFonts w:ascii="Times New Roman" w:cs="Times New Roman" w:eastAsia="Times New Roman" w:hAnsi="Times New Roman"/>
                <w:sz w:val="17"/>
                <w:szCs w:val="17"/>
                <w:b w:val="1"/>
                <w:bCs w:val="1"/>
                <w:color w:val="auto"/>
              </w:rPr>
              <w:t>Severance</w:t>
            </w:r>
          </w:p>
        </w:tc>
        <w:tc>
          <w:tcPr>
            <w:tcW w:w="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Vested Stock</w:t>
            </w:r>
          </w:p>
        </w:tc>
        <w:tc>
          <w:tcPr>
            <w:tcW w:w="13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7"/>
              </w:rPr>
              <w:t>Value of Vested</w:t>
            </w:r>
          </w:p>
        </w:tc>
        <w:tc>
          <w:tcPr>
            <w:tcW w:w="16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under Retirement</w:t>
            </w:r>
          </w:p>
        </w:tc>
        <w:tc>
          <w:tcPr>
            <w:tcW w:w="0" w:type="dxa"/>
            <w:vAlign w:val="bottom"/>
          </w:tcPr>
          <w:p>
            <w:pPr>
              <w:spacing w:after="0"/>
              <w:rPr>
                <w:sz w:val="1"/>
                <w:szCs w:val="1"/>
                <w:color w:val="auto"/>
              </w:rPr>
            </w:pPr>
          </w:p>
        </w:tc>
      </w:tr>
      <w:tr>
        <w:trPr>
          <w:trHeight w:val="228"/>
        </w:trPr>
        <w:tc>
          <w:tcPr>
            <w:tcW w:w="13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1180" w:type="dxa"/>
            <w:vAlign w:val="bottom"/>
            <w:tcBorders>
              <w:bottom w:val="single" w:sz="8" w:color="auto"/>
              <w:right w:val="single" w:sz="8" w:color="auto"/>
            </w:tcBorders>
          </w:tcPr>
          <w:p>
            <w:pPr>
              <w:jc w:val="center"/>
              <w:ind w:right="52"/>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7"/>
                <w:szCs w:val="17"/>
                <w:b w:val="1"/>
                <w:bCs w:val="1"/>
                <w:color w:val="auto"/>
                <w:w w:val="98"/>
              </w:rPr>
              <w:t>Payments</w:t>
            </w:r>
          </w:p>
        </w:tc>
        <w:tc>
          <w:tcPr>
            <w:tcW w:w="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Plans</w:t>
            </w:r>
          </w:p>
        </w:tc>
        <w:tc>
          <w:tcPr>
            <w:tcW w:w="0" w:type="dxa"/>
            <w:vAlign w:val="bottom"/>
          </w:tcPr>
          <w:p>
            <w:pPr>
              <w:spacing w:after="0"/>
              <w:rPr>
                <w:sz w:val="1"/>
                <w:szCs w:val="1"/>
                <w:color w:val="auto"/>
              </w:rPr>
            </w:pPr>
          </w:p>
        </w:tc>
      </w:tr>
      <w:tr>
        <w:trPr>
          <w:trHeight w:val="228"/>
        </w:trPr>
        <w:tc>
          <w:tcPr>
            <w:tcW w:w="138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8"/>
                <w:szCs w:val="18"/>
                <w:color w:val="auto"/>
              </w:rPr>
              <w:t>Ellen M. Cotter</w:t>
            </w:r>
          </w:p>
        </w:tc>
        <w:tc>
          <w:tcPr>
            <w:tcW w:w="1040" w:type="dxa"/>
            <w:vAlign w:val="bottom"/>
            <w:tcBorders>
              <w:right w:val="single" w:sz="8" w:color="auto"/>
            </w:tcBorders>
            <w:shd w:val="clear" w:color="auto" w:fill="C6E5FE"/>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6E5FE"/>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6E5FE"/>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shd w:val="clear" w:color="auto" w:fill="C6E5FE"/>
          </w:tcPr>
          <w:p>
            <w:pPr>
              <w:spacing w:after="0"/>
              <w:rPr>
                <w:sz w:val="19"/>
                <w:szCs w:val="19"/>
                <w:color w:val="auto"/>
              </w:rPr>
            </w:pPr>
          </w:p>
        </w:tc>
        <w:tc>
          <w:tcPr>
            <w:tcW w:w="1320" w:type="dxa"/>
            <w:vAlign w:val="bottom"/>
            <w:tcBorders>
              <w:right w:val="single" w:sz="8" w:color="auto"/>
            </w:tcBorders>
            <w:shd w:val="clear" w:color="auto" w:fill="C6E5FE"/>
          </w:tcPr>
          <w:p>
            <w:pPr>
              <w:jc w:val="right"/>
              <w:ind w:right="32"/>
              <w:spacing w:after="0"/>
              <w:rPr>
                <w:sz w:val="20"/>
                <w:szCs w:val="20"/>
                <w:color w:val="auto"/>
              </w:rPr>
            </w:pPr>
            <w:r>
              <w:rPr>
                <w:rFonts w:ascii="Times New Roman" w:cs="Times New Roman" w:eastAsia="Times New Roman" w:hAnsi="Times New Roman"/>
                <w:sz w:val="18"/>
                <w:szCs w:val="18"/>
                <w:color w:val="auto"/>
              </w:rPr>
              <w:t>139,190</w:t>
            </w:r>
          </w:p>
        </w:tc>
        <w:tc>
          <w:tcPr>
            <w:tcW w:w="134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shd w:val="clear" w:color="auto" w:fill="C6E5FE"/>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0"/>
        </w:trPr>
        <w:tc>
          <w:tcPr>
            <w:tcW w:w="1380" w:type="dxa"/>
            <w:vAlign w:val="bottom"/>
            <w:tcBorders>
              <w:left w:val="single" w:sz="8" w:color="auto"/>
              <w:bottom w:val="single" w:sz="8" w:color="auto"/>
              <w:right w:val="single" w:sz="8" w:color="auto"/>
            </w:tcBorders>
            <w:shd w:val="clear" w:color="auto" w:fill="C6E5FE"/>
          </w:tcPr>
          <w:p>
            <w:pPr>
              <w:spacing w:after="0"/>
              <w:rPr>
                <w:sz w:val="24"/>
                <w:szCs w:val="24"/>
                <w:color w:val="auto"/>
              </w:rPr>
            </w:pPr>
          </w:p>
        </w:tc>
        <w:tc>
          <w:tcPr>
            <w:tcW w:w="1040" w:type="dxa"/>
            <w:vAlign w:val="bottom"/>
            <w:tcBorders>
              <w:bottom w:val="single" w:sz="8" w:color="auto"/>
              <w:right w:val="single" w:sz="8" w:color="auto"/>
            </w:tcBorders>
            <w:shd w:val="clear" w:color="auto" w:fill="C6E5FE"/>
          </w:tcPr>
          <w:p>
            <w:pPr>
              <w:spacing w:after="0"/>
              <w:rPr>
                <w:sz w:val="24"/>
                <w:szCs w:val="24"/>
                <w:color w:val="auto"/>
              </w:rPr>
            </w:pPr>
          </w:p>
        </w:tc>
        <w:tc>
          <w:tcPr>
            <w:tcW w:w="1180" w:type="dxa"/>
            <w:vAlign w:val="bottom"/>
            <w:tcBorders>
              <w:bottom w:val="single" w:sz="8" w:color="auto"/>
              <w:right w:val="single" w:sz="8" w:color="auto"/>
            </w:tcBorders>
            <w:shd w:val="clear" w:color="auto" w:fill="C6E5FE"/>
          </w:tcPr>
          <w:p>
            <w:pPr>
              <w:spacing w:after="0"/>
              <w:rPr>
                <w:sz w:val="24"/>
                <w:szCs w:val="24"/>
                <w:color w:val="auto"/>
              </w:rPr>
            </w:pPr>
          </w:p>
        </w:tc>
        <w:tc>
          <w:tcPr>
            <w:tcW w:w="1080" w:type="dxa"/>
            <w:vAlign w:val="bottom"/>
            <w:tcBorders>
              <w:bottom w:val="single" w:sz="8" w:color="auto"/>
              <w:right w:val="single" w:sz="8" w:color="auto"/>
            </w:tcBorders>
            <w:shd w:val="clear" w:color="auto" w:fill="C6E5FE"/>
          </w:tcPr>
          <w:p>
            <w:pPr>
              <w:spacing w:after="0"/>
              <w:rPr>
                <w:sz w:val="24"/>
                <w:szCs w:val="24"/>
                <w:color w:val="auto"/>
              </w:rPr>
            </w:pPr>
          </w:p>
        </w:tc>
        <w:tc>
          <w:tcPr>
            <w:tcW w:w="1060" w:type="dxa"/>
            <w:vAlign w:val="bottom"/>
            <w:tcBorders>
              <w:bottom w:val="single" w:sz="8" w:color="auto"/>
              <w:right w:val="single" w:sz="8" w:color="auto"/>
            </w:tcBorders>
            <w:shd w:val="clear" w:color="auto" w:fill="C6E5FE"/>
          </w:tcPr>
          <w:p>
            <w:pPr>
              <w:spacing w:after="0"/>
              <w:rPr>
                <w:sz w:val="24"/>
                <w:szCs w:val="24"/>
                <w:color w:val="auto"/>
              </w:rPr>
            </w:pPr>
          </w:p>
        </w:tc>
        <w:tc>
          <w:tcPr>
            <w:tcW w:w="1000" w:type="dxa"/>
            <w:vAlign w:val="bottom"/>
            <w:tcBorders>
              <w:bottom w:val="single" w:sz="8" w:color="auto"/>
            </w:tcBorders>
            <w:shd w:val="clear" w:color="auto" w:fill="C6E5FE"/>
          </w:tcPr>
          <w:p>
            <w:pPr>
              <w:spacing w:after="0"/>
              <w:rPr>
                <w:sz w:val="24"/>
                <w:szCs w:val="24"/>
                <w:color w:val="auto"/>
              </w:rPr>
            </w:pPr>
          </w:p>
        </w:tc>
        <w:tc>
          <w:tcPr>
            <w:tcW w:w="200" w:type="dxa"/>
            <w:vAlign w:val="bottom"/>
            <w:tcBorders>
              <w:bottom w:val="single" w:sz="8" w:color="auto"/>
              <w:right w:val="single" w:sz="8" w:color="auto"/>
            </w:tcBorders>
            <w:shd w:val="clear" w:color="auto" w:fill="C6E5FE"/>
          </w:tcPr>
          <w:p>
            <w:pPr>
              <w:spacing w:after="0"/>
              <w:rPr>
                <w:sz w:val="24"/>
                <w:szCs w:val="24"/>
                <w:color w:val="auto"/>
              </w:rPr>
            </w:pPr>
          </w:p>
        </w:tc>
        <w:tc>
          <w:tcPr>
            <w:tcW w:w="1320" w:type="dxa"/>
            <w:vAlign w:val="bottom"/>
            <w:tcBorders>
              <w:bottom w:val="single" w:sz="8" w:color="auto"/>
              <w:right w:val="single" w:sz="8" w:color="auto"/>
            </w:tcBorders>
            <w:shd w:val="clear" w:color="auto" w:fill="C6E5FE"/>
          </w:tcPr>
          <w:p>
            <w:pPr>
              <w:spacing w:after="0"/>
              <w:rPr>
                <w:sz w:val="24"/>
                <w:szCs w:val="24"/>
                <w:color w:val="auto"/>
              </w:rPr>
            </w:pPr>
          </w:p>
        </w:tc>
        <w:tc>
          <w:tcPr>
            <w:tcW w:w="1340" w:type="dxa"/>
            <w:vAlign w:val="bottom"/>
            <w:tcBorders>
              <w:bottom w:val="single" w:sz="8" w:color="auto"/>
              <w:right w:val="single" w:sz="8" w:color="auto"/>
            </w:tcBorders>
            <w:shd w:val="clear" w:color="auto" w:fill="C6E5FE"/>
          </w:tcPr>
          <w:p>
            <w:pPr>
              <w:spacing w:after="0"/>
              <w:rPr>
                <w:sz w:val="24"/>
                <w:szCs w:val="24"/>
                <w:color w:val="auto"/>
              </w:rPr>
            </w:pPr>
          </w:p>
        </w:tc>
        <w:tc>
          <w:tcPr>
            <w:tcW w:w="1660" w:type="dxa"/>
            <w:vAlign w:val="bottom"/>
            <w:tcBorders>
              <w:bottom w:val="single" w:sz="8" w:color="auto"/>
              <w:right w:val="single" w:sz="8" w:color="auto"/>
            </w:tcBorders>
            <w:shd w:val="clear" w:color="auto" w:fill="C6E5F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tcPr>
          <w:p>
            <w:pPr>
              <w:ind w:left="120"/>
              <w:spacing w:after="0" w:line="164" w:lineRule="exact"/>
              <w:rPr>
                <w:sz w:val="20"/>
                <w:szCs w:val="20"/>
                <w:color w:val="auto"/>
              </w:rPr>
            </w:pPr>
            <w:r>
              <w:rPr>
                <w:rFonts w:ascii="Times New Roman" w:cs="Times New Roman" w:eastAsia="Times New Roman" w:hAnsi="Times New Roman"/>
                <w:sz w:val="18"/>
                <w:szCs w:val="18"/>
                <w:color w:val="auto"/>
              </w:rPr>
              <w:t>Margaret</w:t>
            </w:r>
          </w:p>
        </w:tc>
        <w:tc>
          <w:tcPr>
            <w:tcW w:w="1040" w:type="dxa"/>
            <w:vAlign w:val="bottom"/>
            <w:tcBorders>
              <w:right w:val="single" w:sz="8" w:color="auto"/>
            </w:tcBorders>
          </w:tcPr>
          <w:p>
            <w:pPr>
              <w:jc w:val="right"/>
              <w:ind w:right="392"/>
              <w:spacing w:after="0" w:line="16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452"/>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left="72"/>
              <w:spacing w:after="0" w:line="164"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rPr>
              <w:t>61,690</w:t>
            </w:r>
          </w:p>
        </w:tc>
        <w:tc>
          <w:tcPr>
            <w:tcW w:w="13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right"/>
              <w:ind w:right="34"/>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Cotter</w:t>
            </w:r>
          </w:p>
        </w:tc>
        <w:tc>
          <w:tcPr>
            <w:tcW w:w="10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8"/>
                <w:szCs w:val="18"/>
                <w:color w:val="auto"/>
              </w:rPr>
              <w:t>S. Craig</w:t>
            </w:r>
          </w:p>
        </w:tc>
        <w:tc>
          <w:tcPr>
            <w:tcW w:w="1040" w:type="dxa"/>
            <w:vAlign w:val="bottom"/>
            <w:tcBorders>
              <w:right w:val="single" w:sz="8" w:color="auto"/>
            </w:tcBorders>
            <w:shd w:val="clear" w:color="auto" w:fill="C6E5FE"/>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6E5FE"/>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6E5FE"/>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shd w:val="clear" w:color="auto" w:fill="C6E5FE"/>
          </w:tcPr>
          <w:p>
            <w:pPr>
              <w:spacing w:after="0"/>
              <w:rPr>
                <w:sz w:val="18"/>
                <w:szCs w:val="18"/>
                <w:color w:val="auto"/>
              </w:rPr>
            </w:pPr>
          </w:p>
        </w:tc>
        <w:tc>
          <w:tcPr>
            <w:tcW w:w="1320" w:type="dxa"/>
            <w:vAlign w:val="bottom"/>
            <w:tcBorders>
              <w:right w:val="single" w:sz="8" w:color="auto"/>
            </w:tcBorders>
            <w:shd w:val="clear" w:color="auto" w:fill="C6E5FE"/>
          </w:tcPr>
          <w:p>
            <w:pPr>
              <w:jc w:val="right"/>
              <w:ind w:right="32"/>
              <w:spacing w:after="0"/>
              <w:rPr>
                <w:sz w:val="20"/>
                <w:szCs w:val="20"/>
                <w:color w:val="auto"/>
              </w:rPr>
            </w:pPr>
            <w:r>
              <w:rPr>
                <w:rFonts w:ascii="Times New Roman" w:cs="Times New Roman" w:eastAsia="Times New Roman" w:hAnsi="Times New Roman"/>
                <w:sz w:val="18"/>
                <w:szCs w:val="18"/>
                <w:color w:val="auto"/>
              </w:rPr>
              <w:t>61,074</w:t>
            </w:r>
          </w:p>
        </w:tc>
        <w:tc>
          <w:tcPr>
            <w:tcW w:w="134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shd w:val="clear" w:color="auto" w:fill="C6E5FE"/>
          </w:tcPr>
          <w:p>
            <w:pPr>
              <w:jc w:val="right"/>
              <w:ind w:right="34"/>
              <w:spacing w:after="0" w:line="210" w:lineRule="exact"/>
              <w:rPr>
                <w:sz w:val="20"/>
                <w:szCs w:val="20"/>
                <w:color w:val="auto"/>
              </w:rPr>
            </w:pPr>
            <w:r>
              <w:rPr>
                <w:rFonts w:ascii="Times New Roman" w:cs="Times New Roman" w:eastAsia="Times New Roman" w:hAnsi="Times New Roman"/>
                <w:sz w:val="15"/>
                <w:szCs w:val="15"/>
                <w:color w:val="auto"/>
              </w:rPr>
              <w:t>285,560</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shd w:val="clear" w:color="auto" w:fill="C6E5FE"/>
          </w:tcPr>
          <w:p>
            <w:pPr>
              <w:ind w:left="120"/>
              <w:spacing w:after="0"/>
              <w:rPr>
                <w:sz w:val="20"/>
                <w:szCs w:val="20"/>
                <w:color w:val="auto"/>
              </w:rPr>
            </w:pPr>
            <w:r>
              <w:rPr>
                <w:rFonts w:ascii="Times New Roman" w:cs="Times New Roman" w:eastAsia="Times New Roman" w:hAnsi="Times New Roman"/>
                <w:sz w:val="18"/>
                <w:szCs w:val="18"/>
                <w:color w:val="auto"/>
              </w:rPr>
              <w:t>Tompkins</w:t>
            </w:r>
          </w:p>
        </w:tc>
        <w:tc>
          <w:tcPr>
            <w:tcW w:w="1040" w:type="dxa"/>
            <w:vAlign w:val="bottom"/>
            <w:tcBorders>
              <w:right w:val="single" w:sz="8" w:color="auto"/>
            </w:tcBorders>
            <w:shd w:val="clear" w:color="auto" w:fill="C6E5FE"/>
          </w:tcPr>
          <w:p>
            <w:pPr>
              <w:spacing w:after="0"/>
              <w:rPr>
                <w:sz w:val="20"/>
                <w:szCs w:val="20"/>
                <w:color w:val="auto"/>
              </w:rPr>
            </w:pPr>
          </w:p>
        </w:tc>
        <w:tc>
          <w:tcPr>
            <w:tcW w:w="11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060" w:type="dxa"/>
            <w:vAlign w:val="bottom"/>
            <w:tcBorders>
              <w:right w:val="single" w:sz="8" w:color="auto"/>
            </w:tcBorders>
            <w:shd w:val="clear" w:color="auto" w:fill="C6E5FE"/>
          </w:tcPr>
          <w:p>
            <w:pPr>
              <w:spacing w:after="0"/>
              <w:rPr>
                <w:sz w:val="20"/>
                <w:szCs w:val="20"/>
                <w:color w:val="auto"/>
              </w:rPr>
            </w:pPr>
          </w:p>
        </w:tc>
        <w:tc>
          <w:tcPr>
            <w:tcW w:w="1000" w:type="dxa"/>
            <w:vAlign w:val="bottom"/>
            <w:shd w:val="clear" w:color="auto" w:fill="C6E5FE"/>
          </w:tcPr>
          <w:p>
            <w:pPr>
              <w:spacing w:after="0"/>
              <w:rPr>
                <w:sz w:val="20"/>
                <w:szCs w:val="20"/>
                <w:color w:val="auto"/>
              </w:rPr>
            </w:pPr>
          </w:p>
        </w:tc>
        <w:tc>
          <w:tcPr>
            <w:tcW w:w="200" w:type="dxa"/>
            <w:vAlign w:val="bottom"/>
            <w:tcBorders>
              <w:right w:val="single" w:sz="8" w:color="auto"/>
            </w:tcBorders>
            <w:shd w:val="clear" w:color="auto" w:fill="C6E5FE"/>
          </w:tcPr>
          <w:p>
            <w:pPr>
              <w:spacing w:after="0"/>
              <w:rPr>
                <w:sz w:val="20"/>
                <w:szCs w:val="20"/>
                <w:color w:val="auto"/>
              </w:rPr>
            </w:pPr>
          </w:p>
        </w:tc>
        <w:tc>
          <w:tcPr>
            <w:tcW w:w="1320" w:type="dxa"/>
            <w:vAlign w:val="bottom"/>
            <w:tcBorders>
              <w:right w:val="single" w:sz="8" w:color="auto"/>
            </w:tcBorders>
            <w:shd w:val="clear" w:color="auto" w:fill="C6E5FE"/>
          </w:tcPr>
          <w:p>
            <w:pPr>
              <w:spacing w:after="0"/>
              <w:rPr>
                <w:sz w:val="20"/>
                <w:szCs w:val="20"/>
                <w:color w:val="auto"/>
              </w:rPr>
            </w:pPr>
          </w:p>
        </w:tc>
        <w:tc>
          <w:tcPr>
            <w:tcW w:w="1340" w:type="dxa"/>
            <w:vAlign w:val="bottom"/>
            <w:tcBorders>
              <w:right w:val="single" w:sz="8" w:color="auto"/>
            </w:tcBorders>
            <w:shd w:val="clear" w:color="auto" w:fill="C6E5FE"/>
          </w:tcPr>
          <w:p>
            <w:pPr>
              <w:spacing w:after="0"/>
              <w:rPr>
                <w:sz w:val="20"/>
                <w:szCs w:val="20"/>
                <w:color w:val="auto"/>
              </w:rPr>
            </w:pPr>
          </w:p>
        </w:tc>
        <w:tc>
          <w:tcPr>
            <w:tcW w:w="1660" w:type="dxa"/>
            <w:vAlign w:val="bottom"/>
            <w:tcBorders>
              <w:right w:val="single" w:sz="8" w:color="auto"/>
            </w:tcBorders>
            <w:shd w:val="clear" w:color="auto" w:fill="C6E5F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bottom w:val="single" w:sz="8" w:color="auto"/>
              <w:right w:val="single" w:sz="8" w:color="auto"/>
            </w:tcBorders>
            <w:shd w:val="clear" w:color="auto" w:fill="C6E5FE"/>
          </w:tcPr>
          <w:p>
            <w:pPr>
              <w:spacing w:after="0"/>
              <w:rPr>
                <w:sz w:val="16"/>
                <w:szCs w:val="16"/>
                <w:color w:val="auto"/>
              </w:rPr>
            </w:pPr>
          </w:p>
        </w:tc>
        <w:tc>
          <w:tcPr>
            <w:tcW w:w="1040" w:type="dxa"/>
            <w:vAlign w:val="bottom"/>
            <w:tcBorders>
              <w:bottom w:val="single" w:sz="8" w:color="auto"/>
              <w:right w:val="single" w:sz="8" w:color="auto"/>
            </w:tcBorders>
            <w:shd w:val="clear" w:color="auto" w:fill="C6E5FE"/>
          </w:tcPr>
          <w:p>
            <w:pPr>
              <w:spacing w:after="0"/>
              <w:rPr>
                <w:sz w:val="16"/>
                <w:szCs w:val="16"/>
                <w:color w:val="auto"/>
              </w:rPr>
            </w:pPr>
          </w:p>
        </w:tc>
        <w:tc>
          <w:tcPr>
            <w:tcW w:w="1180" w:type="dxa"/>
            <w:vAlign w:val="bottom"/>
            <w:tcBorders>
              <w:bottom w:val="single" w:sz="8" w:color="auto"/>
              <w:right w:val="single" w:sz="8" w:color="auto"/>
            </w:tcBorders>
            <w:shd w:val="clear" w:color="auto" w:fill="C6E5FE"/>
          </w:tcPr>
          <w:p>
            <w:pPr>
              <w:spacing w:after="0"/>
              <w:rPr>
                <w:sz w:val="16"/>
                <w:szCs w:val="16"/>
                <w:color w:val="auto"/>
              </w:rPr>
            </w:pPr>
          </w:p>
        </w:tc>
        <w:tc>
          <w:tcPr>
            <w:tcW w:w="1080" w:type="dxa"/>
            <w:vAlign w:val="bottom"/>
            <w:tcBorders>
              <w:bottom w:val="single" w:sz="8" w:color="auto"/>
              <w:right w:val="single" w:sz="8" w:color="auto"/>
            </w:tcBorders>
            <w:shd w:val="clear" w:color="auto" w:fill="C6E5FE"/>
          </w:tcPr>
          <w:p>
            <w:pPr>
              <w:spacing w:after="0"/>
              <w:rPr>
                <w:sz w:val="16"/>
                <w:szCs w:val="16"/>
                <w:color w:val="auto"/>
              </w:rPr>
            </w:pPr>
          </w:p>
        </w:tc>
        <w:tc>
          <w:tcPr>
            <w:tcW w:w="1060" w:type="dxa"/>
            <w:vAlign w:val="bottom"/>
            <w:tcBorders>
              <w:bottom w:val="single" w:sz="8" w:color="auto"/>
              <w:right w:val="single" w:sz="8" w:color="auto"/>
            </w:tcBorders>
            <w:shd w:val="clear" w:color="auto" w:fill="C6E5FE"/>
          </w:tcPr>
          <w:p>
            <w:pPr>
              <w:spacing w:after="0"/>
              <w:rPr>
                <w:sz w:val="16"/>
                <w:szCs w:val="16"/>
                <w:color w:val="auto"/>
              </w:rPr>
            </w:pPr>
          </w:p>
        </w:tc>
        <w:tc>
          <w:tcPr>
            <w:tcW w:w="1000" w:type="dxa"/>
            <w:vAlign w:val="bottom"/>
            <w:tcBorders>
              <w:bottom w:val="single" w:sz="8" w:color="auto"/>
            </w:tcBorders>
            <w:shd w:val="clear" w:color="auto" w:fill="C6E5FE"/>
          </w:tcPr>
          <w:p>
            <w:pPr>
              <w:spacing w:after="0"/>
              <w:rPr>
                <w:sz w:val="16"/>
                <w:szCs w:val="16"/>
                <w:color w:val="auto"/>
              </w:rPr>
            </w:pPr>
          </w:p>
        </w:tc>
        <w:tc>
          <w:tcPr>
            <w:tcW w:w="200" w:type="dxa"/>
            <w:vAlign w:val="bottom"/>
            <w:tcBorders>
              <w:bottom w:val="single" w:sz="8" w:color="auto"/>
              <w:right w:val="single" w:sz="8" w:color="auto"/>
            </w:tcBorders>
            <w:shd w:val="clear" w:color="auto" w:fill="C6E5FE"/>
          </w:tcPr>
          <w:p>
            <w:pPr>
              <w:spacing w:after="0"/>
              <w:rPr>
                <w:sz w:val="16"/>
                <w:szCs w:val="16"/>
                <w:color w:val="auto"/>
              </w:rPr>
            </w:pPr>
          </w:p>
        </w:tc>
        <w:tc>
          <w:tcPr>
            <w:tcW w:w="1320" w:type="dxa"/>
            <w:vAlign w:val="bottom"/>
            <w:tcBorders>
              <w:bottom w:val="single" w:sz="8" w:color="auto"/>
              <w:right w:val="single" w:sz="8" w:color="auto"/>
            </w:tcBorders>
            <w:shd w:val="clear" w:color="auto" w:fill="C6E5FE"/>
          </w:tcPr>
          <w:p>
            <w:pPr>
              <w:spacing w:after="0"/>
              <w:rPr>
                <w:sz w:val="16"/>
                <w:szCs w:val="16"/>
                <w:color w:val="auto"/>
              </w:rPr>
            </w:pPr>
          </w:p>
        </w:tc>
        <w:tc>
          <w:tcPr>
            <w:tcW w:w="1340" w:type="dxa"/>
            <w:vAlign w:val="bottom"/>
            <w:tcBorders>
              <w:bottom w:val="single" w:sz="8" w:color="auto"/>
              <w:right w:val="single" w:sz="8" w:color="auto"/>
            </w:tcBorders>
            <w:shd w:val="clear" w:color="auto" w:fill="C6E5FE"/>
          </w:tcPr>
          <w:p>
            <w:pPr>
              <w:spacing w:after="0"/>
              <w:rPr>
                <w:sz w:val="16"/>
                <w:szCs w:val="16"/>
                <w:color w:val="auto"/>
              </w:rPr>
            </w:pPr>
          </w:p>
        </w:tc>
        <w:tc>
          <w:tcPr>
            <w:tcW w:w="1660" w:type="dxa"/>
            <w:vAlign w:val="bottom"/>
            <w:tcBorders>
              <w:bottom w:val="single" w:sz="8" w:color="auto"/>
              <w:right w:val="single" w:sz="8" w:color="auto"/>
            </w:tcBorders>
            <w:shd w:val="clear" w:color="auto" w:fill="C6E5F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60" w:right="40" w:hanging="328"/>
        <w:spacing w:after="0" w:line="251"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2021 and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NEOs had no employment agreements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98" w:right="319" w:bottom="1440" w:gutter="0" w:footer="0" w:header="0"/>
        </w:sectPr>
      </w:pPr>
    </w:p>
    <w:bookmarkStart w:id="41" w:name="page42"/>
    <w:bookmarkEnd w:id="41"/>
    <w:p>
      <w:pPr>
        <w:ind w:left="23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24" w:lineRule="exact"/>
        <w:rPr>
          <w:sz w:val="20"/>
          <w:szCs w:val="20"/>
          <w:color w:val="auto"/>
        </w:rPr>
      </w:pPr>
    </w:p>
    <w:p>
      <w:pPr>
        <w:jc w:val="both"/>
        <w:ind w:right="100" w:firstLine="648"/>
        <w:spacing w:after="0" w:line="232" w:lineRule="auto"/>
        <w:rPr>
          <w:sz w:val="20"/>
          <w:szCs w:val="20"/>
          <w:color w:val="auto"/>
        </w:rPr>
      </w:pPr>
      <w:r>
        <w:rPr>
          <w:rFonts w:ascii="Times New Roman" w:cs="Times New Roman" w:eastAsia="Times New Roman" w:hAnsi="Times New Roman"/>
          <w:sz w:val="18"/>
          <w:szCs w:val="18"/>
          <w:color w:val="auto"/>
        </w:rPr>
        <w:t>The members of our Audit Committee are Directors Douglas McEachern, who serves as Chairperson, Guy Adams and Dr. Judy Codding.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w:t>
      </w:r>
    </w:p>
    <w:p>
      <w:pPr>
        <w:spacing w:after="0" w:line="3" w:lineRule="exact"/>
        <w:rPr>
          <w:sz w:val="20"/>
          <w:szCs w:val="20"/>
          <w:color w:val="auto"/>
        </w:rPr>
      </w:pPr>
    </w:p>
    <w:p>
      <w:pPr>
        <w:ind w:right="1500"/>
        <w:spacing w:after="0" w:line="4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Review, Approval or Ratification of Transactions with Related Persons</w:t>
      </w:r>
      <w:r>
        <w:rPr>
          <w:rFonts w:ascii="Times New Roman" w:cs="Times New Roman" w:eastAsia="Times New Roman" w:hAnsi="Times New Roman"/>
          <w:sz w:val="18"/>
          <w:szCs w:val="18"/>
          <w:color w:val="auto"/>
        </w:rPr>
        <w:t xml:space="preserve">” for additional information regarding the review process. </w:t>
      </w:r>
      <w:r>
        <w:rPr>
          <w:rFonts w:ascii="Times New Roman" w:cs="Times New Roman" w:eastAsia="Times New Roman" w:hAnsi="Times New Roman"/>
          <w:sz w:val="18"/>
          <w:szCs w:val="18"/>
          <w:b w:val="1"/>
          <w:bCs w:val="1"/>
          <w:color w:val="auto"/>
        </w:rPr>
        <w:t>Sutton Hill Capital</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2001, we entered into a transaction with Sutton Hill Capital, LLC ("SHC") regarding the master leasing, with certain options to purchase the underlying ground lease interests, of four cinemas located in Manhattan including our current Village East and Cinema 1, 2, 3 theatres.</w:t>
      </w:r>
    </w:p>
    <w:p>
      <w:pPr>
        <w:spacing w:after="0" w:line="12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2005, we acquired (i) from a third party, the fee interest in the land underlying the Cinema 1, 2, 3 and (ii) from SHC, its interest in the ground lease estate underlying and the improvements constituting the Cinema 1, 2, 3. In connection with that transaction, we granted to SHC an option to acquire at our cost a 25% interest in the special purpose entity, Sutton Hill Properties, LLC ("SHP"), formed to acquire these fee, leasehold and improvements interests. On June 28, 2007, SHC exercised this option, paying $3.0 million and assuming a proportionate share of SHP's liabilities. Since the acquisition by SHC of its 25% interest, SHP has covered its operating costs and debt service through (i) cash flow from the Cinema 1, 2, 3, (ii) borrowings from third parties, and (iii) pro-rata contributions from the members. We manage the Cinema 1, 2, 3, pursuant to a management agreement described below.</w:t>
      </w:r>
    </w:p>
    <w:p>
      <w:pPr>
        <w:spacing w:after="0" w:line="14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Over the years, we sold our interests in two of the cinemas subject to that master lease to third parties and acquired the fee interest in the land underlying the Cinema 1, 2, 3. Accordingly, the Village East is the only cinema that remains subject to the master lease. As the land underlying the Village East is owned by a third party, our relationship with SHC is that of a subtenant. Our rent paid to SHC for that cinema has been fixed at $590,000 for each of the past three years. However, due to the COVID-19 pandemic, the Village East was closed for most of 2020, and the rent commencing in April 2020 was deferred with respect to the remainder of 2020 and for the first quarter of 2021. Following a mutual agreement, we paid this deferred amount to SHC on July 1, 2021. In light of the challenges to the motion picture exhibition industry, SHC has permitted us to defer rent on our Village East cinema since October 2023, which deferred and unpaid rent was $1.18 million at September 30, 2025.</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Our master lease of the Village East has been extended from time to time and now terminates on September 1, 2027. On August 28, 2019, we exercised our option under the master lease to acquire SHC’s interest in the ground lease underlying that master lease and certain real property improvements for $5.9 million (the “Village East Assets”). That option was originally scheduled to close on May 31, 2021, but has been extended from time to time. We recorded the Village East Cinema building as a property asset of $4.7 million on our balance sheet based on the cost carry-over basis from an entity under common control with a corresponding capital lease liability of $5.9 million presented under other liabilities.</w:t>
      </w:r>
    </w:p>
    <w:p>
      <w:pPr>
        <w:spacing w:after="0" w:line="16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September 30, 2025, with the intention of winding up our various dealings with SHC, we entered into a general partnership purchase and sale agreement (the “PSA”) to acquire all of the general partnership interests in Sutton Hill Associates, a California general partnership (“SHA”), owned by the James J. Cotter Estate (the “Cotter Estate”) and the Michael R. Forman Living Trust (the “Forman Trust”). SHA is the parent of SHC. The PSA was reviewed and approved by our Audit Committee due to the fact that Margaret Cotter and Ellen Cotter are the co-executors of the Cotter Estate. However, we are advised that neither Margaret Cotter nor Ellen Cotter (nor any members of their family) have any pecuniary interest in the general partnership interest held by the Cotter Estate. The assets of SHC are comprised principally of its 25% minority interest in SHP and its interest in the Village East Assets. The purchase price is $1.00, but we will be taking ownership subject to certain third party indebtedness of SHA, which includes long term debt under certain promissory notes issued to a third party (the “Third Party Notes”). The Third Party Notes have an aggregate principal amount of approximately $13.65 million, bear interest at 4.75% payable quarterly in arrears, and mature (at which time the entire principal amount and any accrued and unpaid interest are due and payable) on September 30, 2035. In connection with the closing of the transaction, SHA’s obligations under the Third Party Notes would be guaranteed by RDI. We currently believe that the impact of the transaction on our financial statements will be immaterial. Our obligations under the PSA are subject to certain contingencies, but assuming that such contingencies are resolved, it is anticipated that the transaction will close in the fourth quarter of this year.</w:t>
      </w:r>
    </w:p>
    <w:p>
      <w:pPr>
        <w:spacing w:after="0" w:line="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495" w:right="739" w:bottom="1440" w:gutter="0" w:footer="0" w:header="0"/>
        </w:sectPr>
      </w:pPr>
    </w:p>
    <w:bookmarkStart w:id="42" w:name="page43"/>
    <w:bookmarkEnd w:id="42"/>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On August 31, 2016, we secured a three-year, $20.0 million mortgage loan with Valley National Bank. On March 13, 2020, we refinanced the loan to $25.0 million to mature on April 1, 2022, with two six-month options to extend through April 1, 2023. On September 29, 2023, we further extended the loan taking the maturity to October 1, 2024. On October 1, 2024, we obtained two six-months extensions for this loan. On February 26, 2025, we exercised the second six-month extension commencing on April 1, 2025 and ending on October 1, 2025, and are currently documenting with Valley National Bank a further extension of that loan. The Valley National Loan has been guaranteed by our Company and an environmental indemnity has been provided by our Company.</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Since 2022, we extended a working capital loan to SHP, as of September 30, 2025, the balance of which $7.89 million. The interest rate is determined by reference to the interest we are paying on our Bank of America facility (which is currently 9.75% per annum). The loan has been approved by our Company’s Audit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Theater Play Investment</w:t>
      </w:r>
    </w:p>
    <w:p>
      <w:pPr>
        <w:sectPr>
          <w:pgSz w:w="11900" w:h="16838" w:orient="portrait"/>
          <w:cols w:equalWidth="0" w:num="1">
            <w:col w:w="10840"/>
          </w:cols>
          <w:pgMar w:left="320" w:top="499" w:right="739" w:bottom="1440" w:gutter="0" w:footer="0" w:header="0"/>
        </w:sectPr>
      </w:pP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our officers and Directors may invest in plays that license our live theatres.</w:t>
      </w:r>
    </w:p>
    <w:p>
      <w:pPr>
        <w:spacing w:after="0" w:line="237" w:lineRule="auto"/>
        <w:rPr>
          <w:sz w:val="20"/>
          <w:szCs w:val="20"/>
          <w:color w:val="auto"/>
        </w:rPr>
      </w:pPr>
      <w:r>
        <w:rPr>
          <w:rFonts w:ascii="Times New Roman" w:cs="Times New Roman" w:eastAsia="Times New Roman" w:hAnsi="Times New Roman"/>
          <w:sz w:val="18"/>
          <w:szCs w:val="18"/>
          <w:color w:val="auto"/>
        </w:rPr>
        <w:t>Orpheum Theatre prior to the time we acquired the theatre in 2001, until its final show on January 8, 2023.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320" w:firstLine="89"/>
        <w:spacing w:after="0" w:line="239" w:lineRule="auto"/>
        <w:rPr>
          <w:sz w:val="20"/>
          <w:szCs w:val="20"/>
          <w:color w:val="auto"/>
        </w:rPr>
      </w:pPr>
      <w:r>
        <w:rPr>
          <w:rFonts w:ascii="Times New Roman" w:cs="Times New Roman" w:eastAsia="Times New Roman" w:hAnsi="Times New Roman"/>
          <w:sz w:val="18"/>
          <w:szCs w:val="18"/>
          <w:color w:val="auto"/>
        </w:rPr>
        <w:t xml:space="preserve">The play </w:t>
      </w:r>
      <w:r>
        <w:rPr>
          <w:rFonts w:ascii="Times New Roman" w:cs="Times New Roman" w:eastAsia="Times New Roman" w:hAnsi="Times New Roman"/>
          <w:sz w:val="18"/>
          <w:szCs w:val="18"/>
          <w:i w:val="1"/>
          <w:iCs w:val="1"/>
          <w:color w:val="auto"/>
        </w:rPr>
        <w:t>STOMP</w:t>
      </w:r>
      <w:r>
        <w:rPr>
          <w:rFonts w:ascii="Times New Roman" w:cs="Times New Roman" w:eastAsia="Times New Roman" w:hAnsi="Times New Roman"/>
          <w:sz w:val="18"/>
          <w:szCs w:val="18"/>
          <w:color w:val="auto"/>
        </w:rPr>
        <w:t>, played in our The Cotter Estate and a third party</w:t>
      </w:r>
    </w:p>
    <w:p>
      <w:pPr>
        <w:spacing w:after="0" w:line="2" w:lineRule="exact"/>
        <w:rPr>
          <w:sz w:val="20"/>
          <w:szCs w:val="20"/>
          <w:color w:val="auto"/>
        </w:rPr>
      </w:pPr>
    </w:p>
    <w:p>
      <w:pPr>
        <w:sectPr>
          <w:pgSz w:w="11900" w:h="16838" w:orient="portrait"/>
          <w:cols w:equalWidth="0" w:num="2">
            <w:col w:w="7920" w:space="60"/>
            <w:col w:w="2860"/>
          </w:cols>
          <w:pgMar w:left="320" w:top="499" w:right="739" w:bottom="1440" w:gutter="0" w:footer="0" w:header="0"/>
          <w:type w:val="continuous"/>
        </w:sectPr>
      </w:pPr>
    </w:p>
    <w:p>
      <w:pPr>
        <w:ind w:right="1500"/>
        <w:spacing w:after="0" w:line="434" w:lineRule="auto"/>
        <w:rPr>
          <w:sz w:val="20"/>
          <w:szCs w:val="20"/>
          <w:color w:val="auto"/>
        </w:rPr>
      </w:pPr>
      <w:r>
        <w:rPr>
          <w:rFonts w:ascii="Times New Roman" w:cs="Times New Roman" w:eastAsia="Times New Roman" w:hAnsi="Times New Roman"/>
          <w:sz w:val="18"/>
          <w:szCs w:val="18"/>
          <w:color w:val="auto"/>
        </w:rPr>
        <w:t xml:space="preserve">together own an approximately 5% interest in that play, an interest that they have held since prior to our acquisition of the theatre. </w:t>
      </w: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 w:lineRule="exact"/>
        <w:rPr>
          <w:sz w:val="20"/>
          <w:szCs w:val="20"/>
          <w:color w:val="auto"/>
        </w:rPr>
      </w:pPr>
    </w:p>
    <w:p>
      <w:pPr>
        <w:jc w:val="both"/>
        <w:ind w:right="340" w:firstLine="648"/>
        <w:spacing w:after="0" w:line="233" w:lineRule="auto"/>
        <w:rPr>
          <w:sz w:val="20"/>
          <w:szCs w:val="20"/>
          <w:color w:val="auto"/>
        </w:rPr>
      </w:pPr>
      <w:r>
        <w:rPr>
          <w:rFonts w:ascii="Times New Roman" w:cs="Times New Roman" w:eastAsia="Times New Roman" w:hAnsi="Times New Roman"/>
          <w:sz w:val="18"/>
          <w:szCs w:val="18"/>
          <w:color w:val="auto"/>
        </w:rPr>
        <w:t>Our Audit Committee has adopted a written charter, which includes responsibility for approval of "Related Party Transactions." Under its charter, our Audit Committee performs the functions of the "Conflicts Committee" of our Board and is delegated responsibility and authority by our Board to review, consider and negotiate, and to approve or disapprove on behalf of our Company the terms and conditions of any and all Related Party Transactions (defined below) with the same effect as though such actions had been taken by our full Board. Any such matter requires no further action by our Board in order to be binding upon our Company, except in the case of matters that, under applicable Nevada law, cannot be delegated to a committee of our Board and must be determined by our full Board. In those cases where the authority of our Board cannot be delegated, the Audit Committee nevertheless provides its recommendation to our full Board.</w:t>
      </w:r>
    </w:p>
    <w:p>
      <w:pPr>
        <w:spacing w:after="0" w:line="146" w:lineRule="exact"/>
        <w:rPr>
          <w:sz w:val="20"/>
          <w:szCs w:val="20"/>
          <w:color w:val="auto"/>
        </w:rPr>
      </w:pPr>
    </w:p>
    <w:p>
      <w:pPr>
        <w:jc w:val="both"/>
        <w:ind w:right="340" w:firstLine="648"/>
        <w:spacing w:after="0" w:line="235" w:lineRule="auto"/>
        <w:rPr>
          <w:sz w:val="20"/>
          <w:szCs w:val="20"/>
          <w:color w:val="auto"/>
        </w:rPr>
      </w:pPr>
      <w:r>
        <w:rPr>
          <w:rFonts w:ascii="Times New Roman" w:cs="Times New Roman" w:eastAsia="Times New Roman" w:hAnsi="Times New Roman"/>
          <w:sz w:val="18"/>
          <w:szCs w:val="18"/>
          <w:color w:val="auto"/>
        </w:rPr>
        <w:t>As used in our Audit Committee's Charter, the term "Related Party Transaction" means any transaction or arrangement between our Company on one hand, and on the other hand (i) any one or more directors, executive officers or stockholders holding more than 5% of the voting power of our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61"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charter provides that our Audit Committee review transactions subject to the policy and determines whether or not to approve or ratify those transactions. In doing so, our Audit Committee takes into account, among other factors it deems appropriate:</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approximate dollar value of the amount involved in the transaction and whether the transaction is material to us;</w:t>
      </w:r>
    </w:p>
    <w:p>
      <w:pPr>
        <w:spacing w:after="0" w:line="2" w:lineRule="exact"/>
        <w:rPr>
          <w:sz w:val="20"/>
          <w:szCs w:val="20"/>
          <w:color w:val="auto"/>
        </w:rPr>
      </w:pPr>
    </w:p>
    <w:p>
      <w:pPr>
        <w:ind w:left="1300" w:right="340"/>
        <w:spacing w:after="0" w:line="226" w:lineRule="auto"/>
        <w:rPr>
          <w:sz w:val="20"/>
          <w:szCs w:val="20"/>
          <w:color w:val="auto"/>
        </w:rPr>
      </w:pPr>
      <w:r>
        <w:rPr>
          <w:rFonts w:ascii="Times New Roman" w:cs="Times New Roman" w:eastAsia="Times New Roman" w:hAnsi="Times New Roman"/>
          <w:sz w:val="18"/>
          <w:szCs w:val="18"/>
          <w:color w:val="auto"/>
        </w:rPr>
        <w:t>whether the terms are fair to us, have resulted from arm's length negotiations and are on terms at least as favorable as would apply if the transaction did not involve a related person;</w:t>
      </w:r>
    </w:p>
    <w:p>
      <w:pPr>
        <w:spacing w:after="0" w:line="1" w:lineRule="exact"/>
        <w:rPr>
          <w:sz w:val="20"/>
          <w:szCs w:val="20"/>
          <w:color w:val="auto"/>
        </w:rPr>
      </w:pPr>
    </w:p>
    <w:p>
      <w:pPr>
        <w:ind w:left="980"/>
        <w:spacing w:after="0" w:line="219" w:lineRule="auto"/>
        <w:rPr>
          <w:sz w:val="20"/>
          <w:szCs w:val="20"/>
          <w:color w:val="auto"/>
        </w:rPr>
      </w:pPr>
      <w:r>
        <w:rPr>
          <w:rFonts w:ascii="Times New Roman" w:cs="Times New Roman" w:eastAsia="Times New Roman" w:hAnsi="Times New Roman"/>
          <w:sz w:val="18"/>
          <w:szCs w:val="18"/>
          <w:color w:val="auto"/>
        </w:rPr>
        <w:t>the purpose of, and the potential benefits to us of, the transaction;</w:t>
      </w:r>
    </w:p>
    <w:p>
      <w:pPr>
        <w:ind w:left="980"/>
        <w:spacing w:after="0" w:line="234" w:lineRule="auto"/>
        <w:rPr>
          <w:sz w:val="20"/>
          <w:szCs w:val="20"/>
          <w:color w:val="auto"/>
        </w:rPr>
      </w:pPr>
      <w:r>
        <w:rPr>
          <w:rFonts w:ascii="Times New Roman" w:cs="Times New Roman" w:eastAsia="Times New Roman" w:hAnsi="Times New Roman"/>
          <w:sz w:val="18"/>
          <w:szCs w:val="18"/>
          <w:color w:val="auto"/>
        </w:rPr>
        <w:t>whether the transaction was undertaken in our ordinary course of business;</w:t>
      </w:r>
    </w:p>
    <w:p>
      <w:pPr>
        <w:ind w:left="1300" w:right="340"/>
        <w:spacing w:after="0" w:line="226" w:lineRule="auto"/>
        <w:rPr>
          <w:sz w:val="20"/>
          <w:szCs w:val="20"/>
          <w:color w:val="auto"/>
        </w:rPr>
      </w:pPr>
      <w:r>
        <w:rPr>
          <w:rFonts w:ascii="Times New Roman" w:cs="Times New Roman" w:eastAsia="Times New Roman" w:hAnsi="Times New Roman"/>
          <w:sz w:val="18"/>
          <w:szCs w:val="18"/>
          <w:color w:val="auto"/>
        </w:rPr>
        <w:t>the related person's interest in the transaction, including the approximate dollar value of the amount of the related person's interest in the transaction without regard to the amount of any profit or loss;</w:t>
      </w:r>
    </w:p>
    <w:p>
      <w:pPr>
        <w:spacing w:after="0" w:line="1" w:lineRule="exact"/>
        <w:rPr>
          <w:sz w:val="20"/>
          <w:szCs w:val="20"/>
          <w:color w:val="auto"/>
        </w:rPr>
      </w:pPr>
    </w:p>
    <w:p>
      <w:pPr>
        <w:ind w:left="980"/>
        <w:spacing w:after="0" w:line="219" w:lineRule="auto"/>
        <w:rPr>
          <w:sz w:val="20"/>
          <w:szCs w:val="20"/>
          <w:color w:val="auto"/>
        </w:rPr>
      </w:pPr>
      <w:r>
        <w:rPr>
          <w:rFonts w:ascii="Times New Roman" w:cs="Times New Roman" w:eastAsia="Times New Roman" w:hAnsi="Times New Roman"/>
          <w:sz w:val="18"/>
          <w:szCs w:val="18"/>
          <w:color w:val="auto"/>
        </w:rPr>
        <w:t>required public disclosure, if any; and</w:t>
      </w:r>
    </w:p>
    <w:p>
      <w:pPr>
        <w:ind w:left="1300" w:right="340"/>
        <w:spacing w:after="0" w:line="226" w:lineRule="auto"/>
        <w:rPr>
          <w:sz w:val="20"/>
          <w:szCs w:val="20"/>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499" w:right="7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Summary of Principal Accounting Fees for Professional Services Rendered</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independent public accountants, Grant Thornton, have audited our financial statements for the fiscal year ended December 31, 2024, and are expected to have a representative present at our 2025 Annual Meeting, who will have the opportunity to make a statement if he or she desires to do so and is expected to be available to respond to appropriate questions.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aggregate fees for professional services for the audit of our financial statements, and the reviews of the financial statements included in our Form 10-K and Forms 10-Q provided by Grant Thornton LLP for 2024 and 2023, was approximately $1,440,000 and $1,327,000,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Thornton LLP did not provide us with any audit related services for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Thornton LLP did not provide us with any professional services for tax compliance, tax advice, or tax planning in 2024 or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Thornton LLP did not provide us with any services for 2024 or 2023, other than as set forth above.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2024 and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75" w:lineRule="exact"/>
        <w:rPr>
          <w:sz w:val="20"/>
          <w:szCs w:val="20"/>
          <w:color w:val="auto"/>
        </w:rPr>
      </w:pPr>
    </w:p>
    <w:p>
      <w:pPr>
        <w:jc w:val="both"/>
        <w:ind w:right="100" w:firstLine="648"/>
        <w:spacing w:after="0" w:line="236"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fiscal year ended December 31, 2024, including Amendment No. 1 on Form 10-K/A and Amendment No. 2 on Form 10-K/A, to our Annual Report on Form 10-K for the fiscal year ended December 31, 2024 are both available free of charge at </w:t>
      </w:r>
      <w:r>
        <w:rPr>
          <w:rFonts w:ascii="Times New Roman" w:cs="Times New Roman" w:eastAsia="Times New Roman" w:hAnsi="Times New Roman"/>
          <w:sz w:val="18"/>
          <w:szCs w:val="18"/>
          <w:u w:val="single" w:color="auto"/>
          <w:color w:val="0000FF"/>
        </w:rPr>
        <w:t>www.investor.readingrdi.com/financial-information/annual-reports</w:t>
      </w:r>
      <w:r>
        <w:rPr>
          <w:rFonts w:ascii="Times New Roman" w:cs="Times New Roman" w:eastAsia="Times New Roman" w:hAnsi="Times New Roman"/>
          <w:sz w:val="18"/>
          <w:szCs w:val="18"/>
          <w:color w:val="auto"/>
        </w:rPr>
        <w:t xml:space="preserve"> and at www.envisionreports.com/RDI.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It is the policy of our Board that any communications sent to the attention of anyone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anyone or more of our Directors (including call-back number, if any) will be promptly forwarded to that Director.</w:t>
      </w:r>
    </w:p>
    <w:p>
      <w:pPr>
        <w:spacing w:after="0" w:line="1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671" w:right="10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Any stockholder who, in accordance with and subject to the provisions of the proxy rules of the SEC, wishes to submit a proposal for inclusion in our Proxy Statement for our 2026 Annual Meeting of Stockholders, must deliver such proposal in writing to our Annual Meeting Secretary at the address of our Company’s principal executive offices at 189 Second Avenue, Suite 2S, New York, New York 10003.</w:t>
      </w:r>
    </w:p>
    <w:p>
      <w:pPr>
        <w:spacing w:after="0" w:line="1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Unless we change the date of our 2026 Annual Meeting by more than 30 days from the anniversary of our 2025 Annual Meeting, such written proposal must be delivered to us no later than July 7, 2026, to be considered timely.</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If our 2026 Annual Meeting is not held within 30 days of the anniversary of our 2025 Annual Meeting, to be considered timely, stockholder proposals must be received no later than ten days after the earlier of (a) the date on which notice of the 2026 Annual Meeting is mailed, or (b) the date on which the Company publicly discloses the date of the 2026 Annual Meeting, including disclosure in an SEC filing or through a press release.</w:t>
      </w:r>
    </w:p>
    <w:p>
      <w:pPr>
        <w:spacing w:after="0" w:line="14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Under our governing documents and applicable Nevada law, our Class B stockholders may also directly submit a proposal or nominate a director candidate from the floor at any meeting of our stockholders held at which Directors are to be elected. Such floor proposal or nomination may be made at our 2026 Annual Meeting by any of our Class B stockholders using the Meeting Text Function. See the discussion above under the Caption: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 will the meeting be conducted and how do I participate?”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permitted by the Exchange, under a procedure called “householding”, only one copy of the notice of internet availability or proxy materials is being delivered to our stockholders residing at the same address, unless such stockholders have notified us of their desire to receive multiple copies of the notice of internet availability or proxy materials.</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We will promptly deliver without charge, upon oral or written request, a separate copy of the notice of internet availability or proxy materials to any stockholder residing at an address to which only one copy was mailed. Requests for additional copies should be directed to our Corporate Secretary by telephone at (212) 871-6840 or by mail to Corporate Secretary, Reading International, Inc., 189 Second Avenue, Suite 2S, New York, New York 10003. Questions may also be submitted to us in advance via email at </w:t>
      </w:r>
      <w:r>
        <w:rPr>
          <w:rFonts w:ascii="Times New Roman" w:cs="Times New Roman" w:eastAsia="Times New Roman" w:hAnsi="Times New Roman"/>
          <w:sz w:val="18"/>
          <w:szCs w:val="18"/>
          <w:u w:val="single" w:color="auto"/>
          <w:color w:val="0000FF"/>
        </w:rPr>
        <w:t>AnnualMeeting@readingrdi.com</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of internet availability or proxy materials, or if you hold stock in more than one account, and in either case you wish to receive only a single copy of the notice of internet availability or proxy materials for your household, please contact the Corporate Secretary as described above. Stockholders residing at the same address and currently receiving only one copy of the notice of internet availability or proxy materials may contact the Corporate Secretary as described above to request multiple copies of the notice of internet availability or proxy materials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137160</wp:posOffset>
            </wp:positionV>
            <wp:extent cx="1097280" cy="394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72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Margaret Cotter</w:t>
      </w:r>
    </w:p>
    <w:p>
      <w:pPr>
        <w:ind w:left="660"/>
        <w:spacing w:after="0" w:line="237" w:lineRule="auto"/>
        <w:rPr>
          <w:sz w:val="20"/>
          <w:szCs w:val="20"/>
          <w:color w:val="auto"/>
        </w:rPr>
      </w:pPr>
      <w:r>
        <w:rPr>
          <w:rFonts w:ascii="Times New Roman" w:cs="Times New Roman" w:eastAsia="Times New Roman" w:hAnsi="Times New Roman"/>
          <w:sz w:val="18"/>
          <w:szCs w:val="18"/>
          <w:i w:val="1"/>
          <w:iCs w:val="1"/>
          <w:color w:val="auto"/>
        </w:rPr>
        <w:t>Chair of the Board</w:t>
      </w:r>
    </w:p>
    <w:p>
      <w:pPr>
        <w:ind w:left="660"/>
        <w:spacing w:after="0"/>
        <w:rPr>
          <w:sz w:val="20"/>
          <w:szCs w:val="20"/>
          <w:color w:val="auto"/>
        </w:rPr>
      </w:pPr>
      <w:r>
        <w:rPr>
          <w:rFonts w:ascii="Times New Roman" w:cs="Times New Roman" w:eastAsia="Times New Roman" w:hAnsi="Times New Roman"/>
          <w:sz w:val="18"/>
          <w:szCs w:val="18"/>
          <w:color w:val="auto"/>
        </w:rPr>
        <w:t>October 24, 2025</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sectPr>
      <w:pgSz w:w="11900" w:h="16838" w:orient="portrait"/>
      <w:cols w:equalWidth="0" w:num="1">
        <w:col w:w="10520"/>
      </w:cols>
      <w:pgMar w:left="320" w:top="293"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
      <w:numFmt w:val="bullet"/>
      <w:start w:val="1"/>
    </w:lvl>
  </w:abstractNum>
  <w:abstractNum w:abstractNumId="7">
    <w:nsid w:val="257130A3"/>
    <w:multiLevelType w:val="hybridMultilevel"/>
    <w:lvl w:ilvl="0">
      <w:lvlJc w:val="left"/>
      <w:lvlText w:val=" "/>
      <w:numFmt w:val="bullet"/>
      <w:start w:val="1"/>
    </w:lvl>
  </w:abstractNum>
  <w:abstractNum w:abstractNumId="8">
    <w:nsid w:val="62BBD95A"/>
    <w:multiLevelType w:val="hybridMultilevel"/>
    <w:lvl w:ilvl="0">
      <w:lvlJc w:val="left"/>
      <w:lvlText w:val=" "/>
      <w:numFmt w:val="bullet"/>
      <w:start w:val="1"/>
    </w:lvl>
  </w:abstractNum>
  <w:abstractNum w:abstractNumId="9">
    <w:nsid w:val="436C6125"/>
    <w:multiLevelType w:val="hybridMultilevel"/>
    <w:lvl w:ilvl="0">
      <w:lvlJc w:val="left"/>
      <w:lvlText w:val=" "/>
      <w:numFmt w:val="bullet"/>
      <w:start w:val="1"/>
    </w:lvl>
  </w:abstractNum>
  <w:abstractNum w:abstractNumId="10">
    <w:nsid w:val="628C895D"/>
    <w:multiLevelType w:val="hybridMultilevel"/>
    <w:lvl w:ilvl="0">
      <w:lvlJc w:val="left"/>
      <w:lvlText w:val=" "/>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lvl w:ilvl="1">
      <w:lvlJc w:val="left"/>
      <w:lvlText w:val="(%2)"/>
      <w:numFmt w:val="decimal"/>
      <w:start w:val="3"/>
    </w:lvl>
  </w:abstractNum>
  <w:abstractNum w:abstractNumId="16">
    <w:nsid w:val="75A2A8D4"/>
    <w:multiLevelType w:val="hybridMultilevel"/>
    <w:lvl w:ilvl="0">
      <w:lvlJc w:val="left"/>
      <w:lvlText w:val="(%1)"/>
      <w:numFmt w:val="decimal"/>
      <w:start w:val="4"/>
    </w:lvl>
    <w:lvl w:ilvl="1">
      <w:lvlJc w:val="left"/>
      <w:lvlText w:val="%2"/>
      <w:numFmt w:val="decimal"/>
      <w:start w:val="1"/>
    </w:lvl>
  </w:abstractNum>
  <w:abstractNum w:abstractNumId="17">
    <w:nsid w:val="8EDBDAB"/>
    <w:multiLevelType w:val="hybridMultilevel"/>
    <w:lvl w:ilvl="0">
      <w:lvlJc w:val="left"/>
      <w:lvlText w:val="2"/>
      <w:numFmt w:val="bullet"/>
      <w:start w:val="1"/>
    </w:lvl>
  </w:abstractNum>
  <w:abstractNum w:abstractNumId="18">
    <w:nsid w:val="79838CB2"/>
    <w:multiLevelType w:val="hybridMultilevel"/>
    <w:lvl w:ilvl="0">
      <w:lvlJc w:val="left"/>
      <w:lvlText w:val="o"/>
      <w:numFmt w:val="bullet"/>
      <w:start w:val="1"/>
    </w:lvl>
  </w:abstractNum>
  <w:abstractNum w:abstractNumId="19">
    <w:nsid w:val="4353D0CD"/>
    <w:multiLevelType w:val="hybridMultilevel"/>
    <w:lvl w:ilvl="0">
      <w:lvlJc w:val="left"/>
      <w:lvlText w:val=" "/>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
      <w:numFmt w:val="bullet"/>
      <w:start w:val="1"/>
    </w:lvl>
  </w:abstractNum>
  <w:abstractNum w:abstractNumId="22">
    <w:nsid w:val="54E49EB4"/>
    <w:multiLevelType w:val="hybridMultilevel"/>
    <w:lvl w:ilvl="0">
      <w:lvlJc w:val="left"/>
      <w:lvlText w:val="3"/>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2025-10-24T12:50:44Z</dcterms:created>
  <dcterms:modified xsi:type="dcterms:W3CDTF">2025-10-24T12:50:44Z</dcterms:modified>
</cp:coreProperties>
</file>