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60"/>
        <w:spacing w:after="0"/>
        <w:rPr>
          <w:sz w:val="20"/>
          <w:szCs w:val="20"/>
          <w:color w:val="auto"/>
        </w:rPr>
      </w:pPr>
      <w:r>
        <w:rPr>
          <w:rFonts w:ascii="Arial" w:cs="Arial" w:eastAsia="Arial" w:hAnsi="Arial"/>
          <w:sz w:val="22"/>
          <w:szCs w:val="22"/>
          <w:b w:val="1"/>
          <w:bCs w:val="1"/>
          <w:color w:val="auto"/>
        </w:rPr>
        <w:t>UNITED STATES 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84" w:lineRule="exact"/>
        <w:rPr>
          <w:sz w:val="24"/>
          <w:szCs w:val="24"/>
          <w:color w:val="auto"/>
        </w:rPr>
      </w:pPr>
    </w:p>
    <w:p>
      <w:pPr>
        <w:ind w:left="3900" w:right="1280" w:hanging="2606"/>
        <w:spacing w:after="0" w:line="246" w:lineRule="auto"/>
        <w:tabs>
          <w:tab w:leader="none" w:pos="1573"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ANNUAL REPORT PURSUANT TO SECTION 13 OR 15(d) OF THE SECURITIES EXCHANGE ACT OF 1934 For the fiscal year ended December 31, 2020 or</w:t>
      </w:r>
    </w:p>
    <w:p>
      <w:pPr>
        <w:spacing w:after="0" w:line="61" w:lineRule="exact"/>
        <w:rPr>
          <w:rFonts w:ascii="MS PGothic" w:cs="MS PGothic" w:eastAsia="MS PGothic" w:hAnsi="MS PGothic"/>
          <w:sz w:val="18"/>
          <w:szCs w:val="18"/>
          <w:color w:val="auto"/>
          <w:highlight w:val="black"/>
        </w:rPr>
      </w:pPr>
    </w:p>
    <w:p>
      <w:pPr>
        <w:ind w:left="3840" w:right="1120" w:hanging="2709"/>
        <w:spacing w:after="0" w:line="246" w:lineRule="auto"/>
        <w:tabs>
          <w:tab w:leader="none" w:pos="143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 For the transition period from _______ to ______</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66040</wp:posOffset>
            </wp:positionV>
            <wp:extent cx="132016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READING INTERNATIONAL,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8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0"/>
              </w:rPr>
              <w:t>Nevada</w:t>
            </w:r>
          </w:p>
        </w:tc>
        <w:tc>
          <w:tcPr>
            <w:tcW w:w="3700" w:type="dxa"/>
            <w:vAlign w:val="bottom"/>
          </w:tcPr>
          <w:p>
            <w:pPr>
              <w:jc w:val="right"/>
              <w:ind w:right="659"/>
              <w:spacing w:after="0"/>
              <w:rPr>
                <w:sz w:val="20"/>
                <w:szCs w:val="20"/>
                <w:color w:val="auto"/>
              </w:rPr>
            </w:pPr>
            <w:r>
              <w:rPr>
                <w:rFonts w:ascii="Arial" w:cs="Arial" w:eastAsia="Arial" w:hAnsi="Arial"/>
                <w:sz w:val="18"/>
                <w:szCs w:val="18"/>
                <w:b w:val="1"/>
                <w:bCs w:val="1"/>
                <w:color w:val="auto"/>
              </w:rPr>
              <w:t>95-3885184</w:t>
            </w:r>
          </w:p>
        </w:tc>
      </w:tr>
      <w:tr>
        <w:trPr>
          <w:trHeight w:val="140"/>
        </w:trPr>
        <w:tc>
          <w:tcPr>
            <w:tcW w:w="4800" w:type="dxa"/>
            <w:vAlign w:val="bottom"/>
          </w:tcPr>
          <w:p>
            <w:pPr>
              <w:jc w:val="center"/>
              <w:ind w:right="1277"/>
              <w:spacing w:after="0" w:line="141" w:lineRule="exact"/>
              <w:rPr>
                <w:sz w:val="20"/>
                <w:szCs w:val="20"/>
                <w:color w:val="auto"/>
              </w:rPr>
            </w:pPr>
            <w:r>
              <w:rPr>
                <w:rFonts w:ascii="Arial" w:cs="Arial" w:eastAsia="Arial" w:hAnsi="Arial"/>
                <w:sz w:val="14"/>
                <w:szCs w:val="14"/>
                <w:color w:val="auto"/>
                <w:w w:val="95"/>
              </w:rPr>
              <w:t>(State or other jurisdiction of incorporation or organization)</w:t>
            </w:r>
          </w:p>
        </w:tc>
        <w:tc>
          <w:tcPr>
            <w:tcW w:w="3700" w:type="dxa"/>
            <w:vAlign w:val="bottom"/>
          </w:tcPr>
          <w:p>
            <w:pPr>
              <w:jc w:val="center"/>
              <w:ind w:left="1279"/>
              <w:spacing w:after="0" w:line="141" w:lineRule="exact"/>
              <w:rPr>
                <w:sz w:val="20"/>
                <w:szCs w:val="20"/>
                <w:color w:val="auto"/>
              </w:rPr>
            </w:pPr>
            <w:r>
              <w:rPr>
                <w:rFonts w:ascii="Arial" w:cs="Arial" w:eastAsia="Arial" w:hAnsi="Arial"/>
                <w:sz w:val="14"/>
                <w:szCs w:val="14"/>
                <w:color w:val="auto"/>
                <w:w w:val="96"/>
              </w:rPr>
              <w:t>(I.R.S. Employer Identification Number)</w:t>
            </w:r>
          </w:p>
        </w:tc>
      </w:tr>
      <w:tr>
        <w:trPr>
          <w:trHeight w:val="184"/>
        </w:trPr>
        <w:tc>
          <w:tcPr>
            <w:tcW w:w="4800" w:type="dxa"/>
            <w:vAlign w:val="bottom"/>
          </w:tcPr>
          <w:p>
            <w:pPr>
              <w:jc w:val="center"/>
              <w:ind w:right="1297"/>
              <w:spacing w:after="0" w:line="184" w:lineRule="exact"/>
              <w:rPr>
                <w:sz w:val="20"/>
                <w:szCs w:val="20"/>
                <w:color w:val="auto"/>
              </w:rPr>
            </w:pPr>
            <w:r>
              <w:rPr>
                <w:rFonts w:ascii="Arial" w:cs="Arial" w:eastAsia="Arial" w:hAnsi="Arial"/>
                <w:sz w:val="18"/>
                <w:szCs w:val="18"/>
                <w:b w:val="1"/>
                <w:bCs w:val="1"/>
                <w:color w:val="auto"/>
                <w:w w:val="88"/>
              </w:rPr>
              <w:t>5995 Sepulveda Boulevard, Suite 300</w:t>
            </w:r>
          </w:p>
        </w:tc>
        <w:tc>
          <w:tcPr>
            <w:tcW w:w="3700" w:type="dxa"/>
            <w:vAlign w:val="bottom"/>
          </w:tcPr>
          <w:p>
            <w:pPr>
              <w:spacing w:after="0"/>
              <w:rPr>
                <w:sz w:val="16"/>
                <w:szCs w:val="16"/>
                <w:color w:val="auto"/>
              </w:rPr>
            </w:pPr>
          </w:p>
        </w:tc>
      </w:tr>
      <w:tr>
        <w:trPr>
          <w:trHeight w:val="202"/>
        </w:trPr>
        <w:tc>
          <w:tcPr>
            <w:tcW w:w="4800" w:type="dxa"/>
            <w:vAlign w:val="bottom"/>
          </w:tcPr>
          <w:p>
            <w:pPr>
              <w:jc w:val="center"/>
              <w:ind w:right="1297"/>
              <w:spacing w:after="0" w:line="202" w:lineRule="exact"/>
              <w:rPr>
                <w:sz w:val="20"/>
                <w:szCs w:val="20"/>
                <w:color w:val="auto"/>
              </w:rPr>
            </w:pPr>
            <w:r>
              <w:rPr>
                <w:rFonts w:ascii="Arial" w:cs="Arial" w:eastAsia="Arial" w:hAnsi="Arial"/>
                <w:sz w:val="18"/>
                <w:szCs w:val="18"/>
                <w:b w:val="1"/>
                <w:bCs w:val="1"/>
                <w:color w:val="auto"/>
                <w:w w:val="96"/>
              </w:rPr>
              <w:t>Culver City, CA</w:t>
            </w:r>
          </w:p>
        </w:tc>
        <w:tc>
          <w:tcPr>
            <w:tcW w:w="3700" w:type="dxa"/>
            <w:vAlign w:val="bottom"/>
          </w:tcPr>
          <w:p>
            <w:pPr>
              <w:jc w:val="right"/>
              <w:ind w:right="859"/>
              <w:spacing w:after="0" w:line="202" w:lineRule="exact"/>
              <w:rPr>
                <w:sz w:val="20"/>
                <w:szCs w:val="20"/>
                <w:color w:val="auto"/>
              </w:rPr>
            </w:pPr>
            <w:r>
              <w:rPr>
                <w:rFonts w:ascii="Arial" w:cs="Arial" w:eastAsia="Arial" w:hAnsi="Arial"/>
                <w:sz w:val="18"/>
                <w:szCs w:val="18"/>
                <w:b w:val="1"/>
                <w:bCs w:val="1"/>
                <w:color w:val="auto"/>
              </w:rPr>
              <w:t>90230</w:t>
            </w:r>
          </w:p>
        </w:tc>
      </w:tr>
      <w:tr>
        <w:trPr>
          <w:trHeight w:val="182"/>
        </w:trPr>
        <w:tc>
          <w:tcPr>
            <w:tcW w:w="4800" w:type="dxa"/>
            <w:vAlign w:val="bottom"/>
          </w:tcPr>
          <w:p>
            <w:pPr>
              <w:jc w:val="center"/>
              <w:ind w:right="1277"/>
              <w:spacing w:after="0"/>
              <w:rPr>
                <w:sz w:val="20"/>
                <w:szCs w:val="20"/>
                <w:color w:val="auto"/>
              </w:rPr>
            </w:pPr>
            <w:r>
              <w:rPr>
                <w:rFonts w:ascii="Arial" w:cs="Arial" w:eastAsia="Arial" w:hAnsi="Arial"/>
                <w:sz w:val="14"/>
                <w:szCs w:val="14"/>
                <w:color w:val="auto"/>
                <w:w w:val="95"/>
              </w:rPr>
              <w:t>(Address of principal executive offices)</w:t>
            </w:r>
          </w:p>
        </w:tc>
        <w:tc>
          <w:tcPr>
            <w:tcW w:w="3700" w:type="dxa"/>
            <w:vAlign w:val="bottom"/>
          </w:tcPr>
          <w:p>
            <w:pPr>
              <w:jc w:val="center"/>
              <w:ind w:left="1259"/>
              <w:spacing w:after="0"/>
              <w:rPr>
                <w:sz w:val="20"/>
                <w:szCs w:val="20"/>
                <w:color w:val="auto"/>
              </w:rPr>
            </w:pPr>
            <w:r>
              <w:rPr>
                <w:rFonts w:ascii="Arial" w:cs="Arial" w:eastAsia="Arial" w:hAnsi="Arial"/>
                <w:sz w:val="14"/>
                <w:szCs w:val="14"/>
                <w:color w:val="auto"/>
                <w:w w:val="96"/>
              </w:rPr>
              <w:t>(Zip Code)</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(213) 235-2240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95"/>
              </w:rPr>
              <w:t>Trading Symbol</w:t>
            </w:r>
          </w:p>
        </w:tc>
        <w:tc>
          <w:tcPr>
            <w:tcW w:w="41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1"/>
              </w:rPr>
              <w:t>Name of each exchange on which registered</w:t>
            </w:r>
          </w:p>
        </w:tc>
      </w:tr>
      <w:tr>
        <w:trPr>
          <w:trHeight w:val="151"/>
        </w:trPr>
        <w:tc>
          <w:tcPr>
            <w:tcW w:w="488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5"/>
              </w:rPr>
              <w:t>Class A Nonvoting Common Stock, $0.01 par value</w:t>
            </w:r>
          </w:p>
        </w:tc>
        <w:tc>
          <w:tcPr>
            <w:tcW w:w="2200" w:type="dxa"/>
            <w:vAlign w:val="bottom"/>
          </w:tcPr>
          <w:p>
            <w:pPr>
              <w:jc w:val="center"/>
              <w:ind w:right="138"/>
              <w:spacing w:after="0" w:line="150" w:lineRule="exact"/>
              <w:rPr>
                <w:sz w:val="20"/>
                <w:szCs w:val="20"/>
                <w:color w:val="auto"/>
              </w:rPr>
            </w:pPr>
            <w:r>
              <w:rPr>
                <w:rFonts w:ascii="Arial" w:cs="Arial" w:eastAsia="Arial" w:hAnsi="Arial"/>
                <w:sz w:val="17"/>
                <w:szCs w:val="17"/>
                <w:b w:val="1"/>
                <w:bCs w:val="1"/>
                <w:color w:val="auto"/>
              </w:rPr>
              <w:t>RDI</w:t>
            </w:r>
          </w:p>
        </w:tc>
        <w:tc>
          <w:tcPr>
            <w:tcW w:w="4160" w:type="dxa"/>
            <w:vAlign w:val="bottom"/>
          </w:tcPr>
          <w:p>
            <w:pPr>
              <w:jc w:val="center"/>
              <w:ind w:right="38"/>
              <w:spacing w:after="0" w:line="150" w:lineRule="exact"/>
              <w:rPr>
                <w:sz w:val="20"/>
                <w:szCs w:val="20"/>
                <w:color w:val="auto"/>
              </w:rPr>
            </w:pPr>
            <w:r>
              <w:rPr>
                <w:rFonts w:ascii="Arial" w:cs="Arial" w:eastAsia="Arial" w:hAnsi="Arial"/>
                <w:sz w:val="17"/>
                <w:szCs w:val="17"/>
                <w:b w:val="1"/>
                <w:bCs w:val="1"/>
                <w:color w:val="auto"/>
              </w:rPr>
              <w:t>NASDAQ</w:t>
            </w:r>
          </w:p>
        </w:tc>
      </w:tr>
      <w:tr>
        <w:trPr>
          <w:trHeight w:val="234"/>
        </w:trPr>
        <w:tc>
          <w:tcPr>
            <w:tcW w:w="488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Class B Voting Common Stock, $0.01 par value</w:t>
            </w:r>
          </w:p>
        </w:tc>
        <w:tc>
          <w:tcPr>
            <w:tcW w:w="2200" w:type="dxa"/>
            <w:vAlign w:val="bottom"/>
          </w:tcPr>
          <w:p>
            <w:pPr>
              <w:jc w:val="center"/>
              <w:ind w:right="138"/>
              <w:spacing w:after="0"/>
              <w:rPr>
                <w:sz w:val="20"/>
                <w:szCs w:val="20"/>
                <w:color w:val="auto"/>
              </w:rPr>
            </w:pPr>
            <w:r>
              <w:rPr>
                <w:rFonts w:ascii="Arial" w:cs="Arial" w:eastAsia="Arial" w:hAnsi="Arial"/>
                <w:sz w:val="18"/>
                <w:szCs w:val="18"/>
                <w:b w:val="1"/>
                <w:bCs w:val="1"/>
                <w:color w:val="auto"/>
              </w:rPr>
              <w:t>RDIB</w:t>
            </w:r>
          </w:p>
        </w:tc>
        <w:tc>
          <w:tcPr>
            <w:tcW w:w="4160" w:type="dxa"/>
            <w:vAlign w:val="bottom"/>
          </w:tcPr>
          <w:p>
            <w:pPr>
              <w:jc w:val="center"/>
              <w:ind w:right="38"/>
              <w:spacing w:after="0"/>
              <w:rPr>
                <w:sz w:val="20"/>
                <w:szCs w:val="20"/>
                <w:color w:val="auto"/>
              </w:rPr>
            </w:pPr>
            <w:r>
              <w:rPr>
                <w:rFonts w:ascii="Arial" w:cs="Arial" w:eastAsia="Arial" w:hAnsi="Arial"/>
                <w:sz w:val="18"/>
                <w:szCs w:val="18"/>
                <w:b w:val="1"/>
                <w:bCs w:val="1"/>
                <w:color w:val="auto"/>
                <w:w w:val="97"/>
              </w:rPr>
              <w:t>NASDAQ</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Securities Exchange Act of 1934.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9" w:lineRule="exact"/>
        <w:rPr>
          <w:sz w:val="24"/>
          <w:szCs w:val="24"/>
          <w:color w:val="auto"/>
        </w:rPr>
      </w:pPr>
    </w:p>
    <w:p>
      <w:pPr>
        <w:ind w:right="200"/>
        <w:spacing w:after="0" w:line="193" w:lineRule="exact"/>
        <w:rPr>
          <w:sz w:val="20"/>
          <w:szCs w:val="20"/>
          <w:color w:val="auto"/>
        </w:rPr>
      </w:pPr>
      <w:r>
        <w:rPr>
          <w:rFonts w:ascii="Arial" w:cs="Arial" w:eastAsia="Arial" w:hAnsi="Arial"/>
          <w:sz w:val="14"/>
          <w:szCs w:val="14"/>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33" w:lineRule="exact"/>
        <w:rPr>
          <w:sz w:val="24"/>
          <w:szCs w:val="24"/>
          <w:color w:val="auto"/>
        </w:rPr>
      </w:pPr>
    </w:p>
    <w:p>
      <w:pPr>
        <w:ind w:right="380"/>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post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33" w:lineRule="exact"/>
        <w:rPr>
          <w:sz w:val="24"/>
          <w:szCs w:val="24"/>
          <w:color w:val="auto"/>
        </w:rPr>
      </w:pPr>
    </w:p>
    <w:p>
      <w:pPr>
        <w:ind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highlight w:val="black"/>
        </w:rPr>
        <w:t>☐</w:t>
      </w:r>
    </w:p>
    <w:p>
      <w:pPr>
        <w:spacing w:after="0" w:line="116" w:lineRule="exact"/>
        <w:rPr>
          <w:sz w:val="24"/>
          <w:szCs w:val="24"/>
          <w:color w:val="auto"/>
        </w:rPr>
      </w:pPr>
    </w:p>
    <w:p>
      <w:pPr>
        <w:ind w:right="580"/>
        <w:spacing w:after="0" w:line="26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p>
    <w:p>
      <w:pPr>
        <w:spacing w:after="0" w:line="38" w:lineRule="exact"/>
        <w:rPr>
          <w:sz w:val="24"/>
          <w:szCs w:val="24"/>
          <w:color w:val="auto"/>
        </w:rPr>
      </w:pPr>
    </w:p>
    <w:p>
      <w:pPr>
        <w:ind w:right="2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91" w:lineRule="exact"/>
        <w:rPr>
          <w:sz w:val="24"/>
          <w:szCs w:val="24"/>
          <w:color w:val="auto"/>
        </w:rPr>
      </w:pPr>
    </w:p>
    <w:p>
      <w:pPr>
        <w:ind w:right="80"/>
        <w:spacing w:after="0" w:line="241" w:lineRule="auto"/>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 As of June 30, 2020 (the last business day of the registrant’s most recently completed second fiscal quarter), the aggregate market value of the registrant's voting and non-voting common equity held by non-affiliates based on the closing price on that date as reported by the Nasdaq Stock Market was $75,993,611. As of March 30, 2021, there were 20,120,625 shares of class A non-voting common stock, par value $0.01 per share and 1,680,590 shares of class B voting common stock, par value $0.01 per share, outstanding.</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u w:val="single" w:color="auto"/>
          <w:color w:val="auto"/>
        </w:rPr>
        <w:t>Documents Incorporated by Reference</w:t>
      </w:r>
    </w:p>
    <w:p>
      <w:pPr>
        <w:spacing w:after="0" w:line="86" w:lineRule="exact"/>
        <w:rPr>
          <w:sz w:val="24"/>
          <w:szCs w:val="24"/>
          <w:color w:val="auto"/>
        </w:rPr>
      </w:pPr>
    </w:p>
    <w:p>
      <w:pPr>
        <w:ind w:right="340"/>
        <w:spacing w:after="0" w:line="309" w:lineRule="auto"/>
        <w:rPr>
          <w:sz w:val="20"/>
          <w:szCs w:val="20"/>
          <w:color w:val="auto"/>
        </w:rPr>
      </w:pPr>
      <w:r>
        <w:rPr>
          <w:rFonts w:ascii="Arial" w:cs="Arial" w:eastAsia="Arial" w:hAnsi="Arial"/>
          <w:sz w:val="14"/>
          <w:szCs w:val="14"/>
          <w:color w:val="auto"/>
        </w:rPr>
        <w:t>Certain portions of the registrant’s definitive Proxy Statement for the 2021 annual meeting of the stockholders to be filed with the Securities and Exchange Commission within 120 days after the end of the fiscal year ended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00" w:type="dxa"/>
            <w:vAlign w:val="bottom"/>
            <w:gridSpan w:val="18"/>
          </w:tcPr>
          <w:p>
            <w:pPr>
              <w:jc w:val="center"/>
              <w:ind w:right="2980"/>
              <w:spacing w:after="0"/>
              <w:rPr>
                <w:sz w:val="20"/>
                <w:szCs w:val="20"/>
                <w:color w:val="auto"/>
              </w:rPr>
            </w:pPr>
            <w:r>
              <w:rPr>
                <w:rFonts w:ascii="Arial" w:cs="Arial" w:eastAsia="Arial" w:hAnsi="Arial"/>
                <w:sz w:val="27"/>
                <w:szCs w:val="27"/>
                <w:b w:val="1"/>
                <w:bCs w:val="1"/>
                <w:color w:val="auto"/>
              </w:rPr>
              <w:t>READING INTERNATIONAL, INC.</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780" w:type="dxa"/>
            <w:vAlign w:val="bottom"/>
            <w:tcBorders>
              <w:top w:val="single" w:sz="8" w:color="auto"/>
            </w:tcBorders>
            <w:gridSpan w:val="13"/>
          </w:tcPr>
          <w:p>
            <w:pPr>
              <w:jc w:val="center"/>
              <w:ind w:right="520"/>
              <w:spacing w:after="0" w:line="170" w:lineRule="exact"/>
              <w:rPr>
                <w:sz w:val="20"/>
                <w:szCs w:val="20"/>
                <w:color w:val="auto"/>
              </w:rPr>
            </w:pPr>
            <w:r>
              <w:rPr>
                <w:rFonts w:ascii="Arial" w:cs="Arial" w:eastAsia="Arial" w:hAnsi="Arial"/>
                <w:sz w:val="18"/>
                <w:szCs w:val="18"/>
                <w:b w:val="1"/>
                <w:bCs w:val="1"/>
                <w:color w:val="auto"/>
                <w:w w:val="99"/>
              </w:rPr>
              <w:t>ANNUAL REPORT ON FORM 10-K</w:t>
            </w:r>
          </w:p>
        </w:tc>
        <w:tc>
          <w:tcPr>
            <w:tcW w:w="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760" w:type="dxa"/>
            <w:vAlign w:val="bottom"/>
            <w:gridSpan w:val="15"/>
          </w:tcPr>
          <w:p>
            <w:pPr>
              <w:jc w:val="center"/>
              <w:ind w:right="3500"/>
              <w:spacing w:after="0" w:line="193" w:lineRule="exact"/>
              <w:rPr>
                <w:sz w:val="20"/>
                <w:szCs w:val="20"/>
                <w:color w:val="auto"/>
              </w:rPr>
            </w:pPr>
            <w:r>
              <w:rPr>
                <w:rFonts w:ascii="Arial" w:cs="Arial" w:eastAsia="Arial" w:hAnsi="Arial"/>
                <w:sz w:val="18"/>
                <w:szCs w:val="18"/>
                <w:b w:val="1"/>
                <w:bCs w:val="1"/>
                <w:color w:val="auto"/>
                <w:w w:val="97"/>
              </w:rPr>
              <w:t>YEAR ENDED DECEMBER 31, 2020</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20" w:type="dxa"/>
            <w:vAlign w:val="bottom"/>
            <w:gridSpan w:val="12"/>
          </w:tcPr>
          <w:p>
            <w:pPr>
              <w:jc w:val="center"/>
              <w:ind w:right="4560"/>
              <w:spacing w:after="0" w:line="190" w:lineRule="exact"/>
              <w:rPr>
                <w:sz w:val="20"/>
                <w:szCs w:val="20"/>
                <w:color w:val="auto"/>
              </w:rPr>
            </w:pPr>
            <w:r>
              <w:rPr>
                <w:rFonts w:ascii="Arial" w:cs="Arial" w:eastAsia="Arial" w:hAnsi="Arial"/>
                <w:sz w:val="18"/>
                <w:szCs w:val="18"/>
                <w:color w:val="auto"/>
              </w:rPr>
              <w:t>INDEX</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4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r>
      <w:tr>
        <w:trPr>
          <w:trHeight w:val="155"/>
        </w:trPr>
        <w:tc>
          <w:tcPr>
            <w:tcW w:w="20" w:type="dxa"/>
            <w:vAlign w:val="bottom"/>
            <w:shd w:val="clear" w:color="auto" w:fill="CCEEFF"/>
          </w:tcPr>
          <w:p>
            <w:pPr>
              <w:spacing w:after="0"/>
              <w:rPr>
                <w:sz w:val="13"/>
                <w:szCs w:val="13"/>
                <w:color w:val="auto"/>
              </w:rPr>
            </w:pPr>
          </w:p>
        </w:tc>
        <w:tc>
          <w:tcPr>
            <w:tcW w:w="10740" w:type="dxa"/>
            <w:vAlign w:val="bottom"/>
            <w:gridSpan w:val="31"/>
            <w:shd w:val="clear" w:color="auto" w:fill="CCEEFF"/>
          </w:tcPr>
          <w:p>
            <w:pPr>
              <w:spacing w:after="0" w:line="15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3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3"/>
                <w:szCs w:val="13"/>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680" w:type="dxa"/>
            <w:vAlign w:val="bottom"/>
            <w:tcBorders>
              <w:bottom w:val="single" w:sz="8" w:color="0000FF"/>
            </w:tcBorders>
            <w:gridSpan w:val="6"/>
          </w:tcPr>
          <w:p>
            <w:pPr>
              <w:spacing w:after="0" w:line="162"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Item 1 – Our Business</w:t>
              </w:r>
            </w:hyperlink>
          </w:p>
        </w:tc>
        <w:tc>
          <w:tcPr>
            <w:tcW w:w="9060" w:type="dxa"/>
            <w:vAlign w:val="bottom"/>
            <w:gridSpan w:val="25"/>
          </w:tcPr>
          <w:p>
            <w:pPr>
              <w:spacing w:after="0"/>
              <w:rPr>
                <w:sz w:val="14"/>
                <w:szCs w:val="14"/>
                <w:color w:val="auto"/>
              </w:rPr>
            </w:pPr>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10740" w:type="dxa"/>
            <w:vAlign w:val="bottom"/>
            <w:gridSpan w:val="31"/>
            <w:shd w:val="clear" w:color="auto" w:fill="CCEEFF"/>
          </w:tcPr>
          <w:p>
            <w:pPr>
              <w:spacing w:after="0" w:line="162" w:lineRule="exact"/>
              <w:rPr>
                <w:rFonts w:ascii="Arial" w:cs="Arial" w:eastAsia="Arial" w:hAnsi="Arial"/>
                <w:sz w:val="18"/>
                <w:szCs w:val="18"/>
                <w:color w:val="0000FF"/>
              </w:rPr>
            </w:pPr>
            <w:hyperlink w:anchor="page23">
              <w:r>
                <w:rPr>
                  <w:rFonts w:ascii="Arial" w:cs="Arial" w:eastAsia="Arial" w:hAnsi="Arial"/>
                  <w:sz w:val="18"/>
                  <w:szCs w:val="18"/>
                  <w:color w:val="0000FF"/>
                </w:rPr>
                <w:t>Item 1A – Risk Factors</w:t>
              </w:r>
            </w:hyperlink>
          </w:p>
        </w:tc>
        <w:tc>
          <w:tcPr>
            <w:tcW w:w="32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23</w:t>
            </w:r>
          </w:p>
        </w:tc>
        <w:tc>
          <w:tcPr>
            <w:tcW w:w="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2820" w:type="dxa"/>
            <w:vAlign w:val="bottom"/>
            <w:tcBorders>
              <w:bottom w:val="single" w:sz="8" w:color="0000FF"/>
            </w:tcBorders>
            <w:gridSpan w:val="11"/>
          </w:tcPr>
          <w:p>
            <w:pPr>
              <w:spacing w:after="0" w:line="162" w:lineRule="exact"/>
              <w:rPr>
                <w:rFonts w:ascii="Arial" w:cs="Arial" w:eastAsia="Arial" w:hAnsi="Arial"/>
                <w:sz w:val="18"/>
                <w:szCs w:val="18"/>
                <w:color w:val="0000FF"/>
                <w:w w:val="91"/>
              </w:rPr>
            </w:pPr>
            <w:hyperlink w:anchor="page31">
              <w:r>
                <w:rPr>
                  <w:rFonts w:ascii="Arial" w:cs="Arial" w:eastAsia="Arial" w:hAnsi="Arial"/>
                  <w:sz w:val="18"/>
                  <w:szCs w:val="18"/>
                  <w:color w:val="0000FF"/>
                  <w:w w:val="91"/>
                </w:rPr>
                <w:t>Item 1B – Unresolved Staff Comments</w:t>
              </w:r>
            </w:hyperlink>
          </w:p>
        </w:tc>
        <w:tc>
          <w:tcPr>
            <w:tcW w:w="7920" w:type="dxa"/>
            <w:vAlign w:val="bottom"/>
            <w:gridSpan w:val="20"/>
          </w:tcPr>
          <w:p>
            <w:pPr>
              <w:spacing w:after="0"/>
              <w:rPr>
                <w:sz w:val="14"/>
                <w:szCs w:val="14"/>
                <w:color w:val="auto"/>
              </w:rPr>
            </w:pPr>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89"/>
              </w:rPr>
              <w:t>31</w:t>
            </w:r>
          </w:p>
        </w:tc>
        <w:tc>
          <w:tcPr>
            <w:tcW w:w="160" w:type="dxa"/>
            <w:vAlign w:val="bottom"/>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0000FF"/>
            </w:tcBorders>
            <w:gridSpan w:val="5"/>
            <w:shd w:val="clear" w:color="auto" w:fill="CCEEFF"/>
          </w:tcPr>
          <w:p>
            <w:pPr>
              <w:spacing w:after="0" w:line="162"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Item 2 – Properties</w:t>
              </w:r>
            </w:hyperlink>
          </w:p>
        </w:tc>
        <w:tc>
          <w:tcPr>
            <w:tcW w:w="9360" w:type="dxa"/>
            <w:vAlign w:val="bottom"/>
            <w:tcBorders>
              <w:bottom w:val="single" w:sz="8" w:color="CCEEFF"/>
            </w:tcBorders>
            <w:gridSpan w:val="26"/>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32</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980" w:type="dxa"/>
            <w:vAlign w:val="bottom"/>
            <w:tcBorders>
              <w:bottom w:val="single" w:sz="8" w:color="0000FF"/>
            </w:tcBorders>
            <w:gridSpan w:val="7"/>
          </w:tcPr>
          <w:p>
            <w:pPr>
              <w:spacing w:after="0" w:line="162"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Item 3 – Legal Proceedings</w:t>
              </w:r>
            </w:hyperlink>
          </w:p>
        </w:tc>
        <w:tc>
          <w:tcPr>
            <w:tcW w:w="8760" w:type="dxa"/>
            <w:vAlign w:val="bottom"/>
            <w:gridSpan w:val="24"/>
          </w:tcPr>
          <w:p>
            <w:pPr>
              <w:spacing w:after="0"/>
              <w:rPr>
                <w:sz w:val="14"/>
                <w:szCs w:val="14"/>
                <w:color w:val="auto"/>
              </w:rPr>
            </w:pPr>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89"/>
              </w:rPr>
              <w:t>36</w:t>
            </w:r>
          </w:p>
        </w:tc>
        <w:tc>
          <w:tcPr>
            <w:tcW w:w="160" w:type="dxa"/>
            <w:vAlign w:val="bottom"/>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420" w:type="dxa"/>
            <w:vAlign w:val="bottom"/>
            <w:tcBorders>
              <w:bottom w:val="single" w:sz="8" w:color="0000FF"/>
            </w:tcBorders>
            <w:gridSpan w:val="9"/>
            <w:shd w:val="clear" w:color="auto" w:fill="CCEEFF"/>
          </w:tcPr>
          <w:p>
            <w:pPr>
              <w:spacing w:after="0" w:line="162" w:lineRule="exact"/>
              <w:rPr>
                <w:rFonts w:ascii="Arial" w:cs="Arial" w:eastAsia="Arial" w:hAnsi="Arial"/>
                <w:sz w:val="18"/>
                <w:szCs w:val="18"/>
                <w:color w:val="0000FF"/>
                <w:w w:val="91"/>
              </w:rPr>
            </w:pPr>
            <w:hyperlink w:anchor="page36">
              <w:r>
                <w:rPr>
                  <w:rFonts w:ascii="Arial" w:cs="Arial" w:eastAsia="Arial" w:hAnsi="Arial"/>
                  <w:sz w:val="18"/>
                  <w:szCs w:val="18"/>
                  <w:color w:val="0000FF"/>
                  <w:w w:val="91"/>
                </w:rPr>
                <w:t>Item 4 – Mine Safety Disclosures</w:t>
              </w:r>
            </w:hyperlink>
          </w:p>
        </w:tc>
        <w:tc>
          <w:tcPr>
            <w:tcW w:w="8320" w:type="dxa"/>
            <w:vAlign w:val="bottom"/>
            <w:tcBorders>
              <w:bottom w:val="single" w:sz="8" w:color="CCEEFF"/>
            </w:tcBorders>
            <w:gridSpan w:val="22"/>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36</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60" w:type="dxa"/>
            <w:vAlign w:val="bottom"/>
            <w:tcBorders>
              <w:bottom w:val="single" w:sz="8" w:color="0000FF"/>
            </w:tcBorders>
            <w:gridSpan w:val="2"/>
          </w:tcPr>
          <w:p>
            <w:pPr>
              <w:spacing w:after="0" w:line="162" w:lineRule="exact"/>
              <w:rPr>
                <w:rFonts w:ascii="Arial" w:cs="Arial" w:eastAsia="Arial" w:hAnsi="Arial"/>
                <w:sz w:val="18"/>
                <w:szCs w:val="18"/>
                <w:b w:val="1"/>
                <w:bCs w:val="1"/>
                <w:color w:val="0000FF"/>
                <w:w w:val="99"/>
              </w:rPr>
            </w:pPr>
            <w:hyperlink w:anchor="page36">
              <w:r>
                <w:rPr>
                  <w:rFonts w:ascii="Arial" w:cs="Arial" w:eastAsia="Arial" w:hAnsi="Arial"/>
                  <w:sz w:val="18"/>
                  <w:szCs w:val="18"/>
                  <w:b w:val="1"/>
                  <w:bCs w:val="1"/>
                  <w:color w:val="0000FF"/>
                  <w:w w:val="99"/>
                </w:rPr>
                <w:t>PART II</w:t>
              </w:r>
            </w:hyperlink>
          </w:p>
        </w:tc>
        <w:tc>
          <w:tcPr>
            <w:tcW w:w="10080" w:type="dxa"/>
            <w:vAlign w:val="bottom"/>
            <w:gridSpan w:val="29"/>
          </w:tcPr>
          <w:p>
            <w:pPr>
              <w:spacing w:after="0"/>
              <w:rPr>
                <w:sz w:val="14"/>
                <w:szCs w:val="14"/>
                <w:color w:val="auto"/>
              </w:rPr>
            </w:pPr>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89"/>
              </w:rPr>
              <w:t>36</w:t>
            </w:r>
          </w:p>
        </w:tc>
        <w:tc>
          <w:tcPr>
            <w:tcW w:w="160" w:type="dxa"/>
            <w:vAlign w:val="bottom"/>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8720" w:type="dxa"/>
            <w:vAlign w:val="bottom"/>
            <w:tcBorders>
              <w:bottom w:val="single" w:sz="8" w:color="0000FF"/>
            </w:tcBorders>
            <w:gridSpan w:val="30"/>
            <w:shd w:val="clear" w:color="auto" w:fill="CCEEFF"/>
          </w:tcPr>
          <w:p>
            <w:pPr>
              <w:spacing w:after="0" w:line="162"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Item 5 – Market for Registrant’s Common Equity, Related Stockholder Matters and Issuer Purchases of Equity Securities</w:t>
              </w:r>
            </w:hyperlink>
          </w:p>
        </w:tc>
        <w:tc>
          <w:tcPr>
            <w:tcW w:w="20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36</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360" w:type="dxa"/>
            <w:vAlign w:val="bottom"/>
            <w:tcBorders>
              <w:bottom w:val="single" w:sz="8" w:color="0000FF"/>
            </w:tcBorders>
            <w:gridSpan w:val="8"/>
          </w:tcPr>
          <w:p>
            <w:pPr>
              <w:spacing w:after="0" w:line="16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Item 6 – Selected Financial Data</w:t>
              </w:r>
            </w:hyperlink>
          </w:p>
        </w:tc>
        <w:tc>
          <w:tcPr>
            <w:tcW w:w="8380" w:type="dxa"/>
            <w:vAlign w:val="bottom"/>
            <w:gridSpan w:val="23"/>
          </w:tcPr>
          <w:p>
            <w:pPr>
              <w:spacing w:after="0"/>
              <w:rPr>
                <w:sz w:val="14"/>
                <w:szCs w:val="14"/>
                <w:color w:val="auto"/>
              </w:rPr>
            </w:pPr>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89"/>
              </w:rPr>
              <w:t>39</w:t>
            </w:r>
          </w:p>
        </w:tc>
        <w:tc>
          <w:tcPr>
            <w:tcW w:w="160" w:type="dxa"/>
            <w:vAlign w:val="bottom"/>
          </w:tcPr>
          <w:p>
            <w:pPr>
              <w:spacing w:after="0"/>
              <w:rPr>
                <w:sz w:val="14"/>
                <w:szCs w:val="14"/>
                <w:color w:val="auto"/>
              </w:rPr>
            </w:pPr>
          </w:p>
        </w:tc>
      </w:tr>
      <w:tr>
        <w:trPr>
          <w:trHeight w:val="169"/>
        </w:trPr>
        <w:tc>
          <w:tcPr>
            <w:tcW w:w="20" w:type="dxa"/>
            <w:vAlign w:val="bottom"/>
            <w:shd w:val="clear" w:color="auto" w:fill="CCEEFF"/>
          </w:tcPr>
          <w:p>
            <w:pPr>
              <w:spacing w:after="0"/>
              <w:rPr>
                <w:sz w:val="14"/>
                <w:szCs w:val="14"/>
                <w:color w:val="auto"/>
              </w:rPr>
            </w:pPr>
          </w:p>
        </w:tc>
        <w:tc>
          <w:tcPr>
            <w:tcW w:w="10740" w:type="dxa"/>
            <w:vAlign w:val="bottom"/>
            <w:gridSpan w:val="31"/>
            <w:shd w:val="clear" w:color="auto" w:fill="CCEEFF"/>
          </w:tcPr>
          <w:p>
            <w:pPr>
              <w:spacing w:after="0" w:line="162" w:lineRule="exact"/>
              <w:rPr>
                <w:rFonts w:ascii="Arial" w:cs="Arial" w:eastAsia="Arial" w:hAnsi="Arial"/>
                <w:sz w:val="18"/>
                <w:szCs w:val="18"/>
                <w:color w:val="0000FF"/>
              </w:rPr>
            </w:pPr>
            <w:hyperlink w:anchor="page39">
              <w:r>
                <w:rPr>
                  <w:rFonts w:ascii="Arial" w:cs="Arial" w:eastAsia="Arial" w:hAnsi="Arial"/>
                  <w:sz w:val="18"/>
                  <w:szCs w:val="18"/>
                  <w:color w:val="0000FF"/>
                </w:rPr>
                <w:t>Item 7 – Management’s Discussion and Analysis of Financial Condition and Results of Operations</w:t>
              </w:r>
            </w:hyperlink>
          </w:p>
        </w:tc>
        <w:tc>
          <w:tcPr>
            <w:tcW w:w="32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39</w:t>
            </w:r>
          </w:p>
        </w:tc>
        <w:tc>
          <w:tcPr>
            <w:tcW w:w="160" w:type="dxa"/>
            <w:vAlign w:val="bottom"/>
            <w:shd w:val="clear" w:color="auto" w:fill="CCEEFF"/>
          </w:tcPr>
          <w:p>
            <w:pPr>
              <w:spacing w:after="0"/>
              <w:rPr>
                <w:sz w:val="14"/>
                <w:szCs w:val="14"/>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5020" w:type="dxa"/>
            <w:vAlign w:val="bottom"/>
            <w:tcBorders>
              <w:top w:val="single" w:sz="8" w:color="0000FF"/>
              <w:bottom w:val="single" w:sz="8" w:color="0000FF"/>
            </w:tcBorders>
            <w:gridSpan w:val="19"/>
          </w:tcPr>
          <w:p>
            <w:pPr>
              <w:spacing w:after="0" w:line="162" w:lineRule="exact"/>
              <w:rPr>
                <w:rFonts w:ascii="Arial" w:cs="Arial" w:eastAsia="Arial" w:hAnsi="Arial"/>
                <w:sz w:val="18"/>
                <w:szCs w:val="18"/>
                <w:color w:val="0000FF"/>
                <w:w w:val="92"/>
              </w:rPr>
            </w:pPr>
            <w:hyperlink w:anchor="page65">
              <w:r>
                <w:rPr>
                  <w:rFonts w:ascii="Arial" w:cs="Arial" w:eastAsia="Arial" w:hAnsi="Arial"/>
                  <w:sz w:val="18"/>
                  <w:szCs w:val="18"/>
                  <w:color w:val="0000FF"/>
                  <w:w w:val="92"/>
                </w:rPr>
                <w:t>Item 7A – Quantitative and Qualitative Disclosure about Market Risk</w:t>
              </w:r>
            </w:hyperlink>
          </w:p>
        </w:tc>
        <w:tc>
          <w:tcPr>
            <w:tcW w:w="2080" w:type="dxa"/>
            <w:vAlign w:val="bottom"/>
            <w:tcBorders>
              <w:top w:val="single" w:sz="8" w:color="0000FF"/>
            </w:tcBorders>
            <w:gridSpan w:val="7"/>
          </w:tcPr>
          <w:p>
            <w:pPr>
              <w:spacing w:after="0"/>
              <w:rPr>
                <w:sz w:val="14"/>
                <w:szCs w:val="14"/>
                <w:color w:val="auto"/>
              </w:rPr>
            </w:pPr>
          </w:p>
        </w:tc>
        <w:tc>
          <w:tcPr>
            <w:tcW w:w="3640" w:type="dxa"/>
            <w:vAlign w:val="bottom"/>
            <w:tcBorders>
              <w:top w:val="single" w:sz="8" w:color="CCEEFF"/>
            </w:tcBorders>
            <w:gridSpan w:val="5"/>
          </w:tcPr>
          <w:p>
            <w:pPr>
              <w:spacing w:after="0"/>
              <w:rPr>
                <w:sz w:val="14"/>
                <w:szCs w:val="14"/>
                <w:color w:val="auto"/>
              </w:rPr>
            </w:pPr>
          </w:p>
        </w:tc>
        <w:tc>
          <w:tcPr>
            <w:tcW w:w="320" w:type="dxa"/>
            <w:vAlign w:val="bottom"/>
            <w:tcBorders>
              <w:top w:val="single" w:sz="8" w:color="CCEEFF"/>
            </w:tcBorders>
          </w:tcPr>
          <w:p>
            <w:pPr>
              <w:jc w:val="center"/>
              <w:spacing w:after="0" w:line="162" w:lineRule="exact"/>
              <w:rPr>
                <w:sz w:val="20"/>
                <w:szCs w:val="20"/>
                <w:color w:val="auto"/>
              </w:rPr>
            </w:pPr>
            <w:r>
              <w:rPr>
                <w:rFonts w:ascii="Arial" w:cs="Arial" w:eastAsia="Arial" w:hAnsi="Arial"/>
                <w:sz w:val="18"/>
                <w:szCs w:val="18"/>
                <w:color w:val="auto"/>
                <w:w w:val="89"/>
              </w:rPr>
              <w:t>65</w:t>
            </w:r>
          </w:p>
        </w:tc>
        <w:tc>
          <w:tcPr>
            <w:tcW w:w="160" w:type="dxa"/>
            <w:vAlign w:val="bottom"/>
            <w:tcBorders>
              <w:top w:val="single" w:sz="8" w:color="CCEEFF"/>
            </w:tcBorders>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980" w:type="dxa"/>
            <w:vAlign w:val="bottom"/>
            <w:tcBorders>
              <w:bottom w:val="single" w:sz="8" w:color="0000FF"/>
            </w:tcBorders>
            <w:gridSpan w:val="16"/>
            <w:shd w:val="clear" w:color="auto" w:fill="CCEEFF"/>
          </w:tcPr>
          <w:p>
            <w:pPr>
              <w:spacing w:after="0" w:line="162"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Item 8 – Financial Statements and Supplementary Data</w:t>
              </w:r>
            </w:hyperlink>
          </w:p>
        </w:tc>
        <w:tc>
          <w:tcPr>
            <w:tcW w:w="6760" w:type="dxa"/>
            <w:vAlign w:val="bottom"/>
            <w:tcBorders>
              <w:bottom w:val="single" w:sz="8" w:color="CCEEFF"/>
            </w:tcBorders>
            <w:gridSpan w:val="15"/>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67</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740" w:type="dxa"/>
            <w:vAlign w:val="bottom"/>
            <w:gridSpan w:val="31"/>
          </w:tcPr>
          <w:p>
            <w:pPr>
              <w:spacing w:after="0" w:line="162" w:lineRule="exact"/>
              <w:rPr>
                <w:rFonts w:ascii="Arial" w:cs="Arial" w:eastAsia="Arial" w:hAnsi="Arial"/>
                <w:sz w:val="18"/>
                <w:szCs w:val="18"/>
                <w:color w:val="0000FF"/>
              </w:rPr>
            </w:pPr>
            <w:hyperlink w:anchor="page68">
              <w:r>
                <w:rPr>
                  <w:rFonts w:ascii="Arial" w:cs="Arial" w:eastAsia="Arial" w:hAnsi="Arial"/>
                  <w:sz w:val="18"/>
                  <w:szCs w:val="18"/>
                  <w:color w:val="0000FF"/>
                </w:rPr>
                <w:t>Management’s Report on Internal Control over Financial Reporting</w:t>
              </w:r>
            </w:hyperlink>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89"/>
              </w:rPr>
              <w:t>68</w:t>
            </w:r>
          </w:p>
        </w:tc>
        <w:tc>
          <w:tcPr>
            <w:tcW w:w="1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0740" w:type="dxa"/>
            <w:vAlign w:val="bottom"/>
            <w:gridSpan w:val="31"/>
            <w:shd w:val="clear" w:color="auto" w:fill="CCEEFF"/>
          </w:tcPr>
          <w:p>
            <w:pPr>
              <w:spacing w:after="0" w:line="162" w:lineRule="exact"/>
              <w:rPr>
                <w:rFonts w:ascii="Arial" w:cs="Arial" w:eastAsia="Arial" w:hAnsi="Arial"/>
                <w:sz w:val="18"/>
                <w:szCs w:val="18"/>
                <w:color w:val="0000FF"/>
              </w:rPr>
            </w:pPr>
            <w:hyperlink w:anchor="page69">
              <w:r>
                <w:rPr>
                  <w:rFonts w:ascii="Arial" w:cs="Arial" w:eastAsia="Arial" w:hAnsi="Arial"/>
                  <w:sz w:val="18"/>
                  <w:szCs w:val="18"/>
                  <w:color w:val="0000FF"/>
                </w:rPr>
                <w:t>Report of Independent Registered Public Accounting Firm (Consolidated Financial Statements)</w:t>
              </w:r>
            </w:hyperlink>
          </w:p>
        </w:tc>
        <w:tc>
          <w:tcPr>
            <w:tcW w:w="32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69</w:t>
            </w:r>
          </w:p>
        </w:tc>
        <w:tc>
          <w:tcPr>
            <w:tcW w:w="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8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0740" w:type="dxa"/>
            <w:vAlign w:val="bottom"/>
            <w:gridSpan w:val="31"/>
          </w:tcPr>
          <w:p>
            <w:pPr>
              <w:spacing w:after="0" w:line="162" w:lineRule="exact"/>
              <w:rPr>
                <w:rFonts w:ascii="Arial" w:cs="Arial" w:eastAsia="Arial" w:hAnsi="Arial"/>
                <w:sz w:val="18"/>
                <w:szCs w:val="18"/>
                <w:color w:val="0000FF"/>
              </w:rPr>
            </w:pPr>
            <w:hyperlink w:anchor="page72">
              <w:r>
                <w:rPr>
                  <w:rFonts w:ascii="Arial" w:cs="Arial" w:eastAsia="Arial" w:hAnsi="Arial"/>
                  <w:sz w:val="18"/>
                  <w:szCs w:val="18"/>
                  <w:color w:val="0000FF"/>
                </w:rPr>
                <w:t>Report of Independent Registered Public Accounting Firm (Internal Control over Financial Reporting)</w:t>
              </w:r>
            </w:hyperlink>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89"/>
              </w:rPr>
              <w:t>72</w:t>
            </w:r>
          </w:p>
        </w:tc>
        <w:tc>
          <w:tcPr>
            <w:tcW w:w="16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7380" w:type="dxa"/>
            <w:vAlign w:val="bottom"/>
            <w:tcBorders>
              <w:top w:val="single" w:sz="8" w:color="0000FF"/>
            </w:tcBorders>
            <w:gridSpan w:val="28"/>
            <w:shd w:val="clear" w:color="auto" w:fill="CCEEFF"/>
          </w:tcPr>
          <w:p>
            <w:pPr>
              <w:spacing w:after="0" w:line="162" w:lineRule="exact"/>
              <w:rPr>
                <w:rFonts w:ascii="Arial" w:cs="Arial" w:eastAsia="Arial" w:hAnsi="Arial"/>
                <w:sz w:val="18"/>
                <w:szCs w:val="18"/>
                <w:color w:val="0000FF"/>
              </w:rPr>
            </w:pPr>
            <w:hyperlink w:anchor="page73">
              <w:r>
                <w:rPr>
                  <w:rFonts w:ascii="Arial" w:cs="Arial" w:eastAsia="Arial" w:hAnsi="Arial"/>
                  <w:sz w:val="18"/>
                  <w:szCs w:val="18"/>
                  <w:color w:val="0000FF"/>
                </w:rPr>
                <w:t>Consolidated Balance Sheets as of December 31, 2020 and 2019</w:t>
              </w:r>
            </w:hyperlink>
          </w:p>
        </w:tc>
        <w:tc>
          <w:tcPr>
            <w:tcW w:w="3360" w:type="dxa"/>
            <w:vAlign w:val="bottom"/>
            <w:gridSpan w:val="3"/>
            <w:shd w:val="clear" w:color="auto" w:fill="CCEEFF"/>
          </w:tcPr>
          <w:p>
            <w:pPr>
              <w:spacing w:after="0"/>
              <w:rPr>
                <w:sz w:val="14"/>
                <w:szCs w:val="14"/>
                <w:color w:val="auto"/>
              </w:rPr>
            </w:pPr>
          </w:p>
        </w:tc>
        <w:tc>
          <w:tcPr>
            <w:tcW w:w="32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73</w:t>
            </w:r>
          </w:p>
        </w:tc>
        <w:tc>
          <w:tcPr>
            <w:tcW w:w="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0740" w:type="dxa"/>
            <w:vAlign w:val="bottom"/>
            <w:gridSpan w:val="31"/>
          </w:tcPr>
          <w:p>
            <w:pPr>
              <w:spacing w:after="0" w:line="162" w:lineRule="exact"/>
              <w:rPr>
                <w:rFonts w:ascii="Arial" w:cs="Arial" w:eastAsia="Arial" w:hAnsi="Arial"/>
                <w:sz w:val="18"/>
                <w:szCs w:val="18"/>
                <w:color w:val="0000FF"/>
              </w:rPr>
            </w:pPr>
            <w:hyperlink w:anchor="page74">
              <w:r>
                <w:rPr>
                  <w:rFonts w:ascii="Arial" w:cs="Arial" w:eastAsia="Arial" w:hAnsi="Arial"/>
                  <w:sz w:val="18"/>
                  <w:szCs w:val="18"/>
                  <w:color w:val="0000FF"/>
                </w:rPr>
                <w:t>Consolidated Statements of Operations for the Three Years Ended December 31, 2020</w:t>
              </w:r>
            </w:hyperlink>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89"/>
              </w:rPr>
              <w:t>74</w:t>
            </w:r>
          </w:p>
        </w:tc>
        <w:tc>
          <w:tcPr>
            <w:tcW w:w="1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140" w:type="dxa"/>
            <w:vAlign w:val="bottom"/>
            <w:tcBorders>
              <w:bottom w:val="single" w:sz="8" w:color="0000FF"/>
            </w:tcBorders>
            <w:gridSpan w:val="27"/>
            <w:shd w:val="clear" w:color="auto" w:fill="CCEEFF"/>
          </w:tcPr>
          <w:p>
            <w:pPr>
              <w:spacing w:after="0" w:line="16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Consolidated Statements of Comprehensive Income for the Three Years Ended December 31, 2020</w:t>
              </w:r>
            </w:hyperlink>
          </w:p>
        </w:tc>
        <w:tc>
          <w:tcPr>
            <w:tcW w:w="3600" w:type="dxa"/>
            <w:vAlign w:val="bottom"/>
            <w:tcBorders>
              <w:bottom w:val="single" w:sz="8" w:color="CCEEFF"/>
            </w:tcBorders>
            <w:gridSpan w:val="4"/>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75</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740" w:type="dxa"/>
            <w:vAlign w:val="bottom"/>
            <w:gridSpan w:val="31"/>
          </w:tcPr>
          <w:p>
            <w:pPr>
              <w:spacing w:after="0" w:line="162" w:lineRule="exact"/>
              <w:rPr>
                <w:rFonts w:ascii="Arial" w:cs="Arial" w:eastAsia="Arial" w:hAnsi="Arial"/>
                <w:sz w:val="18"/>
                <w:szCs w:val="18"/>
                <w:color w:val="0000FF"/>
              </w:rPr>
            </w:pPr>
            <w:hyperlink w:anchor="page76">
              <w:r>
                <w:rPr>
                  <w:rFonts w:ascii="Arial" w:cs="Arial" w:eastAsia="Arial" w:hAnsi="Arial"/>
                  <w:sz w:val="18"/>
                  <w:szCs w:val="18"/>
                  <w:color w:val="0000FF"/>
                </w:rPr>
                <w:t>Consolidated Statements of Stockholders’ Equity for the Three Years Ended December 31, 2020</w:t>
              </w:r>
            </w:hyperlink>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89"/>
              </w:rPr>
              <w:t>76</w:t>
            </w:r>
          </w:p>
        </w:tc>
        <w:tc>
          <w:tcPr>
            <w:tcW w:w="160" w:type="dxa"/>
            <w:vAlign w:val="bottom"/>
          </w:tcPr>
          <w:p>
            <w:pPr>
              <w:spacing w:after="0"/>
              <w:rPr>
                <w:sz w:val="14"/>
                <w:szCs w:val="14"/>
                <w:color w:val="auto"/>
              </w:rPr>
            </w:pPr>
          </w:p>
        </w:tc>
      </w:tr>
      <w:tr>
        <w:trPr>
          <w:trHeight w:val="169"/>
        </w:trPr>
        <w:tc>
          <w:tcPr>
            <w:tcW w:w="20" w:type="dxa"/>
            <w:vAlign w:val="bottom"/>
            <w:shd w:val="clear" w:color="auto" w:fill="CCEEFF"/>
          </w:tcPr>
          <w:p>
            <w:pPr>
              <w:spacing w:after="0"/>
              <w:rPr>
                <w:sz w:val="14"/>
                <w:szCs w:val="14"/>
                <w:color w:val="auto"/>
              </w:rPr>
            </w:pPr>
          </w:p>
        </w:tc>
        <w:tc>
          <w:tcPr>
            <w:tcW w:w="6940" w:type="dxa"/>
            <w:vAlign w:val="bottom"/>
            <w:tcBorders>
              <w:top w:val="single" w:sz="8" w:color="0000FF"/>
              <w:right w:val="single" w:sz="8" w:color="CCEEFF"/>
            </w:tcBorders>
            <w:gridSpan w:val="24"/>
            <w:shd w:val="clear" w:color="auto" w:fill="CCEEFF"/>
          </w:tcPr>
          <w:p>
            <w:pPr>
              <w:spacing w:after="0" w:line="162" w:lineRule="exact"/>
              <w:rPr>
                <w:rFonts w:ascii="Arial" w:cs="Arial" w:eastAsia="Arial" w:hAnsi="Arial"/>
                <w:sz w:val="18"/>
                <w:szCs w:val="18"/>
                <w:color w:val="0000FF"/>
                <w:w w:val="98"/>
              </w:rPr>
            </w:pPr>
            <w:hyperlink w:anchor="page77">
              <w:r>
                <w:rPr>
                  <w:rFonts w:ascii="Arial" w:cs="Arial" w:eastAsia="Arial" w:hAnsi="Arial"/>
                  <w:sz w:val="18"/>
                  <w:szCs w:val="18"/>
                  <w:color w:val="0000FF"/>
                  <w:w w:val="98"/>
                </w:rPr>
                <w:t>Consolidated Statements of Cash Flows for the Three Years Ended December 31, 2020</w:t>
              </w:r>
            </w:hyperlink>
          </w:p>
        </w:tc>
        <w:tc>
          <w:tcPr>
            <w:tcW w:w="3800" w:type="dxa"/>
            <w:vAlign w:val="bottom"/>
            <w:gridSpan w:val="7"/>
            <w:shd w:val="clear" w:color="auto" w:fill="CCEEFF"/>
          </w:tcPr>
          <w:p>
            <w:pPr>
              <w:spacing w:after="0"/>
              <w:rPr>
                <w:sz w:val="14"/>
                <w:szCs w:val="14"/>
                <w:color w:val="auto"/>
              </w:rPr>
            </w:pPr>
          </w:p>
        </w:tc>
        <w:tc>
          <w:tcPr>
            <w:tcW w:w="32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77</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6260" w:type="dxa"/>
            <w:vAlign w:val="bottom"/>
            <w:tcBorders>
              <w:top w:val="single" w:sz="8" w:color="0000FF"/>
            </w:tcBorders>
            <w:gridSpan w:val="23"/>
          </w:tcPr>
          <w:p>
            <w:pPr>
              <w:spacing w:after="0" w:line="162" w:lineRule="exact"/>
              <w:rPr>
                <w:rFonts w:ascii="Arial" w:cs="Arial" w:eastAsia="Arial" w:hAnsi="Arial"/>
                <w:sz w:val="18"/>
                <w:szCs w:val="18"/>
                <w:color w:val="0000FF"/>
              </w:rPr>
            </w:pPr>
            <w:hyperlink w:anchor="page78">
              <w:r>
                <w:rPr>
                  <w:rFonts w:ascii="Arial" w:cs="Arial" w:eastAsia="Arial" w:hAnsi="Arial"/>
                  <w:sz w:val="18"/>
                  <w:szCs w:val="18"/>
                  <w:color w:val="0000FF"/>
                </w:rPr>
                <w:t>Notes to Consolidated Financial Statements</w:t>
              </w:r>
            </w:hyperlink>
          </w:p>
        </w:tc>
        <w:tc>
          <w:tcPr>
            <w:tcW w:w="4480" w:type="dxa"/>
            <w:vAlign w:val="bottom"/>
            <w:tcBorders>
              <w:top w:val="single" w:sz="8" w:color="CCEEFF"/>
            </w:tcBorders>
            <w:gridSpan w:val="8"/>
          </w:tcPr>
          <w:p>
            <w:pPr>
              <w:spacing w:after="0"/>
              <w:rPr>
                <w:sz w:val="14"/>
                <w:szCs w:val="14"/>
                <w:color w:val="auto"/>
              </w:rPr>
            </w:pPr>
          </w:p>
        </w:tc>
        <w:tc>
          <w:tcPr>
            <w:tcW w:w="320" w:type="dxa"/>
            <w:vAlign w:val="bottom"/>
            <w:tcBorders>
              <w:top w:val="single" w:sz="8" w:color="CCEEFF"/>
            </w:tcBorders>
          </w:tcPr>
          <w:p>
            <w:pPr>
              <w:jc w:val="center"/>
              <w:spacing w:after="0" w:line="162" w:lineRule="exact"/>
              <w:rPr>
                <w:sz w:val="20"/>
                <w:szCs w:val="20"/>
                <w:color w:val="auto"/>
              </w:rPr>
            </w:pPr>
            <w:r>
              <w:rPr>
                <w:rFonts w:ascii="Arial" w:cs="Arial" w:eastAsia="Arial" w:hAnsi="Arial"/>
                <w:sz w:val="18"/>
                <w:szCs w:val="18"/>
                <w:color w:val="auto"/>
                <w:w w:val="89"/>
              </w:rPr>
              <w:t>78</w:t>
            </w:r>
          </w:p>
        </w:tc>
        <w:tc>
          <w:tcPr>
            <w:tcW w:w="160" w:type="dxa"/>
            <w:vAlign w:val="bottom"/>
            <w:tcBorders>
              <w:top w:val="single" w:sz="8" w:color="CCEEFF"/>
            </w:tcBorders>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0740" w:type="dxa"/>
            <w:vAlign w:val="bottom"/>
            <w:gridSpan w:val="31"/>
            <w:shd w:val="clear" w:color="auto" w:fill="CCEEFF"/>
          </w:tcPr>
          <w:p>
            <w:pPr>
              <w:spacing w:after="0" w:line="162" w:lineRule="exact"/>
              <w:rPr>
                <w:rFonts w:ascii="Arial" w:cs="Arial" w:eastAsia="Arial" w:hAnsi="Arial"/>
                <w:sz w:val="18"/>
                <w:szCs w:val="18"/>
                <w:color w:val="0000FF"/>
              </w:rPr>
            </w:pPr>
            <w:hyperlink w:anchor="page124">
              <w:r>
                <w:rPr>
                  <w:rFonts w:ascii="Arial" w:cs="Arial" w:eastAsia="Arial" w:hAnsi="Arial"/>
                  <w:sz w:val="18"/>
                  <w:szCs w:val="18"/>
                  <w:color w:val="0000FF"/>
                </w:rPr>
                <w:t>Schedule II – Valuation and Qualifying Accounts</w:t>
              </w:r>
            </w:hyperlink>
          </w:p>
        </w:tc>
        <w:tc>
          <w:tcPr>
            <w:tcW w:w="32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93"/>
              </w:rPr>
              <w:t>124</w:t>
            </w:r>
          </w:p>
        </w:tc>
        <w:tc>
          <w:tcPr>
            <w:tcW w:w="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7060" w:type="dxa"/>
            <w:vAlign w:val="bottom"/>
            <w:tcBorders>
              <w:bottom w:val="single" w:sz="8" w:color="0000FF"/>
            </w:tcBorders>
            <w:gridSpan w:val="25"/>
          </w:tcPr>
          <w:p>
            <w:pPr>
              <w:spacing w:after="0" w:line="162" w:lineRule="exact"/>
              <w:rPr>
                <w:rFonts w:ascii="Arial" w:cs="Arial" w:eastAsia="Arial" w:hAnsi="Arial"/>
                <w:sz w:val="18"/>
                <w:szCs w:val="18"/>
                <w:color w:val="0000FF"/>
                <w:w w:val="90"/>
              </w:rPr>
            </w:pPr>
            <w:hyperlink w:anchor="page125">
              <w:r>
                <w:rPr>
                  <w:rFonts w:ascii="Arial" w:cs="Arial" w:eastAsia="Arial" w:hAnsi="Arial"/>
                  <w:sz w:val="18"/>
                  <w:szCs w:val="18"/>
                  <w:color w:val="0000FF"/>
                  <w:w w:val="90"/>
                </w:rPr>
                <w:t>Item 9 – Change in and Disagreements with Accountants on Accounting and Financial Disclosure</w:t>
              </w:r>
            </w:hyperlink>
          </w:p>
        </w:tc>
        <w:tc>
          <w:tcPr>
            <w:tcW w:w="3680" w:type="dxa"/>
            <w:vAlign w:val="bottom"/>
            <w:gridSpan w:val="6"/>
          </w:tcPr>
          <w:p>
            <w:pPr>
              <w:spacing w:after="0"/>
              <w:rPr>
                <w:sz w:val="14"/>
                <w:szCs w:val="14"/>
                <w:color w:val="auto"/>
              </w:rPr>
            </w:pPr>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93"/>
              </w:rPr>
              <w:t>125</w:t>
            </w:r>
          </w:p>
        </w:tc>
        <w:tc>
          <w:tcPr>
            <w:tcW w:w="160" w:type="dxa"/>
            <w:vAlign w:val="bottom"/>
          </w:tcPr>
          <w:p>
            <w:pPr>
              <w:spacing w:after="0"/>
              <w:rPr>
                <w:sz w:val="14"/>
                <w:szCs w:val="14"/>
                <w:color w:val="auto"/>
              </w:rPr>
            </w:pPr>
          </w:p>
        </w:tc>
      </w:tr>
      <w:tr>
        <w:trPr>
          <w:trHeight w:val="169"/>
        </w:trPr>
        <w:tc>
          <w:tcPr>
            <w:tcW w:w="20" w:type="dxa"/>
            <w:vAlign w:val="bottom"/>
            <w:shd w:val="clear" w:color="auto" w:fill="CCEEFF"/>
          </w:tcPr>
          <w:p>
            <w:pPr>
              <w:spacing w:after="0"/>
              <w:rPr>
                <w:sz w:val="14"/>
                <w:szCs w:val="14"/>
                <w:color w:val="auto"/>
              </w:rPr>
            </w:pPr>
          </w:p>
        </w:tc>
        <w:tc>
          <w:tcPr>
            <w:tcW w:w="10740" w:type="dxa"/>
            <w:vAlign w:val="bottom"/>
            <w:gridSpan w:val="31"/>
            <w:shd w:val="clear" w:color="auto" w:fill="CCEEFF"/>
          </w:tcPr>
          <w:p>
            <w:pPr>
              <w:spacing w:after="0" w:line="162" w:lineRule="exact"/>
              <w:rPr>
                <w:rFonts w:ascii="Arial" w:cs="Arial" w:eastAsia="Arial" w:hAnsi="Arial"/>
                <w:sz w:val="18"/>
                <w:szCs w:val="18"/>
                <w:color w:val="0000FF"/>
              </w:rPr>
            </w:pPr>
            <w:hyperlink w:anchor="page125">
              <w:r>
                <w:rPr>
                  <w:rFonts w:ascii="Arial" w:cs="Arial" w:eastAsia="Arial" w:hAnsi="Arial"/>
                  <w:sz w:val="18"/>
                  <w:szCs w:val="18"/>
                  <w:color w:val="0000FF"/>
                </w:rPr>
                <w:t>Item 9A – Controls and Procedures</w:t>
              </w:r>
            </w:hyperlink>
          </w:p>
        </w:tc>
        <w:tc>
          <w:tcPr>
            <w:tcW w:w="32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93"/>
              </w:rPr>
              <w:t>125</w:t>
            </w:r>
          </w:p>
        </w:tc>
        <w:tc>
          <w:tcPr>
            <w:tcW w:w="160" w:type="dxa"/>
            <w:vAlign w:val="bottom"/>
            <w:shd w:val="clear" w:color="auto" w:fill="CCEEFF"/>
          </w:tcPr>
          <w:p>
            <w:pPr>
              <w:spacing w:after="0"/>
              <w:rPr>
                <w:sz w:val="14"/>
                <w:szCs w:val="14"/>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2540" w:type="dxa"/>
            <w:vAlign w:val="bottom"/>
            <w:tcBorders>
              <w:top w:val="single" w:sz="8" w:color="0000FF"/>
            </w:tcBorders>
            <w:gridSpan w:val="10"/>
          </w:tcPr>
          <w:p>
            <w:pPr>
              <w:spacing w:after="0" w:line="162"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PART III</w:t>
              </w:r>
            </w:hyperlink>
          </w:p>
        </w:tc>
        <w:tc>
          <w:tcPr>
            <w:tcW w:w="8200" w:type="dxa"/>
            <w:vAlign w:val="bottom"/>
            <w:tcBorders>
              <w:top w:val="single" w:sz="8" w:color="CCEEFF"/>
            </w:tcBorders>
            <w:gridSpan w:val="21"/>
          </w:tcPr>
          <w:p>
            <w:pPr>
              <w:spacing w:after="0"/>
              <w:rPr>
                <w:sz w:val="14"/>
                <w:szCs w:val="14"/>
                <w:color w:val="auto"/>
              </w:rPr>
            </w:pPr>
          </w:p>
        </w:tc>
        <w:tc>
          <w:tcPr>
            <w:tcW w:w="320" w:type="dxa"/>
            <w:vAlign w:val="bottom"/>
            <w:tcBorders>
              <w:top w:val="single" w:sz="8" w:color="CCEEFF"/>
            </w:tcBorders>
          </w:tcPr>
          <w:p>
            <w:pPr>
              <w:jc w:val="center"/>
              <w:spacing w:after="0" w:line="162" w:lineRule="exact"/>
              <w:rPr>
                <w:sz w:val="20"/>
                <w:szCs w:val="20"/>
                <w:color w:val="auto"/>
              </w:rPr>
            </w:pPr>
            <w:r>
              <w:rPr>
                <w:rFonts w:ascii="Arial" w:cs="Arial" w:eastAsia="Arial" w:hAnsi="Arial"/>
                <w:sz w:val="18"/>
                <w:szCs w:val="18"/>
                <w:color w:val="auto"/>
                <w:w w:val="93"/>
              </w:rPr>
              <w:t>126</w:t>
            </w:r>
          </w:p>
        </w:tc>
        <w:tc>
          <w:tcPr>
            <w:tcW w:w="160" w:type="dxa"/>
            <w:vAlign w:val="bottom"/>
            <w:tcBorders>
              <w:top w:val="single" w:sz="8" w:color="CCEEFF"/>
            </w:tcBorders>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top w:val="single" w:sz="8" w:color="0000FF"/>
              <w:bottom w:val="single" w:sz="8" w:color="0000FF"/>
            </w:tcBorders>
            <w:gridSpan w:val="3"/>
            <w:shd w:val="clear" w:color="auto" w:fill="CCEEFF"/>
          </w:tcPr>
          <w:p>
            <w:pPr>
              <w:spacing w:after="0" w:line="162" w:lineRule="exact"/>
              <w:rPr>
                <w:rFonts w:ascii="Arial" w:cs="Arial" w:eastAsia="Arial" w:hAnsi="Arial"/>
                <w:sz w:val="18"/>
                <w:szCs w:val="18"/>
                <w:b w:val="1"/>
                <w:bCs w:val="1"/>
                <w:color w:val="0000FF"/>
                <w:w w:val="98"/>
              </w:rPr>
            </w:pPr>
            <w:hyperlink w:anchor="page127">
              <w:r>
                <w:rPr>
                  <w:rFonts w:ascii="Arial" w:cs="Arial" w:eastAsia="Arial" w:hAnsi="Arial"/>
                  <w:sz w:val="18"/>
                  <w:szCs w:val="18"/>
                  <w:b w:val="1"/>
                  <w:bCs w:val="1"/>
                  <w:color w:val="0000FF"/>
                  <w:w w:val="98"/>
                </w:rPr>
                <w:t>PART IV</w:t>
              </w:r>
            </w:hyperlink>
          </w:p>
        </w:tc>
        <w:tc>
          <w:tcPr>
            <w:tcW w:w="10020" w:type="dxa"/>
            <w:vAlign w:val="bottom"/>
            <w:tcBorders>
              <w:bottom w:val="single" w:sz="8" w:color="CCEEFF"/>
            </w:tcBorders>
            <w:gridSpan w:val="28"/>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3"/>
              </w:rPr>
              <w:t>127</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640" w:type="dxa"/>
            <w:vAlign w:val="bottom"/>
            <w:tcBorders>
              <w:bottom w:val="single" w:sz="8" w:color="0000FF"/>
            </w:tcBorders>
            <w:gridSpan w:val="15"/>
          </w:tcPr>
          <w:p>
            <w:pPr>
              <w:spacing w:after="0" w:line="162" w:lineRule="exact"/>
              <w:rPr>
                <w:rFonts w:ascii="Arial" w:cs="Arial" w:eastAsia="Arial" w:hAnsi="Arial"/>
                <w:sz w:val="18"/>
                <w:szCs w:val="18"/>
                <w:color w:val="0000FF"/>
                <w:w w:val="90"/>
              </w:rPr>
            </w:pPr>
            <w:hyperlink w:anchor="page127">
              <w:r>
                <w:rPr>
                  <w:rFonts w:ascii="Arial" w:cs="Arial" w:eastAsia="Arial" w:hAnsi="Arial"/>
                  <w:sz w:val="18"/>
                  <w:szCs w:val="18"/>
                  <w:color w:val="0000FF"/>
                  <w:w w:val="90"/>
                </w:rPr>
                <w:t>Item 15 – Exhibits, Financial Statement Schedules</w:t>
              </w:r>
            </w:hyperlink>
          </w:p>
        </w:tc>
        <w:tc>
          <w:tcPr>
            <w:tcW w:w="7100" w:type="dxa"/>
            <w:vAlign w:val="bottom"/>
            <w:gridSpan w:val="16"/>
          </w:tcPr>
          <w:p>
            <w:pPr>
              <w:spacing w:after="0"/>
              <w:rPr>
                <w:sz w:val="14"/>
                <w:szCs w:val="14"/>
                <w:color w:val="auto"/>
              </w:rPr>
            </w:pPr>
          </w:p>
        </w:tc>
        <w:tc>
          <w:tcPr>
            <w:tcW w:w="320" w:type="dxa"/>
            <w:vAlign w:val="bottom"/>
          </w:tcPr>
          <w:p>
            <w:pPr>
              <w:jc w:val="center"/>
              <w:spacing w:after="0" w:line="162" w:lineRule="exact"/>
              <w:rPr>
                <w:sz w:val="20"/>
                <w:szCs w:val="20"/>
                <w:color w:val="auto"/>
              </w:rPr>
            </w:pPr>
            <w:r>
              <w:rPr>
                <w:rFonts w:ascii="Arial" w:cs="Arial" w:eastAsia="Arial" w:hAnsi="Arial"/>
                <w:sz w:val="18"/>
                <w:szCs w:val="18"/>
                <w:color w:val="auto"/>
                <w:w w:val="93"/>
              </w:rPr>
              <w:t>127</w:t>
            </w:r>
          </w:p>
        </w:tc>
        <w:tc>
          <w:tcPr>
            <w:tcW w:w="160" w:type="dxa"/>
            <w:vAlign w:val="bottom"/>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0000FF"/>
            </w:tcBorders>
            <w:gridSpan w:val="4"/>
            <w:shd w:val="clear" w:color="auto" w:fill="CCEEFF"/>
          </w:tcPr>
          <w:p>
            <w:pPr>
              <w:spacing w:after="0" w:line="162" w:lineRule="exact"/>
              <w:rPr>
                <w:rFonts w:ascii="Arial" w:cs="Arial" w:eastAsia="Arial" w:hAnsi="Arial"/>
                <w:sz w:val="18"/>
                <w:szCs w:val="18"/>
                <w:b w:val="1"/>
                <w:bCs w:val="1"/>
                <w:color w:val="0000FF"/>
                <w:w w:val="96"/>
              </w:rPr>
            </w:pPr>
            <w:hyperlink w:anchor="page131">
              <w:r>
                <w:rPr>
                  <w:rFonts w:ascii="Arial" w:cs="Arial" w:eastAsia="Arial" w:hAnsi="Arial"/>
                  <w:sz w:val="18"/>
                  <w:szCs w:val="18"/>
                  <w:b w:val="1"/>
                  <w:bCs w:val="1"/>
                  <w:color w:val="0000FF"/>
                  <w:w w:val="96"/>
                </w:rPr>
                <w:t>SIGNATURES</w:t>
              </w:r>
            </w:hyperlink>
          </w:p>
        </w:tc>
        <w:tc>
          <w:tcPr>
            <w:tcW w:w="9580" w:type="dxa"/>
            <w:vAlign w:val="bottom"/>
            <w:tcBorders>
              <w:bottom w:val="single" w:sz="8" w:color="CCEEFF"/>
            </w:tcBorders>
            <w:gridSpan w:val="27"/>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93"/>
              </w:rPr>
              <w:t>131</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770"/>
        </w:trPr>
        <w:tc>
          <w:tcPr>
            <w:tcW w:w="5900" w:type="dxa"/>
            <w:vAlign w:val="bottom"/>
            <w:gridSpan w:val="22"/>
          </w:tcPr>
          <w:p>
            <w:pPr>
              <w:jc w:val="center"/>
              <w:ind w:left="5270"/>
              <w:spacing w:after="0"/>
              <w:rPr>
                <w:sz w:val="20"/>
                <w:szCs w:val="20"/>
                <w:color w:val="auto"/>
              </w:rPr>
            </w:pPr>
            <w:r>
              <w:rPr>
                <w:rFonts w:ascii="Arial" w:cs="Arial" w:eastAsia="Arial" w:hAnsi="Arial"/>
                <w:sz w:val="18"/>
                <w:szCs w:val="18"/>
                <w:color w:val="auto"/>
                <w:w w:val="93"/>
              </w:rPr>
              <w:t>- 2 -</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8"/>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 w:name="page3"/>
    <w:bookmarkEnd w:id="2"/>
    <w:p>
      <w:pPr>
        <w:ind w:left="140" w:right="120"/>
        <w:spacing w:after="0" w:line="226"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t>The information in this Annual Report on Form 10-K for the year ended December 31, 2020 ("2020 Form 10-K" or “2020 Annual Report”) contains certain forward-looking statements, including statements related to trends in the Company's business. The Company's actual results may differ materially from the results discussed in the “Cautionary Statement Regarding Forward-Looking Statements”. Factors that might cause such a difference include those discussed in "Item 1 – Our Business," "Item 1A – Risk Factors," and "Item 7 – Management's Discussion and Analysis of Financial Condition and Results of Operations" as well as those discussed elsewhere in this 2020 Form 10-K.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PART I</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 –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Reading International, Inc. (“RDI” and collectively with our consolidated subsidiaries and corporate predecessors, our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located in the “Silicon Beach” area of Los Angeles County, at 5995 Sepulveda Blvd, Suite 300, Culver City, California, United States 90230.</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Our corporate website address is </w:t>
      </w:r>
      <w:r>
        <w:rPr>
          <w:rFonts w:ascii="Arial" w:cs="Arial" w:eastAsia="Arial" w:hAnsi="Arial"/>
          <w:sz w:val="17"/>
          <w:szCs w:val="17"/>
          <w:b w:val="1"/>
          <w:bCs w:val="1"/>
          <w:u w:val="single" w:color="auto"/>
          <w:color w:val="auto"/>
        </w:rPr>
        <w:t>www.ReadingRDI.com</w:t>
      </w:r>
      <w:r>
        <w:rPr>
          <w:rFonts w:ascii="Arial" w:cs="Arial" w:eastAsia="Arial" w:hAnsi="Arial"/>
          <w:sz w:val="17"/>
          <w:szCs w:val="17"/>
          <w:color w:val="auto"/>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(the “SEC”) (</w:t>
      </w:r>
      <w:r>
        <w:rPr>
          <w:rFonts w:ascii="Arial" w:cs="Arial" w:eastAsia="Arial" w:hAnsi="Arial"/>
          <w:sz w:val="17"/>
          <w:szCs w:val="17"/>
          <w:u w:val="single" w:color="auto"/>
          <w:color w:val="auto"/>
        </w:rPr>
        <w:t>www.sec.gov</w:t>
      </w:r>
      <w:r>
        <w:rPr>
          <w:rFonts w:ascii="Arial" w:cs="Arial" w:eastAsia="Arial" w:hAnsi="Arial"/>
          <w:sz w:val="17"/>
          <w:szCs w:val="17"/>
          <w:color w:val="auto"/>
        </w:rPr>
        <w:t>). The contents of our Company website are not incorporated into this report. Our corporate governance charters for our Audit and Conflicts Committee and Compensation and Stock Options Committee are available on our website.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DESCRIPTION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Synergistic Diversification and Branding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are a diversified company focused on the development, ownership and operation of entertainment and real property assets in three jurisdictions: (i)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(“U.S.”), (ii) Australia, and (iii) New Zealand. We group our businesses in two operating segments: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Theatrical Motion Picture Exhibition </w:t>
      </w:r>
      <w:r>
        <w:rPr>
          <w:rFonts w:ascii="Arial" w:cs="Arial" w:eastAsia="Arial" w:hAnsi="Arial"/>
          <w:sz w:val="18"/>
          <w:szCs w:val="18"/>
          <w:color w:val="auto"/>
        </w:rPr>
        <w:t>(“Cinema Exhibition”), through our 61 cinemas.</w:t>
      </w:r>
    </w:p>
    <w:p>
      <w:pPr>
        <w:spacing w:after="0" w:line="77" w:lineRule="exact"/>
        <w:rPr>
          <w:sz w:val="20"/>
          <w:szCs w:val="20"/>
          <w:color w:val="auto"/>
        </w:rPr>
      </w:pPr>
    </w:p>
    <w:p>
      <w:pPr>
        <w:ind w:left="660" w:right="100"/>
        <w:spacing w:after="0" w:line="291" w:lineRule="auto"/>
        <w:rPr>
          <w:sz w:val="20"/>
          <w:szCs w:val="20"/>
          <w:color w:val="auto"/>
        </w:rPr>
      </w:pPr>
      <w:r>
        <w:rPr>
          <w:rFonts w:ascii="Arial" w:cs="Arial" w:eastAsia="Arial" w:hAnsi="Arial"/>
          <w:sz w:val="17"/>
          <w:szCs w:val="17"/>
          <w:b w:val="1"/>
          <w:bCs w:val="1"/>
          <w:i w:val="1"/>
          <w:iCs w:val="1"/>
          <w:color w:val="auto"/>
        </w:rPr>
        <w:t>Real Estate</w:t>
      </w:r>
      <w:r>
        <w:rPr>
          <w:rFonts w:ascii="Arial" w:cs="Arial" w:eastAsia="Arial" w:hAnsi="Arial"/>
          <w:sz w:val="17"/>
          <w:szCs w:val="17"/>
          <w:color w:val="auto"/>
        </w:rPr>
        <w:t>, including real estate development and the rental or licensing of retail, commercial and live theatre assets comprised, as of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Report, of approximately 10,308,000 square feet of land and approximately 824,000 square feet of net rentable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COVID-19 Impact, Company Response and Change in Business Strategy</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Like many other companies operating in the outside-the-home segment of the entertainment industry, our results of operations for 2020 were materially adversely impacted by the COVID-19 pandemic. Due to COVID-19, our global cinemas were either (i) ordered to close by government order or (ii) if permitted to operate, suffered from reduced seating capacities and a lack of quality movies as the major studios and smaller film companies either postponed their movies to dates beyond 2020 or moved their movies to the home video market, streaming, or premium video on demand (“PVOD”) platforms. However, with respect to our Company, the adverse impacts of COVID-19 were somewhat buffered and mitigated by our “two business/three country” business strategy: cinemas and real estate in the U.S., Australia and New Zealand. While this strategy has benefited the Company for more than twenty years, it truly proved its worth in 2020 and during the first quarter of 2021.</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been able to maintain our core assets and keep our key personnel in place as we reopen the majority of our cinemas and for when we reopen our live theatres to the public, which is currently estimated to be in the Fall of 2021. Generally speaking, our lenders and landlords continue to work with us, and we have not lost any of our cinemas or other assets to default. Our relationships with our film suppliers continue to be strong.</w:t>
      </w:r>
    </w:p>
    <w:p>
      <w:pPr>
        <w:spacing w:after="0" w:line="13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have now monetized most of our raw land holdings. We sold our land in Manukau, New Zealand for $56.1 million, a $41.0 million gain on sale after costs to sell over its book value of $13.5 million. We sold our interest in our land in Coachella, California for $11.0 million, a $6.3 million gain on sale after costs to sell over its book value of $4.4 million. And, we are pursuing the monetization of other assets. Currently listed for sale are our Auburn Redyard property in Sydney, New South Wales Australia and our Royal George Theatre in Chicago, Illinois. We anticipate leasing back our Reading Cinema at Auburn Redyard.</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Subject to capital availability and assuming a return to normal, we will once again put emphasis on developing and enhancing our real estate holdings, such as our Courtenay Central, Townsville and Newmarket ETCs, our Cinemas 1,2,3 and our Philadelphia Viaduct properties.</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Australia and New Zealand weathered the COVID-19 pandemic better than the U.S. Consequently, we were able to reopen the majority of our cinemas in Australia and New Zealand in June 2020. While all of our cinemas that were able to open during this period suffered from a lack of movies from the major Hollywood studios, we were able to attract audiences in Australia and New Zealand by featuring movies produced locally in those markets and from Asia and Europe. Also, unlike the situation in the U.S., the approach to assistance to business was focused on the preservation of jobs in Australia and New Zealand and did not discriminate against publicly held cinema companies. Though we provided occupancy assistance to many of our third-party tenants, the results of our real estate operations in Australia and New Zealand remained relatively stable. On March 28, 2021, Queensland, Australia announced a 3-day snap lockdown, so two of our sites have been temporarily closed.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Cinema Business</w:t>
      </w:r>
    </w:p>
    <w:p>
      <w:pPr>
        <w:spacing w:after="0" w:line="17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March 2020, as a result of the COVID-19 pandemic, all of our cinemas in the United States, Australia, and New Zealand were temporarily closed by government mandate, ultimately causing a halt to our cinema income. While our cinema operations in Australia and New Zealand were less impacted by closures, with the first of our New Zealand cinemas reopening on May 27, 2020, approximately 65 days after the initial closure, and the first of our Australia cinemas reopening on June 10, approximately 80 days after the initial closure, these cinemas were later closed and reopened a number of times throughout the year as new outbreaks or stay-at-home orders were put in place. Due to government mandates, our Company was not able to reopen any of its U.S. cinema locations until August 21, 2020, approximately 158 days from the initial COVID-19 pandemic closure. However, even in those jurisdictions in which we were permitted to operate, we were (i) subject to density restrictions (which reduced the number of patrons allowed into our cinema auditoriums) and (ii) negatively impacted by decisions of the major Hollywood studios to either postpone the release of their movies to dates beyond 2020 or, as opposed to offering an exclusive theatrical window, move their movies directly or simultaneously to home video or streaming platforms. We were also adversely impacted by the increased costs associated with the enhanced cleaning protocols adopted to combat the COVID-19 virus.</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the date of this Report, 86% of our global cinema circuit had reopened: 79% of our cinemas in the United States, 92% of our cinemas in Australia and 100% of our cinemas in New Zealand (apart from our Reading Cinemas at Courtenay Central, which remains temporarily closed due to seismic concerns).</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However, even in those jurisdictions in which we have now been permitted to operate, we are still subject to some capacity restrictions, Hollywood studio release decisions, and additional protection costs.</w:t>
      </w:r>
    </w:p>
    <w:p>
      <w:pPr>
        <w:spacing w:after="0" w:line="14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Since reopening our cinemas, we are encouraged by our growing cinema admissions in Australia, New Zealand and Hawaii, and we are pleased with the Food &amp; Beverage per caps currently being achieved in those markets. Also, at the time the COVID-19 pandemic hit, we were already taking steps in our circuit to deal with competition from streaming by improving the quality of our cinema offering (luxury recliner seating, presentation screens and premium sound) and improving the quality and range of our Food &amp; Beverage programs.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jc w:val="both"/>
        <w:spacing w:after="0" w:line="235" w:lineRule="auto"/>
        <w:rPr>
          <w:sz w:val="20"/>
          <w:szCs w:val="20"/>
          <w:color w:val="auto"/>
        </w:rPr>
      </w:pPr>
      <w:r>
        <w:rPr>
          <w:rFonts w:ascii="Arial" w:cs="Arial" w:eastAsia="Arial" w:hAnsi="Arial"/>
          <w:sz w:val="18"/>
          <w:szCs w:val="18"/>
          <w:color w:val="auto"/>
        </w:rPr>
        <w:t>With the development of and distribution of a variety of vaccines, and a government focus on reopening the social aspects of our lives, we anticipate that the impact of the COVID-19 pandemic on our results of operation will be a passing event, and that we will ultimately return to results that resemble those of the pre-pandemic era.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Real Estate Business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majority of our tenants in our Australia and all of our tenants in our New Zealand real estate businesses are currently open for trading. We have, to varying degrees, and as required by regulation, supported certain tenants with rent abatements and deferrals, and may continue to do so until we believe that such tenants are in a position to fully perform their obligations despite COVID-19 impacts.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U.S., currently the majority of our real estate income is generated by rental revenue from our live theatres which are licensed to third party producers. While these venues have been closed to public performances, we negotiated payment arrangements with certain producers, and generated limited income from these assets.</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During the COVID-19 pandemic we substantially completed construction of our 44 Union Square redevelopment project in Manhattan and obtained and have subsequently, maintained a core and shell temporary certificate of occupancy. The property is now ready for tenant occupancy, however, COVID-19 has severely constrained leasing activity in Manhattan. Unfortunately, this disruption to the leasing market impacted our ability to renew our 44 Union Square construction loan or to obtain a new loan on acceptable terms. As a result, we elected to refinance on a short-term bridge basis using internally generated funds through a New Zealand affiliate. We are currently working on a refinancing of the property and, while no assurances can be given, based on current facts and circumstances, we are optimistic that the refinancing, which will free up substantial capital, can be finalized in the second quarter of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approach to COVID-19 pandemic related Issues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response to the COVID-19 pandemic, we took a number of significant steps to preserve our liquidity and we modified our business strategy to ensure our long-term viability in a way that would not have a dilutive impact on our stockholders or overleverage our Company. These actions, included, without limitation, the following:</w:t>
      </w:r>
    </w:p>
    <w:p>
      <w:pPr>
        <w:spacing w:after="0" w:line="148" w:lineRule="exact"/>
        <w:rPr>
          <w:sz w:val="20"/>
          <w:szCs w:val="20"/>
          <w:color w:val="auto"/>
        </w:rPr>
      </w:pPr>
    </w:p>
    <w:p>
      <w:pPr>
        <w:jc w:val="both"/>
        <w:ind w:left="660"/>
        <w:spacing w:after="0" w:line="228" w:lineRule="auto"/>
        <w:rPr>
          <w:sz w:val="20"/>
          <w:szCs w:val="20"/>
          <w:color w:val="auto"/>
        </w:rPr>
      </w:pPr>
      <w:r>
        <w:rPr>
          <w:rFonts w:ascii="Arial" w:cs="Arial" w:eastAsia="Arial" w:hAnsi="Arial"/>
          <w:sz w:val="18"/>
          <w:szCs w:val="18"/>
          <w:color w:val="auto"/>
        </w:rPr>
        <w:t>To address the venue shutdowns in the U.S., we terminated most of our hourly U.S. cinema and live theatre level staff. We regret being forced into this position, but we were not eligible for Paycheck Protection Program (“PPP”) funding.</w:t>
      </w:r>
    </w:p>
    <w:p>
      <w:pPr>
        <w:spacing w:after="0" w:line="1" w:lineRule="exact"/>
        <w:rPr>
          <w:sz w:val="20"/>
          <w:szCs w:val="20"/>
          <w:color w:val="auto"/>
        </w:rPr>
      </w:pPr>
    </w:p>
    <w:p>
      <w:pPr>
        <w:jc w:val="both"/>
        <w:ind w:left="660"/>
        <w:spacing w:after="0" w:line="232" w:lineRule="auto"/>
        <w:rPr>
          <w:sz w:val="20"/>
          <w:szCs w:val="20"/>
          <w:color w:val="auto"/>
        </w:rPr>
      </w:pPr>
      <w:r>
        <w:rPr>
          <w:rFonts w:ascii="Arial" w:cs="Arial" w:eastAsia="Arial" w:hAnsi="Arial"/>
          <w:sz w:val="17"/>
          <w:szCs w:val="17"/>
          <w:color w:val="auto"/>
        </w:rPr>
        <w:t>In Australia and New Zealand, we were able to keep our cinema level staff substantially in place, due to governmental assistance provided to our employees for which we did qualify (i.e. JobKeeper Payment program in Australia and the Wage Subsidy Scheme in New Zealand).</w:t>
      </w:r>
    </w:p>
    <w:p>
      <w:pPr>
        <w:ind w:left="660"/>
        <w:spacing w:after="0" w:line="219" w:lineRule="auto"/>
        <w:rPr>
          <w:sz w:val="20"/>
          <w:szCs w:val="20"/>
          <w:color w:val="auto"/>
        </w:rPr>
      </w:pPr>
      <w:r>
        <w:rPr>
          <w:rFonts w:ascii="Arial" w:cs="Arial" w:eastAsia="Arial" w:hAnsi="Arial"/>
          <w:sz w:val="18"/>
          <w:szCs w:val="18"/>
          <w:color w:val="auto"/>
        </w:rPr>
        <w:t>Across our global cinema circuit, in 2020 we negotiated abatement and/or deferral arrangements with substantially all of our cinema landlords. During the first quarter of 2021, and in light of our continuing liquidity challenges, and in order to establish our long-term viability, we have continued to negotiate with our landlords to reach accommodations to abate or defer a substantial portion of our rent obligations. We suspended non-essential operating expenditures.</w:t>
      </w:r>
    </w:p>
    <w:p>
      <w:pPr>
        <w:spacing w:after="0" w:line="1"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Where possible, we reduced utilities and essential operating expenditures to minimum levels necessary while our venues were closed or operating on a limited basis.</w:t>
      </w:r>
    </w:p>
    <w:p>
      <w:pPr>
        <w:ind w:left="660"/>
        <w:spacing w:after="0" w:line="219" w:lineRule="auto"/>
        <w:rPr>
          <w:sz w:val="20"/>
          <w:szCs w:val="20"/>
          <w:color w:val="auto"/>
        </w:rPr>
      </w:pPr>
      <w:r>
        <w:rPr>
          <w:rFonts w:ascii="Arial" w:cs="Arial" w:eastAsia="Arial" w:hAnsi="Arial"/>
          <w:sz w:val="18"/>
          <w:szCs w:val="18"/>
          <w:color w:val="auto"/>
        </w:rPr>
        <w:t>We terminated or deferred all non-essential capital expenditures to minimum levels.</w:t>
      </w:r>
    </w:p>
    <w:p>
      <w:pPr>
        <w:ind w:left="660"/>
        <w:spacing w:after="0" w:line="219" w:lineRule="auto"/>
        <w:rPr>
          <w:sz w:val="20"/>
          <w:szCs w:val="20"/>
          <w:color w:val="auto"/>
        </w:rPr>
      </w:pPr>
      <w:r>
        <w:rPr>
          <w:rFonts w:ascii="Arial" w:cs="Arial" w:eastAsia="Arial" w:hAnsi="Arial"/>
          <w:sz w:val="18"/>
          <w:szCs w:val="18"/>
          <w:color w:val="auto"/>
        </w:rPr>
        <w:t>We introduced an improved cash management process, with enhanced Treasury funding approvals.</w:t>
      </w:r>
    </w:p>
    <w:p>
      <w:pPr>
        <w:spacing w:after="0" w:line="1" w:lineRule="exact"/>
        <w:rPr>
          <w:sz w:val="20"/>
          <w:szCs w:val="20"/>
          <w:color w:val="auto"/>
        </w:rPr>
      </w:pPr>
    </w:p>
    <w:p>
      <w:pPr>
        <w:jc w:val="both"/>
        <w:ind w:left="660" w:right="20"/>
        <w:spacing w:after="0" w:line="219" w:lineRule="auto"/>
        <w:rPr>
          <w:sz w:val="20"/>
          <w:szCs w:val="20"/>
          <w:color w:val="auto"/>
        </w:rPr>
      </w:pPr>
      <w:r>
        <w:rPr>
          <w:rFonts w:ascii="Arial" w:cs="Arial" w:eastAsia="Arial" w:hAnsi="Arial"/>
          <w:sz w:val="18"/>
          <w:szCs w:val="18"/>
          <w:color w:val="auto"/>
        </w:rPr>
        <w:t>We entered discussions with our lenders in the U.S., Australia and New Zealand and obtained waivers of certain financial tests and/or suspensions of various financial covenants.</w:t>
      </w:r>
    </w:p>
    <w:p>
      <w:pPr>
        <w:jc w:val="both"/>
        <w:ind w:left="660"/>
        <w:spacing w:after="0" w:line="219" w:lineRule="auto"/>
        <w:rPr>
          <w:sz w:val="20"/>
          <w:szCs w:val="20"/>
          <w:color w:val="auto"/>
        </w:rPr>
      </w:pPr>
      <w:r>
        <w:rPr>
          <w:rFonts w:ascii="Arial" w:cs="Arial" w:eastAsia="Arial" w:hAnsi="Arial"/>
          <w:sz w:val="18"/>
          <w:szCs w:val="18"/>
          <w:color w:val="auto"/>
        </w:rPr>
        <w:t>We upgraded our cinema air filtration systems, installed partitions, and equipped our employees with personal protection equipment. And, we have adopted enhanced cleaning protocols.</w:t>
      </w:r>
    </w:p>
    <w:p>
      <w:pPr>
        <w:jc w:val="both"/>
        <w:ind w:left="660"/>
        <w:spacing w:after="0" w:line="219" w:lineRule="auto"/>
        <w:rPr>
          <w:sz w:val="20"/>
          <w:szCs w:val="20"/>
          <w:color w:val="auto"/>
        </w:rPr>
      </w:pPr>
      <w:r>
        <w:rPr>
          <w:rFonts w:ascii="Arial" w:cs="Arial" w:eastAsia="Arial" w:hAnsi="Arial"/>
          <w:sz w:val="18"/>
          <w:szCs w:val="18"/>
          <w:color w:val="auto"/>
        </w:rPr>
        <w:t>We upgraded our mobile platforms to allow our cinema guests to (i) reserve and buy tickets in a way that automatically creates social distancing and (ii) in the U.S., order Food &amp; Beverage online.</w:t>
      </w:r>
    </w:p>
    <w:p>
      <w:pPr>
        <w:jc w:val="both"/>
        <w:ind w:left="660"/>
        <w:spacing w:after="0" w:line="233" w:lineRule="auto"/>
        <w:rPr>
          <w:sz w:val="20"/>
          <w:szCs w:val="20"/>
          <w:color w:val="auto"/>
        </w:rPr>
      </w:pPr>
      <w:r>
        <w:rPr>
          <w:rFonts w:ascii="Arial" w:cs="Arial" w:eastAsia="Arial" w:hAnsi="Arial"/>
          <w:sz w:val="18"/>
          <w:szCs w:val="18"/>
          <w:color w:val="auto"/>
        </w:rPr>
        <w:t>As discussed in greater detail below, we monetized our principal non-income producing raw land holdings and have listed for sale certain of our operating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From a corporate G&amp;A perspective, we:</w:t>
      </w:r>
    </w:p>
    <w:p>
      <w:pPr>
        <w:spacing w:after="0" w:line="171" w:lineRule="exact"/>
        <w:rPr>
          <w:sz w:val="20"/>
          <w:szCs w:val="20"/>
          <w:color w:val="auto"/>
        </w:rPr>
      </w:pPr>
    </w:p>
    <w:p>
      <w:pPr>
        <w:ind w:left="660"/>
        <w:spacing w:after="0" w:line="231" w:lineRule="auto"/>
        <w:rPr>
          <w:sz w:val="20"/>
          <w:szCs w:val="20"/>
          <w:color w:val="auto"/>
        </w:rPr>
      </w:pPr>
      <w:r>
        <w:rPr>
          <w:rFonts w:ascii="Arial" w:cs="Arial" w:eastAsia="Arial" w:hAnsi="Arial"/>
          <w:sz w:val="18"/>
          <w:szCs w:val="18"/>
          <w:color w:val="auto"/>
        </w:rPr>
        <w:t>Implemented measures to reduce corporate-level employment costs, including (i) reducing the salaries of our CEO and Executive Vice President – Real Estate Management and Development – NYC, (ii) deferring Company 401(k) matching contributions, (iii) eliminating cash bonuses for senior management for 2019 and 2020, and (iv) eliminating certain corporate-level positions to reduce our overall G&amp;A expense. Suspended travel and entertainment expenses.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 w:name="page6"/>
    <w:bookmarkEnd w:id="5"/>
    <w:p>
      <w:pPr>
        <w:jc w:val="both"/>
        <w:ind w:left="660"/>
        <w:spacing w:after="0" w:line="266" w:lineRule="auto"/>
        <w:rPr>
          <w:sz w:val="20"/>
          <w:szCs w:val="20"/>
          <w:color w:val="auto"/>
        </w:rPr>
      </w:pPr>
      <w:r>
        <w:rPr>
          <w:rFonts w:ascii="Arial" w:cs="Arial" w:eastAsia="Arial" w:hAnsi="Arial"/>
          <w:sz w:val="16"/>
          <w:szCs w:val="16"/>
          <w:color w:val="auto"/>
        </w:rPr>
        <w:t>Took advantage, in the U.S. and internationally where we were eligible, of available forms of governmental assistance including but not limited to payroll subsidies and tax benefits. We will continue to seek any available potential benefits under future government programs for which we qualify domestically and internationally. In the U.S., because of our status as a public company, we are not eligible for funding under the Shuttered Venue Operators Grant program or the PPP. We believe that our ineligibility on this basis violates the spirit of the U.S. legislation that was passed.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 addition, during the COVID-19 pandemic period, we worked to develop new streams of income: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launched our new art focused streaming service, Angelika Anywhere.</w:t>
      </w:r>
    </w:p>
    <w:p>
      <w:pPr>
        <w:jc w:val="both"/>
        <w:ind w:left="660"/>
        <w:spacing w:after="0" w:line="219" w:lineRule="auto"/>
        <w:rPr>
          <w:sz w:val="20"/>
          <w:szCs w:val="20"/>
          <w:color w:val="auto"/>
        </w:rPr>
      </w:pPr>
      <w:r>
        <w:rPr>
          <w:rFonts w:ascii="Arial" w:cs="Arial" w:eastAsia="Arial" w:hAnsi="Arial"/>
          <w:sz w:val="18"/>
          <w:szCs w:val="18"/>
          <w:color w:val="auto"/>
        </w:rPr>
        <w:t>In the U.S., we developed special programs to allow socially distanced friends &amp; family screenings, and access to our screens for gaming purposes.</w:t>
      </w:r>
    </w:p>
    <w:p>
      <w:pPr>
        <w:jc w:val="both"/>
        <w:ind w:left="660" w:right="20"/>
        <w:spacing w:after="0" w:line="233" w:lineRule="auto"/>
        <w:rPr>
          <w:sz w:val="20"/>
          <w:szCs w:val="20"/>
          <w:color w:val="auto"/>
        </w:rPr>
      </w:pPr>
      <w:r>
        <w:rPr>
          <w:rFonts w:ascii="Arial" w:cs="Arial" w:eastAsia="Arial" w:hAnsi="Arial"/>
          <w:sz w:val="18"/>
          <w:szCs w:val="18"/>
          <w:color w:val="auto"/>
        </w:rPr>
        <w:t>We developed a Cinema Eats at Home program whereby guests can enjoy cinema popcorn, food or treats at home through a food delivery service (i.e. Uber Eats) or pick up.</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Historically, we have used the cash flow from our cinemas to build our real estate asset base. But, one of the benefits of diversification is, that when the need arises, we can reverse that flow. In 2020 and into the first quarter of 2021, we looked to our real estate assets to assist supporting the rest of our Company’s operations and took steps to monetize certain non-core real estate assets. These are assets which have not suffered a decline in value due to the COVID-19 pandemic and command values substantially in excess of their Net Book Value. More specifically:</w:t>
      </w:r>
    </w:p>
    <w:p>
      <w:pPr>
        <w:spacing w:after="0" w:line="144" w:lineRule="exact"/>
        <w:rPr>
          <w:sz w:val="20"/>
          <w:szCs w:val="20"/>
          <w:color w:val="auto"/>
        </w:rPr>
      </w:pPr>
    </w:p>
    <w:p>
      <w:pPr>
        <w:jc w:val="both"/>
        <w:ind w:left="660"/>
        <w:spacing w:after="0" w:line="225" w:lineRule="auto"/>
        <w:rPr>
          <w:sz w:val="20"/>
          <w:szCs w:val="20"/>
          <w:color w:val="auto"/>
        </w:rPr>
      </w:pPr>
      <w:r>
        <w:rPr>
          <w:rFonts w:ascii="Arial" w:cs="Arial" w:eastAsia="Arial" w:hAnsi="Arial"/>
          <w:sz w:val="18"/>
          <w:szCs w:val="18"/>
          <w:color w:val="auto"/>
        </w:rPr>
        <w:t>On March 4, 2021, we sold our two industrial properties adjacent to the Auckland Airport in Manukau/Wiri in New Zealand, representing 70.4 acres, for NZ $77.2 million (US$56.1 million) (recognizing a gain on sale after costs to sell of NZ$56.3 million (US$41.0 million) over our NZ$18.7 million (US$13.5 million) Net Book Value). As raw land this asset produced no operating income.</w:t>
      </w:r>
    </w:p>
    <w:p>
      <w:pPr>
        <w:spacing w:after="0" w:line="1" w:lineRule="exact"/>
        <w:rPr>
          <w:sz w:val="20"/>
          <w:szCs w:val="20"/>
          <w:color w:val="auto"/>
        </w:rPr>
      </w:pPr>
    </w:p>
    <w:p>
      <w:pPr>
        <w:jc w:val="both"/>
        <w:ind w:left="660" w:right="20"/>
        <w:spacing w:after="0" w:line="219" w:lineRule="auto"/>
        <w:rPr>
          <w:sz w:val="20"/>
          <w:szCs w:val="20"/>
          <w:color w:val="auto"/>
        </w:rPr>
      </w:pPr>
      <w:r>
        <w:rPr>
          <w:rFonts w:ascii="Arial" w:cs="Arial" w:eastAsia="Arial" w:hAnsi="Arial"/>
          <w:sz w:val="18"/>
          <w:szCs w:val="18"/>
          <w:color w:val="auto"/>
        </w:rPr>
        <w:t>On March 5, 2021, we sold our approximately 202-acre raw land holdings in Coachella, California for $11.0 million (recognizing a gain on sale after costs to sell of $6.3 million over our $4.4 million Net Book Value). As a 50% member in Shadow View Land &amp; Farming LLC, the Company received 50% of the sale proceeds. As raw land, this asset produced no operating income.</w:t>
      </w:r>
    </w:p>
    <w:p>
      <w:pPr>
        <w:jc w:val="both"/>
        <w:ind w:left="660"/>
        <w:spacing w:after="0" w:line="219" w:lineRule="auto"/>
        <w:rPr>
          <w:sz w:val="20"/>
          <w:szCs w:val="20"/>
          <w:color w:val="auto"/>
        </w:rPr>
      </w:pPr>
      <w:r>
        <w:rPr>
          <w:rFonts w:ascii="Arial" w:cs="Arial" w:eastAsia="Arial" w:hAnsi="Arial"/>
          <w:sz w:val="18"/>
          <w:szCs w:val="18"/>
          <w:color w:val="auto"/>
        </w:rPr>
        <w:t>In January 2021, we listed for sale our Auburn Redyard Centre (including the Telstra building and the 114,000 square feet of undeveloped land) located in Auburn, a growing suburb of Sydney in New South Wales. The Net Book Value of that property is AU$37.7 million (US$29.2 million). It is our current intention to lease back the Reading Cinema at Auburn Redyard.</w:t>
      </w:r>
    </w:p>
    <w:p>
      <w:pPr>
        <w:jc w:val="both"/>
        <w:ind w:left="660"/>
        <w:spacing w:after="0" w:line="233" w:lineRule="auto"/>
        <w:rPr>
          <w:sz w:val="20"/>
          <w:szCs w:val="20"/>
          <w:color w:val="auto"/>
        </w:rPr>
      </w:pPr>
      <w:r>
        <w:rPr>
          <w:rFonts w:ascii="Arial" w:cs="Arial" w:eastAsia="Arial" w:hAnsi="Arial"/>
          <w:sz w:val="18"/>
          <w:szCs w:val="18"/>
          <w:color w:val="auto"/>
        </w:rPr>
        <w:t>In February 2021, we listed our Royal George Theatre property in Chicago for sale. We anticipate receiving expressions of interest by the end of April 2021. The Net Book Value of that property is $2.1 million.</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arriving at the determination to rely upon certain of our non-core real estate assets to bridge this gap in cinema revenues, we considered a variety of alternatives, including the issuance of additional common stock and the issuing of high interest rate junk debt. We determined that it would be in the best interests of our Company and our stockholders generally not to dilute equity by issuing stock in the middle of an unprecedented pandemic and not to mortgage our future with high interest rate debt. Accordingly, we are taking this opportunity to cull our real estate holdings and monetize certain assets, and which are not subject to distressed market conditions or fire sale pricing.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COMMERCIAL BRANDS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various brands under which we organize our business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87"/>
              </w:rPr>
              <w:t>Business Segment /</w:t>
            </w:r>
          </w:p>
        </w:tc>
        <w:tc>
          <w:tcPr>
            <w:tcW w:w="2720" w:type="dxa"/>
            <w:vAlign w:val="bottom"/>
            <w:tcBorders>
              <w:top w:val="single" w:sz="8" w:color="auto"/>
            </w:tcBorders>
            <w:vMerge w:val="restart"/>
          </w:tcPr>
          <w:p>
            <w:pPr>
              <w:ind w:left="720"/>
              <w:spacing w:after="0"/>
              <w:rPr>
                <w:sz w:val="20"/>
                <w:szCs w:val="20"/>
                <w:color w:val="auto"/>
              </w:rPr>
            </w:pPr>
            <w:r>
              <w:rPr>
                <w:rFonts w:ascii="Arial" w:cs="Arial" w:eastAsia="Arial" w:hAnsi="Arial"/>
                <w:sz w:val="14"/>
                <w:szCs w:val="14"/>
                <w:b w:val="1"/>
                <w:bCs w:val="1"/>
                <w:color w:val="auto"/>
              </w:rPr>
              <w:t>Our Commercial Brands</w:t>
            </w:r>
          </w:p>
        </w:tc>
        <w:tc>
          <w:tcPr>
            <w:tcW w:w="1380" w:type="dxa"/>
            <w:vAlign w:val="bottom"/>
            <w:tcBorders>
              <w:top w:val="single" w:sz="8" w:color="auto"/>
            </w:tcBorders>
            <w:vMerge w:val="restart"/>
          </w:tcPr>
          <w:p>
            <w:pPr>
              <w:jc w:val="center"/>
              <w:ind w:left="308"/>
              <w:spacing w:after="0"/>
              <w:rPr>
                <w:sz w:val="20"/>
                <w:szCs w:val="20"/>
                <w:color w:val="auto"/>
              </w:rPr>
            </w:pPr>
            <w:r>
              <w:rPr>
                <w:rFonts w:ascii="Arial" w:cs="Arial" w:eastAsia="Arial" w:hAnsi="Arial"/>
                <w:sz w:val="14"/>
                <w:szCs w:val="14"/>
                <w:b w:val="1"/>
                <w:bCs w:val="1"/>
                <w:color w:val="auto"/>
                <w:w w:val="96"/>
              </w:rPr>
              <w:t>Country</w:t>
            </w:r>
          </w:p>
        </w:tc>
        <w:tc>
          <w:tcPr>
            <w:tcW w:w="4260" w:type="dxa"/>
            <w:vAlign w:val="bottom"/>
            <w:tcBorders>
              <w:top w:val="single" w:sz="8" w:color="auto"/>
            </w:tcBorders>
            <w:gridSpan w:val="2"/>
            <w:vMerge w:val="restart"/>
          </w:tcPr>
          <w:p>
            <w:pPr>
              <w:ind w:left="17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8"/>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Website Link</w:t>
            </w:r>
          </w:p>
        </w:tc>
        <w:tc>
          <w:tcPr>
            <w:tcW w:w="0" w:type="dxa"/>
            <w:vAlign w:val="bottom"/>
          </w:tcPr>
          <w:p>
            <w:pPr>
              <w:spacing w:after="0"/>
              <w:rPr>
                <w:sz w:val="1"/>
                <w:szCs w:val="1"/>
                <w:color w:val="auto"/>
              </w:rPr>
            </w:pPr>
          </w:p>
        </w:tc>
      </w:tr>
      <w:tr>
        <w:trPr>
          <w:trHeight w:val="105"/>
        </w:trPr>
        <w:tc>
          <w:tcPr>
            <w:tcW w:w="1200" w:type="dxa"/>
            <w:vAlign w:val="bottom"/>
            <w:vMerge w:val="restart"/>
          </w:tcPr>
          <w:p>
            <w:pPr>
              <w:ind w:left="480"/>
              <w:spacing w:after="0" w:line="149" w:lineRule="exact"/>
              <w:rPr>
                <w:sz w:val="20"/>
                <w:szCs w:val="20"/>
                <w:color w:val="auto"/>
              </w:rPr>
            </w:pPr>
            <w:r>
              <w:rPr>
                <w:rFonts w:ascii="Arial" w:cs="Arial" w:eastAsia="Arial" w:hAnsi="Arial"/>
                <w:sz w:val="14"/>
                <w:szCs w:val="14"/>
                <w:b w:val="1"/>
                <w:bCs w:val="1"/>
                <w:color w:val="auto"/>
              </w:rPr>
              <w:t>Unit</w:t>
            </w:r>
          </w:p>
        </w:tc>
        <w:tc>
          <w:tcPr>
            <w:tcW w:w="27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4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200" w:type="dxa"/>
            <w:vAlign w:val="bottom"/>
            <w:vMerge w:val="continue"/>
          </w:tcPr>
          <w:p>
            <w:pPr>
              <w:spacing w:after="0"/>
              <w:rPr>
                <w:sz w:val="3"/>
                <w:szCs w:val="3"/>
                <w:color w:val="auto"/>
              </w:rPr>
            </w:pPr>
          </w:p>
        </w:tc>
        <w:tc>
          <w:tcPr>
            <w:tcW w:w="27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200" w:type="dxa"/>
            <w:vAlign w:val="bottom"/>
            <w:vMerge w:val="restart"/>
          </w:tcPr>
          <w:p>
            <w:pPr>
              <w:ind w:left="20"/>
              <w:spacing w:after="0" w:line="158" w:lineRule="exact"/>
              <w:rPr>
                <w:sz w:val="20"/>
                <w:szCs w:val="20"/>
                <w:color w:val="auto"/>
              </w:rPr>
            </w:pPr>
            <w:r>
              <w:rPr>
                <w:rFonts w:ascii="Arial" w:cs="Arial" w:eastAsia="Arial" w:hAnsi="Arial"/>
                <w:sz w:val="14"/>
                <w:szCs w:val="14"/>
                <w:b w:val="1"/>
                <w:bCs w:val="1"/>
                <w:color w:val="auto"/>
                <w:w w:val="94"/>
              </w:rPr>
              <w:t>Cinema Exhibition</w:t>
            </w:r>
          </w:p>
        </w:tc>
        <w:tc>
          <w:tcPr>
            <w:tcW w:w="2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2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260" w:type="dxa"/>
            <w:vAlign w:val="bottom"/>
            <w:gridSpan w:val="2"/>
          </w:tcPr>
          <w:p>
            <w:pPr>
              <w:ind w:left="140"/>
              <w:spacing w:after="0" w:line="115" w:lineRule="exact"/>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auto"/>
              </w:rPr>
              <w:t>Reading Cinemas</w:t>
            </w:r>
            <w:r>
              <w:rPr>
                <w:rFonts w:ascii="Arial" w:cs="Arial" w:eastAsia="Arial" w:hAnsi="Arial"/>
                <w:sz w:val="13"/>
                <w:szCs w:val="13"/>
                <w:color w:val="auto"/>
              </w:rPr>
              <w:t xml:space="preserve"> tradename is derived from our over 185-year</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20"/>
              <w:spacing w:after="0"/>
              <w:rPr>
                <w:sz w:val="20"/>
                <w:szCs w:val="20"/>
                <w:color w:val="auto"/>
              </w:rPr>
            </w:pPr>
            <w:r>
              <w:rPr>
                <w:rFonts w:ascii="Arial" w:cs="Arial" w:eastAsia="Arial" w:hAnsi="Arial"/>
                <w:sz w:val="14"/>
                <w:szCs w:val="14"/>
                <w:color w:val="auto"/>
              </w:rPr>
              <w:t>/  All Countries</w:t>
            </w:r>
          </w:p>
        </w:tc>
        <w:tc>
          <w:tcPr>
            <w:tcW w:w="2720" w:type="dxa"/>
            <w:vAlign w:val="bottom"/>
          </w:tcPr>
          <w:p>
            <w:pPr>
              <w:spacing w:after="0"/>
              <w:rPr>
                <w:sz w:val="14"/>
                <w:szCs w:val="14"/>
                <w:color w:val="auto"/>
              </w:rPr>
            </w:pPr>
          </w:p>
        </w:tc>
        <w:tc>
          <w:tcPr>
            <w:tcW w:w="1380" w:type="dxa"/>
            <w:vAlign w:val="bottom"/>
          </w:tcPr>
          <w:p>
            <w:pPr>
              <w:jc w:val="center"/>
              <w:ind w:left="268"/>
              <w:spacing w:after="0"/>
              <w:rPr>
                <w:sz w:val="20"/>
                <w:szCs w:val="20"/>
                <w:color w:val="auto"/>
              </w:rPr>
            </w:pPr>
            <w:r>
              <w:rPr>
                <w:rFonts w:ascii="Arial" w:cs="Arial" w:eastAsia="Arial" w:hAnsi="Arial"/>
                <w:sz w:val="14"/>
                <w:szCs w:val="14"/>
                <w:color w:val="auto"/>
                <w:w w:val="90"/>
              </w:rPr>
              <w:t>United States</w:t>
            </w:r>
          </w:p>
        </w:tc>
        <w:tc>
          <w:tcPr>
            <w:tcW w:w="4260" w:type="dxa"/>
            <w:vAlign w:val="bottom"/>
            <w:gridSpan w:val="2"/>
          </w:tcPr>
          <w:p>
            <w:pPr>
              <w:ind w:left="140"/>
              <w:spacing w:after="0" w:line="162" w:lineRule="exact"/>
              <w:rPr>
                <w:sz w:val="20"/>
                <w:szCs w:val="20"/>
                <w:color w:val="auto"/>
              </w:rPr>
            </w:pPr>
            <w:r>
              <w:rPr>
                <w:rFonts w:ascii="Arial" w:cs="Arial" w:eastAsia="Arial" w:hAnsi="Arial"/>
                <w:sz w:val="12"/>
                <w:szCs w:val="12"/>
                <w:color w:val="auto"/>
              </w:rPr>
              <w:t xml:space="preserve">history as the “Reading Railroad” featured on the </w:t>
            </w:r>
            <w:r>
              <w:rPr>
                <w:rFonts w:ascii="Arial" w:cs="Arial" w:eastAsia="Arial" w:hAnsi="Arial"/>
                <w:sz w:val="12"/>
                <w:szCs w:val="12"/>
                <w:i w:val="1"/>
                <w:iCs w:val="1"/>
                <w:color w:val="auto"/>
              </w:rPr>
              <w:t>Monopoly</w:t>
            </w:r>
            <w:r>
              <w:rPr>
                <w:rFonts w:ascii="Arial" w:cs="Arial" w:eastAsia="Arial" w:hAnsi="Arial"/>
                <w:sz w:val="18"/>
                <w:szCs w:val="18"/>
                <w:color w:val="auto"/>
                <w:vertAlign w:val="superscript"/>
              </w:rPr>
              <w:t>®</w:t>
            </w:r>
            <w:r>
              <w:rPr>
                <w:rFonts w:ascii="Arial" w:cs="Arial" w:eastAsia="Arial" w:hAnsi="Arial"/>
                <w:sz w:val="12"/>
                <w:szCs w:val="12"/>
                <w:color w:val="auto"/>
              </w:rPr>
              <w:t xml:space="preserve"> game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0000FF"/>
            </w:tcBorders>
            <w:gridSpan w:val="3"/>
          </w:tcPr>
          <w:p>
            <w:pPr>
              <w:jc w:val="center"/>
              <w:spacing w:after="0" w:line="142" w:lineRule="exact"/>
              <w:rPr>
                <w:sz w:val="20"/>
                <w:szCs w:val="20"/>
                <w:color w:val="auto"/>
              </w:rPr>
            </w:pPr>
            <w:r>
              <w:rPr>
                <w:rFonts w:ascii="Arial" w:cs="Arial" w:eastAsia="Arial" w:hAnsi="Arial"/>
                <w:sz w:val="14"/>
                <w:szCs w:val="14"/>
                <w:color w:val="0000FF"/>
                <w:w w:val="92"/>
              </w:rPr>
              <w:t>Reading Cinemas US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380" w:type="dxa"/>
            <w:vAlign w:val="bottom"/>
          </w:tcPr>
          <w:p>
            <w:pPr>
              <w:jc w:val="center"/>
              <w:ind w:left="308"/>
              <w:spacing w:after="0" w:line="129" w:lineRule="exact"/>
              <w:rPr>
                <w:sz w:val="20"/>
                <w:szCs w:val="20"/>
                <w:color w:val="auto"/>
              </w:rPr>
            </w:pPr>
            <w:r>
              <w:rPr>
                <w:rFonts w:ascii="Arial" w:cs="Arial" w:eastAsia="Arial" w:hAnsi="Arial"/>
                <w:sz w:val="14"/>
                <w:szCs w:val="14"/>
                <w:color w:val="auto"/>
                <w:w w:val="95"/>
              </w:rPr>
              <w:t>Australia</w:t>
            </w:r>
          </w:p>
        </w:tc>
        <w:tc>
          <w:tcPr>
            <w:tcW w:w="4260" w:type="dxa"/>
            <w:vAlign w:val="bottom"/>
            <w:gridSpan w:val="2"/>
          </w:tcPr>
          <w:p>
            <w:pPr>
              <w:ind w:left="140"/>
              <w:spacing w:after="0" w:line="129" w:lineRule="exact"/>
              <w:rPr>
                <w:sz w:val="20"/>
                <w:szCs w:val="20"/>
                <w:color w:val="auto"/>
              </w:rPr>
            </w:pPr>
            <w:r>
              <w:rPr>
                <w:rFonts w:ascii="Arial" w:cs="Arial" w:eastAsia="Arial" w:hAnsi="Arial"/>
                <w:sz w:val="14"/>
                <w:szCs w:val="14"/>
                <w:color w:val="auto"/>
                <w:w w:val="97"/>
              </w:rPr>
              <w:t>board. Under this brand, we deliver beyond-the-home entertainment</w:t>
            </w:r>
          </w:p>
        </w:tc>
        <w:tc>
          <w:tcPr>
            <w:tcW w:w="140" w:type="dxa"/>
            <w:vAlign w:val="bottom"/>
          </w:tcPr>
          <w:p>
            <w:pPr>
              <w:spacing w:after="0"/>
              <w:rPr>
                <w:sz w:val="11"/>
                <w:szCs w:val="11"/>
                <w:color w:val="auto"/>
              </w:rPr>
            </w:pPr>
          </w:p>
        </w:tc>
        <w:tc>
          <w:tcPr>
            <w:tcW w:w="1320" w:type="dxa"/>
            <w:vAlign w:val="bottom"/>
            <w:tcBorders>
              <w:bottom w:val="single" w:sz="8" w:color="0000FF"/>
            </w:tcBorders>
            <w:gridSpan w:val="7"/>
          </w:tcPr>
          <w:p>
            <w:pPr>
              <w:jc w:val="center"/>
              <w:ind w:right="60"/>
              <w:spacing w:after="0" w:line="115" w:lineRule="exact"/>
              <w:rPr>
                <w:sz w:val="20"/>
                <w:szCs w:val="20"/>
                <w:color w:val="auto"/>
              </w:rPr>
            </w:pPr>
            <w:r>
              <w:rPr>
                <w:rFonts w:ascii="Arial" w:cs="Arial" w:eastAsia="Arial" w:hAnsi="Arial"/>
                <w:sz w:val="13"/>
                <w:szCs w:val="13"/>
                <w:color w:val="0000FF"/>
              </w:rPr>
              <w:t>Reading Cinemas AU</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jc w:val="center"/>
              <w:ind w:left="288"/>
              <w:spacing w:after="0" w:line="144" w:lineRule="exact"/>
              <w:rPr>
                <w:sz w:val="20"/>
                <w:szCs w:val="20"/>
                <w:color w:val="auto"/>
              </w:rPr>
            </w:pPr>
            <w:r>
              <w:rPr>
                <w:rFonts w:ascii="Arial" w:cs="Arial" w:eastAsia="Arial" w:hAnsi="Arial"/>
                <w:sz w:val="14"/>
                <w:szCs w:val="14"/>
                <w:color w:val="auto"/>
                <w:w w:val="94"/>
              </w:rPr>
              <w:t>New Zealand</w:t>
            </w:r>
          </w:p>
        </w:tc>
        <w:tc>
          <w:tcPr>
            <w:tcW w:w="4260" w:type="dxa"/>
            <w:vAlign w:val="bottom"/>
            <w:gridSpan w:val="2"/>
          </w:tcPr>
          <w:p>
            <w:pPr>
              <w:ind w:left="140"/>
              <w:spacing w:after="0" w:line="144" w:lineRule="exact"/>
              <w:rPr>
                <w:sz w:val="20"/>
                <w:szCs w:val="20"/>
                <w:color w:val="auto"/>
              </w:rPr>
            </w:pPr>
            <w:r>
              <w:rPr>
                <w:rFonts w:ascii="Arial" w:cs="Arial" w:eastAsia="Arial" w:hAnsi="Arial"/>
                <w:sz w:val="14"/>
                <w:szCs w:val="14"/>
                <w:color w:val="auto"/>
                <w:w w:val="96"/>
              </w:rPr>
              <w:t>(principally mainstream movies and alternative content and food and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Borders>
              <w:bottom w:val="single" w:sz="8" w:color="0000FF"/>
            </w:tcBorders>
            <w:gridSpan w:val="4"/>
          </w:tcPr>
          <w:p>
            <w:pPr>
              <w:jc w:val="center"/>
              <w:ind w:right="20"/>
              <w:spacing w:after="0" w:line="115" w:lineRule="exact"/>
              <w:rPr>
                <w:sz w:val="20"/>
                <w:szCs w:val="20"/>
                <w:color w:val="auto"/>
              </w:rPr>
            </w:pPr>
            <w:r>
              <w:rPr>
                <w:rFonts w:ascii="Arial" w:cs="Arial" w:eastAsia="Arial" w:hAnsi="Arial"/>
                <w:sz w:val="13"/>
                <w:szCs w:val="13"/>
                <w:color w:val="0000FF"/>
                <w:w w:val="99"/>
              </w:rPr>
              <w:t>Reading Cinemas NZ</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9"/>
              </w:rPr>
              <w:t>beverage) across our three operating jurisdictions. All our cinemas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are equipped with the latest, state-of-the-art digital screens, 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Reading Cinemas feature at least one TITAN LUXE, TITAN XC or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IMAX premium auditorium, and 93 of our Reading Cinemas screens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feature luxury recliner seating.</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260" w:type="dxa"/>
            <w:vAlign w:val="bottom"/>
            <w:gridSpan w:val="2"/>
          </w:tcPr>
          <w:p>
            <w:pPr>
              <w:ind w:left="140"/>
              <w:spacing w:after="0" w:line="123" w:lineRule="exact"/>
              <w:rPr>
                <w:sz w:val="20"/>
                <w:szCs w:val="20"/>
                <w:color w:val="auto"/>
              </w:rPr>
            </w:pPr>
            <w:r>
              <w:rPr>
                <w:rFonts w:ascii="Arial" w:cs="Arial" w:eastAsia="Arial" w:hAnsi="Arial"/>
                <w:sz w:val="14"/>
                <w:szCs w:val="14"/>
                <w:color w:val="auto"/>
              </w:rPr>
              <w:t xml:space="preserve">In  2017,  our  </w:t>
            </w:r>
            <w:r>
              <w:rPr>
                <w:rFonts w:ascii="Arial" w:cs="Arial" w:eastAsia="Arial" w:hAnsi="Arial"/>
                <w:sz w:val="14"/>
                <w:szCs w:val="14"/>
                <w:b w:val="1"/>
                <w:bCs w:val="1"/>
                <w:color w:val="auto"/>
              </w:rPr>
              <w:t>Consolidated Theatres</w:t>
            </w:r>
            <w:r>
              <w:rPr>
                <w:rFonts w:ascii="Arial" w:cs="Arial" w:eastAsia="Arial" w:hAnsi="Arial"/>
                <w:sz w:val="14"/>
                <w:szCs w:val="14"/>
                <w:color w:val="auto"/>
              </w:rPr>
              <w:t xml:space="preserve"> celebrated  100  years  of</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380" w:type="dxa"/>
            <w:vAlign w:val="bottom"/>
          </w:tcPr>
          <w:p>
            <w:pPr>
              <w:jc w:val="center"/>
              <w:ind w:left="288"/>
              <w:spacing w:after="0" w:line="154" w:lineRule="exact"/>
              <w:rPr>
                <w:sz w:val="20"/>
                <w:szCs w:val="20"/>
                <w:color w:val="auto"/>
              </w:rPr>
            </w:pPr>
            <w:r>
              <w:rPr>
                <w:rFonts w:ascii="Arial" w:cs="Arial" w:eastAsia="Arial" w:hAnsi="Arial"/>
                <w:sz w:val="14"/>
                <w:szCs w:val="14"/>
                <w:color w:val="auto"/>
                <w:w w:val="92"/>
              </w:rPr>
              <w:t>United States</w:t>
            </w:r>
          </w:p>
        </w:tc>
        <w:tc>
          <w:tcPr>
            <w:tcW w:w="4260" w:type="dxa"/>
            <w:vAlign w:val="bottom"/>
            <w:gridSpan w:val="2"/>
          </w:tcPr>
          <w:p>
            <w:pPr>
              <w:ind w:left="140"/>
              <w:spacing w:after="0" w:line="154" w:lineRule="exact"/>
              <w:rPr>
                <w:sz w:val="20"/>
                <w:szCs w:val="20"/>
                <w:color w:val="auto"/>
              </w:rPr>
            </w:pPr>
            <w:r>
              <w:rPr>
                <w:rFonts w:ascii="Arial" w:cs="Arial" w:eastAsia="Arial" w:hAnsi="Arial"/>
                <w:sz w:val="14"/>
                <w:szCs w:val="14"/>
                <w:color w:val="auto"/>
                <w:w w:val="97"/>
              </w:rPr>
              <w:t>providing cinematic entertainment in the state of Hawaii. We are the</w:t>
            </w:r>
          </w:p>
        </w:tc>
        <w:tc>
          <w:tcPr>
            <w:tcW w:w="1680" w:type="dxa"/>
            <w:vAlign w:val="bottom"/>
            <w:gridSpan w:val="10"/>
          </w:tcPr>
          <w:p>
            <w:pPr>
              <w:jc w:val="center"/>
              <w:ind w:right="120"/>
              <w:spacing w:after="0" w:line="154" w:lineRule="exact"/>
              <w:rPr>
                <w:sz w:val="20"/>
                <w:szCs w:val="20"/>
                <w:color w:val="auto"/>
              </w:rPr>
            </w:pPr>
            <w:r>
              <w:rPr>
                <w:rFonts w:ascii="Arial" w:cs="Arial" w:eastAsia="Arial" w:hAnsi="Arial"/>
                <w:sz w:val="14"/>
                <w:szCs w:val="14"/>
                <w:color w:val="0000FF"/>
                <w:w w:val="90"/>
              </w:rPr>
              <w:t>Consolidated Theatres</w:t>
            </w:r>
          </w:p>
        </w:tc>
        <w:tc>
          <w:tcPr>
            <w:tcW w:w="0" w:type="dxa"/>
            <w:vAlign w:val="bottom"/>
          </w:tcPr>
          <w:p>
            <w:pPr>
              <w:spacing w:after="0"/>
              <w:rPr>
                <w:sz w:val="1"/>
                <w:szCs w:val="1"/>
                <w:color w:val="auto"/>
              </w:rPr>
            </w:pPr>
          </w:p>
        </w:tc>
      </w:tr>
      <w:tr>
        <w:trPr>
          <w:trHeight w:val="123"/>
        </w:trPr>
        <w:tc>
          <w:tcPr>
            <w:tcW w:w="12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260" w:type="dxa"/>
            <w:vAlign w:val="bottom"/>
            <w:gridSpan w:val="2"/>
          </w:tcPr>
          <w:p>
            <w:pPr>
              <w:ind w:left="140"/>
              <w:spacing w:after="0" w:line="123" w:lineRule="exact"/>
              <w:rPr>
                <w:sz w:val="20"/>
                <w:szCs w:val="20"/>
                <w:color w:val="auto"/>
              </w:rPr>
            </w:pPr>
            <w:r>
              <w:rPr>
                <w:rFonts w:ascii="Arial" w:cs="Arial" w:eastAsia="Arial" w:hAnsi="Arial"/>
                <w:sz w:val="14"/>
                <w:szCs w:val="14"/>
                <w:color w:val="auto"/>
                <w:w w:val="98"/>
              </w:rPr>
              <w:t>oldest and largest circuit in Hawaii with nine cinemas on the islands</w:t>
            </w:r>
          </w:p>
        </w:tc>
        <w:tc>
          <w:tcPr>
            <w:tcW w:w="1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of Oahu and Maui. In 2019, we completed the “Top-To-Bottom”</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renovation of our Consolidated Theatre in Mililani on Oahu, now</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featuring 14-screens with recliner seating and a TITAN LUXE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screen, a full F&amp;B upgrade, including the sale of beer, wine &amp;</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spirits, and a lobby re-design.</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w w:val="97"/>
              </w:rPr>
              <w:t>In 2016, we opened an 8-screen state-of-the-art, all recliner cinema,</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featuring a TITAN LUXE and a full F&amp;B offer.  This cinema,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 xml:space="preserve">located at Ka’Makana Ali’i, is known as </w:t>
            </w:r>
            <w:r>
              <w:rPr>
                <w:rFonts w:ascii="Arial" w:cs="Arial" w:eastAsia="Arial" w:hAnsi="Arial"/>
                <w:sz w:val="14"/>
                <w:szCs w:val="14"/>
                <w:b w:val="1"/>
                <w:bCs w:val="1"/>
                <w:color w:val="auto"/>
              </w:rPr>
              <w:t>Olino</w:t>
            </w: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w w:val="97"/>
              </w:rPr>
              <w:t>Our Consolidated Theatre at the Kahala Mall is currently undergoing</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a “Top-to-Bottom” renovation, however, this renovation has been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halted due to the governmental restrictions imposed due to the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COVID-19 pandemic.</w:t>
            </w:r>
          </w:p>
        </w:tc>
        <w:tc>
          <w:tcPr>
            <w:tcW w:w="2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jc w:val="center"/>
              <w:ind w:left="288"/>
              <w:spacing w:after="0"/>
              <w:rPr>
                <w:sz w:val="20"/>
                <w:szCs w:val="20"/>
                <w:color w:val="auto"/>
              </w:rPr>
            </w:pPr>
            <w:r>
              <w:rPr>
                <w:rFonts w:ascii="Arial" w:cs="Arial" w:eastAsia="Arial" w:hAnsi="Arial"/>
                <w:sz w:val="14"/>
                <w:szCs w:val="14"/>
                <w:color w:val="auto"/>
                <w:w w:val="92"/>
              </w:rPr>
              <w:t>United States</w:t>
            </w: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w w:val="99"/>
              </w:rPr>
              <w:t>Several  of  our  Company’s  cinemas  are  arthouses  or  specialty</w:t>
            </w:r>
          </w:p>
        </w:tc>
        <w:tc>
          <w:tcPr>
            <w:tcW w:w="140" w:type="dxa"/>
            <w:vAlign w:val="bottom"/>
          </w:tcPr>
          <w:p>
            <w:pPr>
              <w:spacing w:after="0"/>
              <w:rPr>
                <w:sz w:val="24"/>
                <w:szCs w:val="24"/>
                <w:color w:val="auto"/>
              </w:rPr>
            </w:pPr>
          </w:p>
        </w:tc>
        <w:tc>
          <w:tcPr>
            <w:tcW w:w="1540" w:type="dxa"/>
            <w:vAlign w:val="bottom"/>
            <w:gridSpan w:val="9"/>
          </w:tcPr>
          <w:p>
            <w:pPr>
              <w:jc w:val="center"/>
              <w:ind w:right="280"/>
              <w:spacing w:after="0"/>
              <w:rPr>
                <w:sz w:val="20"/>
                <w:szCs w:val="20"/>
                <w:color w:val="auto"/>
              </w:rPr>
            </w:pPr>
            <w:r>
              <w:rPr>
                <w:rFonts w:ascii="Arial" w:cs="Arial" w:eastAsia="Arial" w:hAnsi="Arial"/>
                <w:sz w:val="14"/>
                <w:szCs w:val="14"/>
                <w:color w:val="0000FF"/>
                <w:w w:val="96"/>
              </w:rPr>
              <w:t>Angelika Film Center</w:t>
            </w: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380" w:type="dxa"/>
            <w:vAlign w:val="bottom"/>
          </w:tcPr>
          <w:p>
            <w:pPr>
              <w:jc w:val="center"/>
              <w:ind w:left="308"/>
              <w:spacing w:after="0" w:line="129" w:lineRule="exact"/>
              <w:rPr>
                <w:sz w:val="20"/>
                <w:szCs w:val="20"/>
                <w:color w:val="auto"/>
              </w:rPr>
            </w:pPr>
            <w:r>
              <w:rPr>
                <w:rFonts w:ascii="Arial" w:cs="Arial" w:eastAsia="Arial" w:hAnsi="Arial"/>
                <w:sz w:val="14"/>
                <w:szCs w:val="14"/>
                <w:color w:val="auto"/>
                <w:w w:val="95"/>
              </w:rPr>
              <w:t>Australia</w:t>
            </w:r>
          </w:p>
        </w:tc>
        <w:tc>
          <w:tcPr>
            <w:tcW w:w="426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theaters since their programming features specialty films, such as</w:t>
            </w:r>
          </w:p>
        </w:tc>
        <w:tc>
          <w:tcPr>
            <w:tcW w:w="14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60" w:type="dxa"/>
            <w:vAlign w:val="bottom"/>
            <w:tcBorders>
              <w:top w:val="single" w:sz="8" w:color="0000FF"/>
            </w:tcBorders>
            <w:gridSpan w:val="4"/>
          </w:tcPr>
          <w:p>
            <w:pPr>
              <w:jc w:val="center"/>
              <w:ind w:right="260"/>
              <w:spacing w:after="0" w:line="129" w:lineRule="exact"/>
              <w:rPr>
                <w:sz w:val="20"/>
                <w:szCs w:val="20"/>
                <w:color w:val="auto"/>
              </w:rPr>
            </w:pPr>
            <w:r>
              <w:rPr>
                <w:rFonts w:ascii="Arial" w:cs="Arial" w:eastAsia="Arial" w:hAnsi="Arial"/>
                <w:sz w:val="14"/>
                <w:szCs w:val="14"/>
                <w:color w:val="0000FF"/>
                <w:w w:val="89"/>
              </w:rPr>
              <w:t>State Cinema</w:t>
            </w:r>
          </w:p>
        </w:tc>
        <w:tc>
          <w:tcPr>
            <w:tcW w:w="2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independent films, international films, and documentaries.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12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 xml:space="preserve">Since its opening in 1989, our New York City </w:t>
            </w:r>
            <w:r>
              <w:rPr>
                <w:rFonts w:ascii="Arial" w:cs="Arial" w:eastAsia="Arial" w:hAnsi="Arial"/>
                <w:sz w:val="14"/>
                <w:szCs w:val="14"/>
                <w:b w:val="1"/>
                <w:bCs w:val="1"/>
                <w:color w:val="auto"/>
              </w:rPr>
              <w:t>Angelika Film</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w w:val="96"/>
              </w:rPr>
              <w:t xml:space="preserve">Center </w:t>
            </w:r>
            <w:r>
              <w:rPr>
                <w:rFonts w:ascii="Arial" w:cs="Arial" w:eastAsia="Arial" w:hAnsi="Arial"/>
                <w:sz w:val="14"/>
                <w:szCs w:val="14"/>
                <w:color w:val="auto"/>
                <w:w w:val="96"/>
              </w:rPr>
              <w:t>has and consistently continues to be one of the most popular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and influential arthouse cinemas in the U.S., featuring principally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100" w:type="dxa"/>
            <w:vAlign w:val="bottom"/>
          </w:tcPr>
          <w:p>
            <w:pPr>
              <w:ind w:left="140"/>
              <w:spacing w:after="0" w:line="149" w:lineRule="exact"/>
              <w:rPr>
                <w:sz w:val="20"/>
                <w:szCs w:val="20"/>
                <w:color w:val="auto"/>
              </w:rPr>
            </w:pPr>
            <w:r>
              <w:rPr>
                <w:rFonts w:ascii="Arial" w:cs="Arial" w:eastAsia="Arial" w:hAnsi="Arial"/>
                <w:sz w:val="14"/>
                <w:szCs w:val="14"/>
                <w:color w:val="auto"/>
              </w:rPr>
              <w:t>independent and foreign films.</w:t>
            </w: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To date, we have expanded our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Angelika Film Center Group to include five other Angelikas: two 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w w:val="97"/>
              </w:rPr>
              <w:t>the Dallas, TX area, two in the Washington DC area and one in San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-3758565</wp:posOffset>
            </wp:positionV>
            <wp:extent cx="814070" cy="994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4070" cy="99441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-2472690</wp:posOffset>
            </wp:positionV>
            <wp:extent cx="149987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9870" cy="3600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-1735455</wp:posOffset>
            </wp:positionV>
            <wp:extent cx="91694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6940" cy="33464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-843915</wp:posOffset>
            </wp:positionV>
            <wp:extent cx="1276985"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6985" cy="754380"/>
                    </a:xfrm>
                    <a:prstGeom prst="rect">
                      <a:avLst/>
                    </a:prstGeom>
                    <a:noFill/>
                  </pic:spPr>
                </pic:pic>
              </a:graphicData>
            </a:graphic>
          </wp:anchor>
        </w:drawing>
      </w:r>
    </w:p>
    <w:p>
      <w:pPr>
        <w:ind w:left="5440"/>
        <w:spacing w:after="0" w:line="221" w:lineRule="auto"/>
        <w:rPr>
          <w:sz w:val="20"/>
          <w:szCs w:val="20"/>
          <w:color w:val="auto"/>
        </w:rPr>
      </w:pPr>
      <w:r>
        <w:rPr>
          <w:rFonts w:ascii="Arial" w:cs="Arial" w:eastAsia="Arial" w:hAnsi="Arial"/>
          <w:sz w:val="14"/>
          <w:szCs w:val="14"/>
          <w:color w:val="auto"/>
        </w:rPr>
        <w:t>Diego, CA. Each of the Angelikas also offers a curated food and</w:t>
      </w:r>
    </w:p>
    <w:p>
      <w:pPr>
        <w:ind w:left="5440"/>
        <w:spacing w:after="0"/>
        <w:rPr>
          <w:sz w:val="20"/>
          <w:szCs w:val="20"/>
          <w:color w:val="auto"/>
        </w:rPr>
      </w:pPr>
      <w:r>
        <w:rPr>
          <w:rFonts w:ascii="Arial" w:cs="Arial" w:eastAsia="Arial" w:hAnsi="Arial"/>
          <w:sz w:val="14"/>
          <w:szCs w:val="14"/>
          <w:color w:val="auto"/>
        </w:rPr>
        <w:t>beverage experience.</w:t>
      </w:r>
    </w:p>
    <w:p>
      <w:pPr>
        <w:spacing w:after="0" w:line="124"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In early 2021, the Company announced that the management of the</w:t>
      </w:r>
    </w:p>
    <w:p>
      <w:pPr>
        <w:ind w:left="5440"/>
        <w:spacing w:after="0" w:line="221" w:lineRule="auto"/>
        <w:rPr>
          <w:sz w:val="20"/>
          <w:szCs w:val="20"/>
          <w:color w:val="auto"/>
        </w:rPr>
      </w:pPr>
      <w:r>
        <w:rPr>
          <w:rFonts w:ascii="Arial" w:cs="Arial" w:eastAsia="Arial" w:hAnsi="Arial"/>
          <w:sz w:val="14"/>
          <w:szCs w:val="14"/>
          <w:color w:val="auto"/>
        </w:rPr>
        <w:t>Cinemas 123, Village East and Tower Theatre would be assumed by</w:t>
      </w:r>
    </w:p>
    <w:p>
      <w:pPr>
        <w:ind w:left="5440"/>
        <w:spacing w:after="0" w:line="221" w:lineRule="auto"/>
        <w:rPr>
          <w:sz w:val="20"/>
          <w:szCs w:val="20"/>
          <w:color w:val="auto"/>
        </w:rPr>
      </w:pPr>
      <w:r>
        <w:rPr>
          <w:rFonts w:ascii="Arial" w:cs="Arial" w:eastAsia="Arial" w:hAnsi="Arial"/>
          <w:sz w:val="14"/>
          <w:szCs w:val="14"/>
          <w:color w:val="auto"/>
        </w:rPr>
        <w:t>the operations, programming and marketing teams responsible for</w:t>
      </w:r>
    </w:p>
    <w:p>
      <w:pPr>
        <w:ind w:left="5440"/>
        <w:spacing w:after="0" w:line="222" w:lineRule="auto"/>
        <w:rPr>
          <w:sz w:val="20"/>
          <w:szCs w:val="20"/>
          <w:color w:val="auto"/>
        </w:rPr>
      </w:pPr>
      <w:r>
        <w:rPr>
          <w:rFonts w:ascii="Arial" w:cs="Arial" w:eastAsia="Arial" w:hAnsi="Arial"/>
          <w:sz w:val="14"/>
          <w:szCs w:val="14"/>
          <w:color w:val="auto"/>
        </w:rPr>
        <w:t>the Angelika specialty circuit. Today, these three cinemas have been</w:t>
      </w:r>
    </w:p>
    <w:p>
      <w:pPr>
        <w:ind w:left="5440"/>
        <w:spacing w:after="0" w:line="221" w:lineRule="auto"/>
        <w:rPr>
          <w:sz w:val="20"/>
          <w:szCs w:val="20"/>
          <w:color w:val="auto"/>
        </w:rPr>
      </w:pPr>
      <w:r>
        <w:rPr>
          <w:rFonts w:ascii="Arial" w:cs="Arial" w:eastAsia="Arial" w:hAnsi="Arial"/>
          <w:sz w:val="14"/>
          <w:szCs w:val="14"/>
          <w:color w:val="auto"/>
        </w:rPr>
        <w:t>rebranded as follows: (i) Cinemas 123 by Angelika, (ii) Village East</w:t>
      </w:r>
    </w:p>
    <w:p>
      <w:pPr>
        <w:ind w:left="5440"/>
        <w:spacing w:after="0"/>
        <w:rPr>
          <w:sz w:val="20"/>
          <w:szCs w:val="20"/>
          <w:color w:val="auto"/>
        </w:rPr>
      </w:pPr>
      <w:r>
        <w:rPr>
          <w:rFonts w:ascii="Arial" w:cs="Arial" w:eastAsia="Arial" w:hAnsi="Arial"/>
          <w:sz w:val="14"/>
          <w:szCs w:val="14"/>
          <w:color w:val="auto"/>
        </w:rPr>
        <w:t>by Angelika and (iii) Tower Theatre by Angelika.</w:t>
      </w:r>
    </w:p>
    <w:p>
      <w:pPr>
        <w:spacing w:after="0" w:line="120" w:lineRule="exact"/>
        <w:rPr>
          <w:sz w:val="20"/>
          <w:szCs w:val="20"/>
          <w:color w:val="auto"/>
        </w:rPr>
      </w:pPr>
    </w:p>
    <w:p>
      <w:pPr>
        <w:jc w:val="both"/>
        <w:ind w:left="5440" w:right="1820"/>
        <w:spacing w:after="0" w:line="250" w:lineRule="auto"/>
        <w:rPr>
          <w:sz w:val="20"/>
          <w:szCs w:val="20"/>
          <w:color w:val="auto"/>
        </w:rPr>
      </w:pPr>
      <w:r>
        <w:rPr>
          <w:rFonts w:ascii="Arial" w:cs="Arial" w:eastAsia="Arial" w:hAnsi="Arial"/>
          <w:sz w:val="13"/>
          <w:szCs w:val="13"/>
          <w:color w:val="auto"/>
        </w:rPr>
        <w:t xml:space="preserve">In December 2019, we acquired the iconic 100-year-old </w:t>
      </w:r>
      <w:r>
        <w:rPr>
          <w:rFonts w:ascii="Arial" w:cs="Arial" w:eastAsia="Arial" w:hAnsi="Arial"/>
          <w:sz w:val="13"/>
          <w:szCs w:val="13"/>
          <w:b w:val="1"/>
          <w:bCs w:val="1"/>
          <w:color w:val="auto"/>
        </w:rPr>
        <w:t>State</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Cinema </w:t>
      </w:r>
      <w:r>
        <w:rPr>
          <w:rFonts w:ascii="Arial" w:cs="Arial" w:eastAsia="Arial" w:hAnsi="Arial"/>
          <w:sz w:val="13"/>
          <w:szCs w:val="13"/>
          <w:color w:val="auto"/>
        </w:rPr>
        <w:t>in Hobart, Tasmania, Australia, which has been ranked the</w:t>
      </w:r>
      <w:r>
        <w:rPr>
          <w:rFonts w:ascii="Arial" w:cs="Arial" w:eastAsia="Arial" w:hAnsi="Arial"/>
          <w:sz w:val="13"/>
          <w:szCs w:val="13"/>
          <w:b w:val="1"/>
          <w:bCs w:val="1"/>
          <w:color w:val="auto"/>
        </w:rPr>
        <w:t xml:space="preserve"> </w:t>
      </w:r>
      <w:r>
        <w:rPr>
          <w:rFonts w:ascii="Arial" w:cs="Arial" w:eastAsia="Arial" w:hAnsi="Arial"/>
          <w:sz w:val="13"/>
          <w:szCs w:val="13"/>
          <w:color w:val="auto"/>
        </w:rPr>
        <w:t>fifth highest grossing arthouse in Australia for the last decade. The cinema, which features 10 screens, a rooftop cinema and bar, a large café and an independent bookstore, is and has been a major cultural destination in North Hobart for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-389890</wp:posOffset>
            </wp:positionV>
            <wp:extent cx="95123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230" cy="565785"/>
                    </a:xfrm>
                    <a:prstGeom prst="rect">
                      <a:avLst/>
                    </a:prstGeom>
                    <a:noFill/>
                  </pic:spPr>
                </pic:pic>
              </a:graphicData>
            </a:graphic>
          </wp:anchor>
        </w:drawing>
      </w:r>
    </w:p>
    <w:p>
      <w:pPr>
        <w:spacing w:after="0" w:line="89" w:lineRule="exact"/>
        <w:rPr>
          <w:sz w:val="20"/>
          <w:szCs w:val="20"/>
          <w:color w:val="auto"/>
        </w:rPr>
      </w:pPr>
    </w:p>
    <w:p>
      <w:pPr>
        <w:jc w:val="both"/>
        <w:ind w:left="5440" w:right="1840"/>
        <w:spacing w:after="0" w:line="253" w:lineRule="auto"/>
        <w:rPr>
          <w:sz w:val="20"/>
          <w:szCs w:val="20"/>
          <w:color w:val="auto"/>
        </w:rPr>
      </w:pPr>
      <w:r>
        <w:rPr>
          <w:rFonts w:ascii="Arial" w:cs="Arial" w:eastAsia="Arial" w:hAnsi="Arial"/>
          <w:sz w:val="14"/>
          <w:szCs w:val="14"/>
          <w:color w:val="auto"/>
        </w:rPr>
        <w:t>The State Cinema Bar which serves a range of wines and spirits was rebranded the Angelika Bar in 2020.</w:t>
      </w:r>
    </w:p>
    <w:p>
      <w:pPr>
        <w:spacing w:after="0" w:line="106"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We continue to look to expand our specialty theater portfolio by</w:t>
      </w:r>
    </w:p>
    <w:p>
      <w:pPr>
        <w:ind w:left="5440"/>
        <w:spacing w:after="0" w:line="221" w:lineRule="auto"/>
        <w:rPr>
          <w:sz w:val="20"/>
          <w:szCs w:val="20"/>
          <w:color w:val="auto"/>
        </w:rPr>
      </w:pPr>
      <w:r>
        <w:rPr>
          <w:rFonts w:ascii="Arial" w:cs="Arial" w:eastAsia="Arial" w:hAnsi="Arial"/>
          <w:sz w:val="14"/>
          <w:szCs w:val="14"/>
          <w:color w:val="auto"/>
        </w:rPr>
        <w:t>looking for more specialty theater sites in the U.S., Australia, and</w:t>
      </w:r>
    </w:p>
    <w:p>
      <w:pPr>
        <w:ind w:left="5440"/>
        <w:spacing w:after="0"/>
        <w:rPr>
          <w:sz w:val="20"/>
          <w:szCs w:val="20"/>
          <w:color w:val="auto"/>
        </w:rPr>
      </w:pPr>
      <w:r>
        <w:rPr>
          <w:rFonts w:ascii="Arial" w:cs="Arial" w:eastAsia="Arial" w:hAnsi="Arial"/>
          <w:sz w:val="14"/>
          <w:szCs w:val="14"/>
          <w:color w:val="auto"/>
        </w:rPr>
        <w:t>New Zealand.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-121920</wp:posOffset>
            </wp:positionV>
            <wp:extent cx="63690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6"/>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87"/>
              </w:rPr>
              <w:t>Business Segment /</w:t>
            </w:r>
          </w:p>
        </w:tc>
        <w:tc>
          <w:tcPr>
            <w:tcW w:w="2740" w:type="dxa"/>
            <w:vAlign w:val="bottom"/>
            <w:tcBorders>
              <w:top w:val="single" w:sz="8" w:color="auto"/>
            </w:tcBorders>
            <w:vMerge w:val="restart"/>
          </w:tcPr>
          <w:p>
            <w:pPr>
              <w:ind w:left="720"/>
              <w:spacing w:after="0"/>
              <w:rPr>
                <w:sz w:val="20"/>
                <w:szCs w:val="20"/>
                <w:color w:val="auto"/>
              </w:rPr>
            </w:pPr>
            <w:r>
              <w:rPr>
                <w:rFonts w:ascii="Arial" w:cs="Arial" w:eastAsia="Arial" w:hAnsi="Arial"/>
                <w:sz w:val="14"/>
                <w:szCs w:val="14"/>
                <w:b w:val="1"/>
                <w:bCs w:val="1"/>
                <w:color w:val="auto"/>
              </w:rPr>
              <w:t>Our Commercial Brands</w:t>
            </w:r>
          </w:p>
        </w:tc>
        <w:tc>
          <w:tcPr>
            <w:tcW w:w="1360" w:type="dxa"/>
            <w:vAlign w:val="bottom"/>
            <w:tcBorders>
              <w:top w:val="single" w:sz="8" w:color="auto"/>
            </w:tcBorders>
            <w:vMerge w:val="restart"/>
          </w:tcPr>
          <w:p>
            <w:pPr>
              <w:jc w:val="center"/>
              <w:ind w:left="289"/>
              <w:spacing w:after="0"/>
              <w:rPr>
                <w:sz w:val="20"/>
                <w:szCs w:val="20"/>
                <w:color w:val="auto"/>
              </w:rPr>
            </w:pPr>
            <w:r>
              <w:rPr>
                <w:rFonts w:ascii="Arial" w:cs="Arial" w:eastAsia="Arial" w:hAnsi="Arial"/>
                <w:sz w:val="14"/>
                <w:szCs w:val="14"/>
                <w:b w:val="1"/>
                <w:bCs w:val="1"/>
                <w:color w:val="auto"/>
                <w:w w:val="96"/>
              </w:rPr>
              <w:t>Country</w:t>
            </w:r>
          </w:p>
        </w:tc>
        <w:tc>
          <w:tcPr>
            <w:tcW w:w="4220" w:type="dxa"/>
            <w:vAlign w:val="bottom"/>
            <w:tcBorders>
              <w:top w:val="single" w:sz="8" w:color="auto"/>
            </w:tcBorders>
            <w:vMerge w:val="restart"/>
          </w:tcPr>
          <w:p>
            <w:pPr>
              <w:ind w:left="17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6"/>
            <w:vMerge w:val="restart"/>
          </w:tcPr>
          <w:p>
            <w:pPr>
              <w:jc w:val="center"/>
              <w:ind w:right="440"/>
              <w:spacing w:after="0"/>
              <w:rPr>
                <w:sz w:val="20"/>
                <w:szCs w:val="20"/>
                <w:color w:val="auto"/>
              </w:rPr>
            </w:pPr>
            <w:r>
              <w:rPr>
                <w:rFonts w:ascii="Arial" w:cs="Arial" w:eastAsia="Arial" w:hAnsi="Arial"/>
                <w:sz w:val="14"/>
                <w:szCs w:val="14"/>
                <w:b w:val="1"/>
                <w:bCs w:val="1"/>
                <w:color w:val="auto"/>
                <w:w w:val="94"/>
              </w:rPr>
              <w:t>Website Link</w:t>
            </w:r>
          </w:p>
        </w:tc>
        <w:tc>
          <w:tcPr>
            <w:tcW w:w="0" w:type="dxa"/>
            <w:vAlign w:val="bottom"/>
          </w:tcPr>
          <w:p>
            <w:pPr>
              <w:spacing w:after="0"/>
              <w:rPr>
                <w:sz w:val="1"/>
                <w:szCs w:val="1"/>
                <w:color w:val="auto"/>
              </w:rPr>
            </w:pPr>
          </w:p>
        </w:tc>
      </w:tr>
      <w:tr>
        <w:trPr>
          <w:trHeight w:val="105"/>
        </w:trPr>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Unit</w:t>
            </w:r>
          </w:p>
        </w:tc>
        <w:tc>
          <w:tcPr>
            <w:tcW w:w="27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4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auto"/>
            </w:tcBorders>
            <w:vMerge w:val="continue"/>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tcPr>
          <w:p>
            <w:pPr>
              <w:jc w:val="center"/>
              <w:ind w:left="269"/>
              <w:spacing w:after="0" w:line="135" w:lineRule="exact"/>
              <w:rPr>
                <w:sz w:val="20"/>
                <w:szCs w:val="20"/>
                <w:color w:val="auto"/>
              </w:rPr>
            </w:pPr>
            <w:r>
              <w:rPr>
                <w:rFonts w:ascii="Arial" w:cs="Arial" w:eastAsia="Arial" w:hAnsi="Arial"/>
                <w:sz w:val="14"/>
                <w:szCs w:val="14"/>
                <w:color w:val="auto"/>
                <w:w w:val="92"/>
              </w:rPr>
              <w:t>United States</w:t>
            </w:r>
          </w:p>
        </w:tc>
        <w:tc>
          <w:tcPr>
            <w:tcW w:w="4220" w:type="dxa"/>
            <w:vAlign w:val="bottom"/>
          </w:tcPr>
          <w:p>
            <w:pPr>
              <w:ind w:left="140"/>
              <w:spacing w:after="0" w:line="135" w:lineRule="exact"/>
              <w:rPr>
                <w:sz w:val="20"/>
                <w:szCs w:val="20"/>
                <w:color w:val="auto"/>
              </w:rPr>
            </w:pPr>
            <w:r>
              <w:rPr>
                <w:rFonts w:ascii="Arial" w:cs="Arial" w:eastAsia="Arial" w:hAnsi="Arial"/>
                <w:sz w:val="14"/>
                <w:szCs w:val="14"/>
                <w:color w:val="auto"/>
                <w:w w:val="95"/>
              </w:rPr>
              <w:t xml:space="preserve">Launched in December 2020, </w:t>
            </w:r>
            <w:r>
              <w:rPr>
                <w:rFonts w:ascii="Arial" w:cs="Arial" w:eastAsia="Arial" w:hAnsi="Arial"/>
                <w:sz w:val="14"/>
                <w:szCs w:val="14"/>
                <w:b w:val="1"/>
                <w:bCs w:val="1"/>
                <w:color w:val="auto"/>
                <w:w w:val="95"/>
              </w:rPr>
              <w:t>Angelika Anywhere</w:t>
            </w:r>
            <w:r>
              <w:rPr>
                <w:rFonts w:ascii="Arial" w:cs="Arial" w:eastAsia="Arial" w:hAnsi="Arial"/>
                <w:sz w:val="14"/>
                <w:szCs w:val="14"/>
                <w:color w:val="auto"/>
                <w:w w:val="95"/>
              </w:rPr>
              <w:t>, is an art focused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9"/>
          </w:tcPr>
          <w:p>
            <w:pPr>
              <w:jc w:val="center"/>
              <w:ind w:right="320"/>
              <w:spacing w:after="0" w:line="135" w:lineRule="exact"/>
              <w:rPr>
                <w:sz w:val="20"/>
                <w:szCs w:val="20"/>
                <w:color w:val="auto"/>
              </w:rPr>
            </w:pPr>
            <w:r>
              <w:rPr>
                <w:rFonts w:ascii="Arial" w:cs="Arial" w:eastAsia="Arial" w:hAnsi="Arial"/>
                <w:sz w:val="14"/>
                <w:szCs w:val="14"/>
                <w:color w:val="0000FF"/>
                <w:w w:val="96"/>
              </w:rPr>
              <w:t>Angelika Anywhere</w:t>
            </w:r>
          </w:p>
        </w:tc>
        <w:tc>
          <w:tcPr>
            <w:tcW w:w="0" w:type="dxa"/>
            <w:vAlign w:val="bottom"/>
          </w:tcPr>
          <w:p>
            <w:pPr>
              <w:spacing w:after="0"/>
              <w:rPr>
                <w:sz w:val="1"/>
                <w:szCs w:val="1"/>
                <w:color w:val="auto"/>
              </w:rPr>
            </w:pPr>
          </w:p>
        </w:tc>
      </w:tr>
      <w:tr>
        <w:trPr>
          <w:trHeight w:val="123"/>
        </w:trPr>
        <w:tc>
          <w:tcPr>
            <w:tcW w:w="12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20" w:type="dxa"/>
            <w:vAlign w:val="bottom"/>
          </w:tcPr>
          <w:p>
            <w:pPr>
              <w:ind w:left="140"/>
              <w:spacing w:after="0" w:line="123" w:lineRule="exact"/>
              <w:rPr>
                <w:sz w:val="20"/>
                <w:szCs w:val="20"/>
                <w:color w:val="auto"/>
              </w:rPr>
            </w:pPr>
            <w:r>
              <w:rPr>
                <w:rFonts w:ascii="Arial" w:cs="Arial" w:eastAsia="Arial" w:hAnsi="Arial"/>
                <w:sz w:val="14"/>
                <w:szCs w:val="14"/>
                <w:color w:val="auto"/>
              </w:rPr>
              <w:t>streaming platform available in the U.S. We created Angelika</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9"/>
              </w:rPr>
              <w:t>Anywhere to allow us to expand the reach of our “Angelika” based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cinema experience beyond the four walls of a conventional brick-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7"/>
              </w:rPr>
              <w:t>and-mortar cinema. Our goal is to offer cinephiles easy and curated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access to the type of product that has made our Angelika Film</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8"/>
              </w:rPr>
              <w:t>Center the most recognized, dedicated arthouse in North America.</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 xml:space="preserve">Real Estate </w:t>
            </w:r>
            <w:r>
              <w:rPr>
                <w:rFonts w:ascii="Arial" w:cs="Arial" w:eastAsia="Arial" w:hAnsi="Arial"/>
                <w:sz w:val="14"/>
                <w:szCs w:val="14"/>
                <w:color w:val="auto"/>
              </w:rPr>
              <w:t>/</w:t>
            </w:r>
          </w:p>
        </w:tc>
        <w:tc>
          <w:tcPr>
            <w:tcW w:w="2740" w:type="dxa"/>
            <w:vAlign w:val="bottom"/>
          </w:tcPr>
          <w:p>
            <w:pPr>
              <w:spacing w:after="0"/>
              <w:rPr>
                <w:sz w:val="11"/>
                <w:szCs w:val="11"/>
                <w:color w:val="auto"/>
              </w:rPr>
            </w:pPr>
          </w:p>
        </w:tc>
        <w:tc>
          <w:tcPr>
            <w:tcW w:w="1360" w:type="dxa"/>
            <w:vAlign w:val="bottom"/>
          </w:tcPr>
          <w:p>
            <w:pPr>
              <w:jc w:val="center"/>
              <w:ind w:left="269"/>
              <w:spacing w:after="0" w:line="129" w:lineRule="exact"/>
              <w:rPr>
                <w:sz w:val="20"/>
                <w:szCs w:val="20"/>
                <w:color w:val="auto"/>
              </w:rPr>
            </w:pPr>
            <w:r>
              <w:rPr>
                <w:rFonts w:ascii="Arial" w:cs="Arial" w:eastAsia="Arial" w:hAnsi="Arial"/>
                <w:sz w:val="14"/>
                <w:szCs w:val="14"/>
                <w:color w:val="auto"/>
                <w:w w:val="92"/>
              </w:rPr>
              <w:t>United States</w:t>
            </w:r>
          </w:p>
        </w:tc>
        <w:tc>
          <w:tcPr>
            <w:tcW w:w="4220" w:type="dxa"/>
            <w:vAlign w:val="bottom"/>
          </w:tcPr>
          <w:p>
            <w:pPr>
              <w:ind w:left="140"/>
              <w:spacing w:after="0" w:line="129" w:lineRule="exact"/>
              <w:rPr>
                <w:sz w:val="20"/>
                <w:szCs w:val="20"/>
                <w:color w:val="auto"/>
              </w:rPr>
            </w:pPr>
            <w:r>
              <w:rPr>
                <w:rFonts w:ascii="Arial" w:cs="Arial" w:eastAsia="Arial" w:hAnsi="Arial"/>
                <w:sz w:val="14"/>
                <w:szCs w:val="14"/>
                <w:color w:val="auto"/>
              </w:rPr>
              <w:t>Historically  known  as  Tammany  Hall,  this  building  with</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8"/>
          </w:tcPr>
          <w:p>
            <w:pPr>
              <w:jc w:val="center"/>
              <w:ind w:right="360"/>
              <w:spacing w:after="0" w:line="129" w:lineRule="exact"/>
              <w:rPr>
                <w:sz w:val="20"/>
                <w:szCs w:val="20"/>
                <w:color w:val="auto"/>
              </w:rPr>
            </w:pPr>
            <w:r>
              <w:rPr>
                <w:rFonts w:ascii="Arial" w:cs="Arial" w:eastAsia="Arial" w:hAnsi="Arial"/>
                <w:sz w:val="14"/>
                <w:szCs w:val="14"/>
                <w:color w:val="0000FF"/>
                <w:w w:val="93"/>
              </w:rPr>
              <w:t>44 Union Square</w:t>
            </w:r>
          </w:p>
        </w:tc>
        <w:tc>
          <w:tcPr>
            <w:tcW w:w="0" w:type="dxa"/>
            <w:vAlign w:val="bottom"/>
          </w:tcPr>
          <w:p>
            <w:pPr>
              <w:spacing w:after="0"/>
              <w:rPr>
                <w:sz w:val="1"/>
                <w:szCs w:val="1"/>
                <w:color w:val="auto"/>
              </w:rPr>
            </w:pPr>
          </w:p>
        </w:tc>
      </w:tr>
      <w:tr>
        <w:trPr>
          <w:trHeight w:val="119"/>
        </w:trPr>
        <w:tc>
          <w:tcPr>
            <w:tcW w:w="1200" w:type="dxa"/>
            <w:vAlign w:val="bottom"/>
          </w:tcPr>
          <w:p>
            <w:pPr>
              <w:ind w:left="20"/>
              <w:spacing w:after="0" w:line="119" w:lineRule="exact"/>
              <w:rPr>
                <w:sz w:val="20"/>
                <w:szCs w:val="20"/>
                <w:color w:val="auto"/>
              </w:rPr>
            </w:pPr>
            <w:r>
              <w:rPr>
                <w:rFonts w:ascii="Arial" w:cs="Arial" w:eastAsia="Arial" w:hAnsi="Arial"/>
                <w:sz w:val="13"/>
                <w:szCs w:val="13"/>
                <w:color w:val="auto"/>
              </w:rPr>
              <w:t>Leasing</w:t>
            </w:r>
          </w:p>
        </w:tc>
        <w:tc>
          <w:tcPr>
            <w:tcW w:w="2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20" w:type="dxa"/>
            <w:vAlign w:val="bottom"/>
          </w:tcPr>
          <w:p>
            <w:pPr>
              <w:ind w:left="140"/>
              <w:spacing w:after="0" w:line="119" w:lineRule="exact"/>
              <w:rPr>
                <w:sz w:val="20"/>
                <w:szCs w:val="20"/>
                <w:color w:val="auto"/>
              </w:rPr>
            </w:pPr>
            <w:r>
              <w:rPr>
                <w:rFonts w:ascii="Arial" w:cs="Arial" w:eastAsia="Arial" w:hAnsi="Arial"/>
                <w:sz w:val="13"/>
                <w:szCs w:val="13"/>
                <w:color w:val="auto"/>
              </w:rPr>
              <w:t>approximately 73,000 square feet of net rentable area overlooking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20" w:type="dxa"/>
            <w:vAlign w:val="bottom"/>
          </w:tcPr>
          <w:p>
            <w:pPr>
              <w:ind w:left="140"/>
              <w:spacing w:after="0" w:line="153" w:lineRule="exact"/>
              <w:rPr>
                <w:sz w:val="20"/>
                <w:szCs w:val="20"/>
                <w:color w:val="auto"/>
              </w:rPr>
            </w:pPr>
            <w:r>
              <w:rPr>
                <w:rFonts w:ascii="Arial" w:cs="Arial" w:eastAsia="Arial" w:hAnsi="Arial"/>
                <w:sz w:val="14"/>
                <w:szCs w:val="14"/>
                <w:color w:val="auto"/>
                <w:w w:val="95"/>
              </w:rPr>
              <w:t xml:space="preserve">Manhattan’s </w:t>
            </w:r>
            <w:r>
              <w:rPr>
                <w:rFonts w:ascii="Arial" w:cs="Arial" w:eastAsia="Arial" w:hAnsi="Arial"/>
                <w:sz w:val="14"/>
                <w:szCs w:val="14"/>
                <w:b w:val="1"/>
                <w:bCs w:val="1"/>
                <w:color w:val="auto"/>
                <w:w w:val="95"/>
              </w:rPr>
              <w:t>Union Square</w:t>
            </w:r>
            <w:r>
              <w:rPr>
                <w:rFonts w:ascii="Arial" w:cs="Arial" w:eastAsia="Arial" w:hAnsi="Arial"/>
                <w:sz w:val="14"/>
                <w:szCs w:val="14"/>
                <w:color w:val="auto"/>
                <w:w w:val="95"/>
              </w:rPr>
              <w:t>, is now substantially complete and in the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lease-up phase of its redevelopment.  This building, hailed as 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7"/>
              </w:rPr>
              <w:t xml:space="preserve">dramatic </w:t>
            </w:r>
            <w:r>
              <w:rPr>
                <w:rFonts w:ascii="Arial" w:cs="Arial" w:eastAsia="Arial" w:hAnsi="Arial"/>
                <w:sz w:val="14"/>
                <w:szCs w:val="14"/>
                <w:i w:val="1"/>
                <w:iCs w:val="1"/>
                <w:color w:val="auto"/>
                <w:w w:val="97"/>
              </w:rPr>
              <w:t>pièce de résistance</w:t>
            </w:r>
            <w:r>
              <w:rPr>
                <w:rFonts w:ascii="Arial" w:cs="Arial" w:eastAsia="Arial" w:hAnsi="Arial"/>
                <w:sz w:val="14"/>
                <w:szCs w:val="14"/>
                <w:color w:val="auto"/>
                <w:w w:val="97"/>
              </w:rPr>
              <w:t xml:space="preserve"> with its first in the city, over 800-piece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glass dome, brings the future to New York’s fabled past and was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awarded in 2020 the ENR New York’s Best Projects awards for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Renovation/Restoration and for Safety.  It is one of a very limited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7"/>
              </w:rPr>
              <w:t>number of locations in Manhattan that will provide a major tenant(s)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w w:val="96"/>
              </w:rPr>
              <w:t>with a “brandable” site, and the only such location on Union Square.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tcPr>
          <w:p>
            <w:pPr>
              <w:jc w:val="center"/>
              <w:ind w:left="289"/>
              <w:spacing w:after="0" w:line="115" w:lineRule="exact"/>
              <w:rPr>
                <w:sz w:val="20"/>
                <w:szCs w:val="20"/>
                <w:color w:val="auto"/>
              </w:rPr>
            </w:pPr>
            <w:r>
              <w:rPr>
                <w:rFonts w:ascii="Arial" w:cs="Arial" w:eastAsia="Arial" w:hAnsi="Arial"/>
                <w:sz w:val="13"/>
                <w:szCs w:val="13"/>
                <w:color w:val="auto"/>
              </w:rPr>
              <w:t>Australia</w:t>
            </w:r>
          </w:p>
        </w:tc>
        <w:tc>
          <w:tcPr>
            <w:tcW w:w="4220" w:type="dxa"/>
            <w:vAlign w:val="bottom"/>
          </w:tcPr>
          <w:p>
            <w:pPr>
              <w:ind w:left="140"/>
              <w:spacing w:after="0" w:line="115" w:lineRule="exact"/>
              <w:rPr>
                <w:sz w:val="20"/>
                <w:szCs w:val="20"/>
                <w:color w:val="auto"/>
              </w:rPr>
            </w:pPr>
            <w:r>
              <w:rPr>
                <w:rFonts w:ascii="Arial" w:cs="Arial" w:eastAsia="Arial" w:hAnsi="Arial"/>
                <w:sz w:val="13"/>
                <w:szCs w:val="13"/>
                <w:color w:val="auto"/>
              </w:rPr>
              <w:t>Located on 203,000 square feet of land in suburban Brisbane,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9"/>
          </w:tcPr>
          <w:p>
            <w:pPr>
              <w:jc w:val="center"/>
              <w:ind w:right="320"/>
              <w:spacing w:after="0" w:line="115" w:lineRule="exact"/>
              <w:rPr>
                <w:sz w:val="20"/>
                <w:szCs w:val="20"/>
                <w:color w:val="auto"/>
              </w:rPr>
            </w:pPr>
            <w:r>
              <w:rPr>
                <w:rFonts w:ascii="Arial" w:cs="Arial" w:eastAsia="Arial" w:hAnsi="Arial"/>
                <w:sz w:val="13"/>
                <w:szCs w:val="13"/>
                <w:color w:val="0000FF"/>
              </w:rPr>
              <w:t>Newmarket Village</w:t>
            </w: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4"/>
                <w:szCs w:val="14"/>
                <w:b w:val="1"/>
                <w:bCs w:val="1"/>
                <w:color w:val="auto"/>
              </w:rPr>
              <w:t xml:space="preserve">Newmarket  Village  </w:t>
            </w:r>
            <w:r>
              <w:rPr>
                <w:rFonts w:ascii="Arial" w:cs="Arial" w:eastAsia="Arial" w:hAnsi="Arial"/>
                <w:sz w:val="14"/>
                <w:szCs w:val="14"/>
                <w:color w:val="auto"/>
              </w:rPr>
              <w:t>is  currently  comprised  of  approximately</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102,000  square  feet  of  net  rentable  area,  including  a  Coles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Supermarket and 41 other retailers.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2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w w:val="99"/>
              </w:rPr>
              <w:t>At the end of 2017, we completed a major expansion that added a</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new 8-screen Reading Cinemas with TITAN LUXE, an additional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w w:val="92"/>
              </w:rPr>
              <w:t>10,000 square feet of restaurant tenant space and 124 parking spaces.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Adjacent to our Newmarket Village, we own a three-level, 22,000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square feet office building.</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w w:val="97"/>
              </w:rPr>
              <w:t>As of December 31, 2020, the lease occupancy rate for this center,</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including the office building, was 98%.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2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tcPr>
          <w:p>
            <w:pPr>
              <w:jc w:val="center"/>
              <w:ind w:left="289"/>
              <w:spacing w:after="0" w:line="129" w:lineRule="exact"/>
              <w:rPr>
                <w:sz w:val="20"/>
                <w:szCs w:val="20"/>
                <w:color w:val="auto"/>
              </w:rPr>
            </w:pPr>
            <w:r>
              <w:rPr>
                <w:rFonts w:ascii="Arial" w:cs="Arial" w:eastAsia="Arial" w:hAnsi="Arial"/>
                <w:sz w:val="14"/>
                <w:szCs w:val="14"/>
                <w:color w:val="auto"/>
                <w:w w:val="95"/>
              </w:rPr>
              <w:t>Australia</w:t>
            </w:r>
          </w:p>
        </w:tc>
        <w:tc>
          <w:tcPr>
            <w:tcW w:w="4220" w:type="dxa"/>
            <w:vAlign w:val="bottom"/>
          </w:tcPr>
          <w:p>
            <w:pPr>
              <w:ind w:left="140"/>
              <w:spacing w:after="0" w:line="129" w:lineRule="exact"/>
              <w:rPr>
                <w:sz w:val="20"/>
                <w:szCs w:val="20"/>
                <w:color w:val="auto"/>
              </w:rPr>
            </w:pPr>
            <w:r>
              <w:rPr>
                <w:rFonts w:ascii="Arial" w:cs="Arial" w:eastAsia="Arial" w:hAnsi="Arial"/>
                <w:sz w:val="14"/>
                <w:szCs w:val="14"/>
                <w:color w:val="auto"/>
                <w:w w:val="97"/>
              </w:rPr>
              <w:t xml:space="preserve">Anchored by our 10-screen Reading Cinemas, </w:t>
            </w:r>
            <w:r>
              <w:rPr>
                <w:rFonts w:ascii="Arial" w:cs="Arial" w:eastAsia="Arial" w:hAnsi="Arial"/>
                <w:sz w:val="14"/>
                <w:szCs w:val="14"/>
                <w:b w:val="1"/>
                <w:bCs w:val="1"/>
                <w:color w:val="auto"/>
                <w:w w:val="97"/>
              </w:rPr>
              <w:t>Auburn Redyard</w:t>
            </w:r>
            <w:r>
              <w:rPr>
                <w:rFonts w:ascii="Arial" w:cs="Arial" w:eastAsia="Arial" w:hAnsi="Arial"/>
                <w:sz w:val="14"/>
                <w:szCs w:val="14"/>
                <w:color w:val="auto"/>
                <w:w w:val="97"/>
              </w:rPr>
              <w:t xml:space="preserve"> is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6"/>
          </w:tcPr>
          <w:p>
            <w:pPr>
              <w:jc w:val="center"/>
              <w:ind w:right="420"/>
              <w:spacing w:after="0" w:line="129" w:lineRule="exact"/>
              <w:rPr>
                <w:sz w:val="20"/>
                <w:szCs w:val="20"/>
                <w:color w:val="auto"/>
              </w:rPr>
            </w:pPr>
            <w:r>
              <w:rPr>
                <w:rFonts w:ascii="Arial" w:cs="Arial" w:eastAsia="Arial" w:hAnsi="Arial"/>
                <w:sz w:val="14"/>
                <w:szCs w:val="14"/>
                <w:color w:val="0000FF"/>
                <w:w w:val="94"/>
              </w:rPr>
              <w:t>Auburn Redyard</w:t>
            </w:r>
          </w:p>
        </w:tc>
        <w:tc>
          <w:tcPr>
            <w:tcW w:w="0" w:type="dxa"/>
            <w:vAlign w:val="bottom"/>
          </w:tcPr>
          <w:p>
            <w:pPr>
              <w:spacing w:after="0"/>
              <w:rPr>
                <w:sz w:val="1"/>
                <w:szCs w:val="1"/>
                <w:color w:val="auto"/>
              </w:rPr>
            </w:pPr>
          </w:p>
        </w:tc>
      </w:tr>
      <w:tr>
        <w:trPr>
          <w:trHeight w:val="123"/>
        </w:trPr>
        <w:tc>
          <w:tcPr>
            <w:tcW w:w="12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20" w:type="dxa"/>
            <w:vAlign w:val="bottom"/>
          </w:tcPr>
          <w:p>
            <w:pPr>
              <w:ind w:left="140"/>
              <w:spacing w:after="0" w:line="123" w:lineRule="exact"/>
              <w:rPr>
                <w:sz w:val="20"/>
                <w:szCs w:val="20"/>
                <w:color w:val="auto"/>
              </w:rPr>
            </w:pPr>
            <w:r>
              <w:rPr>
                <w:rFonts w:ascii="Arial" w:cs="Arial" w:eastAsia="Arial" w:hAnsi="Arial"/>
                <w:sz w:val="14"/>
                <w:szCs w:val="14"/>
                <w:color w:val="auto"/>
                <w:w w:val="96"/>
              </w:rPr>
              <w:t>an outdoor retail center located in a suburb of Sydney. The center is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currently comprised of approximately 519,000 square feet of land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4"/>
              </w:rPr>
              <w:t>and 92,000 square feet of net rentable area, serviced by a 721-space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subterranean parking garage.  In 2018, we added to the center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8"/>
              </w:rPr>
              <w:t>approximately 21,000 square feet of land currently improved with 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5"/>
              </w:rPr>
              <w:t>17,000 square feet telephone exchange and office building, rented to</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3"/>
              </w:rPr>
              <w:t>Telstra through July 2022, and over the past two years have added an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6"/>
              </w:rPr>
              <w:t>additional 15,000 rentable square feet of fully leased restaurant and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retail space.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w w:val="95"/>
              </w:rPr>
              <w:t>As of December 31, 2020, the lease occupancy rate for this property</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was 79%.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In the first quarter 2021, the Company decided to market this</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property for sale.  We plan to lease back and retain the Reading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Cinema at this location.</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2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tcPr>
          <w:p>
            <w:pPr>
              <w:jc w:val="center"/>
              <w:ind w:left="289"/>
              <w:spacing w:after="0" w:line="129" w:lineRule="exact"/>
              <w:rPr>
                <w:sz w:val="20"/>
                <w:szCs w:val="20"/>
                <w:color w:val="auto"/>
              </w:rPr>
            </w:pPr>
            <w:r>
              <w:rPr>
                <w:rFonts w:ascii="Arial" w:cs="Arial" w:eastAsia="Arial" w:hAnsi="Arial"/>
                <w:sz w:val="14"/>
                <w:szCs w:val="14"/>
                <w:color w:val="auto"/>
                <w:w w:val="95"/>
              </w:rPr>
              <w:t>Australia</w:t>
            </w:r>
          </w:p>
        </w:tc>
        <w:tc>
          <w:tcPr>
            <w:tcW w:w="4220" w:type="dxa"/>
            <w:vAlign w:val="bottom"/>
          </w:tcPr>
          <w:p>
            <w:pPr>
              <w:ind w:left="140"/>
              <w:spacing w:after="0" w:line="129" w:lineRule="exact"/>
              <w:rPr>
                <w:sz w:val="20"/>
                <w:szCs w:val="20"/>
                <w:color w:val="auto"/>
              </w:rPr>
            </w:pPr>
            <w:r>
              <w:rPr>
                <w:rFonts w:ascii="Arial" w:cs="Arial" w:eastAsia="Arial" w:hAnsi="Arial"/>
                <w:sz w:val="14"/>
                <w:szCs w:val="14"/>
                <w:color w:val="auto"/>
              </w:rPr>
              <w:t xml:space="preserve">Anchored by our six-screen Reading Cinemas, </w:t>
            </w:r>
            <w:r>
              <w:rPr>
                <w:rFonts w:ascii="Arial" w:cs="Arial" w:eastAsia="Arial" w:hAnsi="Arial"/>
                <w:sz w:val="14"/>
                <w:szCs w:val="14"/>
                <w:b w:val="1"/>
                <w:bCs w:val="1"/>
                <w:color w:val="auto"/>
              </w:rPr>
              <w:t>Cannon Park</w:t>
            </w:r>
            <w:r>
              <w:rPr>
                <w:rFonts w:ascii="Arial" w:cs="Arial" w:eastAsia="Arial" w:hAnsi="Arial"/>
                <w:sz w:val="14"/>
                <w:szCs w:val="14"/>
                <w:color w:val="auto"/>
              </w:rPr>
              <w:t xml:space="preserve"> is</w:t>
            </w:r>
          </w:p>
        </w:tc>
        <w:tc>
          <w:tcPr>
            <w:tcW w:w="1720" w:type="dxa"/>
            <w:vAlign w:val="bottom"/>
            <w:gridSpan w:val="12"/>
          </w:tcPr>
          <w:p>
            <w:pPr>
              <w:jc w:val="center"/>
              <w:ind w:right="100"/>
              <w:spacing w:after="0" w:line="129" w:lineRule="exact"/>
              <w:rPr>
                <w:sz w:val="20"/>
                <w:szCs w:val="20"/>
                <w:color w:val="auto"/>
              </w:rPr>
            </w:pPr>
            <w:r>
              <w:rPr>
                <w:rFonts w:ascii="Arial" w:cs="Arial" w:eastAsia="Arial" w:hAnsi="Arial"/>
                <w:sz w:val="14"/>
                <w:szCs w:val="14"/>
                <w:color w:val="0000FF"/>
                <w:w w:val="94"/>
              </w:rPr>
              <w:t>Cannon Park Townsville</w:t>
            </w:r>
          </w:p>
        </w:tc>
        <w:tc>
          <w:tcPr>
            <w:tcW w:w="0" w:type="dxa"/>
            <w:vAlign w:val="bottom"/>
          </w:tcPr>
          <w:p>
            <w:pPr>
              <w:spacing w:after="0"/>
              <w:rPr>
                <w:sz w:val="1"/>
                <w:szCs w:val="1"/>
                <w:color w:val="auto"/>
              </w:rPr>
            </w:pPr>
          </w:p>
        </w:tc>
      </w:tr>
      <w:tr>
        <w:trPr>
          <w:trHeight w:val="123"/>
        </w:trPr>
        <w:tc>
          <w:tcPr>
            <w:tcW w:w="12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20" w:type="dxa"/>
            <w:vAlign w:val="bottom"/>
          </w:tcPr>
          <w:p>
            <w:pPr>
              <w:ind w:left="140"/>
              <w:spacing w:after="0" w:line="123" w:lineRule="exact"/>
              <w:rPr>
                <w:sz w:val="20"/>
                <w:szCs w:val="20"/>
                <w:color w:val="auto"/>
              </w:rPr>
            </w:pPr>
            <w:r>
              <w:rPr>
                <w:rFonts w:ascii="Arial" w:cs="Arial" w:eastAsia="Arial" w:hAnsi="Arial"/>
                <w:sz w:val="14"/>
                <w:szCs w:val="14"/>
                <w:color w:val="auto"/>
              </w:rPr>
              <w:t>located in Townsville, Australia, and is currently comprised of</w:t>
            </w:r>
          </w:p>
        </w:tc>
        <w:tc>
          <w:tcPr>
            <w:tcW w:w="100" w:type="dxa"/>
            <w:vAlign w:val="bottom"/>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w w:val="96"/>
              </w:rPr>
              <w:t>408,000 square feet of land and 105,000 square feet of net rentable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area.</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w w:val="95"/>
              </w:rPr>
              <w:t>As of December 31, 2020, the lease occupancy rate for this property</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was 94%.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12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tcPr>
          <w:p>
            <w:pPr>
              <w:jc w:val="center"/>
              <w:ind w:left="289"/>
              <w:spacing w:after="0" w:line="129" w:lineRule="exact"/>
              <w:rPr>
                <w:sz w:val="20"/>
                <w:szCs w:val="20"/>
                <w:color w:val="auto"/>
              </w:rPr>
            </w:pPr>
            <w:r>
              <w:rPr>
                <w:rFonts w:ascii="Arial" w:cs="Arial" w:eastAsia="Arial" w:hAnsi="Arial"/>
                <w:sz w:val="14"/>
                <w:szCs w:val="14"/>
                <w:color w:val="auto"/>
                <w:w w:val="95"/>
              </w:rPr>
              <w:t>Australia</w:t>
            </w:r>
          </w:p>
        </w:tc>
        <w:tc>
          <w:tcPr>
            <w:tcW w:w="4220" w:type="dxa"/>
            <w:vAlign w:val="bottom"/>
          </w:tcPr>
          <w:p>
            <w:pPr>
              <w:ind w:left="140"/>
              <w:spacing w:after="0" w:line="129" w:lineRule="exact"/>
              <w:rPr>
                <w:sz w:val="20"/>
                <w:szCs w:val="20"/>
                <w:color w:val="auto"/>
              </w:rPr>
            </w:pPr>
            <w:r>
              <w:rPr>
                <w:rFonts w:ascii="Arial" w:cs="Arial" w:eastAsia="Arial" w:hAnsi="Arial"/>
                <w:sz w:val="14"/>
                <w:szCs w:val="14"/>
                <w:color w:val="auto"/>
                <w:w w:val="96"/>
              </w:rPr>
              <w:t>Anchored by our 10-screen Reading Cinemas and four F&amp;B or retail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10"/>
          </w:tcPr>
          <w:p>
            <w:pPr>
              <w:jc w:val="center"/>
              <w:ind w:right="240"/>
              <w:spacing w:after="0" w:line="129" w:lineRule="exact"/>
              <w:rPr>
                <w:sz w:val="20"/>
                <w:szCs w:val="20"/>
                <w:color w:val="auto"/>
              </w:rPr>
            </w:pPr>
            <w:r>
              <w:rPr>
                <w:rFonts w:ascii="Arial" w:cs="Arial" w:eastAsia="Arial" w:hAnsi="Arial"/>
                <w:sz w:val="14"/>
                <w:szCs w:val="14"/>
                <w:color w:val="0000FF"/>
                <w:w w:val="94"/>
              </w:rPr>
              <w:t>The Belmont Common</w:t>
            </w:r>
          </w:p>
        </w:tc>
        <w:tc>
          <w:tcPr>
            <w:tcW w:w="0" w:type="dxa"/>
            <w:vAlign w:val="bottom"/>
          </w:tcPr>
          <w:p>
            <w:pPr>
              <w:spacing w:after="0"/>
              <w:rPr>
                <w:sz w:val="1"/>
                <w:szCs w:val="1"/>
                <w:color w:val="auto"/>
              </w:rPr>
            </w:pPr>
          </w:p>
        </w:tc>
      </w:tr>
      <w:tr>
        <w:trPr>
          <w:trHeight w:val="123"/>
        </w:trPr>
        <w:tc>
          <w:tcPr>
            <w:tcW w:w="12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20" w:type="dxa"/>
            <w:vAlign w:val="bottom"/>
          </w:tcPr>
          <w:p>
            <w:pPr>
              <w:ind w:left="140"/>
              <w:spacing w:after="0" w:line="123" w:lineRule="exact"/>
              <w:rPr>
                <w:sz w:val="20"/>
                <w:szCs w:val="20"/>
                <w:color w:val="auto"/>
              </w:rPr>
            </w:pPr>
            <w:r>
              <w:rPr>
                <w:rFonts w:ascii="Arial" w:cs="Arial" w:eastAsia="Arial" w:hAnsi="Arial"/>
                <w:sz w:val="14"/>
                <w:szCs w:val="14"/>
                <w:color w:val="auto"/>
                <w:w w:val="95"/>
              </w:rPr>
              <w:t xml:space="preserve">tenancies, </w:t>
            </w:r>
            <w:r>
              <w:rPr>
                <w:rFonts w:ascii="Arial" w:cs="Arial" w:eastAsia="Arial" w:hAnsi="Arial"/>
                <w:sz w:val="14"/>
                <w:szCs w:val="14"/>
                <w:b w:val="1"/>
                <w:bCs w:val="1"/>
                <w:color w:val="auto"/>
                <w:w w:val="95"/>
              </w:rPr>
              <w:t>The Belmont Common</w:t>
            </w:r>
            <w:r>
              <w:rPr>
                <w:rFonts w:ascii="Arial" w:cs="Arial" w:eastAsia="Arial" w:hAnsi="Arial"/>
                <w:sz w:val="14"/>
                <w:szCs w:val="14"/>
                <w:color w:val="auto"/>
                <w:w w:val="95"/>
              </w:rPr>
              <w:t xml:space="preserve"> is located in Perth, Australia, 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is currently comprised of 103,000 square feet of land and 15,000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square feet of net rentable area.</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w w:val="95"/>
              </w:rPr>
              <w:t>As of December 31, 2020, the lease occupancy rate for this property</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was 87%.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50800</wp:posOffset>
            </wp:positionV>
            <wp:extent cx="63690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-6129655</wp:posOffset>
            </wp:positionV>
            <wp:extent cx="1259840"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9840" cy="38608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-5504180</wp:posOffset>
            </wp:positionV>
            <wp:extent cx="934085" cy="883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085" cy="8832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-4029075</wp:posOffset>
            </wp:positionV>
            <wp:extent cx="1465580"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5580" cy="48831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-2374900</wp:posOffset>
            </wp:positionV>
            <wp:extent cx="155130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3257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-1217930</wp:posOffset>
            </wp:positionV>
            <wp:extent cx="1414145"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36830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-574675</wp:posOffset>
            </wp:positionV>
            <wp:extent cx="1105535"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5535" cy="53149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6"/>
        </w:trPr>
        <w:tc>
          <w:tcPr>
            <w:tcW w:w="16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Business Segment /</w:t>
            </w:r>
          </w:p>
        </w:tc>
        <w:tc>
          <w:tcPr>
            <w:tcW w:w="2380" w:type="dxa"/>
            <w:vAlign w:val="bottom"/>
            <w:tcBorders>
              <w:top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Our Commercial Brands</w:t>
            </w:r>
          </w:p>
        </w:tc>
        <w:tc>
          <w:tcPr>
            <w:tcW w:w="1340" w:type="dxa"/>
            <w:vAlign w:val="bottom"/>
            <w:tcBorders>
              <w:top w:val="single" w:sz="8" w:color="auto"/>
            </w:tcBorders>
            <w:vMerge w:val="restart"/>
          </w:tcPr>
          <w:p>
            <w:pPr>
              <w:jc w:val="center"/>
              <w:ind w:left="268"/>
              <w:spacing w:after="0"/>
              <w:rPr>
                <w:sz w:val="20"/>
                <w:szCs w:val="20"/>
                <w:color w:val="auto"/>
              </w:rPr>
            </w:pPr>
            <w:r>
              <w:rPr>
                <w:rFonts w:ascii="Arial" w:cs="Arial" w:eastAsia="Arial" w:hAnsi="Arial"/>
                <w:sz w:val="14"/>
                <w:szCs w:val="14"/>
                <w:b w:val="1"/>
                <w:bCs w:val="1"/>
                <w:color w:val="auto"/>
                <w:w w:val="96"/>
              </w:rPr>
              <w:t>Country</w:t>
            </w:r>
          </w:p>
        </w:tc>
        <w:tc>
          <w:tcPr>
            <w:tcW w:w="4240" w:type="dxa"/>
            <w:vAlign w:val="bottom"/>
            <w:tcBorders>
              <w:top w:val="single" w:sz="8" w:color="auto"/>
            </w:tcBorders>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Website Link</w:t>
            </w:r>
          </w:p>
        </w:tc>
        <w:tc>
          <w:tcPr>
            <w:tcW w:w="0" w:type="dxa"/>
            <w:vAlign w:val="bottom"/>
          </w:tcPr>
          <w:p>
            <w:pPr>
              <w:spacing w:after="0"/>
              <w:rPr>
                <w:sz w:val="1"/>
                <w:szCs w:val="1"/>
                <w:color w:val="auto"/>
              </w:rPr>
            </w:pPr>
          </w:p>
        </w:tc>
      </w:tr>
      <w:tr>
        <w:trPr>
          <w:trHeight w:val="105"/>
        </w:trPr>
        <w:tc>
          <w:tcPr>
            <w:tcW w:w="16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w:t>
            </w:r>
          </w:p>
        </w:tc>
        <w:tc>
          <w:tcPr>
            <w:tcW w:w="23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4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40" w:type="dxa"/>
            <w:vAlign w:val="bottom"/>
          </w:tcPr>
          <w:p>
            <w:pPr>
              <w:jc w:val="center"/>
              <w:ind w:left="268"/>
              <w:spacing w:after="0" w:line="135" w:lineRule="exact"/>
              <w:rPr>
                <w:sz w:val="20"/>
                <w:szCs w:val="20"/>
                <w:color w:val="auto"/>
              </w:rPr>
            </w:pPr>
            <w:r>
              <w:rPr>
                <w:rFonts w:ascii="Arial" w:cs="Arial" w:eastAsia="Arial" w:hAnsi="Arial"/>
                <w:sz w:val="14"/>
                <w:szCs w:val="14"/>
                <w:color w:val="auto"/>
                <w:w w:val="92"/>
              </w:rPr>
              <w:t>New Zealand</w:t>
            </w:r>
          </w:p>
        </w:tc>
        <w:tc>
          <w:tcPr>
            <w:tcW w:w="4240" w:type="dxa"/>
            <w:vAlign w:val="bottom"/>
          </w:tcPr>
          <w:p>
            <w:pPr>
              <w:ind w:left="120"/>
              <w:spacing w:after="0" w:line="135" w:lineRule="exact"/>
              <w:rPr>
                <w:sz w:val="20"/>
                <w:szCs w:val="20"/>
                <w:color w:val="auto"/>
              </w:rPr>
            </w:pPr>
            <w:r>
              <w:rPr>
                <w:rFonts w:ascii="Arial" w:cs="Arial" w:eastAsia="Arial" w:hAnsi="Arial"/>
                <w:sz w:val="14"/>
                <w:szCs w:val="14"/>
                <w:color w:val="auto"/>
              </w:rPr>
              <w:t>Located in the heart of Wellington – New Zealand’s capital city –</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4"/>
                <w:szCs w:val="14"/>
                <w:color w:val="0000FF"/>
                <w:w w:val="93"/>
              </w:rPr>
              <w:t>Courtenay Central</w:t>
            </w:r>
          </w:p>
        </w:tc>
        <w:tc>
          <w:tcPr>
            <w:tcW w:w="0" w:type="dxa"/>
            <w:vAlign w:val="bottom"/>
          </w:tcPr>
          <w:p>
            <w:pPr>
              <w:spacing w:after="0"/>
              <w:rPr>
                <w:sz w:val="1"/>
                <w:szCs w:val="1"/>
                <w:color w:val="auto"/>
              </w:rPr>
            </w:pPr>
          </w:p>
        </w:tc>
      </w:tr>
      <w:tr>
        <w:trPr>
          <w:trHeight w:val="123"/>
        </w:trPr>
        <w:tc>
          <w:tcPr>
            <w:tcW w:w="16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40" w:type="dxa"/>
            <w:vAlign w:val="bottom"/>
          </w:tcPr>
          <w:p>
            <w:pPr>
              <w:ind w:left="120"/>
              <w:spacing w:after="0" w:line="123" w:lineRule="exact"/>
              <w:rPr>
                <w:sz w:val="20"/>
                <w:szCs w:val="20"/>
                <w:color w:val="auto"/>
              </w:rPr>
            </w:pPr>
            <w:r>
              <w:rPr>
                <w:rFonts w:ascii="Arial" w:cs="Arial" w:eastAsia="Arial" w:hAnsi="Arial"/>
                <w:sz w:val="14"/>
                <w:szCs w:val="14"/>
                <w:color w:val="auto"/>
              </w:rPr>
              <w:t>this center is comprised, on a consolidated basis through various</w:t>
            </w:r>
          </w:p>
        </w:tc>
        <w:tc>
          <w:tcPr>
            <w:tcW w:w="200" w:type="dxa"/>
            <w:vAlign w:val="bottom"/>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5" w:lineRule="exact"/>
              <w:rPr>
                <w:sz w:val="20"/>
                <w:szCs w:val="20"/>
                <w:color w:val="auto"/>
              </w:rPr>
            </w:pPr>
            <w:r>
              <w:rPr>
                <w:rFonts w:ascii="Arial" w:cs="Arial" w:eastAsia="Arial" w:hAnsi="Arial"/>
                <w:sz w:val="14"/>
                <w:szCs w:val="14"/>
                <w:color w:val="auto"/>
              </w:rPr>
              <w:t>subsidiaries, of 161,000 square feet of land, including two parking</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40" w:type="dxa"/>
            <w:vAlign w:val="bottom"/>
          </w:tcPr>
          <w:p>
            <w:pPr>
              <w:ind w:left="120"/>
              <w:spacing w:after="0" w:line="153" w:lineRule="exact"/>
              <w:rPr>
                <w:sz w:val="20"/>
                <w:szCs w:val="20"/>
                <w:color w:val="auto"/>
              </w:rPr>
            </w:pPr>
            <w:r>
              <w:rPr>
                <w:rFonts w:ascii="Arial" w:cs="Arial" w:eastAsia="Arial" w:hAnsi="Arial"/>
                <w:sz w:val="14"/>
                <w:szCs w:val="14"/>
                <w:color w:val="auto"/>
              </w:rPr>
              <w:t xml:space="preserve">lot parcels totaling 84,184 square feet. </w:t>
            </w:r>
            <w:r>
              <w:rPr>
                <w:rFonts w:ascii="Arial" w:cs="Arial" w:eastAsia="Arial" w:hAnsi="Arial"/>
                <w:sz w:val="14"/>
                <w:szCs w:val="14"/>
                <w:b w:val="1"/>
                <w:bCs w:val="1"/>
                <w:color w:val="auto"/>
              </w:rPr>
              <w:t>Courtenay Central</w:t>
            </w:r>
            <w:r>
              <w:rPr>
                <w:rFonts w:ascii="Arial" w:cs="Arial" w:eastAsia="Arial" w:hAnsi="Arial"/>
                <w:sz w:val="14"/>
                <w:szCs w:val="14"/>
                <w:color w:val="auto"/>
              </w:rPr>
              <w:t xml:space="preserve"> is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situated proximate to the Te Papa Tongarewa Museum (attracting</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over 1.5 million visitors annually, pre-COVID), across the street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from the site of the new convention center being constructed to</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w w:val="97"/>
              </w:rPr>
              <w:t>handle the demand for such space in Wellington (estimated to open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its doors in 2023) and at a major public transit hub. Damage from</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the 2016 earthquake necessitated demolition of our nine-story</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w w:val="96"/>
              </w:rPr>
              <w:t>parking garage at the site. In January 2019, unrelated seismic issues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caused us to close major portions of the existing cinema and retail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structure while we reevaluate the center for future redevelopment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as an entertainment themed urban center with potentially a major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20"/>
              <w:spacing w:after="0"/>
              <w:rPr>
                <w:sz w:val="20"/>
                <w:szCs w:val="20"/>
                <w:color w:val="auto"/>
              </w:rPr>
            </w:pPr>
            <w:r>
              <w:rPr>
                <w:rFonts w:ascii="Arial" w:cs="Arial" w:eastAsia="Arial" w:hAnsi="Arial"/>
                <w:sz w:val="14"/>
                <w:szCs w:val="14"/>
                <w:color w:val="auto"/>
              </w:rPr>
              <w:t>food and grocery component.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240" w:type="dxa"/>
            <w:vAlign w:val="bottom"/>
          </w:tcPr>
          <w:p>
            <w:pPr>
              <w:ind w:left="120"/>
              <w:spacing w:after="0"/>
              <w:rPr>
                <w:sz w:val="20"/>
                <w:szCs w:val="20"/>
                <w:color w:val="auto"/>
              </w:rPr>
            </w:pPr>
            <w:r>
              <w:rPr>
                <w:rFonts w:ascii="Arial" w:cs="Arial" w:eastAsia="Arial" w:hAnsi="Arial"/>
                <w:sz w:val="14"/>
                <w:szCs w:val="14"/>
                <w:color w:val="auto"/>
              </w:rPr>
              <w:t>Wellington continues to be rated as one of the top cities in the</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w w:val="99"/>
              </w:rPr>
              <w:t>world in which to live, and we continue to believe that our assets in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Wellington are located in one of the most vibrant areas of New</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20"/>
              <w:spacing w:after="0"/>
              <w:rPr>
                <w:sz w:val="20"/>
                <w:szCs w:val="20"/>
                <w:color w:val="auto"/>
              </w:rPr>
            </w:pPr>
            <w:r>
              <w:rPr>
                <w:rFonts w:ascii="Arial" w:cs="Arial" w:eastAsia="Arial" w:hAnsi="Arial"/>
                <w:sz w:val="14"/>
                <w:szCs w:val="14"/>
                <w:color w:val="auto"/>
              </w:rPr>
              <w:t>Zealand.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6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 xml:space="preserve">Real Estate </w:t>
            </w:r>
            <w:r>
              <w:rPr>
                <w:rFonts w:ascii="Arial" w:cs="Arial" w:eastAsia="Arial" w:hAnsi="Arial"/>
                <w:sz w:val="14"/>
                <w:szCs w:val="14"/>
                <w:color w:val="auto"/>
              </w:rPr>
              <w:t>/ Live</w:t>
            </w:r>
          </w:p>
        </w:tc>
        <w:tc>
          <w:tcPr>
            <w:tcW w:w="2380" w:type="dxa"/>
            <w:vAlign w:val="bottom"/>
          </w:tcPr>
          <w:p>
            <w:pPr>
              <w:spacing w:after="0"/>
              <w:rPr>
                <w:sz w:val="11"/>
                <w:szCs w:val="11"/>
                <w:color w:val="auto"/>
              </w:rPr>
            </w:pPr>
          </w:p>
        </w:tc>
        <w:tc>
          <w:tcPr>
            <w:tcW w:w="1340" w:type="dxa"/>
            <w:vAlign w:val="bottom"/>
          </w:tcPr>
          <w:p>
            <w:pPr>
              <w:jc w:val="center"/>
              <w:ind w:left="268"/>
              <w:spacing w:after="0" w:line="129" w:lineRule="exact"/>
              <w:rPr>
                <w:sz w:val="20"/>
                <w:szCs w:val="20"/>
                <w:color w:val="auto"/>
              </w:rPr>
            </w:pPr>
            <w:r>
              <w:rPr>
                <w:rFonts w:ascii="Arial" w:cs="Arial" w:eastAsia="Arial" w:hAnsi="Arial"/>
                <w:sz w:val="14"/>
                <w:szCs w:val="14"/>
                <w:color w:val="auto"/>
                <w:w w:val="90"/>
              </w:rPr>
              <w:t>United States</w:t>
            </w:r>
          </w:p>
        </w:tc>
        <w:tc>
          <w:tcPr>
            <w:tcW w:w="4240" w:type="dxa"/>
            <w:vAlign w:val="bottom"/>
          </w:tcPr>
          <w:p>
            <w:pPr>
              <w:ind w:left="120"/>
              <w:spacing w:after="0" w:line="129" w:lineRule="exact"/>
              <w:rPr>
                <w:sz w:val="20"/>
                <w:szCs w:val="20"/>
                <w:color w:val="auto"/>
              </w:rPr>
            </w:pPr>
            <w:r>
              <w:rPr>
                <w:rFonts w:ascii="Arial" w:cs="Arial" w:eastAsia="Arial" w:hAnsi="Arial"/>
                <w:sz w:val="14"/>
                <w:szCs w:val="14"/>
                <w:color w:val="auto"/>
              </w:rPr>
              <w:t>We operate three off-Broadway live theatres, one in Chicago and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3"/>
          </w:tcPr>
          <w:p>
            <w:pPr>
              <w:jc w:val="center"/>
              <w:ind w:right="460"/>
              <w:spacing w:after="0" w:line="129" w:lineRule="exact"/>
              <w:rPr>
                <w:sz w:val="20"/>
                <w:szCs w:val="20"/>
                <w:color w:val="auto"/>
              </w:rPr>
            </w:pPr>
            <w:r>
              <w:rPr>
                <w:rFonts w:ascii="Arial" w:cs="Arial" w:eastAsia="Arial" w:hAnsi="Arial"/>
                <w:sz w:val="14"/>
                <w:szCs w:val="14"/>
                <w:color w:val="0000FF"/>
                <w:w w:val="92"/>
              </w:rPr>
              <w:t>Liberty Theatres</w:t>
            </w:r>
          </w:p>
        </w:tc>
        <w:tc>
          <w:tcPr>
            <w:tcW w:w="0" w:type="dxa"/>
            <w:vAlign w:val="bottom"/>
          </w:tcPr>
          <w:p>
            <w:pPr>
              <w:spacing w:after="0"/>
              <w:rPr>
                <w:sz w:val="1"/>
                <w:szCs w:val="1"/>
                <w:color w:val="auto"/>
              </w:rPr>
            </w:pPr>
          </w:p>
        </w:tc>
      </w:tr>
      <w:tr>
        <w:trPr>
          <w:trHeight w:val="123"/>
        </w:trPr>
        <w:tc>
          <w:tcPr>
            <w:tcW w:w="1620" w:type="dxa"/>
            <w:vAlign w:val="bottom"/>
          </w:tcPr>
          <w:p>
            <w:pPr>
              <w:ind w:left="20"/>
              <w:spacing w:after="0" w:line="123" w:lineRule="exact"/>
              <w:rPr>
                <w:sz w:val="20"/>
                <w:szCs w:val="20"/>
                <w:color w:val="auto"/>
              </w:rPr>
            </w:pPr>
            <w:r>
              <w:rPr>
                <w:rFonts w:ascii="Arial" w:cs="Arial" w:eastAsia="Arial" w:hAnsi="Arial"/>
                <w:sz w:val="14"/>
                <w:szCs w:val="14"/>
                <w:color w:val="auto"/>
              </w:rPr>
              <w:t>Theatre</w:t>
            </w:r>
          </w:p>
        </w:tc>
        <w:tc>
          <w:tcPr>
            <w:tcW w:w="2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40" w:type="dxa"/>
            <w:vAlign w:val="bottom"/>
          </w:tcPr>
          <w:p>
            <w:pPr>
              <w:ind w:left="120"/>
              <w:spacing w:after="0" w:line="123" w:lineRule="exact"/>
              <w:rPr>
                <w:sz w:val="20"/>
                <w:szCs w:val="20"/>
                <w:color w:val="auto"/>
              </w:rPr>
            </w:pPr>
            <w:r>
              <w:rPr>
                <w:rFonts w:ascii="Arial" w:cs="Arial" w:eastAsia="Arial" w:hAnsi="Arial"/>
                <w:sz w:val="14"/>
                <w:szCs w:val="14"/>
                <w:color w:val="auto"/>
              </w:rPr>
              <w:t xml:space="preserve">two in Manhattan, under the </w:t>
            </w:r>
            <w:r>
              <w:rPr>
                <w:rFonts w:ascii="Arial" w:cs="Arial" w:eastAsia="Arial" w:hAnsi="Arial"/>
                <w:sz w:val="14"/>
                <w:szCs w:val="14"/>
                <w:b w:val="1"/>
                <w:bCs w:val="1"/>
                <w:color w:val="auto"/>
              </w:rPr>
              <w:t>Liberty Theatres</w:t>
            </w:r>
            <w:r>
              <w:rPr>
                <w:rFonts w:ascii="Arial" w:cs="Arial" w:eastAsia="Arial" w:hAnsi="Arial"/>
                <w:sz w:val="14"/>
                <w:szCs w:val="14"/>
                <w:color w:val="auto"/>
              </w:rPr>
              <w:t xml:space="preserve"> tradename.  In</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2018, we entered a license with Audible, a subsidiary of Amazon,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pursuant to which our Minetta Lane Theatre serves as Audible’s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20"/>
              <w:spacing w:after="0"/>
              <w:rPr>
                <w:sz w:val="20"/>
                <w:szCs w:val="20"/>
                <w:color w:val="auto"/>
              </w:rPr>
            </w:pPr>
            <w:r>
              <w:rPr>
                <w:rFonts w:ascii="Arial" w:cs="Arial" w:eastAsia="Arial" w:hAnsi="Arial"/>
                <w:sz w:val="14"/>
                <w:szCs w:val="14"/>
                <w:color w:val="auto"/>
              </w:rPr>
              <w:t>live theatre home in New York City.</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240" w:type="dxa"/>
            <w:vAlign w:val="bottom"/>
          </w:tcPr>
          <w:p>
            <w:pPr>
              <w:ind w:left="120"/>
              <w:spacing w:after="0"/>
              <w:rPr>
                <w:sz w:val="20"/>
                <w:szCs w:val="20"/>
                <w:color w:val="auto"/>
              </w:rPr>
            </w:pPr>
            <w:r>
              <w:rPr>
                <w:rFonts w:ascii="Arial" w:cs="Arial" w:eastAsia="Arial" w:hAnsi="Arial"/>
                <w:sz w:val="14"/>
                <w:szCs w:val="14"/>
                <w:color w:val="auto"/>
                <w:w w:val="99"/>
              </w:rPr>
              <w:t>In the first quarter 2021, the Company decided to market the Royal</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tcPr>
          <w:p>
            <w:pPr>
              <w:ind w:left="120"/>
              <w:spacing w:after="0"/>
              <w:rPr>
                <w:sz w:val="20"/>
                <w:szCs w:val="20"/>
                <w:color w:val="auto"/>
              </w:rPr>
            </w:pPr>
            <w:r>
              <w:rPr>
                <w:rFonts w:ascii="Arial" w:cs="Arial" w:eastAsia="Arial" w:hAnsi="Arial"/>
                <w:sz w:val="14"/>
                <w:szCs w:val="14"/>
                <w:color w:val="auto"/>
              </w:rPr>
              <w:t>George for sale.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-2142490</wp:posOffset>
            </wp:positionV>
            <wp:extent cx="1354455" cy="52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15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synergistically bring together cinema-based entertainment and real estate and believe that these two business segments complement one another, as our cinemas have historically provided the steady cash flows that allow us to be opportunistic in acquiring and holding long-term real estate assets (including non-income producing land) and support our real estate development activities. Our real estate allows us to develop an asset base that we believe will stand the test of time and one that can provide financial leverage and, if needed, during times such as the recent pandemic, a funding source to reduce debt and meet operating costs. More specifically, the combination of these two segments provides a variety of business advantages including the following:</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Diversification of our Risk Profile and Enhanced Flexibility in meeting our Cash Needs</w:t>
      </w:r>
      <w:r>
        <w:rPr>
          <w:rFonts w:ascii="Arial" w:cs="Arial" w:eastAsia="Arial" w:hAnsi="Arial"/>
          <w:sz w:val="16"/>
          <w:szCs w:val="16"/>
          <w:color w:val="auto"/>
        </w:rPr>
        <w:t>. We believe that our real estate base provides us with the</w:t>
      </w:r>
    </w:p>
    <w:p>
      <w:pPr>
        <w:spacing w:after="0" w:line="35" w:lineRule="exact"/>
        <w:rPr>
          <w:sz w:val="20"/>
          <w:szCs w:val="20"/>
          <w:color w:val="auto"/>
        </w:rPr>
      </w:pPr>
    </w:p>
    <w:p>
      <w:pPr>
        <w:ind w:left="660" w:right="140"/>
        <w:spacing w:after="0" w:line="238" w:lineRule="auto"/>
        <w:rPr>
          <w:sz w:val="20"/>
          <w:szCs w:val="20"/>
          <w:color w:val="auto"/>
        </w:rPr>
      </w:pPr>
      <w:r>
        <w:rPr>
          <w:rFonts w:ascii="Arial" w:cs="Arial" w:eastAsia="Arial" w:hAnsi="Arial"/>
          <w:sz w:val="17"/>
          <w:szCs w:val="17"/>
          <w:color w:val="auto"/>
        </w:rPr>
        <w:t>flexibility to raise additional liquidity through one, or a combination of mortgage based borrowing, sale and leaseback transactions and/or sale. Real-estate backed loans typically allow higher leverage of cash flows than operating loans secured by cinema assets, and the underlying assets themselves provide us a more ready source of liquidity through sale than traditional cinema assets. Strategic asset sales has formed a part of our COVID-19 response strategy as evidenced by our strategic sale of our Coachella and Manukau land holdings and the listing for sale of our Royal George Theatre and our Auburn Redyard property, each as discussed in the previous section.</w:t>
      </w:r>
    </w:p>
    <w:p>
      <w:pPr>
        <w:spacing w:after="0" w:line="41" w:lineRule="exact"/>
        <w:rPr>
          <w:sz w:val="20"/>
          <w:szCs w:val="20"/>
          <w:color w:val="auto"/>
        </w:rPr>
      </w:pPr>
    </w:p>
    <w:p>
      <w:pPr>
        <w:ind w:left="660" w:right="240"/>
        <w:spacing w:after="0" w:line="266" w:lineRule="auto"/>
        <w:rPr>
          <w:sz w:val="20"/>
          <w:szCs w:val="20"/>
          <w:color w:val="auto"/>
        </w:rPr>
      </w:pPr>
      <w:r>
        <w:rPr>
          <w:rFonts w:ascii="Arial" w:cs="Arial" w:eastAsia="Arial" w:hAnsi="Arial"/>
          <w:sz w:val="16"/>
          <w:szCs w:val="16"/>
          <w:i w:val="1"/>
          <w:iCs w:val="1"/>
          <w:color w:val="auto"/>
        </w:rPr>
        <w:t>Enhanced Control over our own Destiny</w:t>
      </w:r>
      <w:r>
        <w:rPr>
          <w:rFonts w:ascii="Arial" w:cs="Arial" w:eastAsia="Arial" w:hAnsi="Arial"/>
          <w:sz w:val="16"/>
          <w:szCs w:val="16"/>
          <w:color w:val="auto"/>
        </w:rPr>
        <w:t>. Some exhibitors are finding their cinemas stranded in dead or dying centers. In our entertainment-themed centers, or “ETCs”, we are better able as exhibitors to control this risk and, as landlords, to realize the benefits of the synergies between entertainment and retail. In our five ETCs, we have focused on creating and developing a mix of lifestyle tenancies that, we believe, are less vulnerable to the “Amazon Effect” being felt by traditional centers and that benefit from the foot traffic generated by our cinemas. We are focusing on creating a collaborative marketing environment – a community that benefits both our cinema operations and our other tenants.</w:t>
      </w:r>
    </w:p>
    <w:p>
      <w:pPr>
        <w:spacing w:after="0" w:line="33" w:lineRule="exact"/>
        <w:rPr>
          <w:sz w:val="20"/>
          <w:szCs w:val="20"/>
          <w:color w:val="auto"/>
        </w:rPr>
      </w:pPr>
    </w:p>
    <w:p>
      <w:pPr>
        <w:jc w:val="both"/>
        <w:ind w:left="660" w:right="140"/>
        <w:spacing w:after="0"/>
        <w:rPr>
          <w:sz w:val="20"/>
          <w:szCs w:val="20"/>
          <w:color w:val="auto"/>
        </w:rPr>
      </w:pPr>
      <w:r>
        <w:rPr>
          <w:rFonts w:ascii="Arial" w:cs="Arial" w:eastAsia="Arial" w:hAnsi="Arial"/>
          <w:sz w:val="18"/>
          <w:szCs w:val="18"/>
          <w:i w:val="1"/>
          <w:iCs w:val="1"/>
          <w:color w:val="auto"/>
        </w:rPr>
        <w:t>Flexibility in Property Use</w:t>
      </w:r>
      <w:r>
        <w:rPr>
          <w:rFonts w:ascii="Arial" w:cs="Arial" w:eastAsia="Arial" w:hAnsi="Arial"/>
          <w:sz w:val="18"/>
          <w:szCs w:val="18"/>
          <w:color w:val="auto"/>
        </w:rPr>
        <w:t>. We are always open to the idea of converting an entertainment property to another use, if there is a higher and better</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the property, or to sell individual assets if an attractive opportunity presents itself. Our 44 Union Square property, which is in the lease-up phase of its redevelopment was initially acquired as an entertainment property.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16"/>
          <w:szCs w:val="16"/>
          <w:i w:val="1"/>
          <w:iCs w:val="1"/>
          <w:color w:val="auto"/>
        </w:rPr>
        <w:t>Reduced Pressure to Deliver Cinema Business Growth; to Grow for Growth’s Sake</w:t>
      </w:r>
      <w:r>
        <w:rPr>
          <w:rFonts w:ascii="Arial" w:cs="Arial" w:eastAsia="Arial" w:hAnsi="Arial"/>
          <w:sz w:val="16"/>
          <w:szCs w:val="16"/>
          <w:color w:val="auto"/>
        </w:rPr>
        <w:t>. Pure cinema operators can encounter financial difficulty as</w:t>
      </w:r>
    </w:p>
    <w:p>
      <w:pPr>
        <w:spacing w:after="0" w:line="35" w:lineRule="exact"/>
        <w:rPr>
          <w:sz w:val="20"/>
          <w:szCs w:val="20"/>
          <w:color w:val="auto"/>
        </w:rPr>
      </w:pPr>
    </w:p>
    <w:p>
      <w:pPr>
        <w:ind w:left="660" w:right="20"/>
        <w:spacing w:after="0" w:line="235" w:lineRule="auto"/>
        <w:rPr>
          <w:sz w:val="20"/>
          <w:szCs w:val="20"/>
          <w:color w:val="auto"/>
        </w:rPr>
      </w:pPr>
      <w:r>
        <w:rPr>
          <w:rFonts w:ascii="Arial" w:cs="Arial" w:eastAsia="Arial" w:hAnsi="Arial"/>
          <w:sz w:val="17"/>
          <w:szCs w:val="17"/>
          <w:color w:val="auto"/>
        </w:rPr>
        <w:t>demands upon them to produce cinema-based earnings growth tempt them into reinvesting their cash flow into increasingly marginal cinema sites, overpaying for existing cinemas or entering into high-rent leases. While we believe that attractive opportunities to acquire cinema assets and/or to develop high-end specialty type theaters in the future will continue to exist, we do not feel pressure to build or acquire cinemas for the sake of adding units or building gross cinema revenues. This strategy has, over the years, allowed us to acquire cinemas at multiples of trailing theater cash flow below those paid by third parties. We intend to focus our use of cash flow on our real estate development and operating activities, to the extent that attractive cinema opportunities are not available to us or that such funds are not needed for reinvestment to maintain our cinemas in a competitive position. In 2020, we invested approximately $8.7 million in the upgrading and repositioning of our historic cinema assets or adding new cinemas, and approximately $6.6 million in the acquisition or development of our non-cinema real estate assets. The impact of the COVID-19 pandemic on our business has postponed or reprioritized most of our capital expenditures based on assessments of conditions and liquidity requirements.</w:t>
      </w:r>
    </w:p>
    <w:p>
      <w:pPr>
        <w:spacing w:after="0" w:line="41" w:lineRule="exact"/>
        <w:rPr>
          <w:sz w:val="20"/>
          <w:szCs w:val="20"/>
          <w:color w:val="auto"/>
        </w:rPr>
      </w:pPr>
    </w:p>
    <w:p>
      <w:pPr>
        <w:ind w:left="660" w:right="280"/>
        <w:spacing w:after="0"/>
        <w:rPr>
          <w:sz w:val="20"/>
          <w:szCs w:val="20"/>
          <w:color w:val="auto"/>
        </w:rPr>
      </w:pPr>
      <w:r>
        <w:rPr>
          <w:rFonts w:ascii="Arial" w:cs="Arial" w:eastAsia="Arial" w:hAnsi="Arial"/>
          <w:sz w:val="18"/>
          <w:szCs w:val="18"/>
          <w:i w:val="1"/>
          <w:iCs w:val="1"/>
          <w:color w:val="auto"/>
        </w:rPr>
        <w:t>The Certainty of Cinema Anchor Tenancies</w:t>
      </w:r>
      <w:r>
        <w:rPr>
          <w:rFonts w:ascii="Arial" w:cs="Arial" w:eastAsia="Arial" w:hAnsi="Arial"/>
          <w:sz w:val="18"/>
          <w:szCs w:val="18"/>
          <w:color w:val="auto"/>
        </w:rPr>
        <w:t>. Cinemas can be used as anchors for larger retail developments such as our “ETCs”,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involvement in the cinema business can give us an advantage over other real estate developers or redevelopers who must identify and negotiate with third-party anchor tenants. We have used cinemas to create our own anchors at our five ETCs.</w:t>
      </w:r>
    </w:p>
    <w:p>
      <w:pPr>
        <w:spacing w:after="0" w:line="14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Insofar as we are aware, we are the only publicly traded company in the world to apply this two-track, synergistic approach to the cinema and real estate development businesses on an international basis. None of the major cinema exhibition companies (other than Marcus Theatres) have any material landholdings as they operate predominantly on a leased-facility model.</w:t>
      </w:r>
    </w:p>
    <w:p>
      <w:pPr>
        <w:spacing w:after="0" w:line="148"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Our hybrid, multi-country strategy emphasizes diversification, and the building of long-term hard asset values. We believe that this business strategy is proving its worth as we have progressed through and are emerging from the current pandemic. We trust that investors will recognize that much of the value we have created is carried at the lower of cost and market value and that while the relative values of the U.S. dollar, the Australian dollar and the New Zealand dollar may vary from time to time, all three are strong economies, and indeed – in the case of Australia and New Zealand, perhaps better able to deal with crises such as the pandemic than the 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Mix and Impact of Foreign Currency Fluctuations</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worked to maintain a balance both between our cinema and real estate assets and between our U.S. and our Australian and New Zealand assets. In 2020, we invested approximately $10.1 million in our U.S. assets: $5.6 million for the development of our real estate assets (principally for the construction of our 44 Union Square property) and $4.4 million for the improvements of our cinema assets (principally the renovations of our cinemas at Kahala and Mililani, and upgrades of certain other cinemas). We invested approximately $4.4 million in our Australian assets: $0.2 million for the development of our real estate assets (principally at Newmarket Village (Brisbane)); $4.3 million for the development of our cinema assets (principally the fit-out and launch of our Jindalee (Queensland) cinema, the fit-out of our Traralgon (Victoria) cinema, the renovations of our cinema at Rhodes and upgrades of certain other cinemas). We invested approximately $0.9 million in our New Zealand assets, all of which was used for the development of real estate assets (principally on the predevelopment of our Courtenay Central and Manukau assets).</w:t>
      </w:r>
    </w:p>
    <w:p>
      <w:pPr>
        <w:spacing w:after="0" w:line="15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As shown in the chart set forth in the </w:t>
      </w:r>
      <w:r>
        <w:rPr>
          <w:rFonts w:ascii="Arial" w:cs="Arial" w:eastAsia="Arial" w:hAnsi="Arial"/>
          <w:sz w:val="16"/>
          <w:szCs w:val="16"/>
          <w:i w:val="1"/>
          <w:iCs w:val="1"/>
          <w:color w:val="auto"/>
        </w:rPr>
        <w:t>International Business Risks</w:t>
      </w:r>
      <w:r>
        <w:rPr>
          <w:rFonts w:ascii="Arial" w:cs="Arial" w:eastAsia="Arial" w:hAnsi="Arial"/>
          <w:sz w:val="16"/>
          <w:szCs w:val="16"/>
          <w:color w:val="auto"/>
        </w:rPr>
        <w:t xml:space="preserve"> section, exchange rates for the currencies of these jurisdictions have varied, sometimes materially. These ratios naturally have an impact on our revenues and asset values, which are reported in USD. Notwithstanding these fluctuations, we continue to believe that, over the long term, operating in Australia and New Zealand is a prudent diversification of risk. Australia has been identified by the United Nations to be among the Top 10 countries in the World in terms of natural resources per person. Deutsche Bank has twice named Wellington the best place in the world to live. The Organization for Economic Cooperation and Development has twice rated Australia as the best place to live and work in the world. In our view, the economies of Australia and New Zealand are stable economies and their lifestyles support our entertainment/lifestyle focus.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ind w:right="80"/>
        <w:spacing w:after="0" w:line="235" w:lineRule="auto"/>
        <w:rPr>
          <w:sz w:val="20"/>
          <w:szCs w:val="20"/>
          <w:color w:val="auto"/>
        </w:rPr>
      </w:pPr>
      <w:r>
        <w:rPr>
          <w:rFonts w:ascii="Arial" w:cs="Arial" w:eastAsia="Arial" w:hAnsi="Arial"/>
          <w:sz w:val="18"/>
          <w:szCs w:val="18"/>
          <w:color w:val="auto"/>
        </w:rPr>
        <w:t>At December 31, 2020, the book value of our assets was $690.2 million, and our consolidated stockholders’ book equity was $81.2 million. Calculated based on book value, $357.2 million, or 52% of our assets, relate to our cinema exhibition activities and $312.8 million, or 45%, of our assets, relate to our real estate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111760</wp:posOffset>
            </wp:positionV>
            <wp:extent cx="3617595" cy="1577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759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For additional segment financial information, please see </w:t>
      </w:r>
      <w:r>
        <w:rPr>
          <w:rFonts w:ascii="Arial" w:cs="Arial" w:eastAsia="Arial" w:hAnsi="Arial"/>
          <w:sz w:val="18"/>
          <w:szCs w:val="18"/>
          <w:i w:val="1"/>
          <w:iCs w:val="1"/>
          <w:color w:val="auto"/>
        </w:rPr>
        <w:t>Note 1 – Description of Business and Segment Reporting</w:t>
      </w:r>
      <w:r>
        <w:rPr>
          <w:rFonts w:ascii="Arial" w:cs="Arial" w:eastAsia="Arial" w:hAnsi="Arial"/>
          <w:sz w:val="18"/>
          <w:szCs w:val="18"/>
          <w:color w:val="auto"/>
        </w:rPr>
        <w:t xml:space="preserve"> to our 2020 consolidated financial statements.</w:t>
      </w:r>
    </w:p>
    <w:p>
      <w:pPr>
        <w:spacing w:after="0" w:line="143"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We have diversified our assets among three countries: the United States, Australia, and New Zealand. Based on book value, at December 31, 2020, we had approximately 49% of our assets in the United States, 39% in Australia and 12% in New Zealand compared to 53%, 37%, and 10%, respectively, at the end of 2019. This shift in the ratio is principally due to the launch of our Reading Cinemas in Jindalee, Queensland, Australia and currency fluctuations.</w:t>
      </w:r>
    </w:p>
    <w:p>
      <w:pPr>
        <w:spacing w:after="0" w:line="121" w:lineRule="exact"/>
        <w:rPr>
          <w:sz w:val="20"/>
          <w:szCs w:val="20"/>
          <w:color w:val="auto"/>
        </w:rPr>
      </w:pPr>
    </w:p>
    <w:p>
      <w:pPr>
        <w:ind w:right="340"/>
        <w:spacing w:after="0" w:line="228" w:lineRule="auto"/>
        <w:rPr>
          <w:sz w:val="20"/>
          <w:szCs w:val="20"/>
          <w:color w:val="auto"/>
        </w:rPr>
      </w:pPr>
      <w:r>
        <w:rPr>
          <w:rFonts w:ascii="Arial" w:cs="Arial" w:eastAsia="Arial" w:hAnsi="Arial"/>
          <w:sz w:val="18"/>
          <w:szCs w:val="18"/>
          <w:color w:val="auto"/>
        </w:rPr>
        <w:t>At December 31, 2020, we had cash and cash equivalents of $26.8 million, which are treated as corporate assets. Our cash included $7.7 million denominated in U.S. dollars, $6.3 million (AU$8.2 million) in Australian dollars, and $12.8 million (NZ$17.9 million) in New Zealand dollars. We had total worldwide non-current assets of $651.4 million, distributed as follows: $327.6 million in the United States, $255.5 million (AU$393.7 million) in Australia and $68.3 million (NZ$94.9 million) in New Zealand. We had $6.1 million unused capacity of available and unrestricted corporate credit facilities at December 31, 2020.</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For 2020, our gross revenues in the United States, Australia, and New Zealand were $25.7 million, $31.3 million, and $5.8 million, respectively, compared to $151.5 million, $103.0 million, and $22.3 million for 2019. All three countries posted revenue decreases in 2020 as a result of a decline in cinema attendance due to the COVID-19 pandemic, offset to some extent by increases in food and beverage (“F&amp;B”) per caps.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105410</wp:posOffset>
            </wp:positionV>
            <wp:extent cx="3669030" cy="1560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6903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CINEMA EXHIBITION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Overall</w:t>
      </w:r>
    </w:p>
    <w:p>
      <w:pPr>
        <w:spacing w:after="0" w:line="17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dedicated to creating engaging cinema experiences for our guests through hospitality-styled comfort and service, state-of-the-art cinematic presentation, uniquely designed venues, curated film and event programming, and crafted food and beverage options. As discussed previously, we manage our worldwide cinema exhibition business under various brands.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ind w:right="40"/>
        <w:spacing w:after="0" w:line="246" w:lineRule="auto"/>
        <w:rPr>
          <w:sz w:val="20"/>
          <w:szCs w:val="20"/>
          <w:color w:val="auto"/>
        </w:rPr>
      </w:pPr>
      <w:r>
        <w:rPr>
          <w:rFonts w:ascii="Arial" w:cs="Arial" w:eastAsia="Arial" w:hAnsi="Arial"/>
          <w:sz w:val="18"/>
          <w:szCs w:val="18"/>
          <w:color w:val="auto"/>
        </w:rPr>
        <w:t>Shown in the following table are the number of locations and screens in our theater circuit in each country, by state/territory/region, our cinema brands, and our interest in the underlying asset as of December 31, 2020:</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Interest in Asset</w:t>
            </w:r>
          </w:p>
        </w:tc>
        <w:tc>
          <w:tcPr>
            <w:tcW w:w="16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tcPr>
          <w:p>
            <w:pPr>
              <w:spacing w:after="0"/>
              <w:rPr>
                <w:sz w:val="13"/>
                <w:szCs w:val="13"/>
                <w:color w:val="auto"/>
              </w:rPr>
            </w:pPr>
          </w:p>
        </w:tc>
      </w:tr>
      <w:tr>
        <w:trPr>
          <w:trHeight w:val="178"/>
        </w:trPr>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ind w:left="340"/>
              <w:spacing w:after="0"/>
              <w:rPr>
                <w:sz w:val="20"/>
                <w:szCs w:val="20"/>
                <w:color w:val="auto"/>
              </w:rPr>
            </w:pPr>
            <w:r>
              <w:rPr>
                <w:rFonts w:ascii="Arial" w:cs="Arial" w:eastAsia="Arial" w:hAnsi="Arial"/>
                <w:sz w:val="14"/>
                <w:szCs w:val="14"/>
                <w:b w:val="1"/>
                <w:bCs w:val="1"/>
                <w:color w:val="auto"/>
              </w:rPr>
              <w:t>State / Territory /</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Screen</w:t>
            </w: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Underlying the Cinema</w:t>
            </w: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55"/>
        </w:trPr>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Country</w:t>
            </w:r>
          </w:p>
        </w:tc>
        <w:tc>
          <w:tcPr>
            <w:tcW w:w="160" w:type="dxa"/>
            <w:vAlign w:val="bottom"/>
          </w:tcPr>
          <w:p>
            <w:pPr>
              <w:spacing w:after="0"/>
              <w:rPr>
                <w:sz w:val="13"/>
                <w:szCs w:val="13"/>
                <w:color w:val="auto"/>
              </w:rPr>
            </w:pPr>
          </w:p>
        </w:tc>
        <w:tc>
          <w:tcPr>
            <w:tcW w:w="192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Region</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Count</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Count</w:t>
            </w:r>
          </w:p>
        </w:tc>
        <w:tc>
          <w:tcPr>
            <w:tcW w:w="11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Leased</w:t>
            </w:r>
          </w:p>
        </w:tc>
        <w:tc>
          <w:tcPr>
            <w:tcW w:w="9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Owned</w:t>
            </w:r>
          </w:p>
        </w:tc>
        <w:tc>
          <w:tcPr>
            <w:tcW w:w="3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Operating Brands</w:t>
            </w:r>
          </w:p>
        </w:tc>
      </w:tr>
      <w:tr>
        <w:trPr>
          <w:trHeight w:val="149"/>
        </w:trPr>
        <w:tc>
          <w:tcPr>
            <w:tcW w:w="17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United States</w:t>
            </w:r>
          </w:p>
        </w:tc>
        <w:tc>
          <w:tcPr>
            <w:tcW w:w="16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Hawaii</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9</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98</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Consolidated Theatres</w:t>
            </w:r>
          </w:p>
        </w:tc>
      </w:tr>
      <w:tr>
        <w:trPr>
          <w:trHeight w:val="148"/>
        </w:trPr>
        <w:tc>
          <w:tcPr>
            <w:tcW w:w="1780" w:type="dxa"/>
            <w:vAlign w:val="bottom"/>
          </w:tcPr>
          <w:p>
            <w:pPr>
              <w:spacing w:after="0"/>
              <w:rPr>
                <w:sz w:val="12"/>
                <w:szCs w:val="12"/>
                <w:color w:val="auto"/>
              </w:rPr>
            </w:pPr>
          </w:p>
        </w:tc>
        <w:tc>
          <w:tcPr>
            <w:tcW w:w="20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California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7</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9"/>
              </w:rPr>
              <w:t>88</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Reading Cinemas, Angelika Film Center</w:t>
            </w:r>
          </w:p>
        </w:tc>
      </w:tr>
      <w:tr>
        <w:trPr>
          <w:trHeight w:val="148"/>
        </w:trPr>
        <w:tc>
          <w:tcPr>
            <w:tcW w:w="178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New York</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16</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3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Angelika Film Center, City Cinemas</w:t>
            </w:r>
          </w:p>
        </w:tc>
      </w:tr>
      <w:tr>
        <w:trPr>
          <w:trHeight w:val="148"/>
        </w:trPr>
        <w:tc>
          <w:tcPr>
            <w:tcW w:w="1780" w:type="dxa"/>
            <w:vAlign w:val="bottom"/>
          </w:tcPr>
          <w:p>
            <w:pPr>
              <w:spacing w:after="0"/>
              <w:rPr>
                <w:sz w:val="12"/>
                <w:szCs w:val="12"/>
                <w:color w:val="auto"/>
              </w:rPr>
            </w:pPr>
          </w:p>
        </w:tc>
        <w:tc>
          <w:tcPr>
            <w:tcW w:w="20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Texas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9"/>
              </w:rPr>
              <w:t>13</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Angelika Film Center</w:t>
            </w:r>
          </w:p>
        </w:tc>
      </w:tr>
      <w:tr>
        <w:trPr>
          <w:trHeight w:val="148"/>
        </w:trPr>
        <w:tc>
          <w:tcPr>
            <w:tcW w:w="178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New Jersey</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Reading Cinemas</w:t>
            </w:r>
          </w:p>
        </w:tc>
      </w:tr>
      <w:tr>
        <w:trPr>
          <w:trHeight w:val="149"/>
        </w:trPr>
        <w:tc>
          <w:tcPr>
            <w:tcW w:w="1780" w:type="dxa"/>
            <w:vAlign w:val="bottom"/>
          </w:tcPr>
          <w:p>
            <w:pPr>
              <w:spacing w:after="0"/>
              <w:rPr>
                <w:sz w:val="12"/>
                <w:szCs w:val="12"/>
                <w:color w:val="auto"/>
              </w:rPr>
            </w:pPr>
          </w:p>
        </w:tc>
        <w:tc>
          <w:tcPr>
            <w:tcW w:w="20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Virginia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Angelika Film Center</w:t>
            </w:r>
          </w:p>
        </w:tc>
      </w:tr>
      <w:tr>
        <w:trPr>
          <w:trHeight w:val="148"/>
        </w:trPr>
        <w:tc>
          <w:tcPr>
            <w:tcW w:w="1780" w:type="dxa"/>
            <w:vAlign w:val="bottom"/>
            <w:tcBorders>
              <w:bottom w:val="single" w:sz="8" w:color="auto"/>
            </w:tcBorders>
            <w:shd w:val="clear" w:color="auto" w:fill="CCEEFF"/>
          </w:tcPr>
          <w:p>
            <w:pPr>
              <w:spacing w:after="0"/>
              <w:rPr>
                <w:sz w:val="12"/>
                <w:szCs w:val="12"/>
                <w:color w:val="auto"/>
              </w:rPr>
            </w:pPr>
          </w:p>
        </w:tc>
        <w:tc>
          <w:tcPr>
            <w:tcW w:w="2080" w:type="dxa"/>
            <w:vAlign w:val="bottom"/>
            <w:tcBorders>
              <w:bottom w:val="single" w:sz="8" w:color="auto"/>
            </w:tcBorders>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Washington DC</w:t>
            </w:r>
          </w:p>
        </w:tc>
        <w:tc>
          <w:tcPr>
            <w:tcW w:w="820" w:type="dxa"/>
            <w:vAlign w:val="bottom"/>
            <w:tcBorders>
              <w:bottom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3</w:t>
            </w: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3280" w:type="dxa"/>
            <w:vAlign w:val="bottom"/>
            <w:tcBorders>
              <w:bottom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Angelika Film Center</w:t>
            </w:r>
          </w:p>
        </w:tc>
      </w:tr>
      <w:tr>
        <w:trPr>
          <w:trHeight w:val="142"/>
        </w:trPr>
        <w:tc>
          <w:tcPr>
            <w:tcW w:w="1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i w:val="1"/>
                <w:iCs w:val="1"/>
                <w:color w:val="auto"/>
              </w:rPr>
              <w:t>U.S. Total</w:t>
            </w: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24</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238</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23</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1</w:t>
            </w:r>
          </w:p>
        </w:tc>
        <w:tc>
          <w:tcPr>
            <w:tcW w:w="16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r>
      <w:tr>
        <w:trPr>
          <w:trHeight w:val="142"/>
        </w:trPr>
        <w:tc>
          <w:tcPr>
            <w:tcW w:w="1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Australia</w:t>
            </w:r>
          </w:p>
        </w:tc>
        <w:tc>
          <w:tcPr>
            <w:tcW w:w="2080" w:type="dxa"/>
            <w:vAlign w:val="bottom"/>
            <w:gridSpan w:val="3"/>
            <w:shd w:val="clear" w:color="auto" w:fill="CCEEFF"/>
          </w:tcPr>
          <w:p>
            <w:pPr>
              <w:ind w:left="160"/>
              <w:spacing w:after="0" w:line="142" w:lineRule="exact"/>
              <w:rPr>
                <w:sz w:val="20"/>
                <w:szCs w:val="20"/>
                <w:color w:val="auto"/>
              </w:rPr>
            </w:pPr>
            <w:r>
              <w:rPr>
                <w:rFonts w:ascii="Arial" w:cs="Arial" w:eastAsia="Arial" w:hAnsi="Arial"/>
                <w:sz w:val="14"/>
                <w:szCs w:val="14"/>
                <w:color w:val="auto"/>
              </w:rPr>
              <w:t>Victoria</w:t>
            </w:r>
          </w:p>
        </w:tc>
        <w:tc>
          <w:tcPr>
            <w:tcW w:w="8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7</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51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Reading Cinemas</w:t>
            </w:r>
          </w:p>
        </w:tc>
      </w:tr>
      <w:tr>
        <w:trPr>
          <w:trHeight w:val="148"/>
        </w:trPr>
        <w:tc>
          <w:tcPr>
            <w:tcW w:w="1780" w:type="dxa"/>
            <w:vAlign w:val="bottom"/>
          </w:tcPr>
          <w:p>
            <w:pPr>
              <w:spacing w:after="0"/>
              <w:rPr>
                <w:sz w:val="12"/>
                <w:szCs w:val="12"/>
                <w:color w:val="auto"/>
              </w:rPr>
            </w:pPr>
          </w:p>
        </w:tc>
        <w:tc>
          <w:tcPr>
            <w:tcW w:w="20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New South Wales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6</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9"/>
              </w:rPr>
              <w:t>44</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3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Reading Cinemas</w:t>
            </w:r>
          </w:p>
        </w:tc>
      </w:tr>
      <w:tr>
        <w:trPr>
          <w:trHeight w:val="189"/>
        </w:trPr>
        <w:tc>
          <w:tcPr>
            <w:tcW w:w="178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Queensland</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56</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32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Reading Cinemas, Event Cinemas</w:t>
            </w:r>
            <w:r>
              <w:rPr>
                <w:rFonts w:ascii="Arial" w:cs="Arial" w:eastAsia="Arial" w:hAnsi="Arial"/>
                <w:sz w:val="21"/>
                <w:szCs w:val="21"/>
                <w:color w:val="auto"/>
                <w:vertAlign w:val="superscript"/>
              </w:rPr>
              <w:t>(1)</w:t>
            </w:r>
          </w:p>
        </w:tc>
      </w:tr>
      <w:tr>
        <w:trPr>
          <w:trHeight w:val="149"/>
        </w:trPr>
        <w:tc>
          <w:tcPr>
            <w:tcW w:w="1780" w:type="dxa"/>
            <w:vAlign w:val="bottom"/>
          </w:tcPr>
          <w:p>
            <w:pPr>
              <w:spacing w:after="0"/>
              <w:rPr>
                <w:sz w:val="12"/>
                <w:szCs w:val="12"/>
                <w:color w:val="auto"/>
              </w:rPr>
            </w:pPr>
          </w:p>
        </w:tc>
        <w:tc>
          <w:tcPr>
            <w:tcW w:w="20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Western Australia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9"/>
              </w:rPr>
              <w:t>16</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3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Reading Cinemas</w:t>
            </w:r>
          </w:p>
        </w:tc>
      </w:tr>
      <w:tr>
        <w:trPr>
          <w:trHeight w:val="148"/>
        </w:trPr>
        <w:tc>
          <w:tcPr>
            <w:tcW w:w="178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South Australia</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2</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15</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Reading Cinemas</w:t>
            </w:r>
          </w:p>
        </w:tc>
      </w:tr>
      <w:tr>
        <w:trPr>
          <w:trHeight w:val="148"/>
        </w:trPr>
        <w:tc>
          <w:tcPr>
            <w:tcW w:w="17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Tasmania</w:t>
            </w:r>
          </w:p>
        </w:tc>
        <w:tc>
          <w:tcPr>
            <w:tcW w:w="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2</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14</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Reading Cinemas, State Cinema</w:t>
            </w:r>
          </w:p>
        </w:tc>
      </w:tr>
      <w:tr>
        <w:trPr>
          <w:trHeight w:val="142"/>
        </w:trPr>
        <w:tc>
          <w:tcPr>
            <w:tcW w:w="17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i w:val="1"/>
                <w:iCs w:val="1"/>
                <w:color w:val="auto"/>
              </w:rPr>
              <w:t>Australia Total</w:t>
            </w:r>
          </w:p>
        </w:tc>
        <w:tc>
          <w:tcPr>
            <w:tcW w:w="82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9"/>
              </w:rPr>
              <w:t>25</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4"/>
              </w:rPr>
              <w:t>196</w:t>
            </w: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rPr>
              <w:t>19</w:t>
            </w: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76"/>
              </w:rPr>
              <w:t>6</w:t>
            </w:r>
          </w:p>
        </w:tc>
        <w:tc>
          <w:tcPr>
            <w:tcW w:w="160" w:type="dxa"/>
            <w:vAlign w:val="bottom"/>
            <w:tcBorders>
              <w:bottom w:val="single" w:sz="8" w:color="auto"/>
            </w:tcBorders>
            <w:shd w:val="clear" w:color="auto" w:fill="CCEEFF"/>
          </w:tcPr>
          <w:p>
            <w:pPr>
              <w:spacing w:after="0"/>
              <w:rPr>
                <w:sz w:val="12"/>
                <w:szCs w:val="12"/>
                <w:color w:val="auto"/>
              </w:rPr>
            </w:pPr>
          </w:p>
        </w:tc>
        <w:tc>
          <w:tcPr>
            <w:tcW w:w="3120" w:type="dxa"/>
            <w:vAlign w:val="bottom"/>
            <w:tcBorders>
              <w:bottom w:val="single" w:sz="8" w:color="auto"/>
            </w:tcBorders>
            <w:shd w:val="clear" w:color="auto" w:fill="CCEEFF"/>
          </w:tcPr>
          <w:p>
            <w:pPr>
              <w:spacing w:after="0"/>
              <w:rPr>
                <w:sz w:val="12"/>
                <w:szCs w:val="12"/>
                <w:color w:val="auto"/>
              </w:rPr>
            </w:pPr>
          </w:p>
        </w:tc>
      </w:tr>
      <w:tr>
        <w:trPr>
          <w:trHeight w:val="142"/>
        </w:trPr>
        <w:tc>
          <w:tcPr>
            <w:tcW w:w="1780" w:type="dxa"/>
            <w:vAlign w:val="bottom"/>
          </w:tcPr>
          <w:p>
            <w:pPr>
              <w:spacing w:after="0" w:line="142" w:lineRule="exact"/>
              <w:rPr>
                <w:sz w:val="20"/>
                <w:szCs w:val="20"/>
                <w:color w:val="auto"/>
              </w:rPr>
            </w:pPr>
            <w:r>
              <w:rPr>
                <w:rFonts w:ascii="Arial" w:cs="Arial" w:eastAsia="Arial" w:hAnsi="Arial"/>
                <w:sz w:val="14"/>
                <w:szCs w:val="14"/>
                <w:b w:val="1"/>
                <w:bCs w:val="1"/>
                <w:color w:val="auto"/>
              </w:rPr>
              <w:t>New Zealand</w:t>
            </w:r>
          </w:p>
        </w:tc>
        <w:tc>
          <w:tcPr>
            <w:tcW w:w="2080" w:type="dxa"/>
            <w:vAlign w:val="bottom"/>
            <w:gridSpan w:val="3"/>
          </w:tcPr>
          <w:p>
            <w:pPr>
              <w:ind w:left="160"/>
              <w:spacing w:after="0" w:line="142" w:lineRule="exact"/>
              <w:rPr>
                <w:sz w:val="20"/>
                <w:szCs w:val="20"/>
                <w:color w:val="auto"/>
              </w:rPr>
            </w:pPr>
            <w:r>
              <w:rPr>
                <w:rFonts w:ascii="Arial" w:cs="Arial" w:eastAsia="Arial" w:hAnsi="Arial"/>
                <w:sz w:val="14"/>
                <w:szCs w:val="14"/>
                <w:color w:val="auto"/>
              </w:rPr>
              <w:t>Wellington</w:t>
            </w:r>
          </w:p>
        </w:tc>
        <w:tc>
          <w:tcPr>
            <w:tcW w:w="820" w:type="dxa"/>
            <w:vAlign w:val="bottom"/>
          </w:tcPr>
          <w:p>
            <w:pPr>
              <w:jc w:val="center"/>
              <w:spacing w:after="0" w:line="142" w:lineRule="exact"/>
              <w:rPr>
                <w:sz w:val="20"/>
                <w:szCs w:val="20"/>
                <w:color w:val="auto"/>
              </w:rPr>
            </w:pPr>
            <w:r>
              <w:rPr>
                <w:rFonts w:ascii="Arial" w:cs="Arial" w:eastAsia="Arial" w:hAnsi="Arial"/>
                <w:sz w:val="14"/>
                <w:szCs w:val="14"/>
                <w:color w:val="auto"/>
                <w:w w:val="76"/>
              </w:rPr>
              <w:t>3</w:t>
            </w:r>
          </w:p>
        </w:tc>
        <w:tc>
          <w:tcPr>
            <w:tcW w:w="16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color w:val="auto"/>
                <w:w w:val="89"/>
              </w:rPr>
              <w:t>18</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color w:val="auto"/>
                <w:w w:val="76"/>
              </w:rPr>
              <w:t>1</w:t>
            </w:r>
          </w:p>
        </w:tc>
        <w:tc>
          <w:tcPr>
            <w:tcW w:w="328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Reading Cinemas</w:t>
            </w:r>
          </w:p>
        </w:tc>
      </w:tr>
      <w:tr>
        <w:trPr>
          <w:trHeight w:val="189"/>
        </w:trPr>
        <w:tc>
          <w:tcPr>
            <w:tcW w:w="178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Otago</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32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3"/>
                <w:szCs w:val="13"/>
                <w:color w:val="auto"/>
              </w:rPr>
              <w:t>Reading Cinemas, Rialto Cinemas</w:t>
            </w:r>
            <w:r>
              <w:rPr>
                <w:rFonts w:ascii="Arial" w:cs="Arial" w:eastAsia="Arial" w:hAnsi="Arial"/>
                <w:sz w:val="21"/>
                <w:szCs w:val="21"/>
                <w:color w:val="auto"/>
                <w:vertAlign w:val="superscript"/>
              </w:rPr>
              <w:t>(2)</w:t>
            </w:r>
          </w:p>
        </w:tc>
      </w:tr>
      <w:tr>
        <w:trPr>
          <w:trHeight w:val="189"/>
        </w:trPr>
        <w:tc>
          <w:tcPr>
            <w:tcW w:w="1780" w:type="dxa"/>
            <w:vAlign w:val="bottom"/>
          </w:tcPr>
          <w:p>
            <w:pPr>
              <w:spacing w:after="0"/>
              <w:rPr>
                <w:sz w:val="16"/>
                <w:szCs w:val="16"/>
                <w:color w:val="auto"/>
              </w:rPr>
            </w:pPr>
          </w:p>
        </w:tc>
        <w:tc>
          <w:tcPr>
            <w:tcW w:w="2080" w:type="dxa"/>
            <w:vAlign w:val="bottom"/>
            <w:gridSpan w:val="3"/>
          </w:tcPr>
          <w:p>
            <w:pPr>
              <w:ind w:left="160"/>
              <w:spacing w:after="0"/>
              <w:rPr>
                <w:sz w:val="20"/>
                <w:szCs w:val="20"/>
                <w:color w:val="auto"/>
              </w:rPr>
            </w:pPr>
            <w:r>
              <w:rPr>
                <w:rFonts w:ascii="Arial" w:cs="Arial" w:eastAsia="Arial" w:hAnsi="Arial"/>
                <w:sz w:val="14"/>
                <w:szCs w:val="14"/>
                <w:color w:val="auto"/>
              </w:rPr>
              <w:t>Auckland</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8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Reading Cinemas, Rialto Cinemas</w:t>
            </w:r>
            <w:r>
              <w:rPr>
                <w:rFonts w:ascii="Arial" w:cs="Arial" w:eastAsia="Arial" w:hAnsi="Arial"/>
                <w:sz w:val="21"/>
                <w:szCs w:val="21"/>
                <w:color w:val="auto"/>
                <w:vertAlign w:val="superscript"/>
              </w:rPr>
              <w:t>(2)</w:t>
            </w:r>
          </w:p>
        </w:tc>
      </w:tr>
      <w:tr>
        <w:trPr>
          <w:trHeight w:val="149"/>
        </w:trPr>
        <w:tc>
          <w:tcPr>
            <w:tcW w:w="178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Canterbury</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8</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Reading Cinemas</w:t>
            </w:r>
          </w:p>
        </w:tc>
      </w:tr>
      <w:tr>
        <w:trPr>
          <w:trHeight w:val="148"/>
        </w:trPr>
        <w:tc>
          <w:tcPr>
            <w:tcW w:w="1780" w:type="dxa"/>
            <w:vAlign w:val="bottom"/>
          </w:tcPr>
          <w:p>
            <w:pPr>
              <w:spacing w:after="0"/>
              <w:rPr>
                <w:sz w:val="12"/>
                <w:szCs w:val="12"/>
                <w:color w:val="auto"/>
              </w:rPr>
            </w:pPr>
          </w:p>
        </w:tc>
        <w:tc>
          <w:tcPr>
            <w:tcW w:w="20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Southland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3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Reading Cinemas</w:t>
            </w:r>
          </w:p>
        </w:tc>
      </w:tr>
      <w:tr>
        <w:trPr>
          <w:trHeight w:val="148"/>
        </w:trPr>
        <w:tc>
          <w:tcPr>
            <w:tcW w:w="178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Bay of Plenty</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5</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w:t>
            </w:r>
          </w:p>
        </w:tc>
        <w:tc>
          <w:tcPr>
            <w:tcW w:w="3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Reading Cinemas</w:t>
            </w:r>
          </w:p>
        </w:tc>
      </w:tr>
      <w:tr>
        <w:trPr>
          <w:trHeight w:val="148"/>
        </w:trPr>
        <w:tc>
          <w:tcPr>
            <w:tcW w:w="17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Hawke's Bay</w:t>
            </w:r>
          </w:p>
        </w:tc>
        <w:tc>
          <w:tcPr>
            <w:tcW w:w="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1</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4</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1</w:t>
            </w:r>
          </w:p>
        </w:tc>
        <w:tc>
          <w:tcPr>
            <w:tcW w:w="3280" w:type="dxa"/>
            <w:vAlign w:val="bottom"/>
            <w:tcBorders>
              <w:bottom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Reading Cinemas</w:t>
            </w:r>
          </w:p>
        </w:tc>
      </w:tr>
      <w:tr>
        <w:trPr>
          <w:trHeight w:val="142"/>
        </w:trPr>
        <w:tc>
          <w:tcPr>
            <w:tcW w:w="17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i w:val="1"/>
                <w:iCs w:val="1"/>
                <w:color w:val="auto"/>
              </w:rPr>
              <w:t>New Zealand Total</w:t>
            </w:r>
          </w:p>
        </w:tc>
        <w:tc>
          <w:tcPr>
            <w:tcW w:w="82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9"/>
              </w:rPr>
              <w:t>12</w:t>
            </w: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9"/>
              </w:rPr>
              <w:t>70</w:t>
            </w: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rPr>
              <w:t>7</w:t>
            </w: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76"/>
              </w:rPr>
              <w:t>5</w:t>
            </w:r>
          </w:p>
        </w:tc>
        <w:tc>
          <w:tcPr>
            <w:tcW w:w="160" w:type="dxa"/>
            <w:vAlign w:val="bottom"/>
            <w:tcBorders>
              <w:bottom w:val="single" w:sz="8" w:color="auto"/>
            </w:tcBorders>
            <w:shd w:val="clear" w:color="auto" w:fill="CCEEFF"/>
          </w:tcPr>
          <w:p>
            <w:pPr>
              <w:spacing w:after="0"/>
              <w:rPr>
                <w:sz w:val="12"/>
                <w:szCs w:val="12"/>
                <w:color w:val="auto"/>
              </w:rPr>
            </w:pPr>
          </w:p>
        </w:tc>
        <w:tc>
          <w:tcPr>
            <w:tcW w:w="3120" w:type="dxa"/>
            <w:vAlign w:val="bottom"/>
            <w:tcBorders>
              <w:bottom w:val="single" w:sz="8" w:color="auto"/>
            </w:tcBorders>
            <w:shd w:val="clear" w:color="auto" w:fill="CCEEFF"/>
          </w:tcPr>
          <w:p>
            <w:pPr>
              <w:spacing w:after="0"/>
              <w:rPr>
                <w:sz w:val="12"/>
                <w:szCs w:val="12"/>
                <w:color w:val="auto"/>
              </w:rPr>
            </w:pPr>
          </w:p>
        </w:tc>
      </w:tr>
      <w:tr>
        <w:trPr>
          <w:trHeight w:val="149"/>
        </w:trPr>
        <w:tc>
          <w:tcPr>
            <w:tcW w:w="17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GRAND TOTAL</w:t>
            </w: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61</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504</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49</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12</w:t>
            </w:r>
          </w:p>
        </w:tc>
        <w:tc>
          <w:tcPr>
            <w:tcW w:w="16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r>
    </w:tbl>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Company has a 33.3% unincorporated joint venture interest in a 16-screen cinema located in Mt. Gravatt, Queensland managed by Event Cinemas.</w:t>
      </w:r>
    </w:p>
    <w:p>
      <w:pPr>
        <w:ind w:left="660" w:right="20" w:hanging="328"/>
        <w:spacing w:after="0" w:line="237"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Company is a 50% joint venture partner in two New Zealand Rialto cinemas totaling 13 screens. We are responsible for the booking of these cinemas and our joint venture partner, Event Cinemas, manages their day-to-day operations.</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January 2019, we acquired our first cinema in Tasmania, a well-established four-screen cinema with a liquor license in Devonport, Australia. In order to mitigate the loss from the ongoing temporary closure of our Reading Cinemas at Courtenay Central, at the end of June 2019, we opened a three-screen pop-up in Lower Hutt located in the greater region of Wellington, New Zealand. In December 2019, we acquired our second cinema in Tasmania, the iconic ten-screen State Cinema in Hobart, and we launched our six-screen Reading Cinemas in Burwood, a suburb of Melbourne, Australia. On December 22, 2020, we opened a Reading Cinemas in Jindalee, Queensland featuring six-screens with recliner seating and a TITAN LUXE screen bringing our current worldwide cinema count to 61. In addition, as of the date of this Report, we have entered into three lease agreements, providing for the development of an additional 19 state-of-the-art screens. This includes the previously announced state-of-the art cinema at Miller’s Junction in Melbourne, Australia. While no assurances can be given, the completion of these three new complexes is anticipated to increase our cinema count to 64 before the end of 2022.</w:t>
      </w:r>
    </w:p>
    <w:p>
      <w:pPr>
        <w:spacing w:after="0" w:line="137"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continue to focus on upgrading our existing cinemas and developing new cinema opportunities to provide our customers with premium offerings, including luxury recliner seating, state-of-the-art presentation including sound, lounges, cafés and bar service, and other amenities. Since 2016, we have increased the number of auditoriums featuring recliner seating from 58 to 164 (excluding our joint ventures). In addition, 31 of our auditoriums now feature large format TITAN XC, TITAN LUXE, or IMAX screens. Our circuit has been completely converted to digital projection and sound systems. In 2019, we upgraded three auditoriums at three of our locations to feature DOLBY ATMOS sound which we consider to be the best in the industry at this time. Additionally, our newly opened Reading Cinemas in Jindalee features DOLBY ATMOS sound.</w:t>
      </w:r>
    </w:p>
    <w:p>
      <w:pPr>
        <w:spacing w:after="0" w:line="150"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While attendance and gross box office declined for the exhibition industry in the U.S., Australia and New Zealand in 2020, when compared to 2019, as a result of the COVID-19 pandemic, we believe that the cinema exhibition business will continue to generate fairly consistent cash flows in the years ahead, even in recessionary or inflationary environments, because people will continue to spend a reasonable portion of their entertainment dollars on entertainment outside of the home. Because of the uncertainty of the duration of the impact from the COVID-19 virus on leisure and entertainment activities, our short-term results will likely be adversely impacted. For example, New York had ordered cinemas to temporarily close starting March 17, 2020 and continued to be temporarily closed until March 5, 2021. When compared to other forms of outside-the-home entertainment, movies continue to be a popular and competitively priced option. We believe that the advent of an array of streaming and mobile video services is more of a threat to the delivery of traditional in-home forms of entertainment (such as cable and satellite providers) than it is to the exhibition industry. We believe that, historically, our industry has benefited as the amount of quality product available for exhibition has increased. Despite the current situation, the amount of product coming to consumers is in some ways overwhelming. We believe that this means that cinema exhibition is going to be an increasingly important way for content providers to establish an identity for their product that will carry over into the streaming and mobile video market and aid consumers in their programming choices. We believe that our cinemas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ind w:right="140"/>
        <w:spacing w:after="0" w:line="228" w:lineRule="auto"/>
        <w:rPr>
          <w:sz w:val="20"/>
          <w:szCs w:val="20"/>
          <w:color w:val="auto"/>
        </w:rPr>
      </w:pPr>
      <w:r>
        <w:rPr>
          <w:rFonts w:ascii="Arial" w:cs="Arial" w:eastAsia="Arial" w:hAnsi="Arial"/>
          <w:sz w:val="18"/>
          <w:szCs w:val="18"/>
          <w:color w:val="auto"/>
        </w:rPr>
        <w:t>will be critical to provide the “Grand Opening” needed for product providers attempting to compete in the streaming market. This being the case, we likewise believe that the entire cinema-going experience needs to be engaging to provide this “Grand Opening” feel. Acting on that belief, we have focused in recent periods on the upgrading of our cinemas to feature enhanced safety and cleanliness protocols, luxury recliner seating, state-of-the-art sound, large format screens, and enhanced food and beverage. We have invested in technology to make our reservation system more user friendly and to encourage customer loyalty.</w:t>
      </w:r>
    </w:p>
    <w:p>
      <w:pPr>
        <w:spacing w:after="0" w:line="15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Recognizing that the cinema exhibition business is a well-established business, in the post-COVID era, we continue to see growth opportunities in our cinema exhibition business principally from (i) the enhancement of our existing cinemas, (ii) the development in select markets of art and specialty cinemas, (iii) the development of new state-of-the-art cinemas on land that we already own or may in the future acquire, and (iv) the development of new, mainstream cinemas in selected markets. While we continue to consider possible opportunities in third-party developments, we prefer, where possible, to put our capital to work in properties that we own rather than take on potentially burdensome lease obligations with their built-in rent increases, pass-throughs, and their dependence on third-party shopping center operators.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Pre-COVID, we continued to expand and upgrade our circuits on an opportunistic basis. Our philosophy is not one of growth at any cost and our goal is not to have more screens than anyone else. Rather, our goal is to have high quality, consistently grossing cinemas, and to grow on a steady and sustainable basis. In March of 2020, our renovation at the Consolidated Theatres at the Kahala Mall in Honolulu in the U.S was suspended due to the COVID-19 shutdown. However, we successfully opened a brand new Reading Cinemas in Jindalee, Queensland, Australia. In addition to starting work at our Kahala theater at the end of 2019, in 2019 our refurbishments included Mililani and Rohnert Park in the U.S., Chirnside Park, Dandenong, Maitland, Harbour Town, Waurn Ponds, West Lakes, and Rhodes in Australia, and The Palms in New Zealand. We also upgraded nine screens at five of our locations to luxury recliner seating, in addition to launching Reading Cinemas at Burwood which features luxury recliner seating in all six auditoriums and extended our enhanced food and beverage offerings to 29 of our cinemas. In 2018, our refurbishments included Manville and Mililani in the U.S., and Charlestown, Elizabeth, and Auburn in Australia. We also completed the conversion at our Reading Cinemas in Murrieta, California (Cal Oaks) which now features our “Spotlight” level of service in six out of the 17 auditoriums. “Spotlight” puts focus directly on our customers by providing an in-auditorium, waiter-serviced, enhanced F&amp;B experience for their enjoyment.</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Pre-COVID, we continued to execute our strategic priority of upgrading the food and beverage menu at a number of our U.S. cinemas. We are focused on the renovation and upgrading of our existing U.S. cinemas, along the lines of our Carmel Mountain cinema. Working with former Food Network chef Santos Loo, we are continuing to curate and upgrade our food and beverage offerings. During 2017, we created our “Spotlight” service concept, which we implemented at our Reading Cinemas at Cal Oaks cinema in 2018. At year-end 2020, we currently have beer and wine, and in some cases liquor, licenses for 16 of our venues in the U.S. and are in the application process of obtaining licenses for an additional six venues. As a result, we are currently offering alcoholic beverages at 14 of our U.S. cinemas and two of our live theatres. In our international cinema operations, we offer alcoholic beverages at 15 of our cinemas in Australia and five of our cinemas in New Zealand (which includes certain joint venture cinemas).</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Operating Information</w:t>
      </w:r>
    </w:p>
    <w:p>
      <w:pPr>
        <w:spacing w:after="0" w:line="171" w:lineRule="exact"/>
        <w:rPr>
          <w:sz w:val="20"/>
          <w:szCs w:val="20"/>
          <w:color w:val="auto"/>
        </w:rPr>
      </w:pPr>
    </w:p>
    <w:p>
      <w:pPr>
        <w:jc w:val="right"/>
        <w:ind w:right="6780"/>
        <w:spacing w:after="0"/>
        <w:rPr>
          <w:sz w:val="20"/>
          <w:szCs w:val="20"/>
          <w:color w:val="auto"/>
        </w:rPr>
      </w:pPr>
      <w:r>
        <w:rPr>
          <w:rFonts w:ascii="Arial" w:cs="Arial" w:eastAsia="Arial" w:hAnsi="Arial"/>
          <w:sz w:val="16"/>
          <w:szCs w:val="16"/>
          <w:color w:val="auto"/>
        </w:rPr>
        <w:t>At December 31, 2020, our principal tangible assets included:</w:t>
      </w:r>
    </w:p>
    <w:p>
      <w:pPr>
        <w:spacing w:after="0" w:line="100" w:lineRule="exact"/>
        <w:rPr>
          <w:sz w:val="20"/>
          <w:szCs w:val="20"/>
          <w:color w:val="auto"/>
        </w:rPr>
      </w:pPr>
    </w:p>
    <w:p>
      <w:pPr>
        <w:jc w:val="right"/>
        <w:ind w:right="6720"/>
        <w:spacing w:after="0"/>
        <w:rPr>
          <w:sz w:val="20"/>
          <w:szCs w:val="20"/>
          <w:color w:val="auto"/>
        </w:rPr>
      </w:pPr>
      <w:r>
        <w:rPr>
          <w:rFonts w:ascii="Arial" w:cs="Arial" w:eastAsia="Arial" w:hAnsi="Arial"/>
          <w:sz w:val="18"/>
          <w:szCs w:val="18"/>
          <w:color w:val="auto"/>
        </w:rPr>
        <w:t>interests in 61 cinemas comprising some 504 screens;</w:t>
      </w:r>
    </w:p>
    <w:p>
      <w:pPr>
        <w:spacing w:after="0" w:line="77" w:lineRule="exact"/>
        <w:rPr>
          <w:sz w:val="20"/>
          <w:szCs w:val="20"/>
          <w:color w:val="auto"/>
        </w:rPr>
      </w:pPr>
    </w:p>
    <w:p>
      <w:pPr>
        <w:ind w:left="660" w:right="240"/>
        <w:spacing w:after="0" w:line="261" w:lineRule="auto"/>
        <w:rPr>
          <w:sz w:val="20"/>
          <w:szCs w:val="20"/>
          <w:color w:val="auto"/>
        </w:rPr>
      </w:pPr>
      <w:r>
        <w:rPr>
          <w:rFonts w:ascii="Arial" w:cs="Arial" w:eastAsia="Arial" w:hAnsi="Arial"/>
          <w:sz w:val="18"/>
          <w:szCs w:val="18"/>
          <w:color w:val="auto"/>
        </w:rPr>
        <w:t>fee interests in three live theatres (the Orpheum and Minetta Lane in Manhattan and the Royal George in Chicago); in the first quarter 2021, we listed our Royal George property for sale;</w:t>
      </w:r>
    </w:p>
    <w:p>
      <w:pPr>
        <w:spacing w:after="0" w:line="36" w:lineRule="exact"/>
        <w:rPr>
          <w:sz w:val="20"/>
          <w:szCs w:val="20"/>
          <w:color w:val="auto"/>
        </w:rPr>
      </w:pPr>
    </w:p>
    <w:p>
      <w:pPr>
        <w:ind w:left="660" w:right="80"/>
        <w:spacing w:after="0" w:line="261" w:lineRule="auto"/>
        <w:rPr>
          <w:sz w:val="20"/>
          <w:szCs w:val="20"/>
          <w:color w:val="auto"/>
        </w:rPr>
      </w:pPr>
      <w:r>
        <w:rPr>
          <w:rFonts w:ascii="Arial" w:cs="Arial" w:eastAsia="Arial" w:hAnsi="Arial"/>
          <w:sz w:val="18"/>
          <w:szCs w:val="18"/>
          <w:color w:val="auto"/>
        </w:rPr>
        <w:t>fee interest in our 44 Union Square property, previously used by us as a live theatre venue and for rental to third parties which is now in the lease-up phase of its redevelopment for retail and office uses;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fee interest in one cinema (the Cinemas 1,2,3) in Manhattan;</w:t>
      </w:r>
    </w:p>
    <w:p>
      <w:pPr>
        <w:spacing w:after="0" w:line="77" w:lineRule="exact"/>
        <w:rPr>
          <w:sz w:val="20"/>
          <w:szCs w:val="20"/>
          <w:color w:val="auto"/>
        </w:rPr>
      </w:pPr>
    </w:p>
    <w:p>
      <w:pPr>
        <w:ind w:left="660" w:right="740"/>
        <w:spacing w:after="0" w:line="261" w:lineRule="auto"/>
        <w:rPr>
          <w:sz w:val="20"/>
          <w:szCs w:val="20"/>
          <w:color w:val="auto"/>
        </w:rPr>
      </w:pPr>
      <w:r>
        <w:rPr>
          <w:rFonts w:ascii="Arial" w:cs="Arial" w:eastAsia="Arial" w:hAnsi="Arial"/>
          <w:sz w:val="18"/>
          <w:szCs w:val="18"/>
          <w:color w:val="auto"/>
        </w:rPr>
        <w:t>fee interests in two cinemas in Australia (Bundaberg and Maitland) and four cinemas in New Zealand (Dunedin, Invercargill, Napier and Rotorua);</w:t>
      </w:r>
    </w:p>
    <w:p>
      <w:pPr>
        <w:spacing w:after="0" w:line="36" w:lineRule="exact"/>
        <w:rPr>
          <w:sz w:val="20"/>
          <w:szCs w:val="20"/>
          <w:color w:val="auto"/>
        </w:rPr>
      </w:pPr>
    </w:p>
    <w:p>
      <w:pPr>
        <w:ind w:left="660" w:right="140"/>
        <w:spacing w:after="0" w:line="316" w:lineRule="auto"/>
        <w:rPr>
          <w:sz w:val="20"/>
          <w:szCs w:val="20"/>
          <w:color w:val="auto"/>
        </w:rPr>
      </w:pPr>
      <w:r>
        <w:rPr>
          <w:rFonts w:ascii="Arial" w:cs="Arial" w:eastAsia="Arial" w:hAnsi="Arial"/>
          <w:sz w:val="16"/>
          <w:szCs w:val="16"/>
          <w:color w:val="auto"/>
        </w:rPr>
        <w:t>fee interest in our ETCs in Sydney (Auburn Redyard), Brisbane (Newmarket Village), Townsville (Cannon Park), Perth (The Belmont Common) and Wellington (Courtenay Central), each of which includes a Reading Cinemas. In the first quarter, we listed our Auburn Redyard for sale;</w:t>
      </w:r>
    </w:p>
    <w:p>
      <w:pPr>
        <w:spacing w:after="0" w:line="2" w:lineRule="exact"/>
        <w:rPr>
          <w:sz w:val="20"/>
          <w:szCs w:val="20"/>
          <w:color w:val="auto"/>
        </w:rPr>
      </w:pPr>
    </w:p>
    <w:p>
      <w:pPr>
        <w:ind w:left="660" w:right="360"/>
        <w:spacing w:after="0" w:line="261" w:lineRule="auto"/>
        <w:rPr>
          <w:sz w:val="20"/>
          <w:szCs w:val="20"/>
          <w:color w:val="auto"/>
        </w:rPr>
      </w:pPr>
      <w:r>
        <w:rPr>
          <w:rFonts w:ascii="Arial" w:cs="Arial" w:eastAsia="Arial" w:hAnsi="Arial"/>
          <w:sz w:val="18"/>
          <w:szCs w:val="18"/>
          <w:color w:val="auto"/>
        </w:rPr>
        <w:t>fee interest in two office buildings, our corporate offices in Culver City, Los Angeles and Melbourne, Australia. Both buildings are mixed-use assets or housing our corporate staff with any surplus space rented.</w:t>
      </w:r>
    </w:p>
    <w:p>
      <w:pPr>
        <w:spacing w:after="0" w:line="22" w:lineRule="exact"/>
        <w:rPr>
          <w:sz w:val="20"/>
          <w:szCs w:val="20"/>
          <w:color w:val="auto"/>
        </w:rPr>
      </w:pPr>
    </w:p>
    <w:p>
      <w:pPr>
        <w:ind w:left="660" w:right="480"/>
        <w:spacing w:after="0"/>
        <w:rPr>
          <w:sz w:val="20"/>
          <w:szCs w:val="20"/>
          <w:color w:val="auto"/>
        </w:rPr>
      </w:pPr>
      <w:r>
        <w:rPr>
          <w:rFonts w:ascii="Arial" w:cs="Arial" w:eastAsia="Arial" w:hAnsi="Arial"/>
          <w:sz w:val="18"/>
          <w:szCs w:val="18"/>
          <w:color w:val="auto"/>
        </w:rPr>
        <w:t>in addition to the fee interests described immediately above, fee ownership of approximately 20.8 million square feet of developed and undeveloped real estate in the United States, Australia and New Zealand (of which approximately 11.9 million square feet of raw land in the United States and New Zealand was monetized in the first quarter of 2021); and</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and cash equivalents, aggregating $26.8 million.</w:t>
      </w:r>
    </w:p>
    <w:p>
      <w:pPr>
        <w:spacing w:after="0" w:line="185"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Although we operate cinemas in three nations, the general nature of our operations and operating strategies does not vary materially from jurisdiction-to-jurisdiction. In each jurisdiction, our gross receipts are primarily from box office receipts, food and beverage sales, gift card purchases, online ticketing fees, and screen advertising. Our ancillary revenue is created principally from theater rentals (for example, for film festivals and special events), and ancillary programming (such as concerts and sporting events).</w:t>
      </w:r>
    </w:p>
    <w:p>
      <w:pPr>
        <w:spacing w:after="0" w:line="14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Our cinemas generated approximately 60% of their 2020 revenue from box office receipts. Ticket prices vary by location, and in selected locations we offer reduced rates for senior citizens, children and, in certain markets, military and students.</w:t>
      </w:r>
    </w:p>
    <w:p>
      <w:pPr>
        <w:spacing w:after="0" w:line="14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Showtimes and features are placed in advertisements on our various websites, on internet sites and, in some markets, in limited instances, local newspapers. We are continually increasing our presence in social media, thereby, reducing our dependency on print advertising. Film distributors may also advertise certain feature films in various print, radio and television media, as well as on the internet, and distributors generally pay those costs.</w:t>
      </w:r>
    </w:p>
    <w:p>
      <w:pPr>
        <w:spacing w:after="0" w:line="12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F&amp;B sales accounted for approximately 30% of our total 2020 cinema revenue. Although certain cinemas have licenses for the sale and on-premises consumption of alcoholic beverages, historically F&amp;B products have been primarily popcorn, candy, and soda. This is changing, as more of our theaters are offering expanded food and beverage offerings. One of our strategic focuses is to upgrade our existing cinemas with expanded F&amp;B offerings consistent with what we believe to be the new position of cinemas in the pathway from content provider to consumer.</w:t>
      </w:r>
    </w:p>
    <w:p>
      <w:pPr>
        <w:spacing w:after="0" w:line="14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Screen advertising and other revenue contribute approximately 10% of our total 2020 cinema revenue. With the exception of certain rights that we have retained to sell to local advertisers, generally speaking, we are not in the screen advertising business and nationally recognized screen-advertising companies’ contract with us for the right to show such advertising on our screens.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of Cinemas</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With the exception of our three unconsolidated cinemas, we manage our cinemas with executives located in Los Angeles and Manhattan in the U.S., Melbourne, Australia, and Wellington, New Zealand. Our two New Zealand Rialto cinemas are owned by a joint venture in which Reading New Zealand is a 50% joint venture partner. While we assist in the booking of these two cinemas, our joint venture partner, Event Cinemas, manages their day-to-day operations. Our one-third interest in a 16-screen Brisbane cinema is passive in nature, that cinema being managed by Event Cinemas.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and Pricing</w:t>
      </w:r>
    </w:p>
    <w:p>
      <w:pPr>
        <w:spacing w:after="0" w:line="171"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Film product is available from a variety of sources, ranging from the major film distributors, such as Paramount Pictures, Twentieth Century Studios, Warner Bros, Disney, Sony Pictures, Universal Pictures and Lionsgate, to a variety of smaller independent film distributors. In Australia and New Zealand, some of those major distributors distribute through local unaffiliated distributors. Worldwide, the major film distributors dominate the market for mainstream conventional films. In the U.S., art and specialty film is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ind w:right="40"/>
        <w:spacing w:after="0" w:line="235" w:lineRule="auto"/>
        <w:rPr>
          <w:sz w:val="20"/>
          <w:szCs w:val="20"/>
          <w:color w:val="auto"/>
        </w:rPr>
      </w:pPr>
      <w:r>
        <w:rPr>
          <w:rFonts w:ascii="Arial" w:cs="Arial" w:eastAsia="Arial" w:hAnsi="Arial"/>
          <w:sz w:val="18"/>
          <w:szCs w:val="18"/>
          <w:color w:val="auto"/>
        </w:rPr>
        <w:t>distributed through the art and specialty divisions of these major distributors, such as Searchlight Pictures and Sony Pictures Classics, and through independent distributors such as A24 and Neon. Film payment terms are generally based on an agreed-upon percentage of box office receipts that will vary from film-to-film.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17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Film is allocated by the applicable distributor among competitive cinemas and in some cases to streaming services. Accordingly, from time to time, we may be unable to license every film that we desire to play. In the Australian and New Zealand markets, we generally have access to all film product in the market. Due to the COVID-19 pandemic, we have seen a rise in streaming services with greater quantity and quality of films offered. We have also seen certain major distributors skip the traditional theatrical window and go straight to streaming, PVOD or Video on Demand (“VOD”).</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Competition for films may be intense, depending upon the number of cinemas in a particular competitive market. Our ability to obtain top grossing, first run feature films may be adversely impacted by our comparatively small size, and the limited number of screens and markets that we can supply to distributors. Moreover, because of the dramatic consolidation of screens into the hands of a few very large and powerful exhibitors such as AMC, Cineworld, Cinemark, and Cineplex, who between them control over 60% of the North American market, these mega-exhibition companies are in a position to offer distributors access to many more screens in major markets than we can. Also, the majors have a significant number of markets where they operate without material competition, meaning that the distributors have no alternative exhibitor for their films in these markets. Accordingly, distributors may decide to give preference to these mega-exhibitors when it comes to licensing top-grossing films, rather than deal with independents such as ourselves. The situation is different in Australia and New Zealand, where typically every major multiplex cinema has access to all of the film currently in distribution, regardless of the ownership of that multiplex cinema. However, on the reverse side, we have suffered somewhat in these markets from competition from boutique operators, who are able to book top grossing commercial films for limited runs, thus increasing competition for customers wishing to view such top grossing films. We believe it likely that the power of these major circuits will increase vis-à-vis smaller independent and regional operators with the termination of the so called “Paramount Decree” by the United States District Court at the request of the Department of Justice on August 7, 2020. The order provides for a two year sunset period on the Paramount Decree’s provisions banning block booking and circuit dealing.</w:t>
      </w:r>
    </w:p>
    <w:p>
      <w:pPr>
        <w:spacing w:after="0" w:line="14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availability of state-of-the-art technology and/or luxury recliner seating can also be a factor in the preference of one cinema over another. In recent periods, a number of cinemas have opened or reopened featuring luxury recliner seating and/or expanded food and beverage service, including the sale of alcoholic beverages and food served to the seat. We have, for a number of years, offered alcoholic beverages in certain of our Australia and New Zealand cinemas and at certain of our Angelika Film Centers in the U.S. We are currently working to upgrade the seating and food and beverage offerings (including the offering of alcoholic beverages) at a number of our existing cinemas. We now offer alcoholic beverages at over half of our worldwide cinemas.</w:t>
      </w:r>
    </w:p>
    <w:p>
      <w:pPr>
        <w:spacing w:after="0" w:line="14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film exhibition markets in the United States, Australia, and New Zealand are to a certain extent dominated by a limited number of major exhibition companies. Based on information contained in filings made with the SEC, as of December 31, 2020, the principal exhibitors in the United States are AMC (with 7,668 screens in 590 cinemas, which includes the acquisition of Carmike), Regal (with 7,211 screens in 549 cinemas as of March 2021), acquired by Cineworld Group, the U.K.’s largest cinema operator, and Cinemark (with 4,507 screens in 331 cinemas). As of December 31, 2020, we were the 13th largest exhibitor with 1% of the box office in the United States with 238 screens in 24 cinemas.</w:t>
      </w:r>
    </w:p>
    <w:p>
      <w:pPr>
        <w:spacing w:after="0" w:line="148"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The principal exhibitors in Australia are Greater Union, which does business under the Event Cinemas name (a subsidiary of Event Hospitality and Entertainment, Limited) (“Event”), Hoyts Cinemas (“Hoyts”), and Village Cinemas (“Village”). The major exhibitors control approximately 61% of the total cinema box office: Event 30%, Hoyts 20%, and Village 11%. Event has 554 screens nationally, Hoyts 379 screens, and Village 223 screens. By comparison, our 180 screens (excluding any joint venture theaters) represent approximately 8% of the total box office making Reading the fourth largest exhibitor in Australia.</w:t>
      </w:r>
    </w:p>
    <w:p>
      <w:pPr>
        <w:spacing w:after="0" w:line="15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principal exhibitors in New Zealand are Event Cinemas with 131 screens and Hoyts with 68 screens, nationally. The major exhibitors in New Zealand control approximately 49% of the total box office: Event 31% and Hoyts 18%. Reading has 57 screens (excluding its interests in unconsolidated joint ventures). Reading has 11% of the market (Event and Reading market share figures exclude any partnership theaters) and we are the third largest exhibitor in New Zealand.</w:t>
      </w:r>
    </w:p>
    <w:p>
      <w:pPr>
        <w:spacing w:after="0" w:line="14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In Australia and New Zealand, the industry is somewhat vertically integrated in that Roadshow Film Distributors, a subsidiary of Village, serves as a distributor of film in Australia and New Zealand for Warner Bros.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Many of our competitors have substantial financial resources which could allow them to operate in a more competitive manner than us.</w:t>
      </w:r>
    </w:p>
    <w:p>
      <w:pPr>
        <w:spacing w:after="0" w:line="17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In-Home, Streaming and Mobile Device Competition</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in-home streaming and mobile device entertainment industry has experienced significant leaps in recent periods in both the quality and affordability of in-home and mobile device entertainment systems and in the accessibility to, and quality of, entertainment programming through cable, satellite, and internet distribution channels. The success of these alternative distribution channels (like Netflix, Hulu, and Amazon Prime Video) and the entrance of new sources of product that they create are competing with films produced for theatrical release which puts additional pressure on film distributors to reduce and/or eliminate the time period between theatrical and secondary release dates. For instance, WarnerMedia has announced that it will stream its entire 2021 slate of Warner Bros. movies on HBO Max the same day they open in theaters.</w:t>
      </w:r>
    </w:p>
    <w:p>
      <w:pPr>
        <w:spacing w:after="0" w:line="15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myriad of streaming services continues to grow. In 2019, two streaming services debuted, Apple TV+ and Disney+. In 2020, HBO Max and NBCUniversal’s Peacock launched. In December 2020, we launched our very own streaming service in the U.S., Angelika Anywhere, which is curated for film lovers of independent and foreign film, documentaries, and the more specialized movies from the major studios. We anticipate expanding this streaming service to Australia and New Zealand in 2021. In January 2021, Discovery+ launched and ViacomCBS launched Paramount+ in early March 2021.</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are responding to these challenges generally by increasing the comfort and service levels available at our cinemas, by offering convenient online ticket reservation services with guaranteed seating, by investing in larger screens and enhanced sound, by offering more specialized and alternative product to our audiences, and by providing value for the moviegoer’s dollar. We are focusing on the fact that going to the movies is a social experience, and we are working to make that experience the best that it can be. We must differentiate ourselves from other forms of video entertainment by emphasizing the special nature of seeing film and alternative content in a cinema environment and by developing ways to position ourselves to take advantage in the increased output of film and feature product. These are issues common to both our U.S. and international cinema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Competitive issues are discussed in detail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17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However, the deferral of releases is becoming increasingly less common, given the need to address internet and other channels of distribution that operate on a worldwide basis and are less tied to holiday schedules.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Overall</w:t>
      </w:r>
    </w:p>
    <w:p>
      <w:pPr>
        <w:spacing w:after="0" w:line="171"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We engage in the real estate business through the development and our ownership and rental or licensing to third parties of retail, commercial and live theatre assets. We own the fee interests in all of our live theatres, and in 12 of our cinemas (as presented in the preceding table within the “</w:t>
      </w:r>
      <w:r>
        <w:rPr>
          <w:rFonts w:ascii="Arial" w:cs="Arial" w:eastAsia="Arial" w:hAnsi="Arial"/>
          <w:sz w:val="18"/>
          <w:szCs w:val="18"/>
          <w:i w:val="1"/>
          <w:iCs w:val="1"/>
          <w:color w:val="auto"/>
        </w:rPr>
        <w:t>Cinema</w:t>
      </w:r>
      <w:r>
        <w:rPr>
          <w:rFonts w:ascii="Arial" w:cs="Arial" w:eastAsia="Arial" w:hAnsi="Arial"/>
          <w:sz w:val="18"/>
          <w:szCs w:val="18"/>
          <w:color w:val="auto"/>
        </w:rPr>
        <w:t xml:space="preserve"> </w:t>
      </w:r>
      <w:r>
        <w:rPr>
          <w:rFonts w:ascii="Arial" w:cs="Arial" w:eastAsia="Arial" w:hAnsi="Arial"/>
          <w:sz w:val="18"/>
          <w:szCs w:val="18"/>
          <w:i w:val="1"/>
          <w:iCs w:val="1"/>
          <w:color w:val="auto"/>
        </w:rPr>
        <w:t>Exhibition</w:t>
      </w:r>
      <w:r>
        <w:rPr>
          <w:rFonts w:ascii="Arial" w:cs="Arial" w:eastAsia="Arial" w:hAnsi="Arial"/>
          <w:sz w:val="18"/>
          <w:szCs w:val="18"/>
          <w:color w:val="auto"/>
        </w:rPr>
        <w:t>” section). Our real estate business creates long-term value for our stockholders through the continuous improvement and development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operating properties, including our ETCs.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activities have historically consisted principally of:</w:t>
      </w:r>
    </w:p>
    <w:p>
      <w:pPr>
        <w:spacing w:after="0" w:line="77" w:lineRule="exact"/>
        <w:rPr>
          <w:sz w:val="20"/>
          <w:szCs w:val="20"/>
          <w:color w:val="auto"/>
        </w:rPr>
      </w:pPr>
    </w:p>
    <w:p>
      <w:pPr>
        <w:ind w:left="660" w:right="660"/>
        <w:spacing w:after="0" w:line="261" w:lineRule="auto"/>
        <w:rPr>
          <w:sz w:val="20"/>
          <w:szCs w:val="20"/>
          <w:color w:val="auto"/>
        </w:rPr>
      </w:pPr>
      <w:r>
        <w:rPr>
          <w:rFonts w:ascii="Arial" w:cs="Arial" w:eastAsia="Arial" w:hAnsi="Arial"/>
          <w:sz w:val="18"/>
          <w:szCs w:val="18"/>
          <w:color w:val="auto"/>
        </w:rPr>
        <w:t>the ownership of fee or long-term leasehold interests in properties used in our cinema exhibition activities or which were acquired for the development of cinemas or cinema-based real estate development projects;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acquisition of fee interests in land for general real estate development;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licensing to production companies of our live theatres; and,</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redevelopment of our existing fee-owned cinema or live theatre sites to their highest and best use.</w:t>
      </w:r>
    </w:p>
    <w:p>
      <w:pPr>
        <w:spacing w:after="0" w:line="185"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In light of the geographic reach of our business, and the highly localized nature of the real estate business, we have historically made use of third-party contractors to provide on-site management and leasing administrations functions of our Australia and New Zealand real estate portfolio. We have begun, however, in recent periods to selectively build our internal resources in this regard, allowing us to terminate all third-party contracts.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u w:val="single" w:color="auto"/>
          <w:color w:val="auto"/>
        </w:rPr>
        <w:t>Real Estate Holdings and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7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 xml:space="preserve">At the end of 2019, we substantially completed the construction phase of our 44 Union Square redevelopment project, achieving approximately 73,000 square feet of net rentable area (calculated inclusive of anticipated BOMA adjustments) comprised of retail and office space. During the COVID-19 pandemic, New York City shutdown non-essential construction and business, including construction work at our site. However, the construction of the improvements necessary to obtain a core and shell temporary certificate of occupancy were substantially completed prior to the shutdown. On July 1, 2020, the site reopened for construction activities, and on August 31, 2020, we received a temporary certificate of occupancy for the core and shell of the building. We are now in the lease-up phase with construction being complete (except for minor punch list items). A short video on this project can be seen at </w:t>
      </w:r>
      <w:r>
        <w:rPr>
          <w:rFonts w:ascii="Arial" w:cs="Arial" w:eastAsia="Arial" w:hAnsi="Arial"/>
          <w:sz w:val="18"/>
          <w:szCs w:val="18"/>
          <w:u w:val="single" w:color="auto"/>
          <w:color w:val="auto"/>
        </w:rPr>
        <w:t>www.44unionsquare.com</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Regarding our Cinemas 1,2,3 property in Manhattan, we have received the consent of the 25% minority member of the ownership entity for the redevelopment of the property. We continue to evaluate the potential to redevelop the property as a mixed-use property. As our negotiations with our neighbor for a joint development did not bear fruit and given the closure of our two cinemas in New York City’s Upper East Side, we have determined to continue to operate this location as a cinema for at least the near term. We are pursuing a rezoning of this property so as to allow us to continue our cinema use as a part of any such redevelopment. However, all other redevelopment activity related to this location has been suspended, until we are able to develop a better understanding of the ongoing effects of COVID-19 on our assets and the market.</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 April 11, 2016, we purchased an approximately 24,000 square foot office building with 72 parking spaces located at 5995 Sepulveda Boulevard in Culver City, California for $11.2 million. We moved our corporate headquarters into the building in February 2017. Culver City has in recent years developed as a center of entertainment and high-tech activity in Los Angeles County. Currently, we occupy the third floor as our headquarters’ offices from which we conduct our executive and administrative operations. On May 27, 2020, we leased on a multi-year basis the entire second floor to WWP Beauty (wwpinc.com), a global company with over 35 years of experience providing the cosmetics and personal care industries with a range of packaging needs. On the date of the lease, possession of the space was turned over to WWP Beauty, which is responsible for building out its space. Rent commenced, on a straight-line basis, in May 2020 and we began receiving cash rental income in October 2020. This building in now 100% occupied. The tenant is moving ahead with tenant improvement works and is estimated to complete construction by end of April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All of our leasehold interests are cinema operating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17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continue to work on the expansion and upgrading of our Newmarket Village ETC in Brisbane through the expansion or improvement of our Reading Cinemas at each of these centers and enhancing food and beverage focused space.</w:t>
      </w:r>
    </w:p>
    <w:p>
      <w:pPr>
        <w:spacing w:after="0" w:line="14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At Auburn Redyard, since the beginning of 2016, we have constructed and entered into leases representing approximately 15,000 square feet of additional retail space, which increased the square footage of that center from approximately 117,000 to approximately 132,000 square feet. In 2018, we acquired a 21,000 square foot in-fill property, currently improved with a 17,000 square foot telephone exchange and office building, leased to Telstra through July 2022. This increased our frontage on Parramatta Road to almost 2,000 uninterrupted square feet. The center is now comprised of 519,000 square feet of land, 92,000 square feet of net rentable area, surface parking for 361 vehicles and subterranean parking for 360 vehicles and is 79% leased. The center also has approximately 114,000 square feet of additional land available for development. This expansion was funded with a mixture of cash flow and our current debt facility. This asset was listed for sale in January 2021.</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At Newmarket Village in December of 2017, we added a state-of-the art eight-screen Reading Cinemas, 10,000 square feet of additional retail space and 124 additional parking spaces. On November 30, 2015, we acquired an approximately 23,000 square foot parcel adjacent to our tenant Coles supermarket. This property is currently improved with an office building, which is now fully leased. The office building leases have early development provisions allowing us to terminate these arrangements in connection with a redevelopment of the property. We intend to ultimately demolish this office building and to integrate this parcel into Newmarket Village. This will increase our Newmarket Village footprint from approximately 204,000 square feet to approximately 227,000 square feet. Our Newmarket Village project was funded with a mixture of cash flow and our current debt facility and is currently approximately 98% leased.</w:t>
      </w:r>
    </w:p>
    <w:p>
      <w:pPr>
        <w:spacing w:after="0" w:line="1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On December 23, 2015, we acquired two adjoining properties in Townsville, Queensland, Australia for a total of $24.1 million (AU$33.4 million) comprised of approximately 9.4-acres. The total gross leasable area of the two properties, the Cannon Park City Centre and the Cannon Park Discount Centre, is 105,000 square feet. Our multiplex cinema at the Cannon Park City Centre is the anchor tenant of that center. This acquisition is consistent with our business plan to own, where practical, the land underlying our entertainment assets. We operate these two properties as a single ETC. This acquisition was funded with a mixture of cash flow and our current debt facility and is currently 94% leased.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New Zealand</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Located in the heart of Wellington – New Zealand’s capital city – Courtenay Central is comprised, on a consolidated basis through various subsidiaries, of 161,000 square feet of land situated proximate to (i) the Te Papa Tongarewa Museum (attracting over 1.5 million visitors annually, pre-COVID), and (ii) across the street from the site of the future Wellington Convention and Exhibition Centre (wcec.co.nz), the capital’s first premium conference and exhibition space, which is due to be completed in 2023. Despite the COVID-19 pandemic, construction for this major public project has resumed and plans include the creation of a public concourse linking through to Wakefield Street, which is across the street from our Courtenay Central project.</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previously reported, damage from the 2016 Kaikoura earthquake necessitated demolition of our nine-story parking garage at the site, and unrelated seismic issues caused us to close major portions of the existing cinema and retail structure in early 2019. Wellington continues to be rated as one of the top cities in the world in which to live, and we continue to believe that the Courtenay Central site is located in one of the most vibrant and growing commercial and entertainment precincts of Wellington. In 2019, UNESCO named Wellington as a UNESCO Creative City of Film. Prior to the COVID-19 pandemic, the real estate team had developed a comprehensive plan featuring a variety of uses to complement and build upon the “destination quality” of the Courtenay Central location. Notwithstanding the COVID-19 pandemic, our real estate team is continuing to work with our consultants, potential tenants, and city representatives to advance our redevelopment plans for this property.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Landholdings</w:t>
      </w:r>
    </w:p>
    <w:p>
      <w:pPr>
        <w:spacing w:after="0" w:line="17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addition to certain historic railroad properties (such as our 8.2-acre North Viaduct and adjacent commercial properties in Philadelphia) and certain expansion spaces associated with our existing ETCs, we had two unimproved properties: (i) our 50% interest in a 202-acre parcel in Coachella, California (near the grounds where the Coachella Music Festival is held), currently zoned for residential and mixed-use purposes, and (ii) our 70.4-acre parcel in Manukau/Wiri, a suburb of Auckland, New Zealand (located adjacent to the Auckland International Airport) zoned for a mixture of light and heavy industrial uses and a limited amount of supporting mixed-use, such as restaurants and convenience stores. Both these properties were sold subsequent to year-end.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7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Our Coachella property was acquired as a long-term land hold. In December 2020, we classified this non-income producing land as held for sale as part of our strategy to monetize certain real estate assets in order to provide the necessary cash to support our Company through the COVID-19 pandemic. This property, which consists of land and certain improvements to that land, was transferred to Land Held for Sale at its book value of $4.4 million, being the lower of cost and fair value less costs to sell. The sale of this land was completed on March 5, 2021 for $11.0 million. These actions were approved by our 50% member, Shadow View Land and Farming LLC, and the Audit and Conflicts Committee of our Board of Directors. As a 50% member in Shadow View Land &amp; Farming LLC, the Company received 50% of the sale proceeds.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w:t>
      </w:r>
    </w:p>
    <w:p>
      <w:pPr>
        <w:spacing w:after="0" w:line="17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Our property in Manukau/Wiri (approximately 64.0-acres) was primarily zoned for light industrial uses. The remaining 6.4-acres of this property were already zoned for heavy industrial use. In December 2020, we classified this non-income producing land as held for sale as part of our strategy to sell certain real estate assets in order to provide the necessary cash to support our Company through the COVID-19 pandemic. We sold this land on March 4, 2021 for NZ$77.2 million (US$56.1 million).</w:t>
      </w:r>
    </w:p>
    <w:p>
      <w:pPr>
        <w:spacing w:after="0" w:line="148" w:lineRule="exact"/>
        <w:rPr>
          <w:sz w:val="20"/>
          <w:szCs w:val="20"/>
          <w:color w:val="auto"/>
        </w:rPr>
      </w:pPr>
    </w:p>
    <w:p>
      <w:pPr>
        <w:ind w:right="480"/>
        <w:spacing w:after="0" w:line="253" w:lineRule="auto"/>
        <w:rPr>
          <w:sz w:val="20"/>
          <w:szCs w:val="20"/>
          <w:color w:val="auto"/>
        </w:rPr>
      </w:pPr>
      <w:r>
        <w:rPr>
          <w:rFonts w:ascii="Arial" w:cs="Arial" w:eastAsia="Arial" w:hAnsi="Arial"/>
          <w:sz w:val="17"/>
          <w:szCs w:val="17"/>
          <w:color w:val="auto"/>
        </w:rPr>
        <w:t>While we report our real estate activities as a separate segment, they have historically operated as an integral portion of our overall business and have principally been in support of that business. We have, however, acquired or developed certain properties that do not have any cinema or other entertainment component. These assets were monetized during the first quarter 2021, as described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real estate activities, holdings and developments are described in greater detail in Item 2 – </w:t>
      </w:r>
      <w:r>
        <w:rPr>
          <w:rFonts w:ascii="Arial" w:cs="Arial" w:eastAsia="Arial" w:hAnsi="Arial"/>
          <w:sz w:val="18"/>
          <w:szCs w:val="18"/>
          <w:i w:val="1"/>
          <w:iCs w:val="1"/>
          <w:color w:val="auto"/>
        </w:rPr>
        <w:t>Properties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Company employs experienced, diverse, and creative employees as they are among our best assets and are critical for our continued success. As of December 31, 2020, we had approximately (i) 86 executive/administrative and 9 real estate employees who were primarily full-time and (ii) 4 live theatre and 1,392 cinema employees worldwide who were predominately part-time/casual employees. A small number of our cinema employees in New Zealand are union members, as are our projectionists in Hawaii. None of our Australian-based employees or other employees are subject to union contracts. Overall, we are of the view that the existence of these collective bargaining agreements does not materially increase our costs of labor or our ability to compete.</w:t>
      </w:r>
    </w:p>
    <w:p>
      <w:pPr>
        <w:spacing w:after="0" w:line="134"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color w:val="auto"/>
        </w:rPr>
        <w:t>We offer our full-time employees a competitive benefits package. In the U.S., we offer a 401(k)-retirement savings plan (our “401(k) Plan”) that allows eligible U.S. employees to defer a portion of their compensation, within limits prescribed by the Internal Revenue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ind w:right="20"/>
        <w:spacing w:after="0" w:line="227" w:lineRule="auto"/>
        <w:rPr>
          <w:sz w:val="20"/>
          <w:szCs w:val="20"/>
          <w:color w:val="auto"/>
        </w:rPr>
      </w:pPr>
      <w:r>
        <w:rPr>
          <w:rFonts w:ascii="Arial" w:cs="Arial" w:eastAsia="Arial" w:hAnsi="Arial"/>
          <w:sz w:val="18"/>
          <w:szCs w:val="18"/>
          <w:color w:val="auto"/>
        </w:rPr>
        <w:t>Code, on a pre- and post-tax basis through contributions to the plan. We match contributions made by participants in our 401(k) Plan up to a specified percentage, and these matching contributions are fully vested as of the date on which the contributions are made. Currently, matching has been deferred as allowed by our 401(k) plan due to COVID-19. For our employees in Australia and New Zealand, we offer superannuation plans in line with the requirements as it pertains to each government. We believe that providing a vehicle for retirement savings through our 401(k) Plan or superannuation plan, and making fully vested matching contributions in the U.S., in accordance with our compensation policies, adds to the overall desirability of our employee compensation package and further incentivizes our employees.</w:t>
      </w:r>
    </w:p>
    <w:p>
      <w:pPr>
        <w:spacing w:after="0" w:line="14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adopted a Code of Business Conduct and Ethics (the “Code of Conduct”) designed to help our Directors and employees resolve ethical issues. Our Code of Conduct applies to all Directors and employees and is posted on our website. Our Board has established a means for employees to report a violation or suspected violation of the Code of Conduct anonymously. In addition, we have adopted an “Amended and Restated Whistleblower Policy and Procedures,” which is also posted on our website, and establishes a process by which employees may anonymously disclose to our Principal Compliance Officer alleged fraud or violations of accounting, internal accounting controls or auditing matters.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on climate risks and sustainability.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strive to do our part in the fight against climate 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our theaters we offer, (i) eco-friendly food containers, bags and cups, (ii) plastic straws and utensils are available only upon request, and (iii) we are looking at transitioning to paper straws and bamboo cutlery in the immediate future. We provide recycle bins at all of our theaters. Prior to the COVID-19 pandemic, we completed the following energy enhancements, (i) LED Lighting retrofits to lower KWH Usage and reduce our energy consumption across all the theatres, (ii) installed modern and smart EMS systems at various locations, to efficiently control the current HVAC systems, and (iii) replacement of outdated HVAC package units to improve our carbon footprint. We have also done extensive research and analysis, but not yet implemented a project to install renewable energy, such as Solar Systems on the roofs of select cinema locations.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Australia and New Zealand</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 our theaters, we are (i) using commercially compostable bamboo takeaway cutlery nationally, (ii) using commercially compostable paper straws (which are individually wrapped in paper to ensure we are COVID safe), (iii) using commercially compostable coffee cups, popcorn boxes, takeaway pizza boxes and takeaway clamshell hot food boxes, and (iv) currently have a packaging request for quote which stipulates our requirements for all our packaging (including soft drink cold cups) to be commercially compostable. Our goal is to ensure none of our packaging will have any plastic components. At our Burwood cinema in Australia, we are separating waste into three waste streams (compostable material/general waste/recyclable). At our Belmont ETC in Australia, we have installed Solar Panels to minimize our reliance on non-renewable energies.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statements in this annual report, including the documents incorporated herein by reference, contain a variety of forward-looking statements as defined by the Securities Litigation Reform Act of 1995, including those related to the expected timing of the reopening of our cinemas and theatres; our expected operating results, including due to our diverse business structure; our expectations regarding the success of our new initiatives; our expectations regarding the potential sale of non-core real estate assets; our expectations regarding the future of the cinema exhibition industry; our expectations regarding people continuing to use discretionary funds on entertainment outside of the home; our expectations regarding the impact of streaming and mobile video services; our belief regarding the attractiveness of 44 Union Square to potential tenants; our expectations regarding the commencement of rental income on our office building; our expectations regarding the resiliency of the industrial property sector in New Zealand; our expectations regarding our stock repurchase program; our expectations regarding credit facility covenant compliance and our ability to continue to obtain necessary covenant waivers; and our expectations of our liquidity and capital requirements and the allocation of funds.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“may,” “will,” “expect,” “believe,” "intend," and “anticipate” or other similar terminology.</w:t>
      </w:r>
    </w:p>
    <w:p>
      <w:pPr>
        <w:spacing w:after="0" w:line="150"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These forward-looking statements reflect our expectation based on information currently available to us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views as to the risks and uncertainties involved and may have different views as to future events or our operating performance.</w:t>
      </w:r>
    </w:p>
    <w:p>
      <w:pPr>
        <w:spacing w:after="0" w:line="14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Among the risks, uncertainties, and other factors that could cause actual results to differ materially from those expressed in or underlying our forward-looking statements are the following:</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our cinema operations:</w:t>
      </w:r>
    </w:p>
    <w:p>
      <w:pPr>
        <w:spacing w:after="0" w:line="12" w:lineRule="exact"/>
        <w:rPr>
          <w:sz w:val="20"/>
          <w:szCs w:val="20"/>
          <w:color w:val="auto"/>
        </w:rPr>
      </w:pPr>
    </w:p>
    <w:p>
      <w:pPr>
        <w:ind w:left="980" w:right="280"/>
        <w:spacing w:after="0" w:line="224" w:lineRule="auto"/>
        <w:rPr>
          <w:sz w:val="20"/>
          <w:szCs w:val="20"/>
          <w:color w:val="auto"/>
        </w:rPr>
      </w:pPr>
      <w:r>
        <w:rPr>
          <w:rFonts w:ascii="Arial" w:cs="Arial" w:eastAsia="Arial" w:hAnsi="Arial"/>
          <w:sz w:val="18"/>
          <w:szCs w:val="18"/>
          <w:color w:val="auto"/>
        </w:rPr>
        <w:t>the adverse impact of the COVID-19 pandemic which resulted in the temporary shutdown of our global theaters beginning in March 2020, and the adverse effects such pandemic may continue to have on our anticipated cinema reopening dates and on the dates that public performances will resume in our live theatres in New York City and Chicago;</w:t>
      </w:r>
    </w:p>
    <w:p>
      <w:pPr>
        <w:spacing w:after="0" w:line="1" w:lineRule="exact"/>
        <w:rPr>
          <w:sz w:val="20"/>
          <w:szCs w:val="20"/>
          <w:color w:val="auto"/>
        </w:rPr>
      </w:pPr>
    </w:p>
    <w:p>
      <w:pPr>
        <w:ind w:left="980" w:right="460"/>
        <w:spacing w:after="0" w:line="226" w:lineRule="auto"/>
        <w:rPr>
          <w:sz w:val="20"/>
          <w:szCs w:val="20"/>
          <w:color w:val="auto"/>
        </w:rPr>
      </w:pPr>
      <w:r>
        <w:rPr>
          <w:rFonts w:ascii="Arial" w:cs="Arial" w:eastAsia="Arial" w:hAnsi="Arial"/>
          <w:sz w:val="18"/>
          <w:szCs w:val="18"/>
          <w:color w:val="auto"/>
        </w:rPr>
        <w:t>the adverse effects of the COVID-19 pandemic on our Company’s results from operations, liquidity, cash flows, financial condition, and access to credit markets;</w:t>
      </w:r>
    </w:p>
    <w:p>
      <w:pPr>
        <w:spacing w:after="0" w:line="2" w:lineRule="exact"/>
        <w:rPr>
          <w:sz w:val="20"/>
          <w:szCs w:val="20"/>
          <w:color w:val="auto"/>
        </w:rPr>
      </w:pPr>
    </w:p>
    <w:p>
      <w:pPr>
        <w:ind w:left="980" w:right="200"/>
        <w:spacing w:after="0" w:line="226" w:lineRule="auto"/>
        <w:rPr>
          <w:sz w:val="20"/>
          <w:szCs w:val="20"/>
          <w:color w:val="auto"/>
        </w:rPr>
      </w:pPr>
      <w:r>
        <w:rPr>
          <w:rFonts w:ascii="Arial" w:cs="Arial" w:eastAsia="Arial" w:hAnsi="Arial"/>
          <w:sz w:val="18"/>
          <w:szCs w:val="18"/>
          <w:color w:val="auto"/>
        </w:rPr>
        <w:t>the adverse impact of the COVID-19 pandemic on short-term and/or long-term entertainment, leisure and discretionary spending habits and practices of our patrons;</w:t>
      </w:r>
    </w:p>
    <w:p>
      <w:pPr>
        <w:spacing w:after="0" w:line="2" w:lineRule="exact"/>
        <w:rPr>
          <w:sz w:val="20"/>
          <w:szCs w:val="20"/>
          <w:color w:val="auto"/>
        </w:rPr>
      </w:pPr>
    </w:p>
    <w:p>
      <w:pPr>
        <w:jc w:val="both"/>
        <w:ind w:left="980" w:right="220"/>
        <w:spacing w:after="0" w:line="224" w:lineRule="auto"/>
        <w:rPr>
          <w:sz w:val="20"/>
          <w:szCs w:val="20"/>
          <w:color w:val="auto"/>
        </w:rPr>
      </w:pPr>
      <w:r>
        <w:rPr>
          <w:rFonts w:ascii="Arial" w:cs="Arial" w:eastAsia="Arial" w:hAnsi="Arial"/>
          <w:sz w:val="18"/>
          <w:szCs w:val="18"/>
          <w:color w:val="auto"/>
        </w:rPr>
        <w:t>the decrease in attendance at our cinemas and theatres after they have reopened due to (i) continued health and safety health concerns, (ii) a change in consumer behavior in favor of alternative forms of entertainment, or (iii) additional regulatory requirements limiting our seating capacity;</w:t>
      </w:r>
    </w:p>
    <w:p>
      <w:pPr>
        <w:spacing w:after="0" w:line="1" w:lineRule="exact"/>
        <w:rPr>
          <w:sz w:val="20"/>
          <w:szCs w:val="20"/>
          <w:color w:val="auto"/>
        </w:rPr>
      </w:pPr>
    </w:p>
    <w:p>
      <w:pPr>
        <w:ind w:left="980" w:right="380"/>
        <w:spacing w:after="0" w:line="226" w:lineRule="auto"/>
        <w:rPr>
          <w:sz w:val="20"/>
          <w:szCs w:val="20"/>
          <w:color w:val="auto"/>
        </w:rPr>
      </w:pPr>
      <w:r>
        <w:rPr>
          <w:rFonts w:ascii="Arial" w:cs="Arial" w:eastAsia="Arial" w:hAnsi="Arial"/>
          <w:sz w:val="18"/>
          <w:szCs w:val="18"/>
          <w:color w:val="auto"/>
        </w:rPr>
        <w:t>reduction in operating margins (or negative operating margins) due to the implementation of social distancing and other health and safety protocols;</w:t>
      </w:r>
    </w:p>
    <w:p>
      <w:pPr>
        <w:spacing w:after="0" w:line="2" w:lineRule="exact"/>
        <w:rPr>
          <w:sz w:val="20"/>
          <w:szCs w:val="20"/>
          <w:color w:val="auto"/>
        </w:rPr>
      </w:pPr>
    </w:p>
    <w:p>
      <w:pPr>
        <w:ind w:left="980" w:right="80"/>
        <w:spacing w:after="0" w:line="226" w:lineRule="auto"/>
        <w:rPr>
          <w:sz w:val="20"/>
          <w:szCs w:val="20"/>
          <w:color w:val="auto"/>
        </w:rPr>
      </w:pPr>
      <w:r>
        <w:rPr>
          <w:rFonts w:ascii="Arial" w:cs="Arial" w:eastAsia="Arial" w:hAnsi="Arial"/>
          <w:sz w:val="18"/>
          <w:szCs w:val="18"/>
          <w:color w:val="auto"/>
        </w:rPr>
        <w:t>potentially uninsurable liability exposure to customers and staff should they become (or allege that they have become) infected with COVID-19 while at one of our facilities;</w:t>
      </w:r>
    </w:p>
    <w:p>
      <w:pPr>
        <w:spacing w:after="0" w:line="2" w:lineRule="exact"/>
        <w:rPr>
          <w:sz w:val="20"/>
          <w:szCs w:val="20"/>
          <w:color w:val="auto"/>
        </w:rPr>
      </w:pPr>
    </w:p>
    <w:p>
      <w:pPr>
        <w:ind w:left="980" w:right="140"/>
        <w:spacing w:after="0" w:line="226" w:lineRule="auto"/>
        <w:rPr>
          <w:sz w:val="20"/>
          <w:szCs w:val="20"/>
          <w:color w:val="auto"/>
        </w:rPr>
      </w:pPr>
      <w:r>
        <w:rPr>
          <w:rFonts w:ascii="Arial" w:cs="Arial" w:eastAsia="Arial" w:hAnsi="Arial"/>
          <w:sz w:val="18"/>
          <w:szCs w:val="18"/>
          <w:color w:val="auto"/>
        </w:rPr>
        <w:t>unwillingness of employees to report to work due to the adverse effects of the COVID-19 pandemic or to otherwise conduct work under any revised work environment protocols;</w:t>
      </w:r>
    </w:p>
    <w:p>
      <w:pPr>
        <w:spacing w:after="0" w:line="2" w:lineRule="exact"/>
        <w:rPr>
          <w:sz w:val="20"/>
          <w:szCs w:val="20"/>
          <w:color w:val="auto"/>
        </w:rPr>
      </w:pPr>
    </w:p>
    <w:p>
      <w:pPr>
        <w:ind w:left="980" w:right="1040"/>
        <w:spacing w:after="0" w:line="248" w:lineRule="auto"/>
        <w:rPr>
          <w:sz w:val="20"/>
          <w:szCs w:val="20"/>
          <w:color w:val="auto"/>
        </w:rPr>
      </w:pPr>
      <w:r>
        <w:rPr>
          <w:rFonts w:ascii="Arial" w:cs="Arial" w:eastAsia="Arial" w:hAnsi="Arial"/>
          <w:sz w:val="17"/>
          <w:szCs w:val="17"/>
          <w:color w:val="auto"/>
        </w:rPr>
        <w:t>the adverse impact that the COVID-19 pandemic may continue to have on the national and global macroeconomic environment; competition from cinema operators who have successfully used debtor laws to reduce their debt and/or rent exposure; the uncertainty as to the scope and extent of government responses to the COVID-19 pandemic;</w:t>
      </w:r>
    </w:p>
    <w:p>
      <w:pPr>
        <w:spacing w:after="0" w:line="2" w:lineRule="exact"/>
        <w:rPr>
          <w:sz w:val="20"/>
          <w:szCs w:val="20"/>
          <w:color w:val="auto"/>
        </w:rPr>
      </w:pPr>
    </w:p>
    <w:p>
      <w:pPr>
        <w:ind w:left="980" w:right="20"/>
        <w:spacing w:after="0" w:line="224" w:lineRule="auto"/>
        <w:rPr>
          <w:sz w:val="20"/>
          <w:szCs w:val="20"/>
          <w:color w:val="auto"/>
        </w:rPr>
      </w:pPr>
      <w:r>
        <w:rPr>
          <w:rFonts w:ascii="Arial" w:cs="Arial" w:eastAsia="Arial" w:hAnsi="Arial"/>
          <w:sz w:val="18"/>
          <w:szCs w:val="18"/>
          <w:color w:val="auto"/>
        </w:rPr>
        <w:t>the disruptions or reductions in the utilization of entertainment, shopping, and hospitality venues, as well as in our operations, due to pandemics, epidemics, widespread health emergencies, or outbreaks of infectious diseases such as COVID-19, or to changing consumer tastes and habits;</w:t>
      </w:r>
    </w:p>
    <w:p>
      <w:pPr>
        <w:spacing w:after="0" w:line="1" w:lineRule="exact"/>
        <w:rPr>
          <w:sz w:val="20"/>
          <w:szCs w:val="20"/>
          <w:color w:val="auto"/>
        </w:rPr>
      </w:pPr>
    </w:p>
    <w:p>
      <w:pPr>
        <w:ind w:left="980" w:right="40"/>
        <w:spacing w:after="0" w:line="229" w:lineRule="auto"/>
        <w:rPr>
          <w:sz w:val="20"/>
          <w:szCs w:val="20"/>
          <w:color w:val="auto"/>
        </w:rPr>
      </w:pPr>
      <w:r>
        <w:rPr>
          <w:rFonts w:ascii="Arial" w:cs="Arial" w:eastAsia="Arial" w:hAnsi="Arial"/>
          <w:sz w:val="18"/>
          <w:szCs w:val="18"/>
          <w:color w:val="auto"/>
        </w:rPr>
        <w:t>the number and attractiveness to moviegoers of the films released in future periods, and potential changes in release dates for motion pictures; the lack of availability of films in the short- or long-term as a result of (i) major film distributors releasing scheduled films on alternative channels or (ii) disruptions of film production;</w:t>
      </w:r>
    </w:p>
    <w:p>
      <w:pPr>
        <w:ind w:left="980"/>
        <w:spacing w:after="0" w:line="236" w:lineRule="auto"/>
        <w:rPr>
          <w:sz w:val="20"/>
          <w:szCs w:val="20"/>
          <w:color w:val="auto"/>
        </w:rPr>
      </w:pPr>
      <w:r>
        <w:rPr>
          <w:rFonts w:ascii="Arial" w:cs="Arial" w:eastAsia="Arial" w:hAnsi="Arial"/>
          <w:sz w:val="18"/>
          <w:szCs w:val="18"/>
          <w:color w:val="auto"/>
        </w:rPr>
        <w:t>the amount of money spent by film distributors to promote their motion pictures;</w:t>
      </w:r>
    </w:p>
    <w:p>
      <w:pPr>
        <w:ind w:left="980"/>
        <w:spacing w:after="0" w:line="235" w:lineRule="auto"/>
        <w:rPr>
          <w:sz w:val="20"/>
          <w:szCs w:val="20"/>
          <w:color w:val="auto"/>
        </w:rPr>
      </w:pPr>
      <w:r>
        <w:rPr>
          <w:rFonts w:ascii="Arial" w:cs="Arial" w:eastAsia="Arial" w:hAnsi="Arial"/>
          <w:sz w:val="18"/>
          <w:szCs w:val="18"/>
          <w:color w:val="auto"/>
        </w:rPr>
        <w:t>the licensing fees and terms required by film distributors from motion picture exhibitors in order to exhibit their films;</w:t>
      </w:r>
    </w:p>
    <w:p>
      <w:pPr>
        <w:ind w:left="980" w:right="220"/>
        <w:spacing w:after="0" w:line="271" w:lineRule="auto"/>
        <w:rPr>
          <w:sz w:val="20"/>
          <w:szCs w:val="20"/>
          <w:color w:val="auto"/>
        </w:rPr>
      </w:pPr>
      <w:r>
        <w:rPr>
          <w:rFonts w:ascii="Arial" w:cs="Arial" w:eastAsia="Arial" w:hAnsi="Arial"/>
          <w:sz w:val="17"/>
          <w:szCs w:val="17"/>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ind w:left="320" w:right="100"/>
        <w:spacing w:after="0" w:line="244" w:lineRule="auto"/>
        <w:rPr>
          <w:sz w:val="20"/>
          <w:szCs w:val="20"/>
          <w:color w:val="auto"/>
        </w:rPr>
      </w:pPr>
      <w:r>
        <w:rPr>
          <w:rFonts w:ascii="Arial" w:cs="Arial" w:eastAsia="Arial" w:hAnsi="Arial"/>
          <w:sz w:val="17"/>
          <w:szCs w:val="17"/>
          <w:color w:val="auto"/>
        </w:rPr>
        <w:t>the extent to which we encounter competition from other cinema exhibitors, from other sources of outside-the-home entertainment, and from inside-the-home entertainment options, such as “home theaters” and competitive film product distribution technology, such as streaming, cable, satellite broadcast, video on demand platforms, and Blu-ray/DVD rentals and sales;</w:t>
      </w:r>
    </w:p>
    <w:p>
      <w:pPr>
        <w:ind w:left="320" w:right="2580"/>
        <w:spacing w:after="0" w:line="234" w:lineRule="auto"/>
        <w:rPr>
          <w:sz w:val="20"/>
          <w:szCs w:val="20"/>
          <w:color w:val="auto"/>
        </w:rPr>
      </w:pPr>
      <w:r>
        <w:rPr>
          <w:rFonts w:ascii="Arial" w:cs="Arial" w:eastAsia="Arial" w:hAnsi="Arial"/>
          <w:sz w:val="18"/>
          <w:szCs w:val="18"/>
          <w:color w:val="auto"/>
        </w:rPr>
        <w:t>the impact of major movies being released directly to one of the multitude of streaming services available; the impact of certain competitors’ subscription or advance pay programs;</w:t>
      </w:r>
    </w:p>
    <w:p>
      <w:pPr>
        <w:ind w:left="320"/>
        <w:spacing w:after="0" w:line="236" w:lineRule="auto"/>
        <w:rPr>
          <w:sz w:val="20"/>
          <w:szCs w:val="20"/>
          <w:color w:val="auto"/>
        </w:rPr>
      </w:pPr>
      <w:r>
        <w:rPr>
          <w:rFonts w:ascii="Arial" w:cs="Arial" w:eastAsia="Arial" w:hAnsi="Arial"/>
          <w:sz w:val="18"/>
          <w:szCs w:val="18"/>
          <w:color w:val="auto"/>
        </w:rPr>
        <w:t>the failure of our new initiatives to gain significant customer acceptance and use or to generate meaningful profits;</w:t>
      </w:r>
    </w:p>
    <w:p>
      <w:pPr>
        <w:ind w:left="320" w:right="960"/>
        <w:spacing w:after="0" w:line="226" w:lineRule="auto"/>
        <w:rPr>
          <w:sz w:val="20"/>
          <w:szCs w:val="20"/>
          <w:color w:val="auto"/>
        </w:rPr>
      </w:pPr>
      <w:r>
        <w:rPr>
          <w:rFonts w:ascii="Arial" w:cs="Arial" w:eastAsia="Arial" w:hAnsi="Arial"/>
          <w:sz w:val="18"/>
          <w:szCs w:val="18"/>
          <w:color w:val="auto"/>
        </w:rPr>
        <w:t>the cost and impact of improvements to our cinemas, such as improved seating, enhanced food and beverage offerings, and other improvements;</w:t>
      </w:r>
    </w:p>
    <w:p>
      <w:pPr>
        <w:ind w:left="320"/>
        <w:spacing w:after="0" w:line="236" w:lineRule="auto"/>
        <w:rPr>
          <w:sz w:val="20"/>
          <w:szCs w:val="20"/>
          <w:color w:val="auto"/>
        </w:rPr>
      </w:pPr>
      <w:r>
        <w:rPr>
          <w:rFonts w:ascii="Arial" w:cs="Arial" w:eastAsia="Arial" w:hAnsi="Arial"/>
          <w:sz w:val="18"/>
          <w:szCs w:val="18"/>
          <w:color w:val="auto"/>
        </w:rPr>
        <w:t>the ability to negotiate favorable rent payment terms with our landlords;</w:t>
      </w:r>
    </w:p>
    <w:p>
      <w:pPr>
        <w:ind w:left="320"/>
        <w:spacing w:after="0" w:line="235" w:lineRule="auto"/>
        <w:rPr>
          <w:sz w:val="20"/>
          <w:szCs w:val="20"/>
          <w:color w:val="auto"/>
        </w:rPr>
      </w:pPr>
      <w:r>
        <w:rPr>
          <w:rFonts w:ascii="Arial" w:cs="Arial" w:eastAsia="Arial" w:hAnsi="Arial"/>
          <w:sz w:val="18"/>
          <w:szCs w:val="18"/>
          <w:color w:val="auto"/>
        </w:rPr>
        <w:t>disruptions during theater improvements;</w:t>
      </w:r>
    </w:p>
    <w:p>
      <w:pPr>
        <w:ind w:left="320"/>
        <w:spacing w:after="0" w:line="235" w:lineRule="auto"/>
        <w:rPr>
          <w:sz w:val="20"/>
          <w:szCs w:val="20"/>
          <w:color w:val="auto"/>
        </w:rPr>
      </w:pPr>
      <w:r>
        <w:rPr>
          <w:rFonts w:ascii="Arial" w:cs="Arial" w:eastAsia="Arial" w:hAnsi="Arial"/>
          <w:sz w:val="18"/>
          <w:szCs w:val="18"/>
          <w:color w:val="auto"/>
        </w:rPr>
        <w:t>the extent to, and the efficiency with, which we are able to integrate acquisitions of cinema circuits with our existing operations;</w:t>
      </w:r>
    </w:p>
    <w:p>
      <w:pPr>
        <w:ind w:left="320" w:right="300"/>
        <w:spacing w:after="0" w:line="234" w:lineRule="auto"/>
        <w:rPr>
          <w:sz w:val="20"/>
          <w:szCs w:val="20"/>
          <w:color w:val="auto"/>
        </w:rPr>
      </w:pPr>
      <w:r>
        <w:rPr>
          <w:rFonts w:ascii="Arial" w:cs="Arial" w:eastAsia="Arial" w:hAnsi="Arial"/>
          <w:sz w:val="18"/>
          <w:szCs w:val="18"/>
          <w:color w:val="auto"/>
        </w:rPr>
        <w:t>the risk that California will adopt a split property tax regime resulting in material increases in our liability for pass through property taxes; in the U.S., the impact of any termination of the so called “Paramount Decree;”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risk of damage and/or disruption of cinema businesses from earthquakes as certain of our operations are in geologically active areas;</w:t>
      </w:r>
    </w:p>
    <w:p>
      <w:pPr>
        <w:spacing w:after="0" w:line="19" w:lineRule="exact"/>
        <w:rPr>
          <w:sz w:val="20"/>
          <w:szCs w:val="20"/>
          <w:color w:val="auto"/>
        </w:rPr>
      </w:pPr>
    </w:p>
    <w:p>
      <w:pPr>
        <w:ind w:left="320" w:right="40"/>
        <w:spacing w:after="0" w:line="226" w:lineRule="auto"/>
        <w:rPr>
          <w:sz w:val="20"/>
          <w:szCs w:val="20"/>
          <w:color w:val="auto"/>
        </w:rPr>
      </w:pPr>
      <w:r>
        <w:rPr>
          <w:rFonts w:ascii="Arial" w:cs="Arial" w:eastAsia="Arial" w:hAnsi="Arial"/>
          <w:sz w:val="18"/>
          <w:szCs w:val="18"/>
          <w:color w:val="auto"/>
        </w:rPr>
        <w:t>the impact of protests, demonstrations, and civil unrest on, among other things, government policy, consumer willingness to go to the movies, and the spread of COVID-19; and</w:t>
      </w:r>
    </w:p>
    <w:p>
      <w:pPr>
        <w:spacing w:after="0" w:line="2" w:lineRule="exact"/>
        <w:rPr>
          <w:sz w:val="20"/>
          <w:szCs w:val="20"/>
          <w:color w:val="auto"/>
        </w:rPr>
      </w:pPr>
    </w:p>
    <w:p>
      <w:pPr>
        <w:ind w:left="320" w:right="340"/>
        <w:spacing w:after="0" w:line="243" w:lineRule="auto"/>
        <w:rPr>
          <w:sz w:val="20"/>
          <w:szCs w:val="20"/>
          <w:color w:val="auto"/>
        </w:rPr>
      </w:pPr>
      <w:r>
        <w:rPr>
          <w:rFonts w:ascii="Arial" w:cs="Arial" w:eastAsia="Arial" w:hAnsi="Arial"/>
          <w:sz w:val="18"/>
          <w:szCs w:val="18"/>
          <w:color w:val="auto"/>
        </w:rPr>
        <w:t>additional delays by our landlords in the State of Victoria in the hand-over of cinema space to us which will result in further delays of our planned opening dates.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real estate development and operation activities:</w:t>
      </w:r>
    </w:p>
    <w:p>
      <w:pPr>
        <w:spacing w:after="0" w:line="12" w:lineRule="exact"/>
        <w:rPr>
          <w:sz w:val="20"/>
          <w:szCs w:val="20"/>
          <w:color w:val="auto"/>
        </w:rPr>
      </w:pPr>
    </w:p>
    <w:p>
      <w:pPr>
        <w:ind w:left="320" w:right="20"/>
        <w:spacing w:after="0" w:line="226" w:lineRule="auto"/>
        <w:rPr>
          <w:sz w:val="20"/>
          <w:szCs w:val="20"/>
          <w:color w:val="auto"/>
        </w:rPr>
      </w:pPr>
      <w:r>
        <w:rPr>
          <w:rFonts w:ascii="Arial" w:cs="Arial" w:eastAsia="Arial" w:hAnsi="Arial"/>
          <w:sz w:val="18"/>
          <w:szCs w:val="18"/>
          <w:color w:val="auto"/>
        </w:rPr>
        <w:t>the impact of the COVID-19 pandemic may continue to affect many of our tenants at our real estate operations in the United States, Australia, and New Zealand, their ability to pay rent, and to stay in business;</w:t>
      </w:r>
    </w:p>
    <w:p>
      <w:pPr>
        <w:spacing w:after="0" w:line="2" w:lineRule="exact"/>
        <w:rPr>
          <w:sz w:val="20"/>
          <w:szCs w:val="20"/>
          <w:color w:val="auto"/>
        </w:rPr>
      </w:pPr>
    </w:p>
    <w:p>
      <w:pPr>
        <w:ind w:left="320" w:right="200"/>
        <w:spacing w:after="0" w:line="226" w:lineRule="auto"/>
        <w:rPr>
          <w:sz w:val="20"/>
          <w:szCs w:val="20"/>
          <w:color w:val="auto"/>
        </w:rPr>
      </w:pPr>
      <w:r>
        <w:rPr>
          <w:rFonts w:ascii="Arial" w:cs="Arial" w:eastAsia="Arial" w:hAnsi="Arial"/>
          <w:sz w:val="18"/>
          <w:szCs w:val="18"/>
          <w:color w:val="auto"/>
        </w:rPr>
        <w:t>the impact of the COVID-19 pandemic on our construction projects and on our ability to open construction sites and to secure needed labor and materials;</w:t>
      </w:r>
    </w:p>
    <w:p>
      <w:pPr>
        <w:spacing w:after="0" w:line="2" w:lineRule="exact"/>
        <w:rPr>
          <w:sz w:val="20"/>
          <w:szCs w:val="20"/>
          <w:color w:val="auto"/>
        </w:rPr>
      </w:pPr>
    </w:p>
    <w:p>
      <w:pPr>
        <w:ind w:left="320" w:right="2540"/>
        <w:spacing w:after="0" w:line="234" w:lineRule="auto"/>
        <w:rPr>
          <w:sz w:val="20"/>
          <w:szCs w:val="20"/>
          <w:color w:val="auto"/>
        </w:rPr>
      </w:pPr>
      <w:r>
        <w:rPr>
          <w:rFonts w:ascii="Arial" w:cs="Arial" w:eastAsia="Arial" w:hAnsi="Arial"/>
          <w:sz w:val="18"/>
          <w:szCs w:val="18"/>
          <w:color w:val="auto"/>
        </w:rPr>
        <w:t>the impact of the COVID-19 pandemic on real estate valuations in major urban centers, such as New York; uncertainty as to governmental responses to COVID-19; the potential sale of certain non-core real estate assets;</w:t>
      </w:r>
    </w:p>
    <w:p>
      <w:pPr>
        <w:spacing w:after="0" w:line="2" w:lineRule="exact"/>
        <w:rPr>
          <w:sz w:val="20"/>
          <w:szCs w:val="20"/>
          <w:color w:val="auto"/>
        </w:rPr>
      </w:pPr>
    </w:p>
    <w:p>
      <w:pPr>
        <w:ind w:left="320" w:right="1080"/>
        <w:spacing w:after="0" w:line="234" w:lineRule="auto"/>
        <w:rPr>
          <w:sz w:val="20"/>
          <w:szCs w:val="20"/>
          <w:color w:val="auto"/>
        </w:rPr>
      </w:pPr>
      <w:r>
        <w:rPr>
          <w:rFonts w:ascii="Arial" w:cs="Arial" w:eastAsia="Arial" w:hAnsi="Arial"/>
          <w:sz w:val="18"/>
          <w:szCs w:val="18"/>
          <w:color w:val="auto"/>
        </w:rPr>
        <w:t>the rental rates and capitalization rates applicable to the markets in which we operate and the quality of properties that we own; the ability to negotiate and execute lease agreements with material tenants;</w:t>
      </w:r>
    </w:p>
    <w:p>
      <w:pPr>
        <w:spacing w:after="0" w:line="1" w:lineRule="exact"/>
        <w:rPr>
          <w:sz w:val="20"/>
          <w:szCs w:val="20"/>
          <w:color w:val="auto"/>
        </w:rPr>
      </w:pPr>
    </w:p>
    <w:p>
      <w:pPr>
        <w:ind w:left="320" w:right="660"/>
        <w:spacing w:after="0" w:line="234" w:lineRule="auto"/>
        <w:rPr>
          <w:sz w:val="20"/>
          <w:szCs w:val="20"/>
          <w:color w:val="auto"/>
        </w:rPr>
      </w:pPr>
      <w:r>
        <w:rPr>
          <w:rFonts w:ascii="Arial" w:cs="Arial" w:eastAsia="Arial" w:hAnsi="Arial"/>
          <w:sz w:val="18"/>
          <w:szCs w:val="18"/>
          <w:color w:val="auto"/>
        </w:rPr>
        <w:t>the extent to which we can obtain on a timely basis the various land use approvals and entitlements needed to develop our properties; the risks and uncertainties associated with real estate development; the availability and cost of labor and materials;</w:t>
      </w:r>
    </w:p>
    <w:p>
      <w:pPr>
        <w:ind w:left="320"/>
        <w:spacing w:after="0" w:line="237" w:lineRule="auto"/>
        <w:rPr>
          <w:sz w:val="20"/>
          <w:szCs w:val="20"/>
          <w:color w:val="auto"/>
        </w:rPr>
      </w:pPr>
      <w:r>
        <w:rPr>
          <w:rFonts w:ascii="Arial" w:cs="Arial" w:eastAsia="Arial" w:hAnsi="Arial"/>
          <w:sz w:val="18"/>
          <w:szCs w:val="18"/>
          <w:color w:val="auto"/>
        </w:rPr>
        <w:t>the ability to obtain all permits to construct improvements;</w:t>
      </w:r>
    </w:p>
    <w:p>
      <w:pPr>
        <w:ind w:left="320"/>
        <w:spacing w:after="0" w:line="235" w:lineRule="auto"/>
        <w:rPr>
          <w:sz w:val="20"/>
          <w:szCs w:val="20"/>
          <w:color w:val="auto"/>
        </w:rPr>
      </w:pPr>
      <w:r>
        <w:rPr>
          <w:rFonts w:ascii="Arial" w:cs="Arial" w:eastAsia="Arial" w:hAnsi="Arial"/>
          <w:sz w:val="18"/>
          <w:szCs w:val="18"/>
          <w:color w:val="auto"/>
        </w:rPr>
        <w:t>the ability to finance improvements;</w:t>
      </w:r>
    </w:p>
    <w:p>
      <w:pPr>
        <w:ind w:left="320"/>
        <w:spacing w:after="0" w:line="234" w:lineRule="auto"/>
        <w:rPr>
          <w:sz w:val="20"/>
          <w:szCs w:val="20"/>
          <w:color w:val="auto"/>
        </w:rPr>
      </w:pPr>
      <w:r>
        <w:rPr>
          <w:rFonts w:ascii="Arial" w:cs="Arial" w:eastAsia="Arial" w:hAnsi="Arial"/>
          <w:sz w:val="18"/>
          <w:szCs w:val="18"/>
          <w:color w:val="auto"/>
        </w:rPr>
        <w:t>the disruptions to our business from construction and/or renovations;</w:t>
      </w:r>
    </w:p>
    <w:p>
      <w:pPr>
        <w:spacing w:after="0" w:line="1" w:lineRule="exact"/>
        <w:rPr>
          <w:sz w:val="20"/>
          <w:szCs w:val="20"/>
          <w:color w:val="auto"/>
        </w:rPr>
      </w:pPr>
    </w:p>
    <w:p>
      <w:pPr>
        <w:ind w:left="320" w:right="4760"/>
        <w:spacing w:after="0" w:line="234" w:lineRule="auto"/>
        <w:rPr>
          <w:sz w:val="20"/>
          <w:szCs w:val="20"/>
          <w:color w:val="auto"/>
        </w:rPr>
      </w:pPr>
      <w:r>
        <w:rPr>
          <w:rFonts w:ascii="Arial" w:cs="Arial" w:eastAsia="Arial" w:hAnsi="Arial"/>
          <w:sz w:val="18"/>
          <w:szCs w:val="18"/>
          <w:color w:val="auto"/>
        </w:rPr>
        <w:t>the possibility of construction delays, work stoppage, and material shortage; competition for development sites and tenants; environmental remediation issues;</w:t>
      </w:r>
    </w:p>
    <w:p>
      <w:pPr>
        <w:spacing w:after="0" w:line="2" w:lineRule="exact"/>
        <w:rPr>
          <w:sz w:val="20"/>
          <w:szCs w:val="20"/>
          <w:color w:val="auto"/>
        </w:rPr>
      </w:pPr>
    </w:p>
    <w:p>
      <w:pPr>
        <w:ind w:left="320"/>
        <w:spacing w:after="0" w:line="226" w:lineRule="auto"/>
        <w:rPr>
          <w:sz w:val="20"/>
          <w:szCs w:val="20"/>
          <w:color w:val="auto"/>
        </w:rPr>
      </w:pPr>
      <w:r>
        <w:rPr>
          <w:rFonts w:ascii="Arial" w:cs="Arial" w:eastAsia="Arial" w:hAnsi="Arial"/>
          <w:sz w:val="18"/>
          <w:szCs w:val="18"/>
          <w:color w:val="auto"/>
        </w:rPr>
        <w:t>the extent to which our cinemas can continue to serve as an anchor tenant that will, in turn, be influenced by the same factors as will influence generally the results of our cinema operations;</w:t>
      </w:r>
    </w:p>
    <w:p>
      <w:pPr>
        <w:spacing w:after="0" w:line="2" w:lineRule="exact"/>
        <w:rPr>
          <w:sz w:val="20"/>
          <w:szCs w:val="20"/>
          <w:color w:val="auto"/>
        </w:rPr>
      </w:pPr>
    </w:p>
    <w:p>
      <w:pPr>
        <w:ind w:left="320" w:right="2320"/>
        <w:spacing w:after="0" w:line="234" w:lineRule="auto"/>
        <w:rPr>
          <w:sz w:val="20"/>
          <w:szCs w:val="20"/>
          <w:color w:val="auto"/>
        </w:rPr>
      </w:pPr>
      <w:r>
        <w:rPr>
          <w:rFonts w:ascii="Arial" w:cs="Arial" w:eastAsia="Arial" w:hAnsi="Arial"/>
          <w:sz w:val="18"/>
          <w:szCs w:val="18"/>
          <w:color w:val="auto"/>
        </w:rPr>
        <w:t>the increased depreciation and amortization expense as construction projects transition to leased real property; the ability to negotiate and execute joint venture opportunities and relationships;</w:t>
      </w:r>
    </w:p>
    <w:p>
      <w:pPr>
        <w:spacing w:after="0" w:line="1" w:lineRule="exact"/>
        <w:rPr>
          <w:sz w:val="20"/>
          <w:szCs w:val="20"/>
          <w:color w:val="auto"/>
        </w:rPr>
      </w:pPr>
    </w:p>
    <w:p>
      <w:pPr>
        <w:ind w:left="320"/>
        <w:spacing w:after="0" w:line="226" w:lineRule="auto"/>
        <w:rPr>
          <w:sz w:val="20"/>
          <w:szCs w:val="20"/>
          <w:color w:val="auto"/>
        </w:rPr>
      </w:pPr>
      <w:r>
        <w:rPr>
          <w:rFonts w:ascii="Arial" w:cs="Arial" w:eastAsia="Arial" w:hAnsi="Arial"/>
          <w:sz w:val="18"/>
          <w:szCs w:val="18"/>
          <w:color w:val="auto"/>
        </w:rPr>
        <w:t>the risk of damage and/or disruption of real estate businesses from earthquakes as certain of our operations are in geologically active areas; the disruptions or reductions in the utilization of entertainment, shopping and hospitality venues, as well as in our operations, due to pandemics, epidemics, widespread health emergencies, or outbreaks of infectious diseases such as COVID-19, or to changing consumer tastes and habits; and</w:t>
      </w:r>
    </w:p>
    <w:p>
      <w:pPr>
        <w:spacing w:after="0" w:line="3" w:lineRule="exact"/>
        <w:rPr>
          <w:sz w:val="20"/>
          <w:szCs w:val="20"/>
          <w:color w:val="auto"/>
        </w:rPr>
      </w:pPr>
    </w:p>
    <w:p>
      <w:pPr>
        <w:ind w:left="320" w:right="100"/>
        <w:spacing w:after="0" w:line="243" w:lineRule="auto"/>
        <w:rPr>
          <w:sz w:val="20"/>
          <w:szCs w:val="20"/>
          <w:color w:val="auto"/>
        </w:rPr>
      </w:pPr>
      <w:r>
        <w:rPr>
          <w:rFonts w:ascii="Arial" w:cs="Arial" w:eastAsia="Arial" w:hAnsi="Arial"/>
          <w:sz w:val="18"/>
          <w:szCs w:val="18"/>
          <w:color w:val="auto"/>
        </w:rPr>
        <w:t>the impact of protests, demonstrations, and civil unrest on government policy, consumer willingness to visit shopping centers, and the spread of COVID-19, among other things.</w:t>
      </w:r>
    </w:p>
    <w:p>
      <w:pPr>
        <w:spacing w:after="0" w:line="37" w:lineRule="exact"/>
        <w:rPr>
          <w:sz w:val="20"/>
          <w:szCs w:val="20"/>
          <w:color w:val="auto"/>
        </w:rPr>
      </w:pPr>
    </w:p>
    <w:p>
      <w:pPr>
        <w:ind w:right="760"/>
        <w:spacing w:after="0" w:line="265" w:lineRule="auto"/>
        <w:rPr>
          <w:sz w:val="20"/>
          <w:szCs w:val="20"/>
          <w:color w:val="auto"/>
        </w:rPr>
      </w:pPr>
      <w:r>
        <w:rPr>
          <w:rFonts w:ascii="Arial" w:cs="Arial" w:eastAsia="Arial" w:hAnsi="Arial"/>
          <w:sz w:val="16"/>
          <w:szCs w:val="16"/>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1" w:lineRule="exact"/>
        <w:rPr>
          <w:sz w:val="20"/>
          <w:szCs w:val="20"/>
          <w:color w:val="auto"/>
        </w:rPr>
      </w:pPr>
    </w:p>
    <w:p>
      <w:pPr>
        <w:ind w:left="320" w:right="3480"/>
        <w:spacing w:after="0" w:line="234" w:lineRule="auto"/>
        <w:rPr>
          <w:sz w:val="20"/>
          <w:szCs w:val="20"/>
          <w:color w:val="auto"/>
        </w:rPr>
      </w:pPr>
      <w:r>
        <w:rPr>
          <w:rFonts w:ascii="Arial" w:cs="Arial" w:eastAsia="Arial" w:hAnsi="Arial"/>
          <w:sz w:val="18"/>
          <w:szCs w:val="18"/>
          <w:color w:val="auto"/>
        </w:rPr>
        <w:t>our ability to renew, extend, renegotiate, or replace our loans that mature in 2021 and beyond; our ability to grow our Company and provide value to our stockholders;</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189230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301" w:right="359" w:bottom="1440" w:gutter="0" w:footer="0" w:header="0"/>
        </w:sectPr>
      </w:pPr>
    </w:p>
    <w:bookmarkStart w:id="21" w:name="page22"/>
    <w:bookmarkEnd w:id="21"/>
    <w:p>
      <w:pPr>
        <w:ind w:left="980" w:right="380"/>
        <w:spacing w:after="0" w:line="235" w:lineRule="auto"/>
        <w:rPr>
          <w:sz w:val="20"/>
          <w:szCs w:val="20"/>
          <w:color w:val="auto"/>
        </w:rPr>
      </w:pPr>
      <w:r>
        <w:rPr>
          <w:rFonts w:ascii="Arial" w:cs="Arial" w:eastAsia="Arial" w:hAnsi="Arial"/>
          <w:sz w:val="18"/>
          <w:szCs w:val="18"/>
          <w:color w:val="auto"/>
        </w:rPr>
        <w:t>our ongoing access to borrowed funds and capital and the interest that must be paid on that debt and the returns that must be paid on such capital, and our ability to borrow funds to help cover the cessation of cash flows we are experiencing during the COVID-19 pandemic; our ability to reallocate funds among jurisdictions to meet short-term liquidity needs;</w:t>
      </w:r>
    </w:p>
    <w:p>
      <w:pPr>
        <w:spacing w:after="0" w:line="2" w:lineRule="exact"/>
        <w:rPr>
          <w:sz w:val="20"/>
          <w:szCs w:val="20"/>
          <w:color w:val="auto"/>
        </w:rPr>
      </w:pPr>
    </w:p>
    <w:p>
      <w:pPr>
        <w:ind w:left="980" w:right="200"/>
        <w:spacing w:after="0" w:line="226" w:lineRule="auto"/>
        <w:rPr>
          <w:sz w:val="20"/>
          <w:szCs w:val="20"/>
          <w:color w:val="auto"/>
        </w:rPr>
      </w:pPr>
      <w:r>
        <w:rPr>
          <w:rFonts w:ascii="Arial" w:cs="Arial" w:eastAsia="Arial" w:hAnsi="Arial"/>
          <w:sz w:val="18"/>
          <w:szCs w:val="18"/>
          <w:color w:val="auto"/>
        </w:rPr>
        <w:t>expenses, Management and Board distraction, and other effects of the litigation efforts that were mounted by James J. Cotter, Jr. against our Company, including his efforts to cause a sale of voting control of our Company;</w:t>
      </w:r>
    </w:p>
    <w:p>
      <w:pPr>
        <w:ind w:left="980"/>
        <w:spacing w:after="0" w:line="236" w:lineRule="auto"/>
        <w:rPr>
          <w:sz w:val="20"/>
          <w:szCs w:val="20"/>
          <w:color w:val="auto"/>
        </w:rPr>
      </w:pPr>
      <w:r>
        <w:rPr>
          <w:rFonts w:ascii="Arial" w:cs="Arial" w:eastAsia="Arial" w:hAnsi="Arial"/>
          <w:sz w:val="18"/>
          <w:szCs w:val="18"/>
          <w:color w:val="auto"/>
        </w:rPr>
        <w:t>the relative values of the currency used in the countries in which we operate;</w:t>
      </w:r>
    </w:p>
    <w:p>
      <w:pPr>
        <w:spacing w:after="0" w:line="1" w:lineRule="exact"/>
        <w:rPr>
          <w:sz w:val="20"/>
          <w:szCs w:val="20"/>
          <w:color w:val="auto"/>
        </w:rPr>
      </w:pPr>
    </w:p>
    <w:p>
      <w:pPr>
        <w:ind w:left="980" w:right="580"/>
        <w:spacing w:after="0" w:line="226" w:lineRule="auto"/>
        <w:rPr>
          <w:sz w:val="20"/>
          <w:szCs w:val="20"/>
          <w:color w:val="auto"/>
        </w:rPr>
      </w:pPr>
      <w:r>
        <w:rPr>
          <w:rFonts w:ascii="Arial" w:cs="Arial" w:eastAsia="Arial" w:hAnsi="Arial"/>
          <w:sz w:val="18"/>
          <w:szCs w:val="18"/>
          <w:color w:val="auto"/>
        </w:rPr>
        <w:t>the impact that any discontinuance, modification or other reform of London Inter-Bank Offered Rate (LIBOR), or the establishment of alternative reference rates, may have on our LIBOR-based debt instruments;</w:t>
      </w:r>
    </w:p>
    <w:p>
      <w:pPr>
        <w:spacing w:after="0" w:line="2" w:lineRule="exact"/>
        <w:rPr>
          <w:sz w:val="20"/>
          <w:szCs w:val="20"/>
          <w:color w:val="auto"/>
        </w:rPr>
      </w:pPr>
    </w:p>
    <w:p>
      <w:pPr>
        <w:ind w:left="980" w:right="20"/>
        <w:spacing w:after="0" w:line="226" w:lineRule="auto"/>
        <w:rPr>
          <w:sz w:val="20"/>
          <w:szCs w:val="20"/>
          <w:color w:val="auto"/>
        </w:rPr>
      </w:pPr>
      <w:r>
        <w:rPr>
          <w:rFonts w:ascii="Arial" w:cs="Arial" w:eastAsia="Arial" w:hAnsi="Arial"/>
          <w:sz w:val="18"/>
          <w:szCs w:val="18"/>
          <w:color w:val="auto"/>
        </w:rPr>
        <w:t>changes in government regulation, including by way of example, the costs resulting from the implementation of the requirements of Sarbanes-Oxley;</w:t>
      </w:r>
    </w:p>
    <w:p>
      <w:pPr>
        <w:spacing w:after="0" w:line="2" w:lineRule="exact"/>
        <w:rPr>
          <w:sz w:val="20"/>
          <w:szCs w:val="20"/>
          <w:color w:val="auto"/>
        </w:rPr>
      </w:pPr>
    </w:p>
    <w:p>
      <w:pPr>
        <w:ind w:left="980" w:right="100"/>
        <w:spacing w:after="0" w:line="226" w:lineRule="auto"/>
        <w:rPr>
          <w:sz w:val="20"/>
          <w:szCs w:val="20"/>
          <w:color w:val="auto"/>
        </w:rPr>
      </w:pPr>
      <w:r>
        <w:rPr>
          <w:rFonts w:ascii="Arial" w:cs="Arial" w:eastAsia="Arial" w:hAnsi="Arial"/>
          <w:sz w:val="18"/>
          <w:szCs w:val="18"/>
          <w:color w:val="auto"/>
        </w:rPr>
        <w:t>our labor relations and costs of labor (including future government requirements with respect to minimum wages, shift scheduling, the use of consultants, pension liabilities, disability insurance and health coverage, and vacations and leave);</w:t>
      </w:r>
    </w:p>
    <w:p>
      <w:pPr>
        <w:spacing w:after="0" w:line="2" w:lineRule="exact"/>
        <w:rPr>
          <w:sz w:val="20"/>
          <w:szCs w:val="20"/>
          <w:color w:val="auto"/>
        </w:rPr>
      </w:pPr>
    </w:p>
    <w:p>
      <w:pPr>
        <w:ind w:left="980" w:right="160"/>
        <w:spacing w:after="0" w:line="223" w:lineRule="auto"/>
        <w:rPr>
          <w:sz w:val="20"/>
          <w:szCs w:val="20"/>
          <w:color w:val="auto"/>
        </w:rPr>
      </w:pPr>
      <w:r>
        <w:rPr>
          <w:rFonts w:ascii="Arial" w:cs="Arial" w:eastAsia="Arial" w:hAnsi="Arial"/>
          <w:sz w:val="18"/>
          <w:szCs w:val="18"/>
          <w:color w:val="auto"/>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 based claims;</w:t>
      </w:r>
    </w:p>
    <w:p>
      <w:pPr>
        <w:ind w:left="980" w:right="860"/>
        <w:spacing w:after="0" w:line="234" w:lineRule="auto"/>
        <w:rPr>
          <w:sz w:val="20"/>
          <w:szCs w:val="20"/>
          <w:color w:val="auto"/>
        </w:rPr>
      </w:pPr>
      <w:r>
        <w:rPr>
          <w:rFonts w:ascii="Arial" w:cs="Arial" w:eastAsia="Arial" w:hAnsi="Arial"/>
          <w:sz w:val="18"/>
          <w:szCs w:val="18"/>
          <w:color w:val="auto"/>
        </w:rPr>
        <w:t>our exposure to cybersecurity risks, including misappropriation of customer information or other breaches of information security; the impact of major outbreaks of contagious diseases, such as COVID-19;</w:t>
      </w:r>
    </w:p>
    <w:p>
      <w:pPr>
        <w:ind w:left="980"/>
        <w:spacing w:after="0" w:line="236" w:lineRule="auto"/>
        <w:rPr>
          <w:sz w:val="20"/>
          <w:szCs w:val="20"/>
          <w:color w:val="auto"/>
        </w:rPr>
      </w:pPr>
      <w:r>
        <w:rPr>
          <w:rFonts w:ascii="Arial" w:cs="Arial" w:eastAsia="Arial" w:hAnsi="Arial"/>
          <w:sz w:val="18"/>
          <w:szCs w:val="18"/>
          <w:color w:val="auto"/>
        </w:rPr>
        <w:t>the availability of employees and/or their ability or willingness to conduct work under any revised work environment protocols;</w:t>
      </w:r>
    </w:p>
    <w:p>
      <w:pPr>
        <w:ind w:left="980" w:right="280"/>
        <w:spacing w:after="0" w:line="226" w:lineRule="auto"/>
        <w:rPr>
          <w:sz w:val="20"/>
          <w:szCs w:val="20"/>
          <w:color w:val="auto"/>
        </w:rPr>
      </w:pPr>
      <w:r>
        <w:rPr>
          <w:rFonts w:ascii="Arial" w:cs="Arial" w:eastAsia="Arial" w:hAnsi="Arial"/>
          <w:sz w:val="18"/>
          <w:szCs w:val="18"/>
          <w:color w:val="auto"/>
        </w:rPr>
        <w:t>the increased risks related to employee matters, including increased employment litigation and claims relating to terminations or furloughs caused by theater and ETC closures;</w:t>
      </w:r>
    </w:p>
    <w:p>
      <w:pPr>
        <w:spacing w:after="0" w:line="2" w:lineRule="exact"/>
        <w:rPr>
          <w:sz w:val="20"/>
          <w:szCs w:val="20"/>
          <w:color w:val="auto"/>
        </w:rPr>
      </w:pPr>
    </w:p>
    <w:p>
      <w:pPr>
        <w:ind w:left="980" w:right="60"/>
        <w:spacing w:after="0" w:line="224" w:lineRule="auto"/>
        <w:rPr>
          <w:sz w:val="20"/>
          <w:szCs w:val="20"/>
          <w:color w:val="auto"/>
        </w:rPr>
      </w:pPr>
      <w:r>
        <w:rPr>
          <w:rFonts w:ascii="Arial" w:cs="Arial" w:eastAsia="Arial" w:hAnsi="Arial"/>
          <w:sz w:val="18"/>
          <w:szCs w:val="18"/>
          <w:color w:val="auto"/>
        </w:rPr>
        <w:t>our ability to generate significant cash flow from operations if our theaters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spacing w:after="0" w:line="1" w:lineRule="exact"/>
        <w:rPr>
          <w:sz w:val="20"/>
          <w:szCs w:val="20"/>
          <w:color w:val="auto"/>
        </w:rPr>
      </w:pPr>
    </w:p>
    <w:p>
      <w:pPr>
        <w:ind w:left="980" w:right="740"/>
        <w:spacing w:after="0" w:line="226" w:lineRule="auto"/>
        <w:rPr>
          <w:sz w:val="20"/>
          <w:szCs w:val="20"/>
          <w:color w:val="auto"/>
        </w:rPr>
      </w:pPr>
      <w:r>
        <w:rPr>
          <w:rFonts w:ascii="Arial" w:cs="Arial" w:eastAsia="Arial" w:hAnsi="Arial"/>
          <w:sz w:val="18"/>
          <w:szCs w:val="18"/>
          <w:color w:val="auto"/>
        </w:rPr>
        <w:t>our ability to comply with credit facility covenants and our ability to obtain necessary covenant waivers and necessary credit facility amendments;</w:t>
      </w:r>
    </w:p>
    <w:p>
      <w:pPr>
        <w:spacing w:after="0" w:line="2" w:lineRule="exact"/>
        <w:rPr>
          <w:sz w:val="20"/>
          <w:szCs w:val="20"/>
          <w:color w:val="auto"/>
        </w:rPr>
      </w:pPr>
    </w:p>
    <w:p>
      <w:pPr>
        <w:ind w:left="980" w:right="240"/>
        <w:spacing w:after="0" w:line="226" w:lineRule="auto"/>
        <w:rPr>
          <w:sz w:val="20"/>
          <w:szCs w:val="20"/>
          <w:color w:val="auto"/>
        </w:rPr>
      </w:pPr>
      <w:r>
        <w:rPr>
          <w:rFonts w:ascii="Arial" w:cs="Arial" w:eastAsia="Arial" w:hAnsi="Arial"/>
          <w:sz w:val="18"/>
          <w:szCs w:val="18"/>
          <w:color w:val="auto"/>
        </w:rPr>
        <w:t>changes in future effective tax rates and the results of currently ongoing and future potential audits by taxing authorities having jurisdiction over our various companies; and</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applicable accounting policies and practices.</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such as COVID-19, and the extent to which consumers in our markets have the economic wherewithal to spend money on beyond-the-home entertainment. Refer to Item 1A - </w:t>
      </w:r>
      <w:r>
        <w:rPr>
          <w:rFonts w:ascii="Arial" w:cs="Arial" w:eastAsia="Arial" w:hAnsi="Arial"/>
          <w:sz w:val="17"/>
          <w:szCs w:val="17"/>
          <w:i w:val="1"/>
          <w:iCs w:val="1"/>
          <w:color w:val="auto"/>
        </w:rPr>
        <w:t>Risk Factors</w:t>
      </w:r>
      <w:r>
        <w:rPr>
          <w:rFonts w:ascii="Arial" w:cs="Arial" w:eastAsia="Arial" w:hAnsi="Arial"/>
          <w:sz w:val="17"/>
          <w:szCs w:val="17"/>
          <w:color w:val="auto"/>
        </w:rPr>
        <w:t>, as well as the risk factors set forth in any other filings made under the Securities Act of 1934, as amended, including any of our Quarterly Reports on Form 10-Q, for more information.</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3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Forward-looking statements made by us in this annual report are based only on information currently available to us and are current only as of the date of this report.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14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Additionally, certain of the presentations included in this annual report may contain “non-GAAP financial measures.” In such case, a reconciliation of this information to our GAAP financial statements will be made available in connection with such statements.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u w:val="single" w:color="auto"/>
          <w:color w:val="auto"/>
        </w:rPr>
        <w:t>Item 1A – Risk Factors</w:t>
      </w:r>
    </w:p>
    <w:p>
      <w:pPr>
        <w:spacing w:after="0" w:line="206" w:lineRule="exact"/>
        <w:rPr>
          <w:sz w:val="20"/>
          <w:szCs w:val="20"/>
          <w:color w:val="auto"/>
        </w:rPr>
      </w:pPr>
    </w:p>
    <w:p>
      <w:pPr>
        <w:ind w:right="580"/>
        <w:spacing w:after="0" w:line="307" w:lineRule="auto"/>
        <w:rPr>
          <w:sz w:val="20"/>
          <w:szCs w:val="20"/>
          <w:color w:val="auto"/>
        </w:rPr>
      </w:pPr>
      <w:r>
        <w:rPr>
          <w:rFonts w:ascii="Arial" w:cs="Arial" w:eastAsia="Arial" w:hAnsi="Arial"/>
          <w:sz w:val="16"/>
          <w:szCs w:val="16"/>
          <w:color w:val="auto"/>
        </w:rPr>
        <w:t>Like any other investment, investing in our securities involves risk. Set forth below is a summary of various risk factors that you should consider in connection with your investment in our Company. This summary should be considered in the context of our overall Annual Report on Form 10-K.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 FACTORS</w:t>
      </w:r>
    </w:p>
    <w:p>
      <w:pPr>
        <w:spacing w:after="0" w:line="175" w:lineRule="exact"/>
        <w:rPr>
          <w:sz w:val="20"/>
          <w:szCs w:val="20"/>
          <w:color w:val="auto"/>
        </w:rPr>
      </w:pPr>
    </w:p>
    <w:p>
      <w:pPr>
        <w:ind w:right="260"/>
        <w:spacing w:after="0" w:line="228" w:lineRule="auto"/>
        <w:rPr>
          <w:sz w:val="20"/>
          <w:szCs w:val="20"/>
          <w:color w:val="auto"/>
        </w:rPr>
      </w:pPr>
      <w:r>
        <w:rPr>
          <w:rFonts w:ascii="Arial" w:cs="Arial" w:eastAsia="Arial" w:hAnsi="Arial"/>
          <w:sz w:val="18"/>
          <w:szCs w:val="18"/>
          <w:color w:val="auto"/>
        </w:rPr>
        <w:t>We are in the cinema exhibition and real estate businesses. We discuss separately the risks we believe to be material to our involvement in each of these segments. We have discussed separately the risks relating to the international nature of our business activities, our use of leverage, and our status as a controlled corporation. While we report the results of our live theatre operations as real estate operations – because we are principally in the business of renting space to producers rather than in producing plays ourselves – the cinema exhibition and live theatre businesses share certain risk factors and are, accordingly, discussed together.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Cinema Exhibition and Live Theatre Business Risk Factors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 xml:space="preserve">Our cinema and live theatre businesses are dependent upon attendance and, accordingly, are vulnerable to the adverse effects of the coronavirus outbreak which has resulted in government ordered closures, imposition of social distancing requirements, and changes in film release patterns, and may even after reopening adversely affect the public’s acceptance of auditorium-based entertainment. These situations may be repeated in the event of future pandemics. </w:t>
      </w:r>
      <w:r>
        <w:rPr>
          <w:rFonts w:ascii="Arial" w:cs="Arial" w:eastAsia="Arial" w:hAnsi="Arial"/>
          <w:sz w:val="16"/>
          <w:szCs w:val="16"/>
          <w:color w:val="auto"/>
        </w:rPr>
        <w:t>As demonstrated by the governmental and public response to the recent COVID-19 Pandemic, businesses that bring large numbers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unrelated people together in an enclosed environment are particularly vulnerable to business disruption in the face of contagious disease with life threatening potential. Not only may government authorities order closures or reduced operating capacities, the public may feel uncomfortable attending our performances in the face of such an infectious disease risk. Our cinema business has high fixed costs (rent and increasing labor) and our revenue in this segment (ticket sales, food and beverage sales, screen advertising fees) is directly tied to our success at attracting customers to our venues.</w:t>
      </w:r>
    </w:p>
    <w:p>
      <w:pPr>
        <w:spacing w:after="0" w:line="137"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b w:val="1"/>
          <w:bCs w:val="1"/>
          <w:i w:val="1"/>
          <w:iCs w:val="1"/>
          <w:color w:val="auto"/>
        </w:rPr>
        <w:t xml:space="preserve">We are dependent upon third parties to supply the entertainment product we need for our cinemas and live theatres to attract customers. </w:t>
      </w:r>
      <w:r>
        <w:rPr>
          <w:rFonts w:ascii="Arial" w:cs="Arial" w:eastAsia="Arial" w:hAnsi="Arial"/>
          <w:sz w:val="17"/>
          <w:szCs w:val="17"/>
          <w:color w:val="auto"/>
        </w:rPr>
        <w:t>We do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produce the films we show at our cinemas and, generally speaking, we do not produce the plays that are performed at our live theatres. Film distributors have no obligation to supply us with film and producers have no obligation to make use of our live theatres.</w:t>
      </w:r>
    </w:p>
    <w:p>
      <w:pPr>
        <w:spacing w:after="0" w:line="13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i w:val="1"/>
          <w:iCs w:val="1"/>
          <w:color w:val="auto"/>
        </w:rPr>
        <w:t xml:space="preserve">We face competition from other sources of entertainment and other entertainment delivery systems. </w:t>
      </w:r>
      <w:r>
        <w:rPr>
          <w:rFonts w:ascii="Arial" w:cs="Arial" w:eastAsia="Arial" w:hAnsi="Arial"/>
          <w:sz w:val="16"/>
          <w:szCs w:val="16"/>
          <w:color w:val="auto"/>
        </w:rPr>
        <w:t>Both our cinema and live theatre operations face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competition from “in-home” and mobile device sources of entertainment. These include competition from network, cable and satellite television, internet streaming video services, Video on Demand, the internet, video games and other sources of entertainment. The quality of “in-home” and mobile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presentation-oriented experience offered by our cinemas and live theatres. Film distributors have been responding to these developments by, in some cases, decreasing or eliminating the period of time between cinema release and the date such product is made available to “in-home” or mobile forms of distribution. During the COVID-19 Pandemic, many distributors have moved product onto their proprietary streaming service platforms or onto third party platforms (like Netflix) either in lieu of or simultaneously with a cinema release. Also, even before the recent Pandemic, some traditional in-home and mobile distributors had begun the production of full-length movies, specifically for the purpose of direct or simultaneous release to the in-home and mobile markets. Cinemas will need to meet these competitive factors to continue to attract customers. This may require substantial capital outlays and increased labor expense, which exhibitors may not be able to fully pass on to their customers.</w:t>
      </w:r>
    </w:p>
    <w:p>
      <w:pPr>
        <w:spacing w:after="0" w:line="139"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We also face competition from various other forms of “beyond-the-home” entertainment, including sporting events, concerts, restaurants, casinos, video game arcades, and nightclubs. Our cinemas also face competition from live theatres and vice versa. Also, social media offerings – such as Facebook, Instagram, TikTok, and Snapchat – appear to be commanding increasing portions of the recreational time of our potential audience.</w:t>
      </w:r>
    </w:p>
    <w:p>
      <w:pPr>
        <w:spacing w:after="0" w:line="13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b w:val="1"/>
          <w:bCs w:val="1"/>
          <w:i w:val="1"/>
          <w:iCs w:val="1"/>
          <w:color w:val="auto"/>
        </w:rPr>
        <w:t xml:space="preserve">We operate in a highly competitive environment with many competitors who are significantly larger and may have significantly better access to films and to funds than we do. </w:t>
      </w:r>
      <w:r>
        <w:rPr>
          <w:rFonts w:ascii="Arial" w:cs="Arial" w:eastAsia="Arial" w:hAnsi="Arial"/>
          <w:sz w:val="16"/>
          <w:szCs w:val="16"/>
          <w:color w:val="auto"/>
        </w:rPr>
        <w:t>We are a comparatively small cinema operator and face competition from much larger exhibitors who are able to offer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more screens and in more markets – including markets where they may be the exclusive exhibitor – than can we. This may adversely impact our access films, which may adversely affect our revenue and profitability. 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(iv) for the sake of building volume, to operate cinemas with margins below our threshold for cinema acquisitions and/or development, and (v) better economies of scale. Access to reasonably priced funding is increasingly important as cinema operators need to upgrade their presentation, food and beverage in order to compete with in-home entertainment options.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ind w:right="140"/>
        <w:spacing w:after="0" w:line="231" w:lineRule="auto"/>
        <w:rPr>
          <w:sz w:val="20"/>
          <w:szCs w:val="20"/>
          <w:color w:val="auto"/>
        </w:rPr>
      </w:pPr>
      <w:r>
        <w:rPr>
          <w:rFonts w:ascii="Arial" w:cs="Arial" w:eastAsia="Arial" w:hAnsi="Arial"/>
          <w:sz w:val="18"/>
          <w:szCs w:val="18"/>
          <w:color w:val="auto"/>
        </w:rPr>
        <w:t>In the case of our live theatres, we compete for shows not only with other “for profit” Off-Broadway theatres, but also with “not-for-profit” operators and, increasingly, with Broadway theatres. We believe our live theatres are generally competitive with other Off-Broadway venues. However, due to the increased cost of staging live theatre productions, we are seeing an increasing tendency for plays that would historically have been staged in an Off-Broadway theatre moving directly to larger Broadway 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vulnerable to a variety of factors which are beyond our control.</w:t>
      </w:r>
    </w:p>
    <w:p>
      <w:pPr>
        <w:spacing w:after="0" w:line="171" w:lineRule="exact"/>
        <w:rPr>
          <w:sz w:val="20"/>
          <w:szCs w:val="20"/>
          <w:color w:val="auto"/>
        </w:rPr>
      </w:pPr>
    </w:p>
    <w:p>
      <w:pPr>
        <w:jc w:val="both"/>
        <w:ind w:left="660" w:right="140"/>
        <w:spacing w:after="0" w:line="276" w:lineRule="auto"/>
        <w:rPr>
          <w:sz w:val="20"/>
          <w:szCs w:val="20"/>
          <w:color w:val="auto"/>
        </w:rPr>
      </w:pPr>
      <w:r>
        <w:rPr>
          <w:rFonts w:ascii="Arial" w:cs="Arial" w:eastAsia="Arial" w:hAnsi="Arial"/>
          <w:sz w:val="16"/>
          <w:szCs w:val="16"/>
          <w:b w:val="1"/>
          <w:bCs w:val="1"/>
          <w:i w:val="1"/>
          <w:iCs w:val="1"/>
          <w:color w:val="auto"/>
        </w:rPr>
        <w:t xml:space="preserve">Our cinema and live theatre businesses may be vulnerable to fears of terrorism and random shooter incidents could cause customers to avoid public assembly venues. </w:t>
      </w:r>
      <w:r>
        <w:rPr>
          <w:rFonts w:ascii="Arial" w:cs="Arial" w:eastAsia="Arial" w:hAnsi="Arial"/>
          <w:sz w:val="16"/>
          <w:szCs w:val="16"/>
          <w:color w:val="auto"/>
        </w:rPr>
        <w:t>Events, such as terrorist attacks and random shooter incidents may discourage patrons from attending our cinemas.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recent shooting incidents have resulted in material increases in insurance premiums for cinema operators.</w:t>
      </w:r>
    </w:p>
    <w:p>
      <w:pPr>
        <w:spacing w:after="0" w:line="121" w:lineRule="exact"/>
        <w:rPr>
          <w:sz w:val="20"/>
          <w:szCs w:val="20"/>
          <w:color w:val="auto"/>
        </w:rPr>
      </w:pPr>
    </w:p>
    <w:p>
      <w:pPr>
        <w:jc w:val="both"/>
        <w:ind w:left="660" w:right="440"/>
        <w:spacing w:after="0" w:line="253" w:lineRule="auto"/>
        <w:rPr>
          <w:sz w:val="20"/>
          <w:szCs w:val="20"/>
          <w:color w:val="auto"/>
        </w:rPr>
      </w:pPr>
      <w:r>
        <w:rPr>
          <w:rFonts w:ascii="Arial" w:cs="Arial" w:eastAsia="Arial" w:hAnsi="Arial"/>
          <w:sz w:val="17"/>
          <w:szCs w:val="17"/>
          <w:b w:val="1"/>
          <w:bCs w:val="1"/>
          <w:i w:val="1"/>
          <w:iCs w:val="1"/>
          <w:color w:val="auto"/>
        </w:rPr>
        <w:t xml:space="preserve">Our cinema business may be vulnerable to natural disasters. </w:t>
      </w:r>
      <w:r>
        <w:rPr>
          <w:rFonts w:ascii="Arial" w:cs="Arial" w:eastAsia="Arial" w:hAnsi="Arial"/>
          <w:sz w:val="17"/>
          <w:szCs w:val="17"/>
          <w:color w:val="auto"/>
        </w:rPr>
        <w:t>Natural disasters, such as tropical storms, floods, fires, and earthquakes,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damaged and forced the temporary closure, and are likely in the future to similarly impact, our cinema operations. A material portion of our cinemas are located in seismically active areas, such as California, Hawaii and New Zealand.</w:t>
      </w:r>
    </w:p>
    <w:p>
      <w:pPr>
        <w:spacing w:after="0" w:line="138" w:lineRule="exact"/>
        <w:rPr>
          <w:sz w:val="20"/>
          <w:szCs w:val="20"/>
          <w:color w:val="auto"/>
        </w:rPr>
      </w:pPr>
    </w:p>
    <w:p>
      <w:pPr>
        <w:ind w:left="660"/>
        <w:spacing w:after="0" w:line="225" w:lineRule="auto"/>
        <w:rPr>
          <w:sz w:val="20"/>
          <w:szCs w:val="20"/>
          <w:color w:val="auto"/>
        </w:rPr>
      </w:pPr>
      <w:r>
        <w:rPr>
          <w:rFonts w:ascii="Arial" w:cs="Arial" w:eastAsia="Arial" w:hAnsi="Arial"/>
          <w:sz w:val="18"/>
          <w:szCs w:val="18"/>
          <w:b w:val="1"/>
          <w:bCs w:val="1"/>
          <w:i w:val="1"/>
          <w:iCs w:val="1"/>
          <w:color w:val="auto"/>
        </w:rPr>
        <w:t xml:space="preserve">We are not in an essential business and accordingly may be more subject to general economic conditions than some other businesses. </w:t>
      </w:r>
      <w:r>
        <w:rPr>
          <w:rFonts w:ascii="Arial" w:cs="Arial" w:eastAsia="Arial" w:hAnsi="Arial"/>
          <w:sz w:val="18"/>
          <w:szCs w:val="18"/>
          <w:color w:val="auto"/>
        </w:rPr>
        <w:t>Going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movie or a play is a luxury, not a necessity. Furthermore, consumer demand for better and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theatre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that are very risky due to the absence of any ability to recoup investment in secondary markets like–– cable, satellite or internet distribution.</w:t>
      </w:r>
    </w:p>
    <w:p>
      <w:pPr>
        <w:spacing w:after="0" w:line="14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 xml:space="preserve">We face competition from competitors offering food and beverage and luxury seating as an integral part of their cinema offerings. </w:t>
      </w:r>
      <w:r>
        <w:rPr>
          <w:rFonts w:ascii="Arial" w:cs="Arial" w:eastAsia="Arial" w:hAnsi="Arial"/>
          <w:sz w:val="18"/>
          <w:szCs w:val="18"/>
          <w:color w:val="auto"/>
        </w:rPr>
        <w:t>The number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competitors offering an expanded food and beverage menu (including the sale of alcoholic beverages) and luxury seating, has continued to grow in recent periods. In addition, more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the Company has been required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 which may translate into fewer movie tickets being sold and the shutdown (or limitation of activities) during the time required to complete such modifications.</w:t>
      </w:r>
    </w:p>
    <w:p>
      <w:pPr>
        <w:spacing w:after="0" w:line="15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b w:val="1"/>
          <w:bCs w:val="1"/>
          <w:i w:val="1"/>
          <w:iCs w:val="1"/>
          <w:color w:val="auto"/>
        </w:rPr>
        <w:t xml:space="preserve">Our failure to obtain and maintain liquor licenses at any of our cinemas could adversely affect our ability to compete. </w:t>
      </w:r>
      <w:r>
        <w:rPr>
          <w:rFonts w:ascii="Arial" w:cs="Arial" w:eastAsia="Arial" w:hAnsi="Arial"/>
          <w:sz w:val="16"/>
          <w:szCs w:val="16"/>
          <w:color w:val="auto"/>
        </w:rPr>
        <w:t>Each of our cinemas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alcoholic beverages, is subject to licensing and regulation. Typically, licenses must be renewed annually and may be revoked or suspended for cause at any time. Alcoholic beverage control regulations relate to numerous aspects of the daily operations of each cinema,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our profitability, our ability to attract patrons, and our ability to obtain such a liquor license in other locations.</w:t>
      </w:r>
    </w:p>
    <w:p>
      <w:pPr>
        <w:spacing w:after="0" w:line="136"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 xml:space="preserve">We may be subject to increased labor and benefits costs generally. </w:t>
      </w:r>
      <w:r>
        <w:rPr>
          <w:rFonts w:ascii="Arial" w:cs="Arial" w:eastAsia="Arial" w:hAnsi="Arial"/>
          <w:sz w:val="18"/>
          <w:szCs w:val="18"/>
          <w:color w:val="auto"/>
        </w:rPr>
        <w:t>We are subject to laws governing such matters as minimum wages, working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overtime. As minimum wage rates increase and/or limitations are imposed on our ability to adjust staffing levels to reflect cinema attendances, we may need to increase not only the wages of our minimum wage employees, but also the wages paid to employees at wage rates that are above minimum wage and to incur higher amounts overtime and over-staffing costs. Labor shortages, increased employee turnover and health care mandates could also increase our labor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Real Estate Development and Ownership Business Risks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Risks Related to Our Real Estate Business.</w:t>
      </w:r>
    </w:p>
    <w:p>
      <w:pPr>
        <w:spacing w:after="0" w:line="17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 xml:space="preserve">Our real estate business is vulnerable to the effects from the coronavirus outbreak which has adversely impacted our retail tenants' operations and, in turn, resulted in an increase in tenant defaults and rent reductions. </w:t>
      </w:r>
      <w:r>
        <w:rPr>
          <w:rFonts w:ascii="Arial" w:cs="Arial" w:eastAsia="Arial" w:hAnsi="Arial"/>
          <w:sz w:val="18"/>
          <w:szCs w:val="18"/>
          <w:color w:val="auto"/>
        </w:rPr>
        <w:t>The ongoing COVID-19 Pandemic has resulted in the closure or reduced capacity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of our retail tenants. All of our ETCs are anchored by our cinemas, which suffered temporary closures and/or reductions in seating capacities during the COVID-19 Pandemic, thereby reducing foot traffic to our ETCs. In some cases, we have been compelled to provide our tenants with rent abatements or deferrals.</w:t>
      </w:r>
    </w:p>
    <w:p>
      <w:pPr>
        <w:spacing w:after="0" w:line="151"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color w:val="auto"/>
        </w:rPr>
        <w:t xml:space="preserve">Competition from the Digital Economy may adversely impact our ability to lease and obtain reasonable rents for our properties. </w:t>
      </w:r>
      <w:r>
        <w:rPr>
          <w:rFonts w:ascii="Arial" w:cs="Arial" w:eastAsia="Arial" w:hAnsi="Arial"/>
          <w:sz w:val="18"/>
          <w:szCs w:val="18"/>
          <w:color w:val="auto"/>
        </w:rPr>
        <w:t>An increasing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shopping is being done on-line. This has adversely impacted retail tenants (particularly those dealing in consumer goods), which may impact our ability to attract such retailers and to obtain rents at historic levels. This is a particular risk to us, given our high percentage of retail tenants. Also, initially motivated by the need to work from home during the COVID-19 Pandemic, employers are rethinking the scope and extent of the need for their office space. Some markets may have become overbuilt, which may complicate our ability to lease our properties, to obtain reasonable rents, and to finance future development.</w:t>
      </w:r>
    </w:p>
    <w:p>
      <w:pPr>
        <w:spacing w:after="0" w:line="148"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b w:val="1"/>
          <w:bCs w:val="1"/>
          <w:i w:val="1"/>
          <w:iCs w:val="1"/>
          <w:color w:val="auto"/>
        </w:rPr>
        <w:t xml:space="preserve">Many of our Properties are located in areas prone to natural disasters. </w:t>
      </w:r>
      <w:r>
        <w:rPr>
          <w:rFonts w:ascii="Arial" w:cs="Arial" w:eastAsia="Arial" w:hAnsi="Arial"/>
          <w:sz w:val="16"/>
          <w:szCs w:val="16"/>
          <w:color w:val="auto"/>
        </w:rPr>
        <w:t>Many of our properties are located in areas subject to a risk of fires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and Australia; of hurricanes, tropical storms and/or flooding, such as Australia, California, Hawaii and New York, New Jersey, or earthquake. including New Zealand, Hawaii and California. The availability of insurance for natural disasters (particularly earthquake) may be limited.</w:t>
      </w:r>
    </w:p>
    <w:p>
      <w:pPr>
        <w:spacing w:after="0" w:line="12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 xml:space="preserve">Our entertainment properties may be more subject to access litigation than other properties. </w:t>
      </w:r>
      <w:r>
        <w:rPr>
          <w:rFonts w:ascii="Arial" w:cs="Arial" w:eastAsia="Arial" w:hAnsi="Arial"/>
          <w:sz w:val="18"/>
          <w:szCs w:val="18"/>
          <w:color w:val="auto"/>
        </w:rPr>
        <w:t>Substantially all our properties consist of, or include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component, entertainment venues. These facilities may attract more access-based litigation (for example, claims under the Americans with Disabilities Act) than other types of real estate.</w:t>
      </w:r>
    </w:p>
    <w:p>
      <w:pPr>
        <w:spacing w:after="0" w:line="148" w:lineRule="exact"/>
        <w:rPr>
          <w:sz w:val="20"/>
          <w:szCs w:val="20"/>
          <w:color w:val="auto"/>
        </w:rPr>
      </w:pPr>
    </w:p>
    <w:p>
      <w:pPr>
        <w:jc w:val="both"/>
        <w:ind w:right="60"/>
        <w:spacing w:after="0" w:line="242" w:lineRule="auto"/>
        <w:rPr>
          <w:sz w:val="20"/>
          <w:szCs w:val="20"/>
          <w:color w:val="auto"/>
        </w:rPr>
      </w:pPr>
      <w:r>
        <w:rPr>
          <w:rFonts w:ascii="Arial" w:cs="Arial" w:eastAsia="Arial" w:hAnsi="Arial"/>
          <w:sz w:val="17"/>
          <w:szCs w:val="17"/>
          <w:b w:val="1"/>
          <w:bCs w:val="1"/>
          <w:i w:val="1"/>
          <w:iCs w:val="1"/>
          <w:color w:val="auto"/>
        </w:rPr>
        <w:t xml:space="preserve">We operate in a highly competitive environment in which we must compete against companies with much greater financial and human resources than we have. </w:t>
      </w:r>
      <w:r>
        <w:rPr>
          <w:rFonts w:ascii="Arial" w:cs="Arial" w:eastAsia="Arial" w:hAnsi="Arial"/>
          <w:sz w:val="17"/>
          <w:szCs w:val="17"/>
          <w:color w:val="auto"/>
        </w:rPr>
        <w:t>We have limited financial and human resources, compared to our principal real estate competitors. In recent periods, we have relied heavily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Real Estate Industry Generally</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i w:val="1"/>
          <w:iCs w:val="1"/>
          <w:color w:val="auto"/>
        </w:rPr>
        <w:t xml:space="preserve">Our financial performance will be affected by risks associated with the real estate industry generally. </w:t>
      </w:r>
      <w:r>
        <w:rPr>
          <w:rFonts w:ascii="Arial" w:cs="Arial" w:eastAsia="Arial" w:hAnsi="Arial"/>
          <w:sz w:val="16"/>
          <w:szCs w:val="16"/>
          <w:color w:val="auto"/>
        </w:rPr>
        <w:t>Events and conditions generally applicable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w:t>
      </w:r>
    </w:p>
    <w:p>
      <w:pPr>
        <w:spacing w:after="0" w:line="1" w:lineRule="exact"/>
        <w:rPr>
          <w:sz w:val="20"/>
          <w:szCs w:val="20"/>
          <w:color w:val="auto"/>
        </w:rPr>
      </w:pPr>
    </w:p>
    <w:p>
      <w:pPr>
        <w:ind w:firstLine="8"/>
        <w:spacing w:after="0" w:line="251"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law and government regulations including those relating to access (for example the Americans with Disabilities Act), energy conservation and environmental matters,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has declined and may continue to decline, and due to the increasing popularity of tele-commuting demand for traditional office space has likewise declined and may likewise continue to decline), or the public perception that any of these events may occur, could result in declining rents or increased lease defaults. Increasing cap rates can result in lower property values.</w:t>
      </w:r>
    </w:p>
    <w:p>
      <w:pPr>
        <w:spacing w:after="0" w:line="14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b w:val="1"/>
          <w:bCs w:val="1"/>
          <w:i w:val="1"/>
          <w:iCs w:val="1"/>
          <w:color w:val="auto"/>
        </w:rPr>
        <w:t xml:space="preserve">Illiquidity of real estate investments could impede our ability to respond to adverse changes in the performance of our properties. </w:t>
      </w:r>
      <w:r>
        <w:rPr>
          <w:rFonts w:ascii="Arial" w:cs="Arial" w:eastAsia="Arial" w:hAnsi="Arial"/>
          <w:sz w:val="16"/>
          <w:szCs w:val="16"/>
          <w:color w:val="auto"/>
        </w:rPr>
        <w:t>Real estate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are relatively illiquid and, therefore, tend to limit our ability to vary our portfolio promptly in response to changes in economic or other conditions. Many of our properties are either “special purpose” properties that could not be readily converted to general residential, retail or office use.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Real estate development involves a variety of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involves a variety of risks, including the following:</w:t>
      </w:r>
    </w:p>
    <w:p>
      <w:pPr>
        <w:spacing w:after="0" w:line="77"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i w:val="1"/>
          <w:iCs w:val="1"/>
          <w:color w:val="auto"/>
        </w:rPr>
        <w:t>The identification and acquisition of suitable development properties</w:t>
      </w:r>
      <w:r>
        <w:rPr>
          <w:rFonts w:ascii="Arial" w:cs="Arial" w:eastAsia="Arial" w:hAnsi="Arial"/>
          <w:sz w:val="18"/>
          <w:szCs w:val="18"/>
          <w:color w:val="auto"/>
        </w:rPr>
        <w:t>. Competition for suitable development properties is intense.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40" w:lineRule="exact"/>
        <w:rPr>
          <w:sz w:val="20"/>
          <w:szCs w:val="20"/>
          <w:color w:val="auto"/>
        </w:rPr>
      </w:pPr>
    </w:p>
    <w:p>
      <w:pPr>
        <w:ind w:left="660" w:right="200"/>
        <w:spacing w:after="0" w:line="272" w:lineRule="auto"/>
        <w:rPr>
          <w:sz w:val="20"/>
          <w:szCs w:val="20"/>
          <w:color w:val="auto"/>
        </w:rPr>
      </w:pPr>
      <w:r>
        <w:rPr>
          <w:rFonts w:ascii="Arial" w:cs="Arial" w:eastAsia="Arial" w:hAnsi="Arial"/>
          <w:sz w:val="16"/>
          <w:szCs w:val="16"/>
          <w:i w:val="1"/>
          <w:iCs w:val="1"/>
          <w:color w:val="auto"/>
        </w:rPr>
        <w:t>The procurement of necessary land use entitlements for the project</w:t>
      </w:r>
      <w:r>
        <w:rPr>
          <w:rFonts w:ascii="Arial" w:cs="Arial" w:eastAsia="Arial" w:hAnsi="Arial"/>
          <w:sz w:val="16"/>
          <w:szCs w:val="16"/>
          <w:color w:val="auto"/>
        </w:rPr>
        <w:t>. This process can take many years, particularly if opposed by competing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30" w:lineRule="exact"/>
        <w:rPr>
          <w:sz w:val="20"/>
          <w:szCs w:val="20"/>
          <w:color w:val="auto"/>
        </w:rPr>
      </w:pPr>
    </w:p>
    <w:p>
      <w:pPr>
        <w:jc w:val="both"/>
        <w:ind w:left="660" w:right="120"/>
        <w:spacing w:after="0" w:line="261" w:lineRule="auto"/>
        <w:rPr>
          <w:sz w:val="20"/>
          <w:szCs w:val="20"/>
          <w:color w:val="auto"/>
        </w:rPr>
      </w:pPr>
      <w:r>
        <w:rPr>
          <w:rFonts w:ascii="Arial" w:cs="Arial" w:eastAsia="Arial" w:hAnsi="Arial"/>
          <w:sz w:val="17"/>
          <w:szCs w:val="17"/>
          <w:i w:val="1"/>
          <w:iCs w:val="1"/>
          <w:color w:val="auto"/>
        </w:rPr>
        <w:t>The construction of the project on time and on budget</w:t>
      </w:r>
      <w:r>
        <w:rPr>
          <w:rFonts w:ascii="Arial" w:cs="Arial" w:eastAsia="Arial" w:hAnsi="Arial"/>
          <w:sz w:val="17"/>
          <w:szCs w:val="17"/>
          <w:color w:val="auto"/>
        </w:rPr>
        <w:t>. Construction risks include the availability and cost of financing; the availability and costs</w:t>
      </w:r>
      <w:r>
        <w:rPr>
          <w:rFonts w:ascii="Arial" w:cs="Arial" w:eastAsia="Arial" w:hAnsi="Arial"/>
          <w:sz w:val="17"/>
          <w:szCs w:val="17"/>
          <w:i w:val="1"/>
          <w:iCs w:val="1"/>
          <w:color w:val="auto"/>
        </w:rPr>
        <w:t xml:space="preserve"> </w:t>
      </w:r>
      <w:r>
        <w:rPr>
          <w:rFonts w:ascii="Arial" w:cs="Arial" w:eastAsia="Arial" w:hAnsi="Arial"/>
          <w:sz w:val="17"/>
          <w:szCs w:val="17"/>
          <w:color w:val="auto"/>
        </w:rPr>
        <w:t>of material and labor; the costs of dealing with unknown site conditions (including addressing pollution or environmental wastes deposited upon the property by prior owners); inclement weather conditions; and the ever-present potential for labor-related disruptions.</w:t>
      </w:r>
    </w:p>
    <w:p>
      <w:pPr>
        <w:spacing w:after="0" w:line="37" w:lineRule="exact"/>
        <w:rPr>
          <w:sz w:val="20"/>
          <w:szCs w:val="20"/>
          <w:color w:val="auto"/>
        </w:rPr>
      </w:pPr>
    </w:p>
    <w:p>
      <w:pPr>
        <w:ind w:left="660" w:right="60"/>
        <w:spacing w:after="0" w:line="231" w:lineRule="auto"/>
        <w:rPr>
          <w:sz w:val="20"/>
          <w:szCs w:val="20"/>
          <w:color w:val="auto"/>
        </w:rPr>
      </w:pPr>
      <w:r>
        <w:rPr>
          <w:rFonts w:ascii="Arial" w:cs="Arial" w:eastAsia="Arial" w:hAnsi="Arial"/>
          <w:sz w:val="18"/>
          <w:szCs w:val="18"/>
          <w:i w:val="1"/>
          <w:iCs w:val="1"/>
          <w:color w:val="auto"/>
        </w:rPr>
        <w:t>The leasing or sell-out of the project</w:t>
      </w:r>
      <w:r>
        <w:rPr>
          <w:rFonts w:ascii="Arial" w:cs="Arial" w:eastAsia="Arial" w:hAnsi="Arial"/>
          <w:sz w:val="18"/>
          <w:szCs w:val="18"/>
          <w:color w:val="auto"/>
        </w:rPr>
        <w:t>. Ultimately, there are risks involved in the leasing of a rental property or the sale of a condominium or built-for-sale property. For our ETCs,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43" w:lineRule="exact"/>
        <w:rPr>
          <w:sz w:val="20"/>
          <w:szCs w:val="20"/>
          <w:color w:val="auto"/>
        </w:rPr>
      </w:pPr>
    </w:p>
    <w:p>
      <w:pPr>
        <w:ind w:left="660" w:right="40"/>
        <w:spacing w:after="0" w:line="235" w:lineRule="auto"/>
        <w:rPr>
          <w:sz w:val="20"/>
          <w:szCs w:val="20"/>
          <w:color w:val="auto"/>
        </w:rPr>
      </w:pPr>
      <w:r>
        <w:rPr>
          <w:rFonts w:ascii="Arial" w:cs="Arial" w:eastAsia="Arial" w:hAnsi="Arial"/>
          <w:sz w:val="18"/>
          <w:szCs w:val="18"/>
          <w:i w:val="1"/>
          <w:iCs w:val="1"/>
          <w:color w:val="auto"/>
        </w:rPr>
        <w:t>The refinancing of completed properties</w:t>
      </w:r>
      <w:r>
        <w:rPr>
          <w:rFonts w:ascii="Arial" w:cs="Arial" w:eastAsia="Arial" w:hAnsi="Arial"/>
          <w:sz w:val="18"/>
          <w:szCs w:val="18"/>
          <w:color w:val="auto"/>
        </w:rPr>
        <w:t>. Properties are often developed using relatively short-term loans. Upon completion of the project, it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 xml:space="preserve">The ownership of properties involves risk. </w:t>
      </w:r>
      <w:r>
        <w:rPr>
          <w:rFonts w:ascii="Arial" w:cs="Arial" w:eastAsia="Arial" w:hAnsi="Arial"/>
          <w:sz w:val="16"/>
          <w:szCs w:val="16"/>
          <w:color w:val="auto"/>
        </w:rPr>
        <w:t>The ownership of properties involves risks, such as: (i) ongoing leasing and re-leasing risks, (ii) ongoing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and re-financing risks, (iii) market risks as to the multiples offered by buyers of investment properties, (iv) risks related to the ongoing compliance with changing governmental regulation (including, without limitation, laws and regulations related to access, energy conservation and environmental matters),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w:t>
      </w:r>
    </w:p>
    <w:p>
      <w:pPr>
        <w:spacing w:after="0" w:line="13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i w:val="1"/>
          <w:iCs w:val="1"/>
          <w:color w:val="auto"/>
        </w:rPr>
        <w:t xml:space="preserve">We may be subject to liability under environmental laws and regulations. </w:t>
      </w:r>
      <w:r>
        <w:rPr>
          <w:rFonts w:ascii="Arial" w:cs="Arial" w:eastAsia="Arial" w:hAnsi="Arial"/>
          <w:sz w:val="18"/>
          <w:szCs w:val="18"/>
          <w:color w:val="auto"/>
        </w:rPr>
        <w:t>We own and operate a large number of cinemas and other properties within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w:t>
      </w:r>
    </w:p>
    <w:p>
      <w:pPr>
        <w:spacing w:after="0" w:line="14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i w:val="1"/>
          <w:iCs w:val="1"/>
          <w:color w:val="auto"/>
        </w:rPr>
        <w:t xml:space="preserve">Legislative or regulatory initiatives related to global warming/climate change concerns may negatively impact our business. </w:t>
      </w:r>
      <w:r>
        <w:rPr>
          <w:rFonts w:ascii="Arial" w:cs="Arial" w:eastAsia="Arial" w:hAnsi="Arial"/>
          <w:sz w:val="16"/>
          <w:szCs w:val="16"/>
          <w:color w:val="auto"/>
        </w:rPr>
        <w:t>Recently, there has been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focus and 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w:t>
      </w:r>
    </w:p>
    <w:p>
      <w:pPr>
        <w:spacing w:after="0" w:line="13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b w:val="1"/>
          <w:bCs w:val="1"/>
          <w:i w:val="1"/>
          <w:iCs w:val="1"/>
          <w:color w:val="auto"/>
        </w:rPr>
        <w:t xml:space="preserve">Changes in interest rates may increase our interest expense. </w:t>
      </w:r>
      <w:r>
        <w:rPr>
          <w:rFonts w:ascii="Arial" w:cs="Arial" w:eastAsia="Arial" w:hAnsi="Arial"/>
          <w:sz w:val="18"/>
          <w:szCs w:val="18"/>
          <w:color w:val="auto"/>
        </w:rPr>
        <w:t>Because a portion of our debt bears interest at variable rates, increases in interest rates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materially increase our interest expense. Based on our debt outstanding as of December 31, 2020, if interest rates were to increase by 1%, the corresponding increase in interest expense on our variable rate debt would decrease future earnings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6" w:name="page27"/>
    <w:bookmarkEnd w:id="26"/>
    <w:p>
      <w:pPr>
        <w:ind w:right="260"/>
        <w:spacing w:after="0" w:line="246" w:lineRule="auto"/>
        <w:rPr>
          <w:sz w:val="20"/>
          <w:szCs w:val="20"/>
          <w:color w:val="auto"/>
        </w:rPr>
      </w:pPr>
      <w:r>
        <w:rPr>
          <w:rFonts w:ascii="Arial" w:cs="Arial" w:eastAsia="Arial" w:hAnsi="Arial"/>
          <w:sz w:val="18"/>
          <w:szCs w:val="18"/>
          <w:color w:val="auto"/>
        </w:rPr>
        <w:t>and cash flows by approximately $2.7 million per year. Potential future increases in interest rates may therefore negatively affect our financial condition and results of operations, and reduce our access to the debt or equity capital markets.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 xml:space="preserve">Uncertainty relating to the likely phasing out of LIBOR by 2021 may result in paying increased interest under our credit facilities. </w:t>
      </w:r>
      <w:r>
        <w:rPr>
          <w:rFonts w:ascii="Arial" w:cs="Arial" w:eastAsia="Arial" w:hAnsi="Arial"/>
          <w:sz w:val="16"/>
          <w:szCs w:val="16"/>
          <w:color w:val="auto"/>
        </w:rPr>
        <w:t>Some of our variable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indebtedness uses LIBOR as a benchmark for establishing the rate. LIBOR is the subject of recent national, international and other regulatory guidance and proposals for reform. On July 27, 2017, the United Kingdom’s Financial Conduct Authority announced that it intends to phase out LIBOR by the end of 2021. These reforms and other pressures may cause LIBOR to disappear entirely or to perform differently than in the past. At this time, it is not possible to predict the effect that any discontinuance, modification or other reform of LIBOR or any other reference rate, or the establishment of alternative reference rates, may have on LIBOR, other benchmarks, or LIBOR-based debt instruments. However, the use of alternative reference rates or other reforms could cause the interest rates payable under our credit facilities to be substantially higher than we would otherwise have expected.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Business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variety of risks, including the following:</w:t>
      </w:r>
    </w:p>
    <w:p>
      <w:pPr>
        <w:spacing w:after="0" w:line="77" w:lineRule="exact"/>
        <w:rPr>
          <w:sz w:val="20"/>
          <w:szCs w:val="20"/>
          <w:color w:val="auto"/>
        </w:rPr>
      </w:pPr>
    </w:p>
    <w:p>
      <w:pPr>
        <w:ind w:left="660" w:right="80"/>
        <w:spacing w:after="0" w:line="246" w:lineRule="auto"/>
        <w:rPr>
          <w:sz w:val="20"/>
          <w:szCs w:val="20"/>
          <w:color w:val="auto"/>
        </w:rPr>
      </w:pPr>
      <w:r>
        <w:rPr>
          <w:rFonts w:ascii="Arial" w:cs="Arial" w:eastAsia="Arial" w:hAnsi="Arial"/>
          <w:sz w:val="17"/>
          <w:szCs w:val="17"/>
          <w:b w:val="1"/>
          <w:bCs w:val="1"/>
          <w:i w:val="1"/>
          <w:iCs w:val="1"/>
          <w:color w:val="auto"/>
        </w:rPr>
        <w:t>Currency Risk</w:t>
      </w:r>
      <w:r>
        <w:rPr>
          <w:rFonts w:ascii="Arial" w:cs="Arial" w:eastAsia="Arial" w:hAnsi="Arial"/>
          <w:sz w:val="17"/>
          <w:szCs w:val="17"/>
          <w:color w:val="auto"/>
        </w:rPr>
        <w:t>: while we report our earnings and net assets in U.S. dollars, substantial portions of our revenue and of our obligations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Set forth below is a chart of the exchange ratios between these three currencies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110490</wp:posOffset>
            </wp:positionV>
            <wp:extent cx="4903470" cy="3068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0347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80"/>
        <w:spacing w:after="0" w:line="266" w:lineRule="auto"/>
        <w:rPr>
          <w:sz w:val="20"/>
          <w:szCs w:val="20"/>
          <w:color w:val="auto"/>
        </w:rPr>
      </w:pPr>
      <w:r>
        <w:rPr>
          <w:rFonts w:ascii="Arial" w:cs="Arial" w:eastAsia="Arial" w:hAnsi="Arial"/>
          <w:sz w:val="16"/>
          <w:szCs w:val="16"/>
          <w:color w:val="auto"/>
        </w:rPr>
        <w:t>In recent periods, we have repaid intercompany debt and used the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w:t>
      </w:r>
    </w:p>
    <w:p>
      <w:pPr>
        <w:spacing w:after="0" w:line="21" w:lineRule="exact"/>
        <w:rPr>
          <w:sz w:val="20"/>
          <w:szCs w:val="20"/>
          <w:color w:val="auto"/>
        </w:rPr>
      </w:pPr>
    </w:p>
    <w:p>
      <w:pPr>
        <w:jc w:val="both"/>
        <w:ind w:left="660" w:right="380"/>
        <w:spacing w:after="0"/>
        <w:rPr>
          <w:sz w:val="20"/>
          <w:szCs w:val="20"/>
          <w:color w:val="auto"/>
        </w:rPr>
      </w:pPr>
      <w:r>
        <w:rPr>
          <w:rFonts w:ascii="Arial" w:cs="Arial" w:eastAsia="Arial" w:hAnsi="Arial"/>
          <w:sz w:val="18"/>
          <w:szCs w:val="18"/>
          <w:b w:val="1"/>
          <w:bCs w:val="1"/>
          <w:i w:val="1"/>
          <w:iCs w:val="1"/>
          <w:color w:val="auto"/>
        </w:rPr>
        <w:t>Risk of adverse government regulation</w:t>
      </w:r>
      <w:r>
        <w:rPr>
          <w:rFonts w:ascii="Arial" w:cs="Arial" w:eastAsia="Arial" w:hAnsi="Arial"/>
          <w:sz w:val="18"/>
          <w:szCs w:val="18"/>
          <w:color w:val="auto"/>
        </w:rPr>
        <w:t>: currently, we believe that relations between the United States, Australia, and New Zealand are good.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no assurances can be given that these relationships will continue, and that Australia and New Zealand will not in the future seek to regulate more highly the business done by U.S. companies in their countries.</w:t>
      </w:r>
    </w:p>
    <w:p>
      <w:pPr>
        <w:spacing w:after="0" w:line="54"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b w:val="1"/>
          <w:bCs w:val="1"/>
          <w:i w:val="1"/>
          <w:iCs w:val="1"/>
          <w:color w:val="auto"/>
        </w:rPr>
        <w:t>Risk of adverse labor relations</w:t>
      </w:r>
      <w:r>
        <w:rPr>
          <w:rFonts w:ascii="Arial" w:cs="Arial" w:eastAsia="Arial" w:hAnsi="Arial"/>
          <w:sz w:val="18"/>
          <w:szCs w:val="18"/>
          <w:color w:val="auto"/>
        </w:rPr>
        <w:t>: deterioration in labor relations could lead to an increased cost of labor (including future government requirements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pension liabilities, disability insurance and health coverage, and vacations and leave).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Trade disputes and geopolitical instability outside of the U.S. may adversely impact the U.S. and global economies.</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2020, global growth weakened, trade tensions heightened, and several emerging markets experienced significant downturns as macroeconomic and geopolitical developments weighed on market sentiments. Governmental policies of developed economies, such as the U.S., have a substantial effect on emerging markets, and the consequences of a trade war between two developed countries, like that of the U.S. and China, could further contribute to the adverse economic and political conditions of emerging and other developed economies. Additionally, North Korea’s nuclear weapons capabilities continue to be an ongoing security concern and worsening relations between the U.S. and North Korea continue to create a global security issue that may adversely affect international business and economic conditions. While it is difficult for us to predict the effect of such trade wars and heightened geopolitical and economic instability on our business, they could lead to currency devaluation, economic and political turmoil, market volatility, and a loss of consumer confidence in the broader U.S. economy.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Certain Discontinued Operations</w:t>
      </w:r>
    </w:p>
    <w:p>
      <w:pPr>
        <w:spacing w:after="0" w:line="171"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Financial Structure and Borrowing Risk</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i w:val="1"/>
          <w:iCs w:val="1"/>
          <w:color w:val="auto"/>
        </w:rPr>
        <w:t xml:space="preserve">Typically, we have negative working capital. </w:t>
      </w:r>
      <w:r>
        <w:rPr>
          <w:rFonts w:ascii="Arial" w:cs="Arial" w:eastAsia="Arial" w:hAnsi="Arial"/>
          <w:sz w:val="18"/>
          <w:szCs w:val="18"/>
          <w:color w:val="auto"/>
        </w:rPr>
        <w:t>As we invest our cash in new acquisitions and the development of our existing properties, we have negative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 In addition, the new lease accounting standard requires us to include our operating lease liabilities on our consolidated balance sheet. See </w:t>
      </w:r>
      <w:r>
        <w:rPr>
          <w:rFonts w:ascii="Arial" w:cs="Arial" w:eastAsia="Arial" w:hAnsi="Arial"/>
          <w:sz w:val="18"/>
          <w:szCs w:val="18"/>
          <w:i w:val="1"/>
          <w:iCs w:val="1"/>
          <w:color w:val="auto"/>
        </w:rPr>
        <w:t>Note 2 -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 – Operating Leases</w:t>
      </w:r>
      <w:r>
        <w:rPr>
          <w:rFonts w:ascii="Arial" w:cs="Arial" w:eastAsia="Arial" w:hAnsi="Arial"/>
          <w:sz w:val="18"/>
          <w:szCs w:val="18"/>
          <w:color w:val="auto"/>
        </w:rPr>
        <w:t>.</w:t>
      </w:r>
    </w:p>
    <w:p>
      <w:pPr>
        <w:spacing w:after="0" w:line="151" w:lineRule="exact"/>
        <w:rPr>
          <w:sz w:val="20"/>
          <w:szCs w:val="20"/>
          <w:color w:val="auto"/>
        </w:rPr>
      </w:pPr>
    </w:p>
    <w:p>
      <w:pPr>
        <w:ind w:right="60"/>
        <w:spacing w:after="0"/>
        <w:rPr>
          <w:sz w:val="20"/>
          <w:szCs w:val="20"/>
          <w:color w:val="auto"/>
        </w:rPr>
      </w:pPr>
      <w:r>
        <w:rPr>
          <w:rFonts w:ascii="Arial" w:cs="Arial" w:eastAsia="Arial" w:hAnsi="Arial"/>
          <w:sz w:val="17"/>
          <w:szCs w:val="17"/>
          <w:b w:val="1"/>
          <w:bCs w:val="1"/>
          <w:i w:val="1"/>
          <w:iCs w:val="1"/>
          <w:color w:val="auto"/>
        </w:rPr>
        <w:t xml:space="preserve">We are subject to complex taxation, changes in tax rates, adoption of new U.S. or international tax legislation and disagreements with tax authorities that could adversely affect our business, financial condition or results of operations. </w:t>
      </w:r>
      <w:r>
        <w:rPr>
          <w:rFonts w:ascii="Arial" w:cs="Arial" w:eastAsia="Arial" w:hAnsi="Arial"/>
          <w:sz w:val="17"/>
          <w:szCs w:val="17"/>
          <w:color w:val="auto"/>
        </w:rPr>
        <w:t>We are subject to many different forms of taxation in both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 foreign jurisdictions where we operate, such as the U.S. Tax Cuts and Jobs Act signed into law in December 2017. The new laws are still evolving and require we interpret the provisions of the law as we try to comply with them. The costs of compliance with these laws and regulations are high and are likely to increase in the future. Any failure on our part to comply with these laws and regulations can result in negative publicity and diversion of Management’s time and effort and may subject us to significant liabilities and other penalties.</w:t>
      </w:r>
    </w:p>
    <w:p>
      <w:pPr>
        <w:spacing w:after="0" w:line="150" w:lineRule="exact"/>
        <w:rPr>
          <w:sz w:val="20"/>
          <w:szCs w:val="20"/>
          <w:color w:val="auto"/>
        </w:rPr>
      </w:pPr>
    </w:p>
    <w:p>
      <w:pPr>
        <w:spacing w:after="0" w:line="231" w:lineRule="auto"/>
        <w:rPr>
          <w:sz w:val="20"/>
          <w:szCs w:val="20"/>
          <w:color w:val="auto"/>
        </w:rPr>
      </w:pPr>
      <w:r>
        <w:rPr>
          <w:rFonts w:ascii="Arial" w:cs="Arial" w:eastAsia="Arial" w:hAnsi="Arial"/>
          <w:sz w:val="18"/>
          <w:szCs w:val="18"/>
          <w:b w:val="1"/>
          <w:bCs w:val="1"/>
          <w:i w:val="1"/>
          <w:iCs w:val="1"/>
          <w:color w:val="auto"/>
        </w:rPr>
        <w:t xml:space="preserve">We have substantial short- to medium-term debt. </w:t>
      </w:r>
      <w:r>
        <w:rPr>
          <w:rFonts w:ascii="Arial" w:cs="Arial" w:eastAsia="Arial" w:hAnsi="Arial"/>
          <w:sz w:val="18"/>
          <w:szCs w:val="18"/>
          <w:color w:val="auto"/>
        </w:rPr>
        <w:t>Generally speaking, we have historically financed our operations through relatively short-term debt.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assurances can be given that we will be able to refinance this debt, or if we can, that the terms will be reasonable. However, as a counterbalance to this debt, we have certain unencumbered real property assets, which could be sold to pay debt or encumbered to assist in the refinancing of existing debt, if necessary.</w:t>
      </w:r>
    </w:p>
    <w:p>
      <w:pPr>
        <w:spacing w:after="0" w:line="1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We have substantial lease liabilities. </w:t>
      </w:r>
      <w:r>
        <w:rPr>
          <w:rFonts w:ascii="Arial" w:cs="Arial" w:eastAsia="Arial" w:hAnsi="Arial"/>
          <w:sz w:val="16"/>
          <w:szCs w:val="16"/>
          <w:color w:val="auto"/>
        </w:rPr>
        <w:t>Most of our cinemas operate in leased facilities. These leases typically have “cost of living” or other rent adjustment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features and require that we operate the properties as cinemas. A downturn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If our company suffers cybersecurity attacks, data security challenges or privacy incidents that result in security breaches, we could suffer a loss of sales, additional liability, reputational harm or other adverse consequences</w:t>
      </w:r>
      <w:r>
        <w:rPr>
          <w:rFonts w:ascii="Arial" w:cs="Arial" w:eastAsia="Arial" w:hAnsi="Arial"/>
          <w:sz w:val="17"/>
          <w:szCs w:val="17"/>
          <w:color w:val="auto"/>
        </w:rPr>
        <w:t>. The effective operation of our international businesses depends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infrastructure, computer systems, physical, virtual and/or cloud based, and software. Our information technology systems collect and process information provided by customers, employees and vendors. In addition, third-party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in spite of our best efforts, our information systems may fail to operate for a variety of technological or human reasons. An interruption or failure of our information technology systems and of those maintained by our third-party providers could adversely affect our business, liquidity or results of operations and result in increases in reputational risk, litigation or penalties. Furthermore, any such occurrence, if significant could require us to expend resources to remediate and upgrade information technology systems. Since 2015, we have annually procured cybersecurity insurance to protect against cybersecurity risks; however, we cannot provide any assurance regarding the adequacy of such insurance coverage.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28" w:name="page29"/>
    <w:bookmarkEnd w:id="28"/>
    <w:p>
      <w:pPr>
        <w:ind w:right="160"/>
        <w:spacing w:after="0" w:line="235" w:lineRule="auto"/>
        <w:rPr>
          <w:sz w:val="20"/>
          <w:szCs w:val="20"/>
          <w:color w:val="auto"/>
        </w:rPr>
      </w:pPr>
      <w:r>
        <w:rPr>
          <w:rFonts w:ascii="Arial" w:cs="Arial" w:eastAsia="Arial" w:hAnsi="Arial"/>
          <w:sz w:val="18"/>
          <w:szCs w:val="18"/>
          <w:b w:val="1"/>
          <w:bCs w:val="1"/>
          <w:i w:val="1"/>
          <w:iCs w:val="1"/>
          <w:color w:val="auto"/>
        </w:rPr>
        <w:t>Our stock is thinly traded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 is thinly traded, with an average daily volume in 2020 of only approximately 111,234 shares of Class A Stock.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B Stock is very thinly traded with even less volume. This can result in significant volatility, as demand by buyers and sellers can easily get out of balance.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Management Structure, Corporate Governance, and Change of Control Risks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b w:val="1"/>
          <w:bCs w:val="1"/>
          <w:i w:val="1"/>
          <w:iCs w:val="1"/>
          <w:color w:val="auto"/>
        </w:rPr>
        <w:t xml:space="preserve">Ongoing disputes among the heirs of James J. Cotter, Sr., over the past six years have caused, and may continue to cause, uncertainty regarding the ongoing control of our Company by the Cotter family and have distracted and may continue to distract the time and attention of our officers and directors from our business and operations and may ultimately interfere with the effective management of the Company. </w:t>
      </w:r>
      <w:r>
        <w:rPr>
          <w:rFonts w:ascii="Arial" w:cs="Arial" w:eastAsia="Arial" w:hAnsi="Arial"/>
          <w:sz w:val="16"/>
          <w:szCs w:val="16"/>
          <w:color w:val="auto"/>
        </w:rPr>
        <w:t>Up until his death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13, 2014, James J. Cotter, Sr., the father of Ellen Cotter, James J. Cotter, Jr. and Margaret Cotter, was our controlling stockholder, having the sole power to vote approximately 66.9% of the outstanding Class B Voting Common Stock (the “Class B Stock”) of our Company. Under applicable Nevada Law, a stockholder holding two-thirds of our Company’s Class B Stock has the power at any time, with or without cause, to remove any one or more directors (up to and including the entire board of directors) by written consent taken without a meeting of the stockholders. Over the past six years there have been a variety of disputes between Ellen Cotter and Margaret Cotter, on one side, and James J. Cotter, Jr., on the other side, as to the control and disposition of this Class B Stock. James Cotter, Jr., passed away on March 10, 2021. The ultimate impact of the passing of James J. Cotter, Jr. upon the currently pending disputes relating to the control of our Company is uncertain.</w:t>
      </w:r>
    </w:p>
    <w:p>
      <w:pPr>
        <w:spacing w:after="0" w:line="13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Ellen Cotter and Margaret Cotter, in their individual capacities and as the Co-Executors of the Estate of James J. Cotter (the “Cotter Estate”) and as the Co-Trustees of the Living Trust established by the Declaration of trust dated June 5, 2013, by James J. Cotter, Sr., as amended the “Cotter Living Trust”) currently vote approximately 72% of the outstanding Class B stock. Of this approximately 67% of such Class B Stock is held by the Cotter Estate and the Cotter Living Trust, ultimately for distribution into a voting sub-trust (the “Cotter Voting Trust”) of the Cotter Living Trust. Margaret Cotter is the sole trustee of the Cotter Voting Trust. During his lifetime, James J. Cotter, Jr. in litigation (the “Trust Case”) brought in the California Superior Court for Los Angeles County (the “California Superior Court”), among other things, sought to have Ellen Cotter and Margaret Cotter removed as Trustees of the Cotter Living Trust, to have Margaret Cotter removed as the Trustee of the Cotter Voting Trust and to have the shares of Class B Stock held by the Cotter Estate, the Cotter Living Trust and/or the Cotter Voting Trust (and representing a controlling interest in our Company) sold. Ellen Cotter and Margaret Cotter have advised that they believe that this stock should be retained and held for as long as possible for the long-term benefit of grandchildren of James J. Cotter, Sr, as they believe is provided for in the document governing the Cotter Voting Trust and have opposed the efforts of James J. Cotter, Jr. to remove them as Trustees and to have this stock sold.</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Upon motion brought by James J. Cotter, Jr., in the Trust Case, the California Court appointed a guardian ad litem (the “GAL”) to represent the interests of these grandchildren (who consist of the children of Margaret Cotter and of James J. Cotter, Jr.). The GAL has motions pending (i) to divide the Voting Trust into separate trusts, one for the benefit of Margaret Cotter’s children and one for the benefit of James J. Cotter, Jr.’s children, (ii) in order to achieve diversification of the assets of these trusts, to sell the Class B stock eventually to be held by these trusts, and (iii) to immediately retain a valuation expert to advise him as to value of the Class B Voting Stock to be eventually held by the Voting Trust. These motions are opposed by Ellen Cotter and Margaret Cotter acting in their capacity as Executors and Trustees. A motion has also been brought by Margaret Cotter and Ellen Cotter, as Co-Trustees of the Cotter Living Trust, to disqualify the GAL on the basis that he cannot simultaneously represent the interests of Margaret Cotter and James J. Cotter’s, Jr’s, children as the interests of those children differ. That motion was denied by the California Superior Court and that order is currently subject to appeal.</w:t>
      </w:r>
    </w:p>
    <w:p>
      <w:pPr>
        <w:spacing w:after="0" w:line="13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As a consequence of the California Superior Court’s ruling in the Trust Case that the amendment to the trust document memorializing the Cotter Trust supported by James J. Cotter, Jr. was not valid and that the amendment supported by Ellen Cotter and Margaret Cotter was the controlling document, Ellen Cotter and Margaret Cotter, as Co-Trustees of the Cotter Living Trust, have brought a motion to enforce the no-contest clause of the Cotter Voting Trust, which if successful would remove James J. Cotter, Jr and his descendants as beneficiaries of the Cotter Voting Trust, and moot the GAL’s motion to divide up the Cotter Voting Trust and to sell the Class B Voting Stock to be held in the Cotter Voting Trust. It would also moot Mr. Cotter, Jr.’s motions (to the extent that they survive his passing), as he would be neither a trustee nor a beneficiary of the Cotter Living Trust. Mr. Cotter, Jr. has opposed the Co-Trustees motion to enforce the no-contest clause and brought an Anti-SLAPP claim against the Co-Trustees. That Anti-SLAPP claim was dismissed by the California Superior Court, which dismissal is now on appeal.</w:t>
      </w:r>
    </w:p>
    <w:p>
      <w:pPr>
        <w:spacing w:after="0" w:line="150"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While our Company is not a party to the Trust Case, our Company has appeared in court, to protect (a) the business plan adopted by our Board of Directors and its determination that stockholder interests are best achieved by continuing with that business plan rather than selling our Company at this time and (b) in the event that the California Superior Court were to disregard the advice of our Board and order that a controlling interest in our Company be marketed or sold, that the interests of our Company and stockholders generally are protected in the context of any such change of control transaction. Our Company’s participation in the Trust Case since August 2017 has been overseen by a Special Independent Committee of the Board of Directors currently comprised of directors Doug McEachern and Judy Codding.</w:t>
      </w:r>
    </w:p>
    <w:p>
      <w:pPr>
        <w:spacing w:after="0" w:line="148"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We continue to believe that, whether or not a final determination is made to sell the voting shares, the very commencement of a process to sell a controlling interest in our Company would pose risks to our Company and our stockholders for a variety of reasons,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ind w:right="140"/>
        <w:spacing w:after="0" w:line="254" w:lineRule="auto"/>
        <w:rPr>
          <w:sz w:val="20"/>
          <w:szCs w:val="20"/>
          <w:color w:val="auto"/>
        </w:rPr>
      </w:pPr>
      <w:r>
        <w:rPr>
          <w:rFonts w:ascii="Arial" w:cs="Arial" w:eastAsia="Arial" w:hAnsi="Arial"/>
          <w:sz w:val="16"/>
          <w:szCs w:val="16"/>
          <w:color w:val="auto"/>
        </w:rPr>
        <w:t>including the resultant potential for: (i) distraction of Management and key employees from focusing on the conduct of our business, including the implementation of our three year business strategy, (ii) incurrence of additional general and administrative costs due to the need to implement employee retention programs and to incur legal expenses of the type and at levels not typically required in the ordinary conduct of our Company’s business, (iii) interference with contractual relationships, negotiations and potential negotiations with third parties important to our Company’s business, including, without limitation, current and future lenders, tenants, landlords, suppliers and co-developers, (iv) increased difficulty in hiring and retaining high quality employees, and (v) exposure of our Company to potential litigation claims of the type which often accompany any extraordinary corporate transactions together with the expense, distraction and time loss that typically results from any such litigation. If a decision to sell a controlling interest is made by the California Superior Court, then there would be the additional risk that control might be sold to an unqualified purchaser who might exploit such control position in a manner not consistent with the best interests of our Company or stockholders generally.</w:t>
      </w:r>
    </w:p>
    <w:p>
      <w:pPr>
        <w:spacing w:after="0" w:line="13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California Superior Court, in the Trust Case, has jurisdiction over a potentially controlling block of our voting power. Should the California Superior Court order the sale of the Class B Stock intended for transfer to the Cotter Voting Trust, and such sale be completed, then there may be a change of control of our Company (depending on, among other things, who the ultimate purchaser(s) of such shares might be, the number of shares of Class B Stock distributed by the Cotter Estate to the Cotter Living Trust, and whether the California Superior Court orders a sale of all or only some portion to the Class B Stock to be held by the Cotter Voting Trust). We cannot predict what reactions, including appeals or other steps, might be taken by Ellen Cotter and Margaret Cotter in their respective capacities as Trustees under the Cotter Living Trust, or in other capacities (for example, as Co-Executors of the Cotter Estate or as stockholders acting in their own right), should the California Superior Court make such an order. We do note, however, that Ellen Cotter and Margaret Cotter have publicly stated that, if there is to be a sale of controlling shares, they intend to be the purchasers of such shares. We also cannot predict what action our Board of Directors would take in response, if any. However, our Board of Directors has an obligation to act in the best interest of our Company, and in the event the California Superior Court were to order a sale of the Class B Stock held by the Cotter Living Trust, our Board of Directors would be obligated to consider the interests of our Company and to act accordingly.</w:t>
      </w:r>
    </w:p>
    <w:p>
      <w:pPr>
        <w:spacing w:after="0" w:line="15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As foreshadowed in the beginning of this discussion, the recent passing of James J. Cotter, Jr., has rendered uncertain the status of his motions to remove Ellen Cotter and Margaret Cotter as Trustees, as to the GAL’s ongoing status given the differing interests of the children of Margaret Cotter and the children of James J. Cotter, Jr., and the GAL’s motion to divide the Voting Trust and sell the shares of Class B Stock held by the Cotter Estate, the Cotter Living Trust and/or the Cotter Voting Trust.</w:t>
      </w:r>
    </w:p>
    <w:p>
      <w:pPr>
        <w:spacing w:after="0" w:line="148"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Furthermore, the uncertainty as to the future management and control of our Company could potentially adversely impact, among other things (i) our ability to develop and maintain favorable business relationships, (ii) our ability to attract and retain talented and experienced directors, executives and employees, (iii) the compensation and other terms needed to attract and retain such individuals (including, without limitation, the potential need for retentions agreements and other incentive arrangements typically put into place when control of a public company is uncertain), (iv) our ability to borrow money on favorable long-term terms, and (v) our ability to pursue and complete long-term business objectives.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i w:val="1"/>
          <w:iCs w:val="1"/>
          <w:color w:val="auto"/>
        </w:rPr>
        <w:t xml:space="preserve">The interests of our controlling stockholder may conflict with your interests. </w:t>
      </w:r>
      <w:r>
        <w:rPr>
          <w:rFonts w:ascii="Arial" w:cs="Arial" w:eastAsia="Arial" w:hAnsi="Arial"/>
          <w:sz w:val="16"/>
          <w:szCs w:val="16"/>
          <w:color w:val="auto"/>
        </w:rPr>
        <w:t>As of December 31, 2020, the Cotter Estate and the Cotter Living Trust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beneficially owned 66.9% of our outstanding Class B Stock. At the present time, according to the books of the Company, Ellen Cotter and Margaret Cotter vote (including their direct holdings of 50,000 shares and 35,100 shares respectively of the Class B Stock), Class B Stock representing 71.9% of our outstanding Class B Stock. Our Class A Stock is non-voting, while our Class B Stock represents all of the voting power of our Company. For as long as the Cotter Estate, the Cotter Trust and/or the Cotter Voting Trust (referred to herein collectively as the “Cotter Entities”) continue to own shares of Class B Stock representing more than 50% of the voting power of our common stock, the Cotter Entities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The Cotter Entities will also have the power to prevent or cause a change in control and could take other actions that might be desirable to the Cotter Entities but not to other stockholders. To the extent that the Cotter Entities hold more than two-thirds of our outstanding Class B Stock, the Cotter Entities will have the power at any time, with or without cause, to remove any one or more Directors (up to and including the entire Board of Directors) by written consent taken without a meeting of the stockholders.</w:t>
      </w:r>
    </w:p>
    <w:p>
      <w:pPr>
        <w:spacing w:after="0" w:line="13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In addition, the Cotter Estate or the Cotter Living Trust and/or their respective affiliates have controlling interests in companies in related and unrelated industries. In the future, we may participate in transactions with these companies (see Note 21 – Related Parties).</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While controlling stockholders may owe certain fiduciary duties to our Company and/or minority stockholders, these duties are limited. No assurances can be given that the Cotter Entities will not take action that, while beneficial to them and legally enforceable, would not necessarily be in the best interests of our Company and/or our stockholders generally.</w:t>
      </w:r>
    </w:p>
    <w:p>
      <w:pPr>
        <w:spacing w:after="0" w:line="148" w:lineRule="exact"/>
        <w:rPr>
          <w:sz w:val="20"/>
          <w:szCs w:val="20"/>
          <w:color w:val="auto"/>
        </w:rPr>
      </w:pPr>
    </w:p>
    <w:p>
      <w:pPr>
        <w:ind w:right="500"/>
        <w:spacing w:after="0" w:line="241" w:lineRule="auto"/>
        <w:rPr>
          <w:sz w:val="20"/>
          <w:szCs w:val="20"/>
          <w:color w:val="auto"/>
        </w:rPr>
      </w:pPr>
      <w:r>
        <w:rPr>
          <w:rFonts w:ascii="Arial" w:cs="Arial" w:eastAsia="Arial" w:hAnsi="Arial"/>
          <w:sz w:val="17"/>
          <w:szCs w:val="17"/>
          <w:b w:val="1"/>
          <w:bCs w:val="1"/>
          <w:i w:val="1"/>
          <w:iCs w:val="1"/>
          <w:color w:val="auto"/>
        </w:rPr>
        <w:t xml:space="preserve">We are a “Controlled Company” under applicable NASDAQ Regulations. As permitted by those Regulations, our Board has elected to opt-out of certain corporate governance rules applicable to non-controlled companies. </w:t>
      </w:r>
      <w:r>
        <w:rPr>
          <w:rFonts w:ascii="Arial" w:cs="Arial" w:eastAsia="Arial" w:hAnsi="Arial"/>
          <w:sz w:val="17"/>
          <w:szCs w:val="17"/>
          <w:color w:val="auto"/>
        </w:rPr>
        <w:t>Generally speaking, the NASDAQ</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ind w:right="80"/>
        <w:spacing w:after="0"/>
        <w:rPr>
          <w:sz w:val="20"/>
          <w:szCs w:val="20"/>
          <w:color w:val="auto"/>
        </w:rPr>
      </w:pPr>
      <w:r>
        <w:rPr>
          <w:rFonts w:ascii="Arial" w:cs="Arial" w:eastAsia="Arial" w:hAnsi="Arial"/>
          <w:sz w:val="17"/>
          <w:szCs w:val="17"/>
          <w:color w:val="auto"/>
        </w:rPr>
        <w:t>requires listed companies to meet certain minimum corporate governance 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 Directors is nevertheless currently comprised of independent Directors. As a practical matter, subject to their fiduciary duties, Ellen Cotter and Margaret Cotter control the composition of our Board of Directors.</w:t>
      </w:r>
    </w:p>
    <w:p>
      <w:pPr>
        <w:spacing w:after="0" w:line="150"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We depend on key personnel for our current and future performance. </w:t>
      </w:r>
      <w:r>
        <w:rPr>
          <w:rFonts w:ascii="Arial" w:cs="Arial" w:eastAsia="Arial" w:hAnsi="Arial"/>
          <w:sz w:val="18"/>
          <w:szCs w:val="18"/>
          <w:color w:val="auto"/>
        </w:rPr>
        <w:t>Our current and future performance depends to a significant degree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1B – Unresolved Staff Comments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u w:val="single" w:color="auto"/>
          <w:color w:val="auto"/>
        </w:rPr>
        <w:t>Item 2 – Properties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ADMINISTRATIVE OFFICES</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Since February 2017, our executive headquarters has been in a 24,000 square foot Class B office building with 72 parking spaces located at 5995 Sepulveda Boulevard, Suite 300, Culver City, California 90230, which we purchased on April 11, 2016. We occupy the third floor as our headquarters’ offices from which we conduct our executive and administrative operations, however, due to COVID-19, our staff are currently working remotely. On May 27, 2020, we leased on a multi-year basis the entire second floor to WWP Beauty (wwpinc.com), a global company with over 35 years of experience providing the cosmetics and personal care industries with a range of packaging needs.</w:t>
      </w:r>
    </w:p>
    <w:p>
      <w:pPr>
        <w:spacing w:after="0" w:line="15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own an 8,300 square foot office building in Melbourne, Australia, approximately 5,000 square feet of which serve as the headquarters for our Australian and New Zealand operations (the remainder being leased to an unrelated third party). We maintain our accounting personnel and certain IT and operational personnel in approximately 5,400 square feet of office spaces located in our Courtenay Central ETC in Wellington, New Zealand, however due to the ongoing temporary closure of Courtenay Central and COVID-19, our staff are now working remotely. We also occupy approximately 3,500 square feet at our Village East leasehold property in New York for administrative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Use Leasehold Interests</w:t>
      </w:r>
    </w:p>
    <w:p>
      <w:pPr>
        <w:spacing w:after="0" w:line="17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of December 31, 2020, we lease approximately 1,909,000 square feet of completed cinema space in the United States, Australia, and New Zealand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Range</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2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Remaining</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96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Lease Terms</w:t>
            </w:r>
          </w:p>
        </w:tc>
        <w:tc>
          <w:tcPr>
            <w:tcW w:w="0" w:type="dxa"/>
            <w:vAlign w:val="bottom"/>
          </w:tcPr>
          <w:p>
            <w:pPr>
              <w:spacing w:after="0"/>
              <w:rPr>
                <w:sz w:val="1"/>
                <w:szCs w:val="1"/>
                <w:color w:val="auto"/>
              </w:rPr>
            </w:pPr>
          </w:p>
        </w:tc>
      </w:tr>
      <w:tr>
        <w:trPr>
          <w:trHeight w:val="178"/>
        </w:trPr>
        <w:tc>
          <w:tcPr>
            <w:tcW w:w="7180" w:type="dxa"/>
            <w:vAlign w:val="bottom"/>
          </w:tcPr>
          <w:p>
            <w:pPr>
              <w:spacing w:after="0"/>
              <w:rPr>
                <w:sz w:val="15"/>
                <w:szCs w:val="15"/>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Square Footage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(including renewals)</w:t>
            </w:r>
          </w:p>
        </w:tc>
        <w:tc>
          <w:tcPr>
            <w:tcW w:w="0" w:type="dxa"/>
            <w:vAlign w:val="bottom"/>
          </w:tcPr>
          <w:p>
            <w:pPr>
              <w:spacing w:after="0"/>
              <w:rPr>
                <w:sz w:val="1"/>
                <w:szCs w:val="1"/>
                <w:color w:val="auto"/>
              </w:rPr>
            </w:pPr>
          </w:p>
        </w:tc>
      </w:tr>
      <w:tr>
        <w:trPr>
          <w:trHeight w:val="189"/>
        </w:trPr>
        <w:tc>
          <w:tcPr>
            <w:tcW w:w="71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19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938,000</w:t>
            </w:r>
          </w:p>
        </w:tc>
        <w:tc>
          <w:tcPr>
            <w:tcW w:w="16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2022 – 2052</w:t>
            </w:r>
          </w:p>
        </w:tc>
        <w:tc>
          <w:tcPr>
            <w:tcW w:w="0" w:type="dxa"/>
            <w:vAlign w:val="bottom"/>
          </w:tcPr>
          <w:p>
            <w:pPr>
              <w:spacing w:after="0"/>
              <w:rPr>
                <w:sz w:val="1"/>
                <w:szCs w:val="1"/>
                <w:color w:val="auto"/>
              </w:rPr>
            </w:pPr>
          </w:p>
        </w:tc>
      </w:tr>
      <w:tr>
        <w:trPr>
          <w:trHeight w:val="189"/>
        </w:trPr>
        <w:tc>
          <w:tcPr>
            <w:tcW w:w="7180" w:type="dxa"/>
            <w:vAlign w:val="bottom"/>
          </w:tcPr>
          <w:p>
            <w:pPr>
              <w:spacing w:after="0" w:line="189" w:lineRule="exact"/>
              <w:rPr>
                <w:sz w:val="20"/>
                <w:szCs w:val="20"/>
                <w:color w:val="auto"/>
              </w:rPr>
            </w:pPr>
            <w:r>
              <w:rPr>
                <w:rFonts w:ascii="Arial" w:cs="Arial" w:eastAsia="Arial" w:hAnsi="Arial"/>
                <w:sz w:val="18"/>
                <w:szCs w:val="18"/>
                <w:color w:val="auto"/>
              </w:rPr>
              <w:t>Australia</w:t>
            </w:r>
          </w:p>
        </w:tc>
        <w:tc>
          <w:tcPr>
            <w:tcW w:w="1940" w:type="dxa"/>
            <w:vAlign w:val="bottom"/>
          </w:tcPr>
          <w:p>
            <w:pPr>
              <w:jc w:val="center"/>
              <w:spacing w:after="0" w:line="189" w:lineRule="exact"/>
              <w:rPr>
                <w:sz w:val="20"/>
                <w:szCs w:val="20"/>
                <w:color w:val="auto"/>
              </w:rPr>
            </w:pPr>
            <w:r>
              <w:rPr>
                <w:rFonts w:ascii="Arial" w:cs="Arial" w:eastAsia="Arial" w:hAnsi="Arial"/>
                <w:sz w:val="18"/>
                <w:szCs w:val="18"/>
                <w:color w:val="auto"/>
                <w:w w:val="89"/>
              </w:rPr>
              <w:t>769,000</w:t>
            </w:r>
          </w:p>
        </w:tc>
        <w:tc>
          <w:tcPr>
            <w:tcW w:w="16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8"/>
                <w:szCs w:val="18"/>
                <w:color w:val="auto"/>
                <w:w w:val="89"/>
              </w:rPr>
              <w:t>2022 – 2049</w:t>
            </w:r>
          </w:p>
        </w:tc>
        <w:tc>
          <w:tcPr>
            <w:tcW w:w="0" w:type="dxa"/>
            <w:vAlign w:val="bottom"/>
          </w:tcPr>
          <w:p>
            <w:pPr>
              <w:spacing w:after="0"/>
              <w:rPr>
                <w:sz w:val="1"/>
                <w:szCs w:val="1"/>
                <w:color w:val="auto"/>
              </w:rPr>
            </w:pPr>
          </w:p>
        </w:tc>
      </w:tr>
      <w:tr>
        <w:trPr>
          <w:trHeight w:val="189"/>
        </w:trPr>
        <w:tc>
          <w:tcPr>
            <w:tcW w:w="7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Zealand</w:t>
            </w:r>
          </w:p>
        </w:tc>
        <w:tc>
          <w:tcPr>
            <w:tcW w:w="1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202,000</w:t>
            </w:r>
          </w:p>
        </w:tc>
        <w:tc>
          <w:tcPr>
            <w:tcW w:w="160" w:type="dxa"/>
            <w:vAlign w:val="bottom"/>
            <w:shd w:val="clear" w:color="auto" w:fill="CCEEFF"/>
          </w:tcPr>
          <w:p>
            <w:pPr>
              <w:spacing w:after="0"/>
              <w:rPr>
                <w:sz w:val="16"/>
                <w:szCs w:val="16"/>
                <w:color w:val="auto"/>
              </w:rPr>
            </w:pPr>
          </w:p>
        </w:tc>
        <w:tc>
          <w:tcPr>
            <w:tcW w:w="1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2023 – 2040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Interests</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the United States, as of December 31, 2020, we owned approximately 101,000 square feet of improved real estate comprised of three live theatre buildings, which include approximately 10,000 square feet of leasable space, the fee interest in our U.S. headquarters in Culver City, California, and the fee interest in our Cinemas 1,2,3 in Manhattan (held through a limited liability company in which we have a 75% managing member interest). We also own various properties relating to our historic railroad business, including the Reading Viaduct in central Philadelphia.</w:t>
      </w:r>
    </w:p>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Australia, as of December 31, 2020, we owned approximately 1,355,000 square feet of land at seven locations. Most of this land is located in the states of Queensland, New South Wales, and Western Australia. Of these fee interests, approximately 208,000 square feet are currently improved with cinemas. We own an approximately 23,000 square foot parcel currently improved with an approximately 22,000 square foot office building that we intend to integrate with and into our Newmarket Village ETC and that, accordingly, is not included in the above table. In 2018, we acquired a building of 17,000 square feet which is bordered on three sides by our Auburn ETC for $3.5 million (AU$ 4.5 million). This asset was listed for sale in January 2021.</w:t>
      </w:r>
    </w:p>
    <w:p>
      <w:pPr>
        <w:spacing w:after="0" w:line="134"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New Zealand, as of December 31, 2020, we owned approximately 3,371,000 square feet of land at five locations. This includes our Courtenay Central ETC in Wellington and the development land adjacent to our Courtenay Central ETC, and the fee interests underlying four cinemas in New Zealand, which properties include approximately 6,000 square feet of ancillary retail space. The foregoing includes the 70.4-acre Manukau/Wiri site, which was sold on March 4, 2021 for NZ$77.2 million (US$56.1 million).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Live Theatres</w:t>
      </w:r>
    </w:p>
    <w:p>
      <w:pPr>
        <w:spacing w:after="0" w:line="17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Included among our real estate holdings are three Off-Broadway style live theatres, operated through our Liberty Theatres subsidiary. We license theatre auditoriums to the producers of Off-Broadway theatrical productions and provide various box office and food &amp; beverage services. The terms of our licenses are, naturally, principally dependent upon the commercial success of our tenants. While we attempt to choose productions that we believe will be successful, we have no control over the production itself. At the current time, we have two single-auditorium theatres in Manhattan: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Minetta Lane (399 seats); and</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Orpheum (347 seats).</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also own a four-auditorium theatre complex, the Royal George Theatre in Chicago (Mainstage 448 seats, Cabaret 199 seats, The Great Room 100 seats, and The Gallery 50 seats), which has ancillary retail, office space, and parking. This property is currently being marketed for sale.</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Liberty Theatres is primarily in the business of licensing theatre space. However, we may from time to time participate as an investor in a play, which can help facilitate the exhibition of the play at one of our theatres and do from time to time rent space on a basis that allows us to share in a production’s revenues or profits. Predominantly, rental revenues, expenses, and profits are reported as part of the real estate segment of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Interests</w:t>
      </w:r>
    </w:p>
    <w:p>
      <w:pPr>
        <w:spacing w:after="0" w:line="17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At December 31, 2020, our real estate joint ventures comprise of a 75% managing member interest in the limited liability company that owns our Cinemas 1,2,3 property and a 50% managing member interest in Shadow View Land &amp; Farming, LLC, which owns an approximately 202-acre property in Coachella, California that was zoned for residential and mixed use. In December 2020, the Coachella property was classified as held for sale as part of our strategy to monetize certain real estate assets. On March 5, 2021, this property was sold for $11.0 million. As a 50% member in Shadow View Land &amp; Farming LLC, the Company received 50% of the net sale proceeds.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OPERATING PROPERTY</w:t>
      </w:r>
    </w:p>
    <w:p>
      <w:pPr>
        <w:spacing w:after="0" w:line="2" w:lineRule="exact"/>
        <w:rPr>
          <w:sz w:val="20"/>
          <w:szCs w:val="20"/>
          <w:color w:val="auto"/>
        </w:rPr>
      </w:pPr>
    </w:p>
    <w:p>
      <w:pPr>
        <w:ind w:right="680"/>
        <w:spacing w:after="0" w:line="233" w:lineRule="auto"/>
        <w:rPr>
          <w:sz w:val="20"/>
          <w:szCs w:val="20"/>
          <w:color w:val="auto"/>
        </w:rPr>
      </w:pPr>
      <w:r>
        <w:rPr>
          <w:rFonts w:ascii="Arial" w:cs="Arial" w:eastAsia="Arial" w:hAnsi="Arial"/>
          <w:sz w:val="18"/>
          <w:szCs w:val="18"/>
          <w:color w:val="auto"/>
        </w:rPr>
        <w:t>As of December 31, 2020, we own fee interests in approximately 824,000 square feet of income-producing properties (including certain properties principally occupied by our cinemas)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Square Feet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Net Book</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Improvements</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line="185" w:lineRule="exact"/>
              <w:rPr>
                <w:sz w:val="20"/>
                <w:szCs w:val="20"/>
                <w:color w:val="auto"/>
              </w:rPr>
            </w:pPr>
            <w:r>
              <w:rPr>
                <w:rFonts w:ascii="Arial" w:cs="Arial" w:eastAsia="Arial" w:hAnsi="Arial"/>
                <w:sz w:val="13"/>
                <w:szCs w:val="13"/>
                <w:b w:val="1"/>
                <w:bCs w:val="1"/>
                <w:color w:val="auto"/>
                <w:w w:val="96"/>
              </w:rPr>
              <w:t>Value</w:t>
            </w:r>
            <w:r>
              <w:rPr>
                <w:rFonts w:ascii="Arial" w:cs="Arial" w:eastAsia="Arial" w:hAnsi="Arial"/>
                <w:sz w:val="21"/>
                <w:szCs w:val="21"/>
                <w:b w:val="1"/>
                <w:bCs w:val="1"/>
                <w:color w:val="auto"/>
                <w:w w:val="96"/>
                <w:vertAlign w:val="superscript"/>
              </w:rPr>
              <w:t>(3)</w:t>
            </w:r>
          </w:p>
        </w:tc>
        <w:tc>
          <w:tcPr>
            <w:tcW w:w="1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Reporting</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w:t>
            </w:r>
          </w:p>
        </w:tc>
        <w:tc>
          <w:tcPr>
            <w:tcW w:w="80" w:type="dxa"/>
            <w:vAlign w:val="bottom"/>
          </w:tcPr>
          <w:p>
            <w:pPr>
              <w:spacing w:after="0"/>
              <w:rPr>
                <w:sz w:val="12"/>
                <w:szCs w:val="12"/>
                <w:color w:val="auto"/>
              </w:rPr>
            </w:pPr>
          </w:p>
        </w:tc>
        <w:tc>
          <w:tcPr>
            <w:tcW w:w="1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(rental/</w:t>
            </w: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97"/>
              </w:rPr>
              <w:t>(US Dollars</w:t>
            </w:r>
          </w:p>
        </w:tc>
        <w:tc>
          <w:tcPr>
            <w:tcW w:w="1820" w:type="dxa"/>
            <w:vAlign w:val="bottom"/>
            <w:gridSpan w:val="2"/>
            <w:vMerge w:val="continue"/>
          </w:tcPr>
          <w:p>
            <w:pPr>
              <w:spacing w:after="0"/>
              <w:rPr>
                <w:sz w:val="12"/>
                <w:szCs w:val="12"/>
                <w:color w:val="auto"/>
              </w:rPr>
            </w:pPr>
          </w:p>
        </w:tc>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Address</w:t>
            </w:r>
          </w:p>
        </w:tc>
        <w:tc>
          <w:tcPr>
            <w:tcW w:w="0" w:type="dxa"/>
            <w:vAlign w:val="bottom"/>
          </w:tcPr>
          <w:p>
            <w:pPr>
              <w:spacing w:after="0"/>
              <w:rPr>
                <w:sz w:val="1"/>
                <w:szCs w:val="1"/>
                <w:color w:val="auto"/>
              </w:rPr>
            </w:pPr>
          </w:p>
        </w:tc>
      </w:tr>
      <w:tr>
        <w:trPr>
          <w:trHeight w:val="183"/>
        </w:trPr>
        <w:tc>
          <w:tcPr>
            <w:tcW w:w="20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9"/>
              </w:rPr>
              <w:t>entertainment)</w:t>
            </w:r>
            <w:r>
              <w:rPr>
                <w:rFonts w:ascii="Arial" w:cs="Arial" w:eastAsia="Arial" w:hAnsi="Arial"/>
                <w:sz w:val="20"/>
                <w:szCs w:val="20"/>
                <w:b w:val="1"/>
                <w:bCs w:val="1"/>
                <w:color w:val="auto"/>
                <w:w w:val="99"/>
                <w:vertAlign w:val="superscript"/>
              </w:rPr>
              <w:t>(1)</w:t>
            </w:r>
          </w:p>
        </w:tc>
        <w:tc>
          <w:tcPr>
            <w:tcW w:w="11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4"/>
              </w:rPr>
              <w:t>Leased</w:t>
            </w:r>
            <w:r>
              <w:rPr>
                <w:rFonts w:ascii="Arial" w:cs="Arial" w:eastAsia="Arial" w:hAnsi="Arial"/>
                <w:sz w:val="20"/>
                <w:szCs w:val="20"/>
                <w:b w:val="1"/>
                <w:bCs w:val="1"/>
                <w:color w:val="auto"/>
                <w:w w:val="94"/>
                <w:vertAlign w:val="superscript"/>
              </w:rPr>
              <w:t>(2)</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2"/>
              </w:rPr>
              <w:t>in thousands)</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Segment</w:t>
            </w:r>
          </w:p>
        </w:tc>
        <w:tc>
          <w:tcPr>
            <w:tcW w:w="3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80" w:type="dxa"/>
            <w:vAlign w:val="bottom"/>
            <w:tcBorders>
              <w:top w:val="single" w:sz="8" w:color="auto"/>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United States</w:t>
            </w:r>
          </w:p>
        </w:tc>
        <w:tc>
          <w:tcPr>
            <w:tcW w:w="8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860" w:type="dxa"/>
            <w:vAlign w:val="bottom"/>
            <w:gridSpan w:val="3"/>
          </w:tcPr>
          <w:p>
            <w:pPr>
              <w:ind w:left="40"/>
              <w:spacing w:after="0" w:line="183" w:lineRule="exact"/>
              <w:rPr>
                <w:sz w:val="20"/>
                <w:szCs w:val="20"/>
                <w:color w:val="auto"/>
              </w:rPr>
            </w:pPr>
            <w:r>
              <w:rPr>
                <w:rFonts w:ascii="Arial" w:cs="Arial" w:eastAsia="Arial" w:hAnsi="Arial"/>
                <w:sz w:val="13"/>
                <w:szCs w:val="13"/>
                <w:color w:val="auto"/>
              </w:rPr>
              <w:t>Cinemas 1,2,3</w:t>
            </w:r>
            <w:r>
              <w:rPr>
                <w:rFonts w:ascii="Arial" w:cs="Arial" w:eastAsia="Arial" w:hAnsi="Arial"/>
                <w:sz w:val="21"/>
                <w:szCs w:val="21"/>
                <w:color w:val="auto"/>
                <w:vertAlign w:val="superscript"/>
              </w:rPr>
              <w:t>(4)</w:t>
            </w:r>
          </w:p>
        </w:tc>
        <w:tc>
          <w:tcPr>
            <w:tcW w:w="166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0 / 24,000</w:t>
            </w:r>
          </w:p>
        </w:tc>
        <w:tc>
          <w:tcPr>
            <w:tcW w:w="8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2"/>
              </w:rPr>
              <w:t>n/a</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24,128</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Cinema Exhibition</w:t>
            </w:r>
          </w:p>
        </w:tc>
        <w:tc>
          <w:tcPr>
            <w:tcW w:w="3320" w:type="dxa"/>
            <w:vAlign w:val="bottom"/>
          </w:tcPr>
          <w:p>
            <w:pPr>
              <w:spacing w:after="0"/>
              <w:rPr>
                <w:sz w:val="20"/>
                <w:szCs w:val="20"/>
                <w:color w:val="auto"/>
              </w:rPr>
            </w:pPr>
            <w:r>
              <w:rPr>
                <w:rFonts w:ascii="Arial" w:cs="Arial" w:eastAsia="Arial" w:hAnsi="Arial"/>
                <w:sz w:val="14"/>
                <w:szCs w:val="14"/>
                <w:color w:val="auto"/>
              </w:rPr>
              <w:t>1003 Third Avenue, Manhattan, NY</w:t>
            </w:r>
          </w:p>
        </w:tc>
        <w:tc>
          <w:tcPr>
            <w:tcW w:w="0" w:type="dxa"/>
            <w:vAlign w:val="bottom"/>
          </w:tcPr>
          <w:p>
            <w:pPr>
              <w:spacing w:after="0"/>
              <w:rPr>
                <w:sz w:val="1"/>
                <w:szCs w:val="1"/>
                <w:color w:val="auto"/>
              </w:rPr>
            </w:pPr>
          </w:p>
        </w:tc>
      </w:tr>
      <w:tr>
        <w:trPr>
          <w:trHeight w:val="130"/>
        </w:trPr>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Culver City Headquarters</w:t>
            </w:r>
          </w:p>
        </w:tc>
        <w:tc>
          <w:tcPr>
            <w:tcW w:w="166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3"/>
              </w:rPr>
              <w:t>24,000 / 0</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12,957</w:t>
            </w:r>
          </w:p>
        </w:tc>
        <w:tc>
          <w:tcPr>
            <w:tcW w:w="182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1"/>
              </w:rPr>
              <w:t>Real Estate</w:t>
            </w: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5995 Sepulveda Boulevard, Culver City, CA</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including a 72-space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parking structure</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Minetta Lane Theatre</w:t>
            </w:r>
          </w:p>
        </w:tc>
        <w:tc>
          <w:tcPr>
            <w:tcW w:w="16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0 / 9,000</w:t>
            </w: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n/a</w:t>
            </w: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2,294</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Real Estate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18 Minetta Lane, Manhattan, NY</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Orpheum Theatre</w:t>
            </w:r>
          </w:p>
        </w:tc>
        <w:tc>
          <w:tcPr>
            <w:tcW w:w="16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0 / 5,000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n/a</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1,393</w:t>
            </w:r>
          </w:p>
        </w:tc>
        <w:tc>
          <w:tcPr>
            <w:tcW w:w="18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Real Estate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126 2nd Avenue, Manhattan, NY</w:t>
            </w:r>
          </w:p>
        </w:tc>
        <w:tc>
          <w:tcPr>
            <w:tcW w:w="0" w:type="dxa"/>
            <w:vAlign w:val="bottom"/>
          </w:tcPr>
          <w:p>
            <w:pPr>
              <w:spacing w:after="0"/>
              <w:rPr>
                <w:sz w:val="1"/>
                <w:szCs w:val="1"/>
                <w:color w:val="auto"/>
              </w:rPr>
            </w:pPr>
          </w:p>
        </w:tc>
      </w:tr>
      <w:tr>
        <w:trPr>
          <w:trHeight w:val="130"/>
        </w:trPr>
        <w:tc>
          <w:tcPr>
            <w:tcW w:w="220" w:type="dxa"/>
            <w:vAlign w:val="bottom"/>
          </w:tcPr>
          <w:p>
            <w:pPr>
              <w:jc w:val="right"/>
              <w:spacing w:after="0" w:line="130" w:lineRule="exact"/>
              <w:rPr>
                <w:sz w:val="20"/>
                <w:szCs w:val="20"/>
                <w:color w:val="auto"/>
              </w:rPr>
            </w:pPr>
            <w:r>
              <w:rPr>
                <w:rFonts w:ascii="Arial" w:cs="Arial" w:eastAsia="Arial" w:hAnsi="Arial"/>
                <w:sz w:val="14"/>
                <w:szCs w:val="14"/>
                <w:color w:val="auto"/>
              </w:rPr>
              <w:t>5.</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Royal George</w:t>
            </w:r>
          </w:p>
        </w:tc>
        <w:tc>
          <w:tcPr>
            <w:tcW w:w="1660" w:type="dxa"/>
            <w:vAlign w:val="bottom"/>
            <w:gridSpan w:val="2"/>
          </w:tcPr>
          <w:p>
            <w:pPr>
              <w:jc w:val="center"/>
              <w:ind w:left="8"/>
              <w:spacing w:after="0" w:line="130" w:lineRule="exact"/>
              <w:rPr>
                <w:sz w:val="20"/>
                <w:szCs w:val="20"/>
                <w:color w:val="auto"/>
              </w:rPr>
            </w:pPr>
            <w:r>
              <w:rPr>
                <w:rFonts w:ascii="Arial" w:cs="Arial" w:eastAsia="Arial" w:hAnsi="Arial"/>
                <w:sz w:val="14"/>
                <w:szCs w:val="14"/>
                <w:color w:val="auto"/>
                <w:w w:val="92"/>
              </w:rPr>
              <w:t>15,000 / 23,000</w:t>
            </w:r>
          </w:p>
        </w:tc>
        <w:tc>
          <w:tcPr>
            <w:tcW w:w="80" w:type="dxa"/>
            <w:vAlign w:val="bottom"/>
          </w:tcPr>
          <w:p>
            <w:pPr>
              <w:spacing w:after="0"/>
              <w:rPr>
                <w:sz w:val="11"/>
                <w:szCs w:val="11"/>
                <w:color w:val="auto"/>
              </w:rPr>
            </w:pPr>
          </w:p>
        </w:tc>
        <w:tc>
          <w:tcPr>
            <w:tcW w:w="1020" w:type="dxa"/>
            <w:vAlign w:val="bottom"/>
          </w:tcPr>
          <w:p>
            <w:pPr>
              <w:jc w:val="center"/>
              <w:spacing w:after="0" w:line="130" w:lineRule="exact"/>
              <w:rPr>
                <w:sz w:val="20"/>
                <w:szCs w:val="20"/>
                <w:color w:val="auto"/>
              </w:rPr>
            </w:pPr>
            <w:r>
              <w:rPr>
                <w:rFonts w:ascii="Arial" w:cs="Arial" w:eastAsia="Arial" w:hAnsi="Arial"/>
                <w:sz w:val="14"/>
                <w:szCs w:val="14"/>
                <w:color w:val="auto"/>
                <w:w w:val="92"/>
              </w:rPr>
              <w:t>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2,087</w:t>
            </w:r>
          </w:p>
        </w:tc>
        <w:tc>
          <w:tcPr>
            <w:tcW w:w="182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1"/>
              </w:rPr>
              <w:t>Real Estate</w:t>
            </w: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1633-41 N. Halsted Street, Chicago, IL</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plus a 55-space parking</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structure</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44 Union Square</w:t>
            </w:r>
          </w:p>
        </w:tc>
        <w:tc>
          <w:tcPr>
            <w:tcW w:w="16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73,000 / 0</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92,820</w:t>
            </w:r>
          </w:p>
        </w:tc>
        <w:tc>
          <w:tcPr>
            <w:tcW w:w="18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Real Estate</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44 Union Square E, New York, NY 10003</w:t>
            </w:r>
          </w:p>
        </w:tc>
        <w:tc>
          <w:tcPr>
            <w:tcW w:w="0" w:type="dxa"/>
            <w:vAlign w:val="bottom"/>
          </w:tcPr>
          <w:p>
            <w:pPr>
              <w:spacing w:after="0"/>
              <w:rPr>
                <w:sz w:val="1"/>
                <w:szCs w:val="1"/>
                <w:color w:val="auto"/>
              </w:rPr>
            </w:pPr>
          </w:p>
        </w:tc>
      </w:tr>
      <w:tr>
        <w:trPr>
          <w:trHeight w:val="135"/>
        </w:trPr>
        <w:tc>
          <w:tcPr>
            <w:tcW w:w="208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Australia</w:t>
            </w: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w:t>
            </w:r>
          </w:p>
        </w:tc>
        <w:tc>
          <w:tcPr>
            <w:tcW w:w="1860" w:type="dxa"/>
            <w:vAlign w:val="bottom"/>
            <w:gridSpan w:val="3"/>
            <w:shd w:val="clear" w:color="auto" w:fill="CCEEFF"/>
          </w:tcPr>
          <w:p>
            <w:pPr>
              <w:ind w:left="40"/>
              <w:spacing w:after="0" w:line="123" w:lineRule="exact"/>
              <w:rPr>
                <w:sz w:val="20"/>
                <w:szCs w:val="20"/>
                <w:color w:val="auto"/>
              </w:rPr>
            </w:pPr>
            <w:r>
              <w:rPr>
                <w:rFonts w:ascii="Arial" w:cs="Arial" w:eastAsia="Arial" w:hAnsi="Arial"/>
                <w:sz w:val="14"/>
                <w:szCs w:val="14"/>
                <w:color w:val="auto"/>
              </w:rPr>
              <w:t>Newmarket Village</w:t>
            </w:r>
          </w:p>
        </w:tc>
        <w:tc>
          <w:tcPr>
            <w:tcW w:w="1660" w:type="dxa"/>
            <w:vAlign w:val="bottom"/>
            <w:gridSpan w:val="2"/>
            <w:shd w:val="clear" w:color="auto" w:fill="CCEEFF"/>
          </w:tcPr>
          <w:p>
            <w:pPr>
              <w:jc w:val="center"/>
              <w:ind w:left="28"/>
              <w:spacing w:after="0" w:line="123" w:lineRule="exact"/>
              <w:rPr>
                <w:sz w:val="20"/>
                <w:szCs w:val="20"/>
                <w:color w:val="auto"/>
              </w:rPr>
            </w:pPr>
            <w:r>
              <w:rPr>
                <w:rFonts w:ascii="Arial" w:cs="Arial" w:eastAsia="Arial" w:hAnsi="Arial"/>
                <w:sz w:val="14"/>
                <w:szCs w:val="14"/>
                <w:color w:val="auto"/>
                <w:w w:val="91"/>
              </w:rPr>
              <w:t>102,000 / 42,000</w:t>
            </w: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98%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48,880</w:t>
            </w:r>
          </w:p>
        </w:tc>
        <w:tc>
          <w:tcPr>
            <w:tcW w:w="1820" w:type="dxa"/>
            <w:vAlign w:val="bottom"/>
            <w:gridSpan w:val="2"/>
            <w:shd w:val="clear" w:color="auto" w:fill="CCEEFF"/>
          </w:tcPr>
          <w:p>
            <w:pPr>
              <w:jc w:val="center"/>
              <w:ind w:right="80"/>
              <w:spacing w:after="0" w:line="123" w:lineRule="exact"/>
              <w:rPr>
                <w:sz w:val="20"/>
                <w:szCs w:val="20"/>
                <w:color w:val="auto"/>
              </w:rPr>
            </w:pPr>
            <w:r>
              <w:rPr>
                <w:rFonts w:ascii="Arial" w:cs="Arial" w:eastAsia="Arial" w:hAnsi="Arial"/>
                <w:sz w:val="14"/>
                <w:szCs w:val="14"/>
                <w:color w:val="auto"/>
                <w:w w:val="97"/>
              </w:rPr>
              <w:t>Cinema Exhibition /</w:t>
            </w:r>
          </w:p>
        </w:tc>
        <w:tc>
          <w:tcPr>
            <w:tcW w:w="33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400 Newmarket Road, Newmarket, QLD</w:t>
            </w:r>
          </w:p>
        </w:tc>
        <w:tc>
          <w:tcPr>
            <w:tcW w:w="0" w:type="dxa"/>
            <w:vAlign w:val="bottom"/>
          </w:tcPr>
          <w:p>
            <w:pPr>
              <w:spacing w:after="0"/>
              <w:rPr>
                <w:sz w:val="1"/>
                <w:szCs w:val="1"/>
                <w:color w:val="auto"/>
              </w:rPr>
            </w:pPr>
          </w:p>
        </w:tc>
      </w:tr>
      <w:tr>
        <w:trPr>
          <w:trHeight w:val="167"/>
        </w:trPr>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plus 588 parking spaces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Real Estate</w:t>
            </w:r>
          </w:p>
        </w:tc>
        <w:tc>
          <w:tcPr>
            <w:tcW w:w="3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Newmarket Office</w:t>
            </w:r>
          </w:p>
        </w:tc>
        <w:tc>
          <w:tcPr>
            <w:tcW w:w="16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21,000 / 1,000</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5,979</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Real Estate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16-20 Edmondstone Street, Newmarket, QLD</w:t>
            </w:r>
          </w:p>
        </w:tc>
        <w:tc>
          <w:tcPr>
            <w:tcW w:w="0" w:type="dxa"/>
            <w:vAlign w:val="bottom"/>
          </w:tcPr>
          <w:p>
            <w:pPr>
              <w:spacing w:after="0"/>
              <w:rPr>
                <w:sz w:val="1"/>
                <w:szCs w:val="1"/>
                <w:color w:val="auto"/>
              </w:rPr>
            </w:pPr>
          </w:p>
        </w:tc>
      </w:tr>
      <w:tr>
        <w:trPr>
          <w:trHeight w:val="130"/>
        </w:trPr>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Auburn</w:t>
            </w:r>
          </w:p>
        </w:tc>
        <w:tc>
          <w:tcPr>
            <w:tcW w:w="166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92,000 / 56,000</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79%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27,550</w:t>
            </w:r>
          </w:p>
        </w:tc>
        <w:tc>
          <w:tcPr>
            <w:tcW w:w="182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7"/>
              </w:rPr>
              <w:t>Cinema Exhibition /</w:t>
            </w: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99 Parramatta Road, Auburn, NSW</w:t>
            </w:r>
          </w:p>
        </w:tc>
        <w:tc>
          <w:tcPr>
            <w:tcW w:w="0" w:type="dxa"/>
            <w:vAlign w:val="bottom"/>
          </w:tcPr>
          <w:p>
            <w:pPr>
              <w:spacing w:after="0"/>
              <w:rPr>
                <w:sz w:val="1"/>
                <w:szCs w:val="1"/>
                <w:color w:val="auto"/>
              </w:rPr>
            </w:pPr>
          </w:p>
        </w:tc>
      </w:tr>
      <w:tr>
        <w:trPr>
          <w:trHeight w:val="167"/>
        </w:trPr>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plus 721 parking spaces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Real Estate</w:t>
            </w:r>
          </w:p>
        </w:tc>
        <w:tc>
          <w:tcPr>
            <w:tcW w:w="3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4.</w:t>
            </w:r>
          </w:p>
        </w:tc>
        <w:tc>
          <w:tcPr>
            <w:tcW w:w="1860" w:type="dxa"/>
            <w:vAlign w:val="bottom"/>
            <w:gridSpan w:val="3"/>
          </w:tcPr>
          <w:p>
            <w:pPr>
              <w:ind w:left="40"/>
              <w:spacing w:after="0" w:line="142" w:lineRule="exact"/>
              <w:rPr>
                <w:sz w:val="20"/>
                <w:szCs w:val="20"/>
                <w:color w:val="auto"/>
              </w:rPr>
            </w:pPr>
            <w:r>
              <w:rPr>
                <w:rFonts w:ascii="Arial" w:cs="Arial" w:eastAsia="Arial" w:hAnsi="Arial"/>
                <w:sz w:val="11"/>
                <w:szCs w:val="11"/>
                <w:color w:val="auto"/>
              </w:rPr>
              <w:t>Cannon Park</w:t>
            </w:r>
            <w:r>
              <w:rPr>
                <w:rFonts w:ascii="Arial" w:cs="Arial" w:eastAsia="Arial" w:hAnsi="Arial"/>
                <w:sz w:val="16"/>
                <w:szCs w:val="16"/>
                <w:color w:val="auto"/>
                <w:vertAlign w:val="superscript"/>
              </w:rPr>
              <w:t>(5)</w:t>
            </w:r>
          </w:p>
        </w:tc>
        <w:tc>
          <w:tcPr>
            <w:tcW w:w="1660" w:type="dxa"/>
            <w:vAlign w:val="bottom"/>
            <w:gridSpan w:val="2"/>
          </w:tcPr>
          <w:p>
            <w:pPr>
              <w:jc w:val="center"/>
              <w:ind w:left="28"/>
              <w:spacing w:after="0" w:line="142" w:lineRule="exact"/>
              <w:rPr>
                <w:sz w:val="20"/>
                <w:szCs w:val="20"/>
                <w:color w:val="auto"/>
              </w:rPr>
            </w:pPr>
            <w:r>
              <w:rPr>
                <w:rFonts w:ascii="Arial" w:cs="Arial" w:eastAsia="Arial" w:hAnsi="Arial"/>
                <w:sz w:val="14"/>
                <w:szCs w:val="14"/>
                <w:color w:val="auto"/>
                <w:w w:val="91"/>
              </w:rPr>
              <w:t>105,000 / 28,000</w:t>
            </w:r>
          </w:p>
        </w:tc>
        <w:tc>
          <w:tcPr>
            <w:tcW w:w="8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w w:val="92"/>
              </w:rPr>
              <w:t>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22,473</w:t>
            </w:r>
          </w:p>
        </w:tc>
        <w:tc>
          <w:tcPr>
            <w:tcW w:w="1820" w:type="dxa"/>
            <w:vAlign w:val="bottom"/>
            <w:gridSpan w:val="2"/>
          </w:tcPr>
          <w:p>
            <w:pPr>
              <w:jc w:val="center"/>
              <w:ind w:right="80"/>
              <w:spacing w:after="0" w:line="142" w:lineRule="exact"/>
              <w:rPr>
                <w:sz w:val="20"/>
                <w:szCs w:val="20"/>
                <w:color w:val="auto"/>
              </w:rPr>
            </w:pPr>
            <w:r>
              <w:rPr>
                <w:rFonts w:ascii="Arial" w:cs="Arial" w:eastAsia="Arial" w:hAnsi="Arial"/>
                <w:sz w:val="14"/>
                <w:szCs w:val="14"/>
                <w:color w:val="auto"/>
                <w:w w:val="97"/>
              </w:rPr>
              <w:t>Cinema Exhibition /</w:t>
            </w:r>
          </w:p>
        </w:tc>
        <w:tc>
          <w:tcPr>
            <w:tcW w:w="3320" w:type="dxa"/>
            <w:vAlign w:val="bottom"/>
          </w:tcPr>
          <w:p>
            <w:pPr>
              <w:spacing w:after="0" w:line="142" w:lineRule="exact"/>
              <w:rPr>
                <w:sz w:val="20"/>
                <w:szCs w:val="20"/>
                <w:color w:val="auto"/>
              </w:rPr>
            </w:pPr>
            <w:r>
              <w:rPr>
                <w:rFonts w:ascii="Arial" w:cs="Arial" w:eastAsia="Arial" w:hAnsi="Arial"/>
                <w:sz w:val="14"/>
                <w:szCs w:val="14"/>
                <w:color w:val="auto"/>
              </w:rPr>
              <w:t>High Range Drive, Thuringowa, QLD</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2"/>
          </w:tcPr>
          <w:p>
            <w:pPr>
              <w:jc w:val="center"/>
              <w:ind w:right="80"/>
              <w:spacing w:after="0" w:line="155" w:lineRule="exact"/>
              <w:rPr>
                <w:sz w:val="20"/>
                <w:szCs w:val="20"/>
                <w:color w:val="auto"/>
              </w:rPr>
            </w:pPr>
            <w:r>
              <w:rPr>
                <w:rFonts w:ascii="Arial" w:cs="Arial" w:eastAsia="Arial" w:hAnsi="Arial"/>
                <w:sz w:val="14"/>
                <w:szCs w:val="14"/>
                <w:color w:val="auto"/>
                <w:w w:val="91"/>
              </w:rPr>
              <w:t>Real Estate</w:t>
            </w: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Belmont</w:t>
            </w:r>
          </w:p>
        </w:tc>
        <w:tc>
          <w:tcPr>
            <w:tcW w:w="166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15,000 / 45,000</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87%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6,104</w:t>
            </w:r>
          </w:p>
        </w:tc>
        <w:tc>
          <w:tcPr>
            <w:tcW w:w="182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7"/>
              </w:rPr>
              <w:t>Cinema Exhibition</w:t>
            </w: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Knutsford Avenue and Fulham Street,</w:t>
            </w:r>
          </w:p>
        </w:tc>
        <w:tc>
          <w:tcPr>
            <w:tcW w:w="0" w:type="dxa"/>
            <w:vAlign w:val="bottom"/>
          </w:tcPr>
          <w:p>
            <w:pPr>
              <w:spacing w:after="0"/>
              <w:rPr>
                <w:sz w:val="1"/>
                <w:szCs w:val="1"/>
                <w:color w:val="auto"/>
              </w:rPr>
            </w:pPr>
          </w:p>
        </w:tc>
      </w:tr>
      <w:tr>
        <w:trPr>
          <w:trHeight w:val="167"/>
        </w:trPr>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Belmont, WA</w:t>
            </w:r>
          </w:p>
        </w:tc>
        <w:tc>
          <w:tcPr>
            <w:tcW w:w="0" w:type="dxa"/>
            <w:vAlign w:val="bottom"/>
          </w:tcPr>
          <w:p>
            <w:pPr>
              <w:spacing w:after="0"/>
              <w:rPr>
                <w:sz w:val="1"/>
                <w:szCs w:val="1"/>
                <w:color w:val="auto"/>
              </w:rPr>
            </w:pPr>
          </w:p>
        </w:tc>
      </w:tr>
      <w:tr>
        <w:trPr>
          <w:trHeight w:val="148"/>
        </w:trPr>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York Street HQ Office</w:t>
            </w:r>
          </w:p>
        </w:tc>
        <w:tc>
          <w:tcPr>
            <w:tcW w:w="16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8,000 / 0</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1,872</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Real Estate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98 York Street, South Melbourne, VIC</w:t>
            </w: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Maitland Cinema</w:t>
            </w:r>
          </w:p>
        </w:tc>
        <w:tc>
          <w:tcPr>
            <w:tcW w:w="16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0 / 22,000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n/a</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961</w:t>
            </w:r>
          </w:p>
        </w:tc>
        <w:tc>
          <w:tcPr>
            <w:tcW w:w="18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Cinema Exhibition</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9/1A Ken Tubman Drive, Maitland, NSW</w:t>
            </w:r>
          </w:p>
        </w:tc>
        <w:tc>
          <w:tcPr>
            <w:tcW w:w="0" w:type="dxa"/>
            <w:vAlign w:val="bottom"/>
          </w:tcPr>
          <w:p>
            <w:pPr>
              <w:spacing w:after="0"/>
              <w:rPr>
                <w:sz w:val="1"/>
                <w:szCs w:val="1"/>
                <w:color w:val="auto"/>
              </w:rPr>
            </w:pPr>
          </w:p>
        </w:tc>
      </w:tr>
      <w:tr>
        <w:trPr>
          <w:trHeight w:val="149"/>
        </w:trPr>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Bundaberg Cinema</w:t>
            </w:r>
          </w:p>
        </w:tc>
        <w:tc>
          <w:tcPr>
            <w:tcW w:w="16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3"/>
              </w:rPr>
              <w:t>0 / 14,000</w:t>
            </w: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n/a</w:t>
            </w: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1,176</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Cinema Exhibition</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 Johanna Boulevard, Bundaberg, QLD</w:t>
            </w:r>
          </w:p>
        </w:tc>
        <w:tc>
          <w:tcPr>
            <w:tcW w:w="0" w:type="dxa"/>
            <w:vAlign w:val="bottom"/>
          </w:tcPr>
          <w:p>
            <w:pPr>
              <w:spacing w:after="0"/>
              <w:rPr>
                <w:sz w:val="1"/>
                <w:szCs w:val="1"/>
                <w:color w:val="auto"/>
              </w:rPr>
            </w:pPr>
          </w:p>
        </w:tc>
      </w:tr>
      <w:tr>
        <w:trPr>
          <w:trHeight w:val="135"/>
        </w:trPr>
        <w:tc>
          <w:tcPr>
            <w:tcW w:w="82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3"/>
              </w:rPr>
              <w:t>New Zealand</w:t>
            </w:r>
          </w:p>
        </w:tc>
        <w:tc>
          <w:tcPr>
            <w:tcW w:w="12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860" w:type="dxa"/>
            <w:vAlign w:val="bottom"/>
            <w:gridSpan w:val="3"/>
          </w:tcPr>
          <w:p>
            <w:pPr>
              <w:ind w:left="40"/>
              <w:spacing w:after="0" w:line="164" w:lineRule="exact"/>
              <w:rPr>
                <w:sz w:val="20"/>
                <w:szCs w:val="20"/>
                <w:color w:val="auto"/>
              </w:rPr>
            </w:pPr>
            <w:r>
              <w:rPr>
                <w:rFonts w:ascii="Arial" w:cs="Arial" w:eastAsia="Arial" w:hAnsi="Arial"/>
                <w:sz w:val="12"/>
                <w:szCs w:val="12"/>
                <w:color w:val="auto"/>
              </w:rPr>
              <w:t>Courtenay Central</w:t>
            </w:r>
            <w:r>
              <w:rPr>
                <w:rFonts w:ascii="Arial" w:cs="Arial" w:eastAsia="Arial" w:hAnsi="Arial"/>
                <w:sz w:val="18"/>
                <w:szCs w:val="18"/>
                <w:color w:val="auto"/>
                <w:vertAlign w:val="superscript"/>
              </w:rPr>
              <w:t>(6)</w:t>
            </w:r>
          </w:p>
        </w:tc>
        <w:tc>
          <w:tcPr>
            <w:tcW w:w="166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43,000 / 59,000</w:t>
            </w: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10,267</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Cinema Exhibition /</w:t>
            </w:r>
          </w:p>
        </w:tc>
        <w:tc>
          <w:tcPr>
            <w:tcW w:w="3320" w:type="dxa"/>
            <w:vAlign w:val="bottom"/>
          </w:tcPr>
          <w:p>
            <w:pPr>
              <w:spacing w:after="0"/>
              <w:rPr>
                <w:sz w:val="20"/>
                <w:szCs w:val="20"/>
                <w:color w:val="auto"/>
              </w:rPr>
            </w:pPr>
            <w:r>
              <w:rPr>
                <w:rFonts w:ascii="Arial" w:cs="Arial" w:eastAsia="Arial" w:hAnsi="Arial"/>
                <w:sz w:val="14"/>
                <w:szCs w:val="14"/>
                <w:color w:val="auto"/>
              </w:rPr>
              <w:t>100 Courtenay Place, Wellington</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3600" w:type="dxa"/>
            <w:vAlign w:val="bottom"/>
            <w:gridSpan w:val="6"/>
          </w:tcPr>
          <w:p>
            <w:pPr>
              <w:spacing w:after="0" w:line="149" w:lineRule="exact"/>
              <w:rPr>
                <w:sz w:val="20"/>
                <w:szCs w:val="20"/>
                <w:color w:val="auto"/>
              </w:rPr>
            </w:pPr>
            <w:r>
              <w:rPr>
                <w:rFonts w:ascii="Arial" w:cs="Arial" w:eastAsia="Arial" w:hAnsi="Arial"/>
                <w:sz w:val="14"/>
                <w:szCs w:val="14"/>
                <w:color w:val="auto"/>
                <w:w w:val="97"/>
              </w:rPr>
              <w:t>Plus, an additional 37,000 feet of land currently used as on-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Real Estate</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24 Tory Street, Wellington (Parking)</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0" w:type="dxa"/>
            <w:vAlign w:val="bottom"/>
            <w:gridSpan w:val="6"/>
          </w:tcPr>
          <w:p>
            <w:pPr>
              <w:spacing w:after="0"/>
              <w:rPr>
                <w:sz w:val="20"/>
                <w:szCs w:val="20"/>
                <w:color w:val="auto"/>
              </w:rPr>
            </w:pPr>
            <w:r>
              <w:rPr>
                <w:rFonts w:ascii="Arial" w:cs="Arial" w:eastAsia="Arial" w:hAnsi="Arial"/>
                <w:sz w:val="14"/>
                <w:szCs w:val="14"/>
                <w:color w:val="auto"/>
                <w:w w:val="95"/>
              </w:rPr>
              <w:t>grade car parking where our multi-story car park once stood.</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Dunedin Cinema</w:t>
            </w:r>
          </w:p>
        </w:tc>
        <w:tc>
          <w:tcPr>
            <w:tcW w:w="16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0 / 25,000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n/a</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6,106</w:t>
            </w:r>
          </w:p>
        </w:tc>
        <w:tc>
          <w:tcPr>
            <w:tcW w:w="18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Cinema Exhibition</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33 The Octagon, Dunedin</w:t>
            </w:r>
          </w:p>
        </w:tc>
        <w:tc>
          <w:tcPr>
            <w:tcW w:w="0" w:type="dxa"/>
            <w:vAlign w:val="bottom"/>
          </w:tcPr>
          <w:p>
            <w:pPr>
              <w:spacing w:after="0"/>
              <w:rPr>
                <w:sz w:val="1"/>
                <w:szCs w:val="1"/>
                <w:color w:val="auto"/>
              </w:rPr>
            </w:pPr>
          </w:p>
        </w:tc>
      </w:tr>
      <w:tr>
        <w:trPr>
          <w:trHeight w:val="148"/>
        </w:trPr>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Napier Cinema</w:t>
            </w:r>
          </w:p>
        </w:tc>
        <w:tc>
          <w:tcPr>
            <w:tcW w:w="16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6,000 / 18,000</w:t>
            </w: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1,894</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Cinema Exhibition</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154 Station Street, Napier</w:t>
            </w: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Invercargill Cinema</w:t>
            </w:r>
          </w:p>
        </w:tc>
        <w:tc>
          <w:tcPr>
            <w:tcW w:w="16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0 / 20,000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n/a</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1,492</w:t>
            </w:r>
          </w:p>
        </w:tc>
        <w:tc>
          <w:tcPr>
            <w:tcW w:w="18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Cinema Exhibition</w:t>
            </w: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29 Dee Street, Invercargill</w:t>
            </w:r>
          </w:p>
        </w:tc>
        <w:tc>
          <w:tcPr>
            <w:tcW w:w="0" w:type="dxa"/>
            <w:vAlign w:val="bottom"/>
          </w:tcPr>
          <w:p>
            <w:pPr>
              <w:spacing w:after="0"/>
              <w:rPr>
                <w:sz w:val="1"/>
                <w:szCs w:val="1"/>
                <w:color w:val="auto"/>
              </w:rPr>
            </w:pPr>
          </w:p>
        </w:tc>
      </w:tr>
      <w:tr>
        <w:trPr>
          <w:trHeight w:val="148"/>
        </w:trPr>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Rotorua Cinema</w:t>
            </w:r>
          </w:p>
        </w:tc>
        <w:tc>
          <w:tcPr>
            <w:tcW w:w="16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3"/>
              </w:rPr>
              <w:t>0 / 19,000</w:t>
            </w: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n/a</w:t>
            </w: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1,684</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Cinema Exhibition</w:t>
            </w: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1281 Eruera Street, Rotorua</w:t>
            </w:r>
          </w:p>
        </w:tc>
        <w:tc>
          <w:tcPr>
            <w:tcW w:w="0" w:type="dxa"/>
            <w:vAlign w:val="bottom"/>
          </w:tcPr>
          <w:p>
            <w:pPr>
              <w:spacing w:after="0"/>
              <w:rPr>
                <w:sz w:val="1"/>
                <w:szCs w:val="1"/>
                <w:color w:val="auto"/>
              </w:rPr>
            </w:pPr>
          </w:p>
        </w:tc>
      </w:tr>
      <w:tr>
        <w:trPr>
          <w:trHeight w:val="163"/>
        </w:trPr>
        <w:tc>
          <w:tcPr>
            <w:tcW w:w="2080" w:type="dxa"/>
            <w:vAlign w:val="bottom"/>
            <w:tcBorders>
              <w:top w:val="single" w:sz="8" w:color="CCEEFF"/>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8"/>
                <w:szCs w:val="18"/>
                <w:b w:val="1"/>
                <w:bCs w:val="1"/>
                <w:color w:val="auto"/>
                <w:vertAlign w:val="superscript"/>
              </w:rPr>
              <w:t>(7)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272,117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7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3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40" w:hanging="328"/>
        <w:spacing w:after="0" w:line="230"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Rental square footage refers to the amount of potential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660" w:hanging="328"/>
        <w:spacing w:after="0" w:line="22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percentage of available rental square footage currently leased or licensed to third parties.</w:t>
      </w:r>
    </w:p>
    <w:p>
      <w:pPr>
        <w:ind w:left="660" w:right="240" w:hanging="328"/>
        <w:spacing w:after="0" w:line="22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Refers to the net carrying value of the land and buildings of the property presented as “Operating Property” in our Consolidated Balance Sheet as of December 31, 2020 (net of any impairments recorded).</w:t>
      </w:r>
    </w:p>
    <w:p>
      <w:pPr>
        <w:ind w:left="660" w:right="140" w:hanging="328"/>
        <w:spacing w:after="0" w:line="22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Owned by a limited liability company in which we hold a 75% managing member interest. The remaining 25% is owned by Sutton Hill Capital, LLC (“SHC”), a company owned in equal parts by the Cotter Estate or the Cotter Trust and a third party.</w:t>
      </w:r>
    </w:p>
    <w:p>
      <w:pPr>
        <w:ind w:left="660" w:hanging="328"/>
        <w:spacing w:after="0" w:line="22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Cannon Park City and Discount Centers are operated as a single ETC.</w:t>
      </w:r>
    </w:p>
    <w:p>
      <w:pPr>
        <w:ind w:left="660" w:right="280" w:hanging="328"/>
        <w:spacing w:after="0" w:line="22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Courtenay Central parking structure has been demolished due to damage suffered as a result of an earthquake on November 14, 2016. For further information on the on-going development projects of these properties, refer to succeeding section "</w:t>
      </w:r>
      <w:r>
        <w:rPr>
          <w:rFonts w:ascii="Arial" w:cs="Arial" w:eastAsia="Arial" w:hAnsi="Arial"/>
          <w:sz w:val="14"/>
          <w:szCs w:val="14"/>
          <w:i w:val="1"/>
          <w:iCs w:val="1"/>
          <w:color w:val="auto"/>
        </w:rPr>
        <w:t>Investment and Development Property.</w:t>
      </w:r>
      <w:r>
        <w:rPr>
          <w:rFonts w:ascii="Arial" w:cs="Arial" w:eastAsia="Arial" w:hAnsi="Arial"/>
          <w:sz w:val="14"/>
          <w:szCs w:val="14"/>
          <w:color w:val="auto"/>
        </w:rPr>
        <w:t>"</w:t>
      </w:r>
    </w:p>
    <w:p>
      <w:pPr>
        <w:ind w:left="660" w:right="80" w:hanging="328"/>
        <w:spacing w:after="0" w:line="237"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schedule does not include (i) our leasehold assets on cinemas under leased-facility model, (ii) those portions of the owned assets that are not income-producing or purely used for administrative purposes, and (iii) our assets on our legacy business principally in Pennsylvania.</w:t>
      </w:r>
    </w:p>
    <w:p>
      <w:pPr>
        <w:spacing w:after="0" w:line="146" w:lineRule="exact"/>
        <w:rPr>
          <w:rFonts w:ascii="Arial" w:cs="Arial" w:eastAsia="Arial" w:hAnsi="Arial"/>
          <w:sz w:val="14"/>
          <w:szCs w:val="14"/>
          <w:color w:val="auto"/>
        </w:rPr>
      </w:pPr>
    </w:p>
    <w:p>
      <w:pPr>
        <w:ind w:left="5540" w:hanging="111"/>
        <w:spacing w:after="0"/>
        <w:tabs>
          <w:tab w:leader="none" w:pos="5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LONG-TERM LEASEHOLD OPERATING PROPERTY</w:t>
      </w:r>
    </w:p>
    <w:p>
      <w:pPr>
        <w:spacing w:after="0" w:line="17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In certain cases, we have long-term leases that we view more akin to real estate investments than cinema leases. As of December 31, 2020, we had approximately 90,000 square feet of space subject to such long-term leases, which are reported as part of our Cinema Exhibition segment, detailed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ind w:left="380"/>
              <w:spacing w:after="0"/>
              <w:rPr>
                <w:sz w:val="20"/>
                <w:szCs w:val="20"/>
                <w:color w:val="auto"/>
              </w:rPr>
            </w:pPr>
            <w:r>
              <w:rPr>
                <w:rFonts w:ascii="Arial" w:cs="Arial" w:eastAsia="Arial" w:hAnsi="Arial"/>
                <w:sz w:val="14"/>
                <w:szCs w:val="14"/>
                <w:b w:val="1"/>
                <w:bCs w:val="1"/>
                <w:color w:val="auto"/>
              </w:rPr>
              <w:t>Square Feet of</w:t>
            </w: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Improvements (rental/</w:t>
            </w: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97"/>
              <w:spacing w:after="0" w:line="173" w:lineRule="exact"/>
              <w:rPr>
                <w:sz w:val="20"/>
                <w:szCs w:val="20"/>
                <w:color w:val="auto"/>
              </w:rPr>
            </w:pPr>
            <w:r>
              <w:rPr>
                <w:rFonts w:ascii="Arial" w:cs="Arial" w:eastAsia="Arial" w:hAnsi="Arial"/>
                <w:sz w:val="12"/>
                <w:szCs w:val="12"/>
                <w:b w:val="1"/>
                <w:bCs w:val="1"/>
                <w:i w:val="1"/>
                <w:iCs w:val="1"/>
                <w:color w:val="auto"/>
              </w:rPr>
              <w:t>Net Book Value</w:t>
            </w:r>
            <w:r>
              <w:rPr>
                <w:rFonts w:ascii="Arial" w:cs="Arial" w:eastAsia="Arial" w:hAnsi="Arial"/>
                <w:sz w:val="19"/>
                <w:szCs w:val="19"/>
                <w:b w:val="1"/>
                <w:bCs w:val="1"/>
                <w:i w:val="1"/>
                <w:iCs w:val="1"/>
                <w:color w:val="auto"/>
                <w:vertAlign w:val="superscript"/>
              </w:rPr>
              <w:t>(3)</w:t>
            </w:r>
          </w:p>
        </w:tc>
      </w:tr>
      <w:tr>
        <w:trPr>
          <w:trHeight w:val="195"/>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900" w:type="dxa"/>
            <w:vAlign w:val="bottom"/>
            <w:gridSpan w:val="2"/>
          </w:tcPr>
          <w:p>
            <w:pPr>
              <w:jc w:val="center"/>
              <w:ind w:right="160"/>
              <w:spacing w:after="0" w:line="188" w:lineRule="exact"/>
              <w:rPr>
                <w:sz w:val="20"/>
                <w:szCs w:val="20"/>
                <w:color w:val="auto"/>
              </w:rPr>
            </w:pPr>
            <w:r>
              <w:rPr>
                <w:rFonts w:ascii="Arial" w:cs="Arial" w:eastAsia="Arial" w:hAnsi="Arial"/>
                <w:sz w:val="13"/>
                <w:szCs w:val="13"/>
                <w:b w:val="1"/>
                <w:bCs w:val="1"/>
                <w:color w:val="auto"/>
                <w:w w:val="98"/>
              </w:rPr>
              <w:t>entertainment)</w:t>
            </w:r>
            <w:r>
              <w:rPr>
                <w:rFonts w:ascii="Arial" w:cs="Arial" w:eastAsia="Arial" w:hAnsi="Arial"/>
                <w:sz w:val="21"/>
                <w:szCs w:val="21"/>
                <w:b w:val="1"/>
                <w:bCs w:val="1"/>
                <w:color w:val="auto"/>
                <w:w w:val="98"/>
                <w:vertAlign w:val="superscript"/>
              </w:rPr>
              <w:t>(1)</w:t>
            </w:r>
          </w:p>
        </w:tc>
        <w:tc>
          <w:tcPr>
            <w:tcW w:w="1660" w:type="dxa"/>
            <w:vAlign w:val="bottom"/>
            <w:gridSpan w:val="2"/>
          </w:tcPr>
          <w:p>
            <w:pPr>
              <w:jc w:val="center"/>
              <w:ind w:right="160"/>
              <w:spacing w:after="0" w:line="188" w:lineRule="exact"/>
              <w:rPr>
                <w:sz w:val="20"/>
                <w:szCs w:val="20"/>
                <w:color w:val="auto"/>
              </w:rPr>
            </w:pPr>
            <w:r>
              <w:rPr>
                <w:rFonts w:ascii="Arial" w:cs="Arial" w:eastAsia="Arial" w:hAnsi="Arial"/>
                <w:sz w:val="13"/>
                <w:szCs w:val="13"/>
                <w:b w:val="1"/>
                <w:bCs w:val="1"/>
                <w:color w:val="auto"/>
                <w:w w:val="93"/>
              </w:rPr>
              <w:t>Leased</w:t>
            </w:r>
            <w:r>
              <w:rPr>
                <w:rFonts w:ascii="Arial" w:cs="Arial" w:eastAsia="Arial" w:hAnsi="Arial"/>
                <w:sz w:val="21"/>
                <w:szCs w:val="21"/>
                <w:b w:val="1"/>
                <w:bCs w:val="1"/>
                <w:color w:val="auto"/>
                <w:w w:val="93"/>
                <w:vertAlign w:val="superscript"/>
              </w:rPr>
              <w:t>(2)</w:t>
            </w:r>
          </w:p>
        </w:tc>
        <w:tc>
          <w:tcPr>
            <w:tcW w:w="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i w:val="1"/>
                <w:iCs w:val="1"/>
                <w:color w:val="auto"/>
                <w:w w:val="94"/>
              </w:rPr>
              <w:t>(US Dollars in thousands)</w:t>
            </w:r>
          </w:p>
        </w:tc>
      </w:tr>
      <w:tr>
        <w:trPr>
          <w:trHeight w:val="216"/>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 United States</w:t>
            </w:r>
          </w:p>
        </w:tc>
        <w:tc>
          <w:tcPr>
            <w:tcW w:w="1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Manville</w:t>
            </w:r>
          </w:p>
        </w:tc>
        <w:tc>
          <w:tcPr>
            <w:tcW w:w="17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0 / 46,000</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i w:val="1"/>
                <w:iCs w:val="1"/>
                <w:color w:val="auto"/>
                <w:w w:val="87"/>
              </w:rPr>
              <w:t>n/a</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w:t>
            </w:r>
          </w:p>
        </w:tc>
      </w:tr>
      <w:tr>
        <w:trPr>
          <w:trHeight w:val="229"/>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In Australia</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Waurn Ponds</w:t>
            </w:r>
          </w:p>
        </w:tc>
        <w:tc>
          <w:tcPr>
            <w:tcW w:w="174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6,000 / 38,000</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r>
      <w:tr>
        <w:trPr>
          <w:trHeight w:val="203"/>
        </w:trPr>
        <w:tc>
          <w:tcPr>
            <w:tcW w:w="61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22,749</w:t>
            </w:r>
          </w:p>
        </w:tc>
      </w:tr>
    </w:tbl>
    <w:p>
      <w:pPr>
        <w:spacing w:after="0" w:line="170" w:lineRule="exact"/>
        <w:rPr>
          <w:sz w:val="20"/>
          <w:szCs w:val="20"/>
          <w:color w:val="auto"/>
        </w:rPr>
      </w:pPr>
    </w:p>
    <w:p>
      <w:pPr>
        <w:ind w:left="660" w:right="80" w:hanging="328"/>
        <w:spacing w:after="0" w:line="230"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660" w:hanging="328"/>
        <w:spacing w:after="0" w:line="22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percentage of rental square footage currently leased to third parties.</w:t>
      </w:r>
    </w:p>
    <w:p>
      <w:pPr>
        <w:ind w:left="660" w:right="380" w:hanging="328"/>
        <w:spacing w:after="0" w:line="237"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Refers to the net carrying value of the leasehold property presented as “Operating Property” in our Consolidated Balance Sheet as of December 31, 2020 (net of any impairments recorded).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DEVELOPMENT PROPERTY</w:t>
      </w:r>
    </w:p>
    <w:p>
      <w:pPr>
        <w:spacing w:after="0" w:line="17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are engaged in several investment and development projects relative to our currently undeveloped parcels of land. In addition, we are currently executing, or still pursuing to execute, our redevelopment plans on several of our existing developed properties to take them to their highest and best use. The following table summarizes our investment and development projects as of December 31,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Net Book</w:t>
            </w:r>
          </w:p>
        </w:tc>
        <w:tc>
          <w:tcPr>
            <w:tcW w:w="5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center"/>
              <w:ind w:right="300"/>
              <w:spacing w:after="0" w:line="183" w:lineRule="exact"/>
              <w:rPr>
                <w:sz w:val="20"/>
                <w:szCs w:val="20"/>
                <w:color w:val="auto"/>
              </w:rPr>
            </w:pPr>
            <w:r>
              <w:rPr>
                <w:rFonts w:ascii="Arial" w:cs="Arial" w:eastAsia="Arial" w:hAnsi="Arial"/>
                <w:sz w:val="13"/>
                <w:szCs w:val="13"/>
                <w:b w:val="1"/>
                <w:bCs w:val="1"/>
                <w:color w:val="auto"/>
                <w:w w:val="92"/>
              </w:rPr>
              <w:t>Value</w:t>
            </w:r>
            <w:r>
              <w:rPr>
                <w:rFonts w:ascii="Arial" w:cs="Arial" w:eastAsia="Arial" w:hAnsi="Arial"/>
                <w:sz w:val="21"/>
                <w:szCs w:val="21"/>
                <w:b w:val="1"/>
                <w:bCs w:val="1"/>
                <w:color w:val="auto"/>
                <w:w w:val="92"/>
                <w:vertAlign w:val="superscript"/>
              </w:rPr>
              <w:t>(2)</w:t>
            </w: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w:t>
            </w:r>
            <w:r>
              <w:rPr>
                <w:rFonts w:ascii="Arial" w:cs="Arial" w:eastAsia="Arial" w:hAnsi="Arial"/>
                <w:sz w:val="23"/>
                <w:szCs w:val="23"/>
                <w:b w:val="1"/>
                <w:bCs w:val="1"/>
                <w:color w:val="auto"/>
                <w:vertAlign w:val="superscript"/>
              </w:rPr>
              <w:t>(1)</w:t>
            </w:r>
          </w:p>
        </w:tc>
        <w:tc>
          <w:tcPr>
            <w:tcW w:w="1740" w:type="dxa"/>
            <w:vAlign w:val="bottom"/>
            <w:gridSpan w:val="4"/>
            <w:vMerge w:val="restart"/>
          </w:tcPr>
          <w:p>
            <w:pPr>
              <w:jc w:val="center"/>
              <w:ind w:right="269"/>
              <w:spacing w:after="0"/>
              <w:rPr>
                <w:sz w:val="20"/>
                <w:szCs w:val="20"/>
                <w:color w:val="auto"/>
              </w:rPr>
            </w:pPr>
            <w:r>
              <w:rPr>
                <w:rFonts w:ascii="Arial" w:cs="Arial" w:eastAsia="Arial" w:hAnsi="Arial"/>
                <w:sz w:val="14"/>
                <w:szCs w:val="14"/>
                <w:b w:val="1"/>
                <w:bCs w:val="1"/>
                <w:color w:val="auto"/>
                <w:w w:val="90"/>
              </w:rPr>
              <w:t>Acreage</w:t>
            </w:r>
          </w:p>
        </w:tc>
        <w:tc>
          <w:tcPr>
            <w:tcW w:w="1420" w:type="dxa"/>
            <w:vAlign w:val="bottom"/>
            <w:gridSpan w:val="3"/>
          </w:tcPr>
          <w:p>
            <w:pPr>
              <w:jc w:val="center"/>
              <w:ind w:right="320"/>
              <w:spacing w:after="0" w:line="149" w:lineRule="exact"/>
              <w:rPr>
                <w:sz w:val="20"/>
                <w:szCs w:val="20"/>
                <w:color w:val="auto"/>
              </w:rPr>
            </w:pPr>
            <w:r>
              <w:rPr>
                <w:rFonts w:ascii="Arial" w:cs="Arial" w:eastAsia="Arial" w:hAnsi="Arial"/>
                <w:sz w:val="14"/>
                <w:szCs w:val="14"/>
                <w:i w:val="1"/>
                <w:iCs w:val="1"/>
                <w:color w:val="auto"/>
                <w:w w:val="97"/>
              </w:rPr>
              <w:t>(US Dollars</w:t>
            </w:r>
          </w:p>
        </w:tc>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4"/>
        </w:trPr>
        <w:tc>
          <w:tcPr>
            <w:tcW w:w="3080" w:type="dxa"/>
            <w:vAlign w:val="bottom"/>
            <w:gridSpan w:val="4"/>
            <w:vMerge w:val="continue"/>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5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0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Australia</w:t>
            </w:r>
          </w:p>
        </w:tc>
        <w:tc>
          <w:tcPr>
            <w:tcW w:w="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80" w:type="dxa"/>
            <w:vAlign w:val="bottom"/>
            <w:gridSpan w:val="4"/>
            <w:shd w:val="clear" w:color="auto" w:fill="CCEEFF"/>
          </w:tcPr>
          <w:p>
            <w:pPr>
              <w:ind w:left="120"/>
              <w:spacing w:after="0" w:line="123" w:lineRule="exact"/>
              <w:rPr>
                <w:sz w:val="20"/>
                <w:szCs w:val="20"/>
                <w:color w:val="auto"/>
              </w:rPr>
            </w:pPr>
            <w:r>
              <w:rPr>
                <w:rFonts w:ascii="Arial" w:cs="Arial" w:eastAsia="Arial" w:hAnsi="Arial"/>
                <w:sz w:val="14"/>
                <w:szCs w:val="14"/>
                <w:color w:val="auto"/>
              </w:rPr>
              <w:t>1 Auburn Redyard, Sydney, New South Wales</w:t>
            </w: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2.6</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1,563</w:t>
            </w:r>
          </w:p>
        </w:tc>
        <w:tc>
          <w:tcPr>
            <w:tcW w:w="50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9"/>
              </w:rPr>
              <w:t>In 2018, we acquired a 21,000 square foot infill property, improved with a 17,000</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square foot telephone exchange and office building rented to Telstra through July</w:t>
            </w:r>
          </w:p>
        </w:tc>
        <w:tc>
          <w:tcPr>
            <w:tcW w:w="0" w:type="dxa"/>
            <w:vAlign w:val="bottom"/>
          </w:tcPr>
          <w:p>
            <w:pPr>
              <w:spacing w:after="0"/>
              <w:rPr>
                <w:sz w:val="1"/>
                <w:szCs w:val="1"/>
                <w:color w:val="auto"/>
              </w:rPr>
            </w:pPr>
          </w:p>
        </w:tc>
      </w:tr>
      <w:tr>
        <w:trPr>
          <w:trHeight w:val="148"/>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2022. This acquisition has increased the square footage of the center to approximately</w:t>
            </w:r>
          </w:p>
        </w:tc>
        <w:tc>
          <w:tcPr>
            <w:tcW w:w="0" w:type="dxa"/>
            <w:vAlign w:val="bottom"/>
          </w:tcPr>
          <w:p>
            <w:pPr>
              <w:spacing w:after="0"/>
              <w:rPr>
                <w:sz w:val="1"/>
                <w:szCs w:val="1"/>
                <w:color w:val="auto"/>
              </w:rPr>
            </w:pPr>
          </w:p>
        </w:tc>
      </w:tr>
      <w:tr>
        <w:trPr>
          <w:trHeight w:val="148"/>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519,000 square feet and the rentable area to approximately 92,000 square feet. The</w:t>
            </w:r>
          </w:p>
        </w:tc>
        <w:tc>
          <w:tcPr>
            <w:tcW w:w="0" w:type="dxa"/>
            <w:vAlign w:val="bottom"/>
          </w:tcPr>
          <w:p>
            <w:pPr>
              <w:spacing w:after="0"/>
              <w:rPr>
                <w:sz w:val="1"/>
                <w:szCs w:val="1"/>
                <w:color w:val="auto"/>
              </w:rPr>
            </w:pPr>
          </w:p>
        </w:tc>
      </w:tr>
      <w:tr>
        <w:trPr>
          <w:trHeight w:val="148"/>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property includes approximately 114,000 square feet of developable land. The net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book value referenced for this property refers only to the above 114,000 square feet of</w:t>
            </w:r>
          </w:p>
        </w:tc>
        <w:tc>
          <w:tcPr>
            <w:tcW w:w="0" w:type="dxa"/>
            <w:vAlign w:val="bottom"/>
          </w:tcPr>
          <w:p>
            <w:pPr>
              <w:spacing w:after="0"/>
              <w:rPr>
                <w:sz w:val="1"/>
                <w:szCs w:val="1"/>
                <w:color w:val="auto"/>
              </w:rPr>
            </w:pPr>
          </w:p>
        </w:tc>
      </w:tr>
      <w:tr>
        <w:trPr>
          <w:trHeight w:val="148"/>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developable land. As of the date of this Report, Auburn Redyard, including the</w:t>
            </w:r>
          </w:p>
        </w:tc>
        <w:tc>
          <w:tcPr>
            <w:tcW w:w="0" w:type="dxa"/>
            <w:vAlign w:val="bottom"/>
          </w:tcPr>
          <w:p>
            <w:pPr>
              <w:spacing w:after="0"/>
              <w:rPr>
                <w:sz w:val="1"/>
                <w:szCs w:val="1"/>
                <w:color w:val="auto"/>
              </w:rPr>
            </w:pPr>
          </w:p>
        </w:tc>
      </w:tr>
      <w:tr>
        <w:trPr>
          <w:trHeight w:val="167"/>
        </w:trPr>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114,000 square feet of development land, is being marketed for sale.</w:t>
            </w:r>
          </w:p>
        </w:tc>
        <w:tc>
          <w:tcPr>
            <w:tcW w:w="0" w:type="dxa"/>
            <w:vAlign w:val="bottom"/>
          </w:tcPr>
          <w:p>
            <w:pPr>
              <w:spacing w:after="0"/>
              <w:rPr>
                <w:sz w:val="1"/>
                <w:szCs w:val="1"/>
                <w:color w:val="auto"/>
              </w:rPr>
            </w:pPr>
          </w:p>
        </w:tc>
      </w:tr>
      <w:tr>
        <w:trPr>
          <w:trHeight w:val="135"/>
        </w:trPr>
        <w:tc>
          <w:tcPr>
            <w:tcW w:w="82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93"/>
              </w:rPr>
              <w:t>New Zealand</w:t>
            </w:r>
          </w:p>
        </w:tc>
        <w:tc>
          <w:tcPr>
            <w:tcW w:w="2260" w:type="dxa"/>
            <w:vAlign w:val="bottom"/>
            <w:gridSpan w:val="2"/>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80" w:type="dxa"/>
            <w:vAlign w:val="bottom"/>
            <w:gridSpan w:val="4"/>
            <w:shd w:val="clear" w:color="auto" w:fill="CCEEFF"/>
          </w:tcPr>
          <w:p>
            <w:pPr>
              <w:ind w:left="120"/>
              <w:spacing w:after="0" w:line="123" w:lineRule="exact"/>
              <w:rPr>
                <w:sz w:val="20"/>
                <w:szCs w:val="20"/>
                <w:color w:val="auto"/>
              </w:rPr>
            </w:pPr>
            <w:r>
              <w:rPr>
                <w:rFonts w:ascii="Arial" w:cs="Arial" w:eastAsia="Arial" w:hAnsi="Arial"/>
                <w:sz w:val="14"/>
                <w:szCs w:val="14"/>
                <w:color w:val="auto"/>
              </w:rPr>
              <w:t>Courtenay Central, Wellington</w:t>
            </w: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0.9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10,007</w:t>
            </w:r>
          </w:p>
        </w:tc>
        <w:tc>
          <w:tcPr>
            <w:tcW w:w="50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5"/>
              </w:rPr>
              <w:t>Damage from the 2016 earthquake necessitated demolition of our nine-story parking</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garage at our Tory Street site, and in January 2019, unrelated seismic issues have</w:t>
            </w:r>
          </w:p>
        </w:tc>
        <w:tc>
          <w:tcPr>
            <w:tcW w:w="0" w:type="dxa"/>
            <w:vAlign w:val="bottom"/>
          </w:tcPr>
          <w:p>
            <w:pPr>
              <w:spacing w:after="0"/>
              <w:rPr>
                <w:sz w:val="1"/>
                <w:szCs w:val="1"/>
                <w:color w:val="auto"/>
              </w:rPr>
            </w:pPr>
          </w:p>
        </w:tc>
      </w:tr>
      <w:tr>
        <w:trPr>
          <w:trHeight w:val="148"/>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caused us to close major portions of the existing cinema and retail structure while we</w:t>
            </w:r>
          </w:p>
        </w:tc>
        <w:tc>
          <w:tcPr>
            <w:tcW w:w="0" w:type="dxa"/>
            <w:vAlign w:val="bottom"/>
          </w:tcPr>
          <w:p>
            <w:pPr>
              <w:spacing w:after="0"/>
              <w:rPr>
                <w:sz w:val="1"/>
                <w:szCs w:val="1"/>
                <w:color w:val="auto"/>
              </w:rPr>
            </w:pPr>
          </w:p>
        </w:tc>
      </w:tr>
      <w:tr>
        <w:trPr>
          <w:trHeight w:val="148"/>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reevaluate the center for redevelopment as an entertainment themed urban center with</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a major food and grocery component, including the undeveloped adjacent Wakefield</w:t>
            </w:r>
          </w:p>
        </w:tc>
        <w:tc>
          <w:tcPr>
            <w:tcW w:w="0" w:type="dxa"/>
            <w:vAlign w:val="bottom"/>
          </w:tcPr>
          <w:p>
            <w:pPr>
              <w:spacing w:after="0"/>
              <w:rPr>
                <w:sz w:val="1"/>
                <w:szCs w:val="1"/>
                <w:color w:val="auto"/>
              </w:rPr>
            </w:pPr>
          </w:p>
        </w:tc>
      </w:tr>
      <w:tr>
        <w:trPr>
          <w:trHeight w:val="167"/>
        </w:trPr>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Street site.</w:t>
            </w:r>
          </w:p>
        </w:tc>
        <w:tc>
          <w:tcPr>
            <w:tcW w:w="0" w:type="dxa"/>
            <w:vAlign w:val="bottom"/>
          </w:tcPr>
          <w:p>
            <w:pPr>
              <w:spacing w:after="0"/>
              <w:rPr>
                <w:sz w:val="1"/>
                <w:szCs w:val="1"/>
                <w:color w:val="auto"/>
              </w:rPr>
            </w:pPr>
          </w:p>
        </w:tc>
      </w:tr>
      <w:tr>
        <w:trPr>
          <w:trHeight w:val="149"/>
        </w:trPr>
        <w:tc>
          <w:tcPr>
            <w:tcW w:w="30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TOTAL</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11,570</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number of our real estate holdings include additional land held for development. In addition, we have acquired certain parcels for future development.</w:t>
      </w:r>
    </w:p>
    <w:p>
      <w:pPr>
        <w:ind w:left="660" w:hanging="328"/>
        <w:spacing w:after="0" w:line="229"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Refers to the recorded values of our non-operating and currently in-development stage properties, which are comprised of land, building, development costs and capitalized interest, and presented as “Investment and Development Property” in our Consolidated Balance Sheet as of December 31, 2020. Not included in this number is the book value of those portions of such properties which have already been developed. For example, in the case of our Auburn Redyard shopping center, only the 114,000 square feet of developable land (out of the total 519,000 square feet of land comprising the entire center) is included in this calculation.</w:t>
      </w:r>
    </w:p>
    <w:p>
      <w:pPr>
        <w:spacing w:after="0" w:line="14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 xml:space="preserve">Some of our income producing properties and our investment and development properties carry various debt encumbrances based on their income streams and geographic locations. For an explanation of our debt and the associated security collateral please see </w:t>
      </w:r>
      <w:r>
        <w:rPr>
          <w:rFonts w:ascii="Arial" w:cs="Arial" w:eastAsia="Arial" w:hAnsi="Arial"/>
          <w:sz w:val="18"/>
          <w:szCs w:val="18"/>
          <w:i w:val="1"/>
          <w:iCs w:val="1"/>
          <w:color w:val="auto"/>
        </w:rPr>
        <w:t>Note 11 – Borrowings</w:t>
      </w:r>
      <w:r>
        <w:rPr>
          <w:rFonts w:ascii="Arial" w:cs="Arial" w:eastAsia="Arial" w:hAnsi="Arial"/>
          <w:sz w:val="18"/>
          <w:szCs w:val="18"/>
          <w:color w:val="auto"/>
        </w:rPr>
        <w:t xml:space="preserve"> to our 2020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PROPERTY INTERESTS AND INVESTMENTS</w:t>
      </w:r>
    </w:p>
    <w:p>
      <w:pPr>
        <w:spacing w:after="0" w:line="175"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We own the fee interests in various parcels related to our historic railroad operations, currently comprised of 197-acres principally in Pennsylvania. These acres consist primarily of vacant land. With the exception of certain properties located in Philadelphia (including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ind w:right="620"/>
        <w:spacing w:after="0" w:line="246" w:lineRule="auto"/>
        <w:rPr>
          <w:sz w:val="20"/>
          <w:szCs w:val="20"/>
          <w:color w:val="auto"/>
        </w:rPr>
      </w:pPr>
      <w:r>
        <w:rPr>
          <w:rFonts w:ascii="Arial" w:cs="Arial" w:eastAsia="Arial" w:hAnsi="Arial"/>
          <w:sz w:val="18"/>
          <w:szCs w:val="18"/>
          <w:color w:val="auto"/>
        </w:rPr>
        <w:t>the raised railroad bed near Center City, known as the Reading Viaduct), the properties are principally located in rural areas of Pennsylvania. These properties are unencumbered by any debt.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3 – Legal Proceedings</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The information required under Part I, Item 3 </w:t>
      </w:r>
      <w:r>
        <w:rPr>
          <w:rFonts w:ascii="Arial" w:cs="Arial" w:eastAsia="Arial" w:hAnsi="Arial"/>
          <w:sz w:val="18"/>
          <w:szCs w:val="18"/>
          <w:i w:val="1"/>
          <w:iCs w:val="1"/>
          <w:color w:val="auto"/>
        </w:rPr>
        <w:t>– Legal Proceedings</w:t>
      </w:r>
      <w:r>
        <w:rPr>
          <w:rFonts w:ascii="Arial" w:cs="Arial" w:eastAsia="Arial" w:hAnsi="Arial"/>
          <w:sz w:val="18"/>
          <w:szCs w:val="18"/>
          <w:color w:val="auto"/>
        </w:rPr>
        <w:t xml:space="preserve"> is incorporated by reference to the information contained in </w:t>
      </w:r>
      <w:r>
        <w:rPr>
          <w:rFonts w:ascii="Arial" w:cs="Arial" w:eastAsia="Arial" w:hAnsi="Arial"/>
          <w:sz w:val="18"/>
          <w:szCs w:val="18"/>
          <w:i w:val="1"/>
          <w:iCs w:val="1"/>
          <w:color w:val="auto"/>
        </w:rPr>
        <w:t>Note 13 –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the Consolidated Financial Statements included herein in Part II, Item 8</w:t>
      </w:r>
      <w:r>
        <w:rPr>
          <w:rFonts w:ascii="Arial" w:cs="Arial" w:eastAsia="Arial" w:hAnsi="Arial"/>
          <w:sz w:val="18"/>
          <w:szCs w:val="18"/>
          <w:i w:val="1"/>
          <w:iCs w:val="1"/>
          <w:color w:val="auto"/>
        </w:rPr>
        <w:t xml:space="preserve"> – Financial Statements and Supplementary Data </w:t>
      </w:r>
      <w:r>
        <w:rPr>
          <w:rFonts w:ascii="Arial" w:cs="Arial" w:eastAsia="Arial" w:hAnsi="Arial"/>
          <w:sz w:val="18"/>
          <w:szCs w:val="18"/>
          <w:color w:val="auto"/>
        </w:rPr>
        <w:t>on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4 –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PART II</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Item 5 – Market for Registrant’s Common Equity, Related Stockholder Matters and Issuer Purchases of Equity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symbols RDI (Class A Stock) and RDIB (Class B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2021, the approximate number of common stockholders of record was 390 for Class A Stock and 52, for Class B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a cash dividend on either class of our common stock, and we have no current plans to declare a dividend.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following line graph compares the cumulative total stockholder return on RDI’s Class A Stock for the five-year period ended December 31, 2020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five-years ended December 31, 2020. The graph assumes that $100 was invested on December 31, 2015 in our Class A Stock, the NASDAQ composite and the noted peer groups, and assumes reinvestment of any dividends. The stock price performance on the following graph is not necessarily indicative of future stock price performance.</w:t>
      </w:r>
    </w:p>
    <w:p>
      <w:pPr>
        <w:spacing w:after="0" w:line="148"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14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Reading underperformed in 2020 compared to the market due to the COVID-19 pandemic and its aftermath, delayed releases of movies and/or movies going straight to streaming or PVOD, and a weakening foreign 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108585</wp:posOffset>
            </wp:positionV>
            <wp:extent cx="6069330" cy="5048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6933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Between December 14, 2020 and December 16, 2020, the Company awarded 114,803 non-transferable restricted stock units to certain members of the management team and other key employees pursuant to the 2020 Stock Incentive Plan; each restricted stock unit is subject to time-based vesting restrictions and once vested will be convertible into one share of the Company's Class A Stock. The awards were compensatory in nature without cost to the officers and were made pursuant to exemptions from registration under the Securities Act of 1933, including Regulation D.</w:t>
      </w:r>
    </w:p>
    <w:p>
      <w:pPr>
        <w:spacing w:after="0" w:line="140" w:lineRule="exact"/>
        <w:rPr>
          <w:sz w:val="20"/>
          <w:szCs w:val="20"/>
          <w:color w:val="auto"/>
        </w:rPr>
      </w:pPr>
    </w:p>
    <w:p>
      <w:pPr>
        <w:ind w:right="3360"/>
        <w:spacing w:after="0" w:line="470" w:lineRule="auto"/>
        <w:rPr>
          <w:sz w:val="20"/>
          <w:szCs w:val="20"/>
          <w:color w:val="auto"/>
        </w:rPr>
      </w:pPr>
      <w:r>
        <w:rPr>
          <w:rFonts w:ascii="Arial" w:cs="Arial" w:eastAsia="Arial" w:hAnsi="Arial"/>
          <w:sz w:val="18"/>
          <w:szCs w:val="18"/>
          <w:b w:val="1"/>
          <w:bCs w:val="1"/>
          <w:color w:val="auto"/>
        </w:rPr>
        <w:t xml:space="preserve">REPURCHASE OF EQUITY SECURITIES BY THE ISSUER AND AFFILIATED PURCHASERS </w:t>
      </w:r>
      <w:r>
        <w:rPr>
          <w:rFonts w:ascii="Arial" w:cs="Arial" w:eastAsia="Arial" w:hAnsi="Arial"/>
          <w:sz w:val="18"/>
          <w:szCs w:val="18"/>
          <w:color w:val="auto"/>
        </w:rPr>
        <w:t>None.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u w:val="single" w:color="auto"/>
          <w:color w:val="auto"/>
        </w:rPr>
        <w:t>Item 6 – Selected Financial Data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Part II, Item 6 is no longer required as the Company has adopted certain provisions within the amendments to Regulation S-K that eliminate Item 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7 –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31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31" w:lineRule="exact"/>
        <w:rPr>
          <w:sz w:val="20"/>
          <w:szCs w:val="20"/>
          <w:color w:val="auto"/>
        </w:rPr>
      </w:pPr>
    </w:p>
    <w:p>
      <w:pPr>
        <w:ind w:left="140" w:right="160"/>
        <w:spacing w:after="0" w:line="376" w:lineRule="auto"/>
        <w:rPr>
          <w:sz w:val="20"/>
          <w:szCs w:val="20"/>
          <w:color w:val="auto"/>
        </w:rPr>
      </w:pPr>
      <w:r>
        <w:rPr>
          <w:rFonts w:ascii="Arial" w:cs="Arial" w:eastAsia="Arial" w:hAnsi="Arial"/>
          <w:sz w:val="10"/>
          <w:szCs w:val="10"/>
          <w:i w:val="1"/>
          <w:iCs w:val="1"/>
          <w:color w:val="auto"/>
        </w:rPr>
        <w:t>This MD&amp;A should be read in conjunction with the accompanying consolidated financial statements included in Part II, Item 8 (Financial Statements and Supplementary Data). The foregoing discussions and analyses contain certain forward-looking statements. Please refer to the “Cautionary Statement Regarding Forward-Looking Statements” included as a preface in Part I, Item 1A – Risk Factors of this 2020 Form 10-K.</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gridSpan w:val="10"/>
          </w:tcPr>
          <w:p>
            <w:pPr>
              <w:spacing w:after="0"/>
              <w:rPr>
                <w:sz w:val="20"/>
                <w:szCs w:val="20"/>
                <w:color w:val="auto"/>
              </w:rPr>
            </w:pPr>
            <w:r>
              <w:rPr>
                <w:rFonts w:ascii="Arial" w:cs="Arial" w:eastAsia="Arial" w:hAnsi="Arial"/>
                <w:sz w:val="14"/>
                <w:szCs w:val="14"/>
                <w:b w:val="1"/>
                <w:bCs w:val="1"/>
                <w:color w:val="auto"/>
              </w:rPr>
              <w:t>INDEX</w:t>
            </w:r>
          </w:p>
        </w:tc>
        <w:tc>
          <w:tcPr>
            <w:tcW w:w="3740" w:type="dxa"/>
            <w:vAlign w:val="bottom"/>
            <w:gridSpan w:val="3"/>
          </w:tcPr>
          <w:p>
            <w:pPr>
              <w:jc w:val="center"/>
              <w:ind w:left="3032"/>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0000FF"/>
            </w:tcBorders>
            <w:gridSpan w:val="2"/>
            <w:shd w:val="clear" w:color="auto" w:fill="CCEEFF"/>
          </w:tcPr>
          <w:p>
            <w:pPr>
              <w:spacing w:after="0" w:line="15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Business Overview</w:t>
              </w:r>
            </w:hyperlink>
          </w:p>
        </w:tc>
        <w:tc>
          <w:tcPr>
            <w:tcW w:w="6080" w:type="dxa"/>
            <w:vAlign w:val="bottom"/>
            <w:tcBorders>
              <w:bottom w:val="single" w:sz="8" w:color="CCEEFF"/>
            </w:tcBorders>
            <w:gridSpan w:val="8"/>
            <w:shd w:val="clear" w:color="auto" w:fill="CCEEFF"/>
          </w:tcPr>
          <w:p>
            <w:pPr>
              <w:spacing w:after="0"/>
              <w:rPr>
                <w:sz w:val="14"/>
                <w:szCs w:val="14"/>
                <w:color w:val="auto"/>
              </w:rPr>
            </w:pPr>
          </w:p>
        </w:tc>
        <w:tc>
          <w:tcPr>
            <w:tcW w:w="3580" w:type="dxa"/>
            <w:vAlign w:val="bottom"/>
            <w:tcBorders>
              <w:bottom w:val="single" w:sz="8" w:color="CCEEFF"/>
            </w:tcBorders>
            <w:gridSpan w:val="2"/>
            <w:shd w:val="clear" w:color="auto" w:fill="CCEEFF"/>
          </w:tcPr>
          <w:p>
            <w:pPr>
              <w:jc w:val="center"/>
              <w:ind w:left="3192"/>
              <w:spacing w:after="0" w:line="156" w:lineRule="exact"/>
              <w:rPr>
                <w:sz w:val="20"/>
                <w:szCs w:val="20"/>
                <w:color w:val="auto"/>
              </w:rPr>
            </w:pPr>
            <w:r>
              <w:rPr>
                <w:rFonts w:ascii="Arial" w:cs="Arial" w:eastAsia="Arial" w:hAnsi="Arial"/>
                <w:sz w:val="18"/>
                <w:szCs w:val="18"/>
                <w:color w:val="auto"/>
                <w:w w:val="89"/>
              </w:rPr>
              <w:t>50</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480" w:type="dxa"/>
            <w:vAlign w:val="bottom"/>
            <w:gridSpan w:val="10"/>
          </w:tcPr>
          <w:p>
            <w:pPr>
              <w:spacing w:after="0" w:line="162" w:lineRule="exact"/>
              <w:rPr>
                <w:rFonts w:ascii="Arial" w:cs="Arial" w:eastAsia="Arial" w:hAnsi="Arial"/>
                <w:sz w:val="18"/>
                <w:szCs w:val="18"/>
                <w:color w:val="0000FF"/>
              </w:rPr>
            </w:pPr>
            <w:hyperlink w:anchor="page43">
              <w:r>
                <w:rPr>
                  <w:rFonts w:ascii="Arial" w:cs="Arial" w:eastAsia="Arial" w:hAnsi="Arial"/>
                  <w:sz w:val="18"/>
                  <w:szCs w:val="18"/>
                  <w:color w:val="0000FF"/>
                </w:rPr>
                <w:t>Recent Developments</w:t>
              </w:r>
            </w:hyperlink>
          </w:p>
        </w:tc>
        <w:tc>
          <w:tcPr>
            <w:tcW w:w="3580" w:type="dxa"/>
            <w:vAlign w:val="bottom"/>
            <w:gridSpan w:val="2"/>
          </w:tcPr>
          <w:p>
            <w:pPr>
              <w:jc w:val="center"/>
              <w:ind w:left="3192"/>
              <w:spacing w:after="0" w:line="162" w:lineRule="exact"/>
              <w:rPr>
                <w:sz w:val="20"/>
                <w:szCs w:val="20"/>
                <w:color w:val="auto"/>
              </w:rPr>
            </w:pPr>
            <w:r>
              <w:rPr>
                <w:rFonts w:ascii="Arial" w:cs="Arial" w:eastAsia="Arial" w:hAnsi="Arial"/>
                <w:sz w:val="18"/>
                <w:szCs w:val="18"/>
                <w:color w:val="auto"/>
                <w:w w:val="89"/>
              </w:rPr>
              <w:t>43</w:t>
            </w:r>
          </w:p>
        </w:tc>
        <w:tc>
          <w:tcPr>
            <w:tcW w:w="16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1580" w:type="dxa"/>
            <w:vAlign w:val="bottom"/>
            <w:tcBorders>
              <w:top w:val="single" w:sz="8" w:color="0000FF"/>
              <w:right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color w:val="0000FF"/>
                <w:w w:val="88"/>
              </w:rPr>
              <w:t>Results of Operations</w:t>
            </w:r>
          </w:p>
        </w:tc>
        <w:tc>
          <w:tcPr>
            <w:tcW w:w="5900" w:type="dxa"/>
            <w:vAlign w:val="bottom"/>
            <w:gridSpan w:val="7"/>
            <w:shd w:val="clear" w:color="auto" w:fill="CCEEFF"/>
          </w:tcPr>
          <w:p>
            <w:pPr>
              <w:spacing w:after="0"/>
              <w:rPr>
                <w:sz w:val="14"/>
                <w:szCs w:val="14"/>
                <w:color w:val="auto"/>
              </w:rPr>
            </w:pPr>
          </w:p>
        </w:tc>
        <w:tc>
          <w:tcPr>
            <w:tcW w:w="3580" w:type="dxa"/>
            <w:vAlign w:val="bottom"/>
            <w:gridSpan w:val="2"/>
            <w:shd w:val="clear" w:color="auto" w:fill="CCEEFF"/>
          </w:tcPr>
          <w:p>
            <w:pPr>
              <w:jc w:val="center"/>
              <w:ind w:left="3192"/>
              <w:spacing w:after="0" w:line="162" w:lineRule="exact"/>
              <w:rPr>
                <w:sz w:val="20"/>
                <w:szCs w:val="20"/>
                <w:color w:val="auto"/>
              </w:rPr>
            </w:pPr>
            <w:r>
              <w:rPr>
                <w:rFonts w:ascii="Arial" w:cs="Arial" w:eastAsia="Arial" w:hAnsi="Arial"/>
                <w:sz w:val="18"/>
                <w:szCs w:val="18"/>
                <w:color w:val="auto"/>
                <w:w w:val="89"/>
              </w:rPr>
              <w:t>50</w:t>
            </w:r>
          </w:p>
        </w:tc>
        <w:tc>
          <w:tcPr>
            <w:tcW w:w="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80" w:type="dxa"/>
            <w:vAlign w:val="bottom"/>
            <w:tcBorders>
              <w:right w:val="single" w:sz="8" w:color="CCEEFF"/>
            </w:tcBorders>
            <w:shd w:val="clear" w:color="auto" w:fill="0000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7480" w:type="dxa"/>
            <w:vAlign w:val="bottom"/>
            <w:gridSpan w:val="10"/>
          </w:tcPr>
          <w:p>
            <w:pPr>
              <w:spacing w:after="0" w:line="162" w:lineRule="exact"/>
              <w:rPr>
                <w:rFonts w:ascii="Arial" w:cs="Arial" w:eastAsia="Arial" w:hAnsi="Arial"/>
                <w:sz w:val="18"/>
                <w:szCs w:val="18"/>
                <w:color w:val="0000FF"/>
              </w:rPr>
            </w:pPr>
            <w:hyperlink w:anchor="page51">
              <w:r>
                <w:rPr>
                  <w:rFonts w:ascii="Arial" w:cs="Arial" w:eastAsia="Arial" w:hAnsi="Arial"/>
                  <w:sz w:val="18"/>
                  <w:szCs w:val="18"/>
                  <w:color w:val="0000FF"/>
                </w:rPr>
                <w:t>Business Segment Results – 2020 vs. 2019</w:t>
              </w:r>
            </w:hyperlink>
          </w:p>
        </w:tc>
        <w:tc>
          <w:tcPr>
            <w:tcW w:w="3580" w:type="dxa"/>
            <w:vAlign w:val="bottom"/>
            <w:gridSpan w:val="2"/>
          </w:tcPr>
          <w:p>
            <w:pPr>
              <w:jc w:val="center"/>
              <w:ind w:left="3192"/>
              <w:spacing w:after="0" w:line="162" w:lineRule="exact"/>
              <w:rPr>
                <w:sz w:val="20"/>
                <w:szCs w:val="20"/>
                <w:color w:val="auto"/>
              </w:rPr>
            </w:pPr>
            <w:r>
              <w:rPr>
                <w:rFonts w:ascii="Arial" w:cs="Arial" w:eastAsia="Arial" w:hAnsi="Arial"/>
                <w:sz w:val="18"/>
                <w:szCs w:val="18"/>
                <w:color w:val="auto"/>
                <w:w w:val="89"/>
              </w:rPr>
              <w:t>51</w:t>
            </w:r>
          </w:p>
        </w:tc>
        <w:tc>
          <w:tcPr>
            <w:tcW w:w="160" w:type="dxa"/>
            <w:vAlign w:val="bottom"/>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780" w:type="dxa"/>
            <w:vAlign w:val="bottom"/>
            <w:tcBorders>
              <w:top w:val="single" w:sz="8" w:color="0000FF"/>
              <w:bottom w:val="single" w:sz="8" w:color="0000FF"/>
            </w:tcBorders>
            <w:gridSpan w:val="7"/>
            <w:shd w:val="clear" w:color="auto" w:fill="CCEEFF"/>
          </w:tcPr>
          <w:p>
            <w:pPr>
              <w:spacing w:after="0" w:line="162"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Non-Segment Results – 2020 vs. 2019</w:t>
              </w:r>
            </w:hyperlink>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4400" w:type="dxa"/>
            <w:vAlign w:val="bottom"/>
            <w:tcBorders>
              <w:bottom w:val="single" w:sz="8" w:color="CCEEFF"/>
            </w:tcBorders>
            <w:gridSpan w:val="2"/>
            <w:shd w:val="clear" w:color="auto" w:fill="CCEEFF"/>
          </w:tcPr>
          <w:p>
            <w:pPr>
              <w:spacing w:after="0"/>
              <w:rPr>
                <w:sz w:val="14"/>
                <w:szCs w:val="14"/>
                <w:color w:val="auto"/>
              </w:rPr>
            </w:pPr>
          </w:p>
        </w:tc>
        <w:tc>
          <w:tcPr>
            <w:tcW w:w="3580" w:type="dxa"/>
            <w:vAlign w:val="bottom"/>
            <w:tcBorders>
              <w:bottom w:val="single" w:sz="8" w:color="CCEEFF"/>
            </w:tcBorders>
            <w:gridSpan w:val="2"/>
            <w:shd w:val="clear" w:color="auto" w:fill="CCEEFF"/>
          </w:tcPr>
          <w:p>
            <w:pPr>
              <w:jc w:val="center"/>
              <w:ind w:left="3192"/>
              <w:spacing w:after="0" w:line="162" w:lineRule="exact"/>
              <w:rPr>
                <w:sz w:val="20"/>
                <w:szCs w:val="20"/>
                <w:color w:val="auto"/>
              </w:rPr>
            </w:pPr>
            <w:r>
              <w:rPr>
                <w:rFonts w:ascii="Arial" w:cs="Arial" w:eastAsia="Arial" w:hAnsi="Arial"/>
                <w:sz w:val="18"/>
                <w:szCs w:val="18"/>
                <w:color w:val="auto"/>
                <w:w w:val="89"/>
              </w:rPr>
              <w:t>58</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480" w:type="dxa"/>
            <w:vAlign w:val="bottom"/>
            <w:gridSpan w:val="10"/>
          </w:tcPr>
          <w:p>
            <w:pPr>
              <w:spacing w:after="0" w:line="162" w:lineRule="exact"/>
              <w:rPr>
                <w:rFonts w:ascii="Arial" w:cs="Arial" w:eastAsia="Arial" w:hAnsi="Arial"/>
                <w:sz w:val="18"/>
                <w:szCs w:val="18"/>
                <w:color w:val="0000FF"/>
              </w:rPr>
            </w:pPr>
            <w:hyperlink w:anchor="page59">
              <w:r>
                <w:rPr>
                  <w:rFonts w:ascii="Arial" w:cs="Arial" w:eastAsia="Arial" w:hAnsi="Arial"/>
                  <w:sz w:val="18"/>
                  <w:szCs w:val="18"/>
                  <w:color w:val="0000FF"/>
                </w:rPr>
                <w:t>Liquidity and Capital Resources</w:t>
              </w:r>
            </w:hyperlink>
          </w:p>
        </w:tc>
        <w:tc>
          <w:tcPr>
            <w:tcW w:w="3580" w:type="dxa"/>
            <w:vAlign w:val="bottom"/>
            <w:gridSpan w:val="2"/>
          </w:tcPr>
          <w:p>
            <w:pPr>
              <w:jc w:val="center"/>
              <w:ind w:left="3192"/>
              <w:spacing w:after="0" w:line="162" w:lineRule="exact"/>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220" w:type="dxa"/>
            <w:vAlign w:val="bottom"/>
            <w:tcBorders>
              <w:bottom w:val="single" w:sz="8" w:color="0000FF"/>
            </w:tcBorders>
            <w:gridSpan w:val="9"/>
            <w:shd w:val="clear" w:color="auto" w:fill="CCEEFF"/>
          </w:tcPr>
          <w:p>
            <w:pPr>
              <w:spacing w:after="0" w:line="162"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Contractual Obligations, Commitments and Contingencies</w:t>
              </w:r>
            </w:hyperlink>
          </w:p>
        </w:tc>
        <w:tc>
          <w:tcPr>
            <w:tcW w:w="3260" w:type="dxa"/>
            <w:vAlign w:val="bottom"/>
            <w:tcBorders>
              <w:bottom w:val="single" w:sz="8" w:color="CCEEFF"/>
            </w:tcBorders>
            <w:shd w:val="clear" w:color="auto" w:fill="CCEEFF"/>
          </w:tcPr>
          <w:p>
            <w:pPr>
              <w:spacing w:after="0"/>
              <w:rPr>
                <w:sz w:val="14"/>
                <w:szCs w:val="14"/>
                <w:color w:val="auto"/>
              </w:rPr>
            </w:pPr>
          </w:p>
        </w:tc>
        <w:tc>
          <w:tcPr>
            <w:tcW w:w="3580" w:type="dxa"/>
            <w:vAlign w:val="bottom"/>
            <w:tcBorders>
              <w:bottom w:val="single" w:sz="8" w:color="CCEEFF"/>
            </w:tcBorders>
            <w:gridSpan w:val="2"/>
            <w:shd w:val="clear" w:color="auto" w:fill="CCEEFF"/>
          </w:tcPr>
          <w:p>
            <w:pPr>
              <w:jc w:val="center"/>
              <w:ind w:left="3192"/>
              <w:spacing w:after="0" w:line="162" w:lineRule="exact"/>
              <w:rPr>
                <w:sz w:val="20"/>
                <w:szCs w:val="20"/>
                <w:color w:val="auto"/>
              </w:rPr>
            </w:pPr>
            <w:r>
              <w:rPr>
                <w:rFonts w:ascii="Arial" w:cs="Arial" w:eastAsia="Arial" w:hAnsi="Arial"/>
                <w:sz w:val="18"/>
                <w:szCs w:val="18"/>
                <w:color w:val="auto"/>
                <w:w w:val="89"/>
              </w:rPr>
              <w:t>62</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040" w:type="dxa"/>
            <w:vAlign w:val="bottom"/>
            <w:tcBorders>
              <w:bottom w:val="single" w:sz="8" w:color="0000FF"/>
            </w:tcBorders>
            <w:gridSpan w:val="4"/>
          </w:tcPr>
          <w:p>
            <w:pPr>
              <w:spacing w:after="0" w:line="162" w:lineRule="exact"/>
              <w:rPr>
                <w:rFonts w:ascii="Arial" w:cs="Arial" w:eastAsia="Arial" w:hAnsi="Arial"/>
                <w:sz w:val="18"/>
                <w:szCs w:val="18"/>
                <w:color w:val="0000FF"/>
                <w:w w:val="90"/>
              </w:rPr>
            </w:pPr>
            <w:hyperlink w:anchor="page63">
              <w:r>
                <w:rPr>
                  <w:rFonts w:ascii="Arial" w:cs="Arial" w:eastAsia="Arial" w:hAnsi="Arial"/>
                  <w:sz w:val="18"/>
                  <w:szCs w:val="18"/>
                  <w:color w:val="0000FF"/>
                  <w:w w:val="90"/>
                </w:rPr>
                <w:t>Financial Risk Management</w:t>
              </w:r>
            </w:hyperlink>
          </w:p>
        </w:tc>
        <w:tc>
          <w:tcPr>
            <w:tcW w:w="5440" w:type="dxa"/>
            <w:vAlign w:val="bottom"/>
            <w:gridSpan w:val="6"/>
          </w:tcPr>
          <w:p>
            <w:pPr>
              <w:spacing w:after="0"/>
              <w:rPr>
                <w:sz w:val="14"/>
                <w:szCs w:val="14"/>
                <w:color w:val="auto"/>
              </w:rPr>
            </w:pPr>
          </w:p>
        </w:tc>
        <w:tc>
          <w:tcPr>
            <w:tcW w:w="3580" w:type="dxa"/>
            <w:vAlign w:val="bottom"/>
            <w:gridSpan w:val="2"/>
          </w:tcPr>
          <w:p>
            <w:pPr>
              <w:jc w:val="center"/>
              <w:ind w:left="3192"/>
              <w:spacing w:after="0" w:line="162" w:lineRule="exact"/>
              <w:rPr>
                <w:sz w:val="20"/>
                <w:szCs w:val="20"/>
                <w:color w:val="auto"/>
              </w:rPr>
            </w:pPr>
            <w:r>
              <w:rPr>
                <w:rFonts w:ascii="Arial" w:cs="Arial" w:eastAsia="Arial" w:hAnsi="Arial"/>
                <w:sz w:val="18"/>
                <w:szCs w:val="18"/>
                <w:color w:val="auto"/>
                <w:w w:val="89"/>
              </w:rPr>
              <w:t>63</w:t>
            </w:r>
          </w:p>
        </w:tc>
        <w:tc>
          <w:tcPr>
            <w:tcW w:w="16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7480" w:type="dxa"/>
            <w:vAlign w:val="bottom"/>
            <w:gridSpan w:val="10"/>
            <w:shd w:val="clear" w:color="auto" w:fill="CCEEFF"/>
          </w:tcPr>
          <w:p>
            <w:pPr>
              <w:spacing w:after="0" w:line="162" w:lineRule="exact"/>
              <w:rPr>
                <w:rFonts w:ascii="Arial" w:cs="Arial" w:eastAsia="Arial" w:hAnsi="Arial"/>
                <w:sz w:val="18"/>
                <w:szCs w:val="18"/>
                <w:color w:val="0000FF"/>
              </w:rPr>
            </w:pPr>
            <w:hyperlink w:anchor="page64">
              <w:r>
                <w:rPr>
                  <w:rFonts w:ascii="Arial" w:cs="Arial" w:eastAsia="Arial" w:hAnsi="Arial"/>
                  <w:sz w:val="18"/>
                  <w:szCs w:val="18"/>
                  <w:color w:val="0000FF"/>
                </w:rPr>
                <w:t>Critical Accounting Estimates</w:t>
              </w:r>
            </w:hyperlink>
          </w:p>
        </w:tc>
        <w:tc>
          <w:tcPr>
            <w:tcW w:w="3580" w:type="dxa"/>
            <w:vAlign w:val="bottom"/>
            <w:gridSpan w:val="2"/>
            <w:shd w:val="clear" w:color="auto" w:fill="CCEEFF"/>
          </w:tcPr>
          <w:p>
            <w:pPr>
              <w:jc w:val="center"/>
              <w:ind w:left="3192"/>
              <w:spacing w:after="0" w:line="162" w:lineRule="exact"/>
              <w:rPr>
                <w:sz w:val="20"/>
                <w:szCs w:val="20"/>
                <w:color w:val="auto"/>
              </w:rPr>
            </w:pPr>
            <w:r>
              <w:rPr>
                <w:rFonts w:ascii="Arial" w:cs="Arial" w:eastAsia="Arial" w:hAnsi="Arial"/>
                <w:sz w:val="18"/>
                <w:szCs w:val="18"/>
                <w:color w:val="auto"/>
                <w:w w:val="89"/>
              </w:rPr>
              <w:t>63</w:t>
            </w:r>
          </w:p>
        </w:tc>
        <w:tc>
          <w:tcPr>
            <w:tcW w:w="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During 2020, our Company has had to adapt to the impact of COVID-19. In March of 2020, we temporarily closed all of the Company’s cinemas in the United States, Australia, and New Zealand in accordance with the directions and recommendations of the relevant local, state and federal authorities. In the U.S., we also temporarily closed our live theatres.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Report, our Company has reopened 86% of its cinema operations as follows:</w:t>
      </w:r>
    </w:p>
    <w:p>
      <w:pPr>
        <w:spacing w:after="0" w:line="171" w:lineRule="exact"/>
        <w:rPr>
          <w:sz w:val="20"/>
          <w:szCs w:val="20"/>
          <w:color w:val="auto"/>
        </w:rPr>
      </w:pPr>
    </w:p>
    <w:p>
      <w:pPr>
        <w:jc w:val="both"/>
        <w:ind w:left="660" w:right="480" w:hanging="419"/>
        <w:spacing w:after="0" w:line="253" w:lineRule="auto"/>
        <w:tabs>
          <w:tab w:leader="none" w:pos="66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Australia, 92% of our cinemas have reopened and we continue to execute on a number of new safety and cleaning protocols. As of today, depending on the Australian State, governmentally imposed physical distancing requirements have been removed or are restricted to 75% of available capacity. On March 28, 2021, Queensland announced a 3-day snap lockdown, so two of our sites have been temporarily closed.</w:t>
      </w:r>
    </w:p>
    <w:p>
      <w:pPr>
        <w:spacing w:after="0" w:line="1" w:lineRule="exact"/>
        <w:rPr>
          <w:rFonts w:ascii="Arial" w:cs="Arial" w:eastAsia="Arial" w:hAnsi="Arial"/>
          <w:sz w:val="16"/>
          <w:szCs w:val="16"/>
          <w:color w:val="auto"/>
        </w:rPr>
      </w:pPr>
    </w:p>
    <w:p>
      <w:pPr>
        <w:ind w:left="660" w:right="160" w:hanging="470"/>
        <w:spacing w:after="0" w:line="21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New Zealand, all of our cinemas have reopened, with the exception of our Reading Cinemas at Courtenay Central, which remains temporarily closed due to seismic concerns. Our reopened cinemas have no physical distancing requirements in place, and we continue to execute our new safety and cleaning protocols.</w:t>
      </w:r>
    </w:p>
    <w:p>
      <w:pPr>
        <w:ind w:left="660" w:right="340" w:hanging="509"/>
        <w:spacing w:after="0" w:line="243" w:lineRule="auto"/>
        <w:tabs>
          <w:tab w:leader="none" w:pos="656"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United States, 79% of our cinemas have reopened with an elevated set of cleaning protocols and new operating strategies, including physical distancing through reduced seat counts. We expect to announce opening dates for our other cinemas and live theatres in the U.S. once local government authorities remove restrictions and new and compelling movies become available.</w:t>
      </w:r>
    </w:p>
    <w:p>
      <w:pPr>
        <w:spacing w:after="0" w:line="146"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With respect to our ETCs, trading restrictions enforced by the local governments adversely impacted the trading ability of many of our third-party tenants to a significant degree. Most of our ETCs in Australia remained open as our tenant portfolio includes tenants who operate “essential” businesses, even though many smaller tenants could not trade. In New Zealand, the tenants operating at Courtenay Central were required to close on March 26, 2020 because of the government’s lockdown but have since reopened.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Cinema exhibition, through our 61 cinemas.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 estate, including real estate development and the rental of retail, commercial, and live theatre assets.</w:t>
      </w:r>
    </w:p>
    <w:p>
      <w:pPr>
        <w:spacing w:after="0" w:line="185"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We have consistently stated our belief that these two business segments complement one another, as we have used the comparatively consistent cash flows generated by our cinema operations to fund the front-end cash demands of our real estate development business. Now, we are relying upon income from our real estate assets, and the imbedded value in those assets, to support our Company through the COVID-19 crisis. As we continue to navigate the uncertainty and challenges posed by the global COVID-19 pandemic, we are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ind w:right="100"/>
        <w:spacing w:after="0" w:line="246" w:lineRule="auto"/>
        <w:rPr>
          <w:sz w:val="20"/>
          <w:szCs w:val="20"/>
          <w:color w:val="auto"/>
        </w:rPr>
      </w:pPr>
      <w:r>
        <w:rPr>
          <w:rFonts w:ascii="Arial" w:cs="Arial" w:eastAsia="Arial" w:hAnsi="Arial"/>
          <w:sz w:val="18"/>
          <w:szCs w:val="18"/>
          <w:color w:val="auto"/>
        </w:rPr>
        <w:t>steadfast in our belief that this two-pronged international business strategy has supported the strength and long-term viability of our Company. We believe that our strong real estate base sets us apart and provides us with flexibility and asset strength.</w:t>
      </w:r>
    </w:p>
    <w:p>
      <w:pPr>
        <w:spacing w:after="0" w:line="143" w:lineRule="exact"/>
        <w:rPr>
          <w:sz w:val="20"/>
          <w:szCs w:val="20"/>
          <w:color w:val="auto"/>
        </w:rPr>
      </w:pPr>
    </w:p>
    <w:p>
      <w:pPr>
        <w:jc w:val="right"/>
        <w:ind w:right="3380"/>
        <w:spacing w:after="0" w:line="369" w:lineRule="auto"/>
        <w:rPr>
          <w:sz w:val="20"/>
          <w:szCs w:val="20"/>
          <w:color w:val="auto"/>
        </w:rPr>
      </w:pPr>
      <w:r>
        <w:rPr>
          <w:rFonts w:ascii="Arial" w:cs="Arial" w:eastAsia="Arial" w:hAnsi="Arial"/>
          <w:sz w:val="16"/>
          <w:szCs w:val="16"/>
          <w:color w:val="auto"/>
        </w:rPr>
        <w:t>As of the date of this Report, we operate our worldwide cinema exhibition businesses under various brands: in the U.S., under the Reading Cinemas, Angelika Film Centers, and Consolidated Theatres brands.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Australia, under the Reading Cinemas, the State Cinema, and our unconsolidated joint venture, Event Cinemas brands.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New Zealand, under the Reading Cinemas and our unconsolidated joint ventures, Rialto Cinemas brands.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Short-Term Business Strategy: Adapting to COVID-19</w:t>
      </w:r>
    </w:p>
    <w:p>
      <w:pPr>
        <w:spacing w:after="0" w:line="175"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We believe our Company’s diverse business structure has and will continue to provide financial security through the COVID-19 pandemic and other such economic downturns. Our priority is to adapt and expand our short-term business strategy to meet the needs of the current economic climate.</w:t>
      </w:r>
    </w:p>
    <w:p>
      <w:pPr>
        <w:spacing w:after="0" w:line="9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pandemic has disrupted the cinema exhibition business by way of local government mandated closures, occupancy restrictions, forced delays of major motion picture releases and simultaneous releases of film product to theatrical as well as streaming platforms. To mitigate this, in the U.S., we launched a streaming platform called Angelika Anywhere in December of 2020, which is curated for film lovers of independent and foreign film, documentaries, and the more specialized movies from the major studios. We anticipate expanding this platform to Australia and New Zealand in 2021. To further mitigate the impacts of the pandemic, in the U.S., we began an Eats at Home program whereby customers pickup or have cinema food delivered. We expect these initiatives have and will provide additional streams of revenue through and after the COVID-19 pandemic.</w:t>
      </w:r>
    </w:p>
    <w:p>
      <w:pPr>
        <w:spacing w:after="0" w:line="15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order to emerge from the crisis in a stronger position, we believe that the potential sale of non-core real estate assets will provide the cash necessary to meet our short-term liquidity demands. In December 2020, we classified the non-income producing land in Coachella, California and Manukau, New Zealand as held for sale as part of our strategy to monetize certain real estate assets to provide the cash necessary to support our Company through the COVID-19 pandemic. On March 4, 2021, we sold our Manukau land for NZ$77.2 million (US$56.1 million). On March 5, 2021, we sold our Coachella land for $11.0 million. As a 50% member in Shadow View Land &amp; Farming LLC, the Company received 50% of the sale proceeds.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Long-Term Business Strategy: Applying a Synergistic Approach</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Post-COVID-19, we believe the cinema exhibition business to be one that will likely continue to generate consistent cash flows in the years ahead, even in a recessionary or inflationary environment. This is based on our belief that people will continue to spend a reasonable portion of their entertainment dollars on entertainment outside of the home and that, when compared to other forms of outside-the-home entertainment, movies continue to be a popular and competitively priced option. We believe that the advent of an array of streaming and mobile video services is more of a threat to the delivery of traditional in-home forms of entertainment (such as cable and satellite providers) than it is to the exhibition industry. We believe that historically, our industry has benefited as the amount of quality product available for exhibition has increased. During the pandemic, we faced a new issue wherein certain major distributors shortened or skipped the theatrical window and went straight to streaming, PVOD or VOD. Despite the current situation, the amount of product coming to consumers is in some ways overwhelming. We believe that this means that cinema exhibition is going to be an increasingly important way for content providers to establish an identity for their product that will carry over into the streaming and mobile video market and aid consumers in their programming choices. We believe that our cinemas will be critical to provide the “Grand Opening” needed for product providers attempting to compete in the streaming market. This being the case, we likewise believe that the entire cinema-going experience needs to be special to provide this “Grand Opening” feel. Acting on that belief, we have focused in recent periods on the upgrading of our cinemas to feature enhanced safety and cleanliness protocols, luxury lounge seating, state-of-the-art sound, large format screens, and enhanced food and beverage. We have invested in technology to make our reservation system more user friendly and to encourage customer loyalty.</w:t>
      </w:r>
    </w:p>
    <w:p>
      <w:pPr>
        <w:spacing w:after="0" w:line="14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believe the cinema exhibition business to be a well-established business with most markets either adequately screened or over-screened and we see growth in our cinema exhibition business coming principally from (i) the enhancement of our existing cinemas (for example, by the addition of luxury recliner seating and expanding our food and beverage program), (ii) the development, in select markets, of specialty cinemas and where applicable, new cinemas in underserved markets, and (iii) the opportunistic acquisition of already existing cinemas. We continue to focus on the development and redevelopment of our existing assets (particularly our real estate assets in (i) New York, (ii) Culver City, California (iii) Queensland and Western Australia in Australia, and (iv) Wellington, New Zealand.</w:t>
      </w:r>
    </w:p>
    <w:p>
      <w:pPr>
        <w:spacing w:after="0" w:line="14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We see ourselves principally as a geographically diversified cinema exhibition and real estate company and intend to add to stockholder value by building the value of our portfolio of tangible assets, including both entertainment and other types of land and “brick and mortar” assets. We believe that this diversified strategy has shown its value during this COVID pandemic timeframe. We endeavor to maintain a reasonable asset allocation between our domestic and international assets and operations, and between our cash-generating cinema operations and our cash-consuming real estate investment and development activities. We believe that, by</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0" w:name="page41"/>
    <w:bookmarkEnd w:id="40"/>
    <w:p>
      <w:pPr>
        <w:ind w:right="580"/>
        <w:spacing w:after="0" w:line="246" w:lineRule="auto"/>
        <w:rPr>
          <w:sz w:val="20"/>
          <w:szCs w:val="20"/>
          <w:color w:val="auto"/>
        </w:rPr>
      </w:pPr>
      <w:r>
        <w:rPr>
          <w:rFonts w:ascii="Arial" w:cs="Arial" w:eastAsia="Arial" w:hAnsi="Arial"/>
          <w:sz w:val="18"/>
          <w:szCs w:val="18"/>
          <w:color w:val="auto"/>
        </w:rPr>
        <w:t>blending the cash generating capabilities of a cinema operation with the investment and development opportunities of our real estate operations, our business strategy is unique among public companies.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Performance Indicators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key performance indicator utilized by Management is food and beverage Spend Per Patron (“SPP”).</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One of our strategic priorities is upgrading the food and beverage menu at a number of our global cinemas. We use SPP as a measure of our performance as compared to the performance of our competitors, as well as a measure of the performance of our food and beverage operations. While ultimately, the profitability of our food and beverage operations depends on a variety of factors, including labor cost and cost of goods sold, we think that this calculation is important to show how well we are doing on a top line basis. Due to the COVID-19 pandemic and the temporary closure of all of our cinema and live theatre operations in the U.S., Australia, and New Zealand for a substantial portion of the year ended December 31, 2020, and due to the lower attendances resulting from social distancing requirements, the lack of new and compelling film product, and the reticence of customers to participate in social gatherings with third parties, Management does not currently believe that a discussion of Reading’s key performance indicators will serve as a useful metric for stockholders. Management intends to resume providing a discussion of our key performance indicators in future filings.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Outlook</w:t>
      </w:r>
    </w:p>
    <w:p>
      <w:pPr>
        <w:spacing w:after="0" w:line="17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COVID-19 pandemic has caused considerable economic turmoil and devastation all over the world, affecting our operations in the United States, Australia and New Zealand and has caused patrons to avoid our cinemas and retail centers and, in the United States, our live theatres or other public places where large crowds would be in attendance. The COVID-19 pandemic has caused cinemas, retail businesses and other public assembly venues to close in certain parts of the world. In response, our Company elected, on a voluntary basis, to close some of our cinemas or portions of our cinemas, while others have closed due to local government authority restrictions.</w:t>
      </w:r>
    </w:p>
    <w:p>
      <w:pPr>
        <w:spacing w:after="0" w:line="15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Our Company’s revenues have in 2020, and will in 2021, be pushed into later quarters, significantly reducing our full year revenues, causing decisions to be made to vary operational levels at our cinemas, and accelerating decisions to consider and implement the sale of certain non-core real estate assets as a result of (i) delayed releases of certain major motion pictures and (ii) recent announcements from certain major exhibitors collaborating with certain major studios in agreements to shorten and/or eliminate the theatrical window. The spread of COVID-19 has adversely impacted the retail businesses of our third party tenants which, in turn, has resulted in the Company entering into a number of rent relief arrangements to ensure the long-term viability of such tenants.</w:t>
      </w:r>
    </w:p>
    <w:p>
      <w:pPr>
        <w:spacing w:after="0" w:line="148"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We have and will experience into 2021 significant impacts on our cinema exhibition and real estate businesses as several international and domestic jurisdictions continue, to varying degrees, to reinstate their lockdowns due to the volatility of COVID-19, while others have removed or loosened restrictions. These differing approaches, and the local and global affects that these may have, create an uncertainty that is expected to continue until the vaccines are administered to most of the population and the COVID-19 spread is considered materially contained.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Exhibition</w:t>
      </w:r>
    </w:p>
    <w:p>
      <w:pPr>
        <w:spacing w:after="0" w:line="17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in-home and mobile segment of the entertainment industry has experienced significant leaps in recent years in both the quality and affordability of in-home entertainment systems and the accessibility to and quality of entertainment programming through alternative film distribution channels, such as network, cable, satellite, and internet distribution channels. The success of these alternative distribution channels puts additional pressure on film distributors to reduce and/or eliminate the length of time between theatrical and secondary release dates. These are issues common to both our U.S. and international cinema operations. However, the sheer quantity of programing now being offered and the multiplicity of channels through which it is being offered has increased the importance of product branding. We believe that the in-theater movie experience will become increasingly important as a way to brand and promote programming to be distributed through these alternative channels. However, we further believe that to serve this function, the in-theater experience has to be truly special. Accordingly, over the past four years, we have invested heavily in upgrading our cinemas with luxury recliner seating, large format screens, state-of-the-art sound, and enhanced food and beverage services.</w:t>
      </w:r>
    </w:p>
    <w:p>
      <w:pPr>
        <w:spacing w:after="0" w:line="153"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Due to the COVID-19 pandemic, we have seen a tremendous rise in streaming services with greater quantity and quality of films offered. We have also seen certain major distributors skip the traditional theatrical window and go straight to streaming, PVOD or VOD. In December 2020, we launched our own streaming service in the U.S., Angelika Anywhere, which is curated for film lovers of independent and foreign film, documentaries, and the more specialized movies from the major studios. We anticipate expanding this streaming service to Australia and New Zealand in 2021.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ind w:right="20"/>
        <w:spacing w:after="0" w:line="274" w:lineRule="auto"/>
        <w:rPr>
          <w:sz w:val="20"/>
          <w:szCs w:val="20"/>
          <w:color w:val="auto"/>
        </w:rPr>
      </w:pPr>
      <w:r>
        <w:rPr>
          <w:rFonts w:ascii="Arial" w:cs="Arial" w:eastAsia="Arial" w:hAnsi="Arial"/>
          <w:sz w:val="17"/>
          <w:szCs w:val="17"/>
          <w:color w:val="auto"/>
        </w:rPr>
        <w:t>Additionally, while MoviePass ultimately went bankrupt, the MoviePass experiment has led to the adoption of various discount and loyalty programs in our industry. To meet this, we too have adopted a variety of discount programs as the industry adjusts to new ways of engaging with guests.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discussion of the competitive aspects of our cinema exhibition markets:</w:t>
      </w:r>
    </w:p>
    <w:p>
      <w:pPr>
        <w:spacing w:after="0" w:line="73" w:lineRule="exact"/>
        <w:rPr>
          <w:sz w:val="20"/>
          <w:szCs w:val="20"/>
          <w:color w:val="auto"/>
        </w:rPr>
      </w:pPr>
    </w:p>
    <w:p>
      <w:pPr>
        <w:ind w:left="660" w:right="60"/>
        <w:spacing w:after="0" w:line="230" w:lineRule="auto"/>
        <w:rPr>
          <w:sz w:val="20"/>
          <w:szCs w:val="20"/>
          <w:color w:val="auto"/>
        </w:rPr>
      </w:pPr>
      <w:r>
        <w:rPr>
          <w:rFonts w:ascii="Arial" w:cs="Arial" w:eastAsia="Arial" w:hAnsi="Arial"/>
          <w:sz w:val="18"/>
          <w:szCs w:val="18"/>
          <w:b w:val="1"/>
          <w:bCs w:val="1"/>
          <w:color w:val="auto"/>
        </w:rPr>
        <w:t>North America</w:t>
      </w:r>
      <w:r>
        <w:rPr>
          <w:rFonts w:ascii="Arial" w:cs="Arial" w:eastAsia="Arial" w:hAnsi="Arial"/>
          <w:sz w:val="18"/>
          <w:szCs w:val="18"/>
          <w:color w:val="auto"/>
        </w:rPr>
        <w:t>: As a result of the COVID-19 pandemic, we are currently facing strong competition in North America from alternative forms of</w:t>
      </w:r>
      <w:r>
        <w:rPr>
          <w:rFonts w:ascii="Arial" w:cs="Arial" w:eastAsia="Arial" w:hAnsi="Arial"/>
          <w:sz w:val="18"/>
          <w:szCs w:val="18"/>
          <w:b w:val="1"/>
          <w:bCs w:val="1"/>
          <w:color w:val="auto"/>
        </w:rPr>
        <w:t xml:space="preserve"> </w:t>
      </w:r>
      <w:r>
        <w:rPr>
          <w:rFonts w:ascii="Arial" w:cs="Arial" w:eastAsia="Arial" w:hAnsi="Arial"/>
          <w:sz w:val="18"/>
          <w:szCs w:val="18"/>
          <w:color w:val="auto"/>
        </w:rPr>
        <w:t>film distribution as distributors shorten theatrical windows and/or go straight to streaming, PVOD or VOD. This is affecting major exhibitors and independent exhibitors such as ourselves. In July 2020, AMC announced partnering with Universal to shorten the theatrical window with new movies going to PVOD within three weeks of their debut instead of the typical 75 to 90-day window. In November 2020, Cinemark announced the same. Given the concentration of viewing, and the increasing amount of product being released, the impact of these shortened windows on our revenues is uncertain.</w:t>
      </w:r>
    </w:p>
    <w:p>
      <w:pPr>
        <w:spacing w:after="0" w:line="42" w:lineRule="exact"/>
        <w:rPr>
          <w:sz w:val="20"/>
          <w:szCs w:val="20"/>
          <w:color w:val="auto"/>
        </w:rPr>
      </w:pPr>
    </w:p>
    <w:p>
      <w:pPr>
        <w:ind w:left="660" w:right="440"/>
        <w:spacing w:after="0" w:line="246" w:lineRule="auto"/>
        <w:rPr>
          <w:sz w:val="20"/>
          <w:szCs w:val="20"/>
          <w:color w:val="auto"/>
        </w:rPr>
      </w:pPr>
      <w:r>
        <w:rPr>
          <w:rFonts w:ascii="Arial" w:cs="Arial" w:eastAsia="Arial" w:hAnsi="Arial"/>
          <w:sz w:val="18"/>
          <w:szCs w:val="18"/>
          <w:color w:val="auto"/>
        </w:rPr>
        <w:t>The continued growth in the demand of in-home and mobile entertainment alternatives has accelerated since the COVID-19 pandemic and is added pressure for cinema exhibitors.</w:t>
      </w:r>
    </w:p>
    <w:p>
      <w:pPr>
        <w:spacing w:after="0" w:line="44" w:lineRule="exact"/>
        <w:rPr>
          <w:sz w:val="20"/>
          <w:szCs w:val="20"/>
          <w:color w:val="auto"/>
        </w:rPr>
      </w:pPr>
    </w:p>
    <w:p>
      <w:pPr>
        <w:ind w:left="660"/>
        <w:spacing w:after="0" w:line="241" w:lineRule="auto"/>
        <w:rPr>
          <w:sz w:val="20"/>
          <w:szCs w:val="20"/>
          <w:color w:val="auto"/>
        </w:rPr>
      </w:pPr>
      <w:r>
        <w:rPr>
          <w:rFonts w:ascii="Arial" w:cs="Arial" w:eastAsia="Arial" w:hAnsi="Arial"/>
          <w:sz w:val="17"/>
          <w:szCs w:val="17"/>
          <w:b w:val="1"/>
          <w:bCs w:val="1"/>
          <w:color w:val="auto"/>
        </w:rPr>
        <w:t>Australia and New Zealand</w:t>
      </w:r>
      <w:r>
        <w:rPr>
          <w:rFonts w:ascii="Arial" w:cs="Arial" w:eastAsia="Arial" w:hAnsi="Arial"/>
          <w:sz w:val="17"/>
          <w:szCs w:val="17"/>
          <w:color w:val="auto"/>
        </w:rPr>
        <w:t>: The cinema exhibition industry in Australia and New Zealand is highly concentrated in that Event Cinemas,</w:t>
      </w:r>
      <w:r>
        <w:rPr>
          <w:rFonts w:ascii="Arial" w:cs="Arial" w:eastAsia="Arial" w:hAnsi="Arial"/>
          <w:sz w:val="17"/>
          <w:szCs w:val="17"/>
          <w:b w:val="1"/>
          <w:bCs w:val="1"/>
          <w:color w:val="auto"/>
        </w:rPr>
        <w:t xml:space="preserve"> </w:t>
      </w:r>
      <w:r>
        <w:rPr>
          <w:rFonts w:ascii="Arial" w:cs="Arial" w:eastAsia="Arial" w:hAnsi="Arial"/>
          <w:sz w:val="17"/>
          <w:szCs w:val="17"/>
          <w:color w:val="auto"/>
        </w:rPr>
        <w:t>Village, and Hoyts (the “Major Exhibitors”) control approximately 61% of the cinema box office in Australia, while Event Cinemas and Hoyts control approximately 49% of New Zealand’s cinema box office. The industry is also somewhat vertically integrated in that one of the Major Exhibitors, Roadshow Film Distributors (part of Village), also serves as a distributor of film in Australia and New Zealand for Warner Bros.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built a number of new multiplexes as joint venture partners or under shared facility arrangements and have historically not engaged in head-to-head competition.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discussion of our view as to the competitive aspects of the markets where we own real estate properties is as follows:</w:t>
      </w:r>
    </w:p>
    <w:p>
      <w:pPr>
        <w:spacing w:after="0" w:line="59" w:lineRule="exact"/>
        <w:rPr>
          <w:sz w:val="20"/>
          <w:szCs w:val="20"/>
          <w:color w:val="auto"/>
        </w:rPr>
      </w:pPr>
    </w:p>
    <w:p>
      <w:pPr>
        <w:ind w:left="660" w:right="40"/>
        <w:spacing w:after="0" w:line="242" w:lineRule="auto"/>
        <w:rPr>
          <w:sz w:val="20"/>
          <w:szCs w:val="20"/>
          <w:color w:val="auto"/>
        </w:rPr>
      </w:pPr>
      <w:r>
        <w:rPr>
          <w:rFonts w:ascii="Arial" w:cs="Arial" w:eastAsia="Arial" w:hAnsi="Arial"/>
          <w:sz w:val="18"/>
          <w:szCs w:val="18"/>
          <w:b w:val="1"/>
          <w:bCs w:val="1"/>
          <w:color w:val="auto"/>
        </w:rPr>
        <w:t>North America</w:t>
      </w:r>
      <w:r>
        <w:rPr>
          <w:rFonts w:ascii="Arial" w:cs="Arial" w:eastAsia="Arial" w:hAnsi="Arial"/>
          <w:sz w:val="18"/>
          <w:szCs w:val="18"/>
          <w:color w:val="auto"/>
        </w:rPr>
        <w:t>: We believe that U.S. retail real estate owners will continue to reuse the space vacated by anchor retailers to offer a variety of</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options and ultimately enhance the customer experience. The COVID effect, while significant in 2020 and 2021, will not survive in the long-term as the human need for interaction will outweigh the reduced COVID post-vaccine, risks.</w:t>
      </w:r>
    </w:p>
    <w:p>
      <w:pPr>
        <w:spacing w:after="0" w:line="53" w:lineRule="exact"/>
        <w:rPr>
          <w:sz w:val="20"/>
          <w:szCs w:val="20"/>
          <w:color w:val="auto"/>
        </w:rPr>
      </w:pPr>
    </w:p>
    <w:p>
      <w:pPr>
        <w:ind w:left="660" w:right="60"/>
        <w:spacing w:after="0" w:line="231" w:lineRule="auto"/>
        <w:rPr>
          <w:sz w:val="20"/>
          <w:szCs w:val="20"/>
          <w:color w:val="auto"/>
        </w:rPr>
      </w:pPr>
      <w:r>
        <w:rPr>
          <w:rFonts w:ascii="Arial" w:cs="Arial" w:eastAsia="Arial" w:hAnsi="Arial"/>
          <w:sz w:val="18"/>
          <w:szCs w:val="18"/>
          <w:color w:val="auto"/>
        </w:rPr>
        <w:t>Demand for office space may decline in the near term. as corporations adapt to employees’ “work-life balance” and leverage technology to automate tasks. However, our office space offering in the United States is limited. The available space in our Culver City office building is now completely leased, and our 44 Union Square office space is not generic in nature, given its Union Square location, its boutique size and brandability.</w:t>
      </w:r>
    </w:p>
    <w:p>
      <w:pPr>
        <w:spacing w:after="0" w:line="50" w:lineRule="exact"/>
        <w:rPr>
          <w:sz w:val="20"/>
          <w:szCs w:val="20"/>
          <w:color w:val="auto"/>
        </w:rPr>
      </w:pPr>
    </w:p>
    <w:p>
      <w:pPr>
        <w:ind w:left="660" w:right="280"/>
        <w:spacing w:after="0" w:line="242" w:lineRule="auto"/>
        <w:rPr>
          <w:sz w:val="20"/>
          <w:szCs w:val="20"/>
          <w:color w:val="auto"/>
        </w:rPr>
      </w:pPr>
      <w:r>
        <w:rPr>
          <w:rFonts w:ascii="Arial" w:cs="Arial" w:eastAsia="Arial" w:hAnsi="Arial"/>
          <w:sz w:val="17"/>
          <w:szCs w:val="17"/>
          <w:b w:val="1"/>
          <w:bCs w:val="1"/>
          <w:color w:val="auto"/>
        </w:rPr>
        <w:t>Australia and New Zealand</w:t>
      </w:r>
      <w:r>
        <w:rPr>
          <w:rFonts w:ascii="Arial" w:cs="Arial" w:eastAsia="Arial" w:hAnsi="Arial"/>
          <w:sz w:val="17"/>
          <w:szCs w:val="17"/>
          <w:color w:val="auto"/>
        </w:rPr>
        <w:t>: Over the past few years, there has been a noted stabilization in real estate market activity resulting in some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despite the COVID effects. This is in part a product of the fact that our tenancies have focused on entertainment services (cinemas, food and beverage) and essentials (such as groceries and pharmacies), which has to some extent insulated us from internet competition. We remain optimistic that our Australian and New Zealand holdings will continue to provide value and cash flows to our operations.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Recent developments in our two business segments are discussed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Cinema Exhibition</w:t>
      </w:r>
    </w:p>
    <w:p>
      <w:pPr>
        <w:spacing w:after="0" w:line="175"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color w:val="auto"/>
        </w:rPr>
        <w:t xml:space="preserve">Our cinema revenues consist primarily of admissions, food and beverage, advertising, gift card purchases, theater rentals, and online convenience fee revenue generated by the sale of our cinema tickets through our websites and mobile apps. Cinema operating expenses consist of the costs directly attributable to the operation of the cinemas, including film rent expense, operating costs, and occupancy costs. Cinema revenues and expenses fluctuate with the availability of quality first run films and the numbers of weeks such first run films stay in the market. For a breakdown of our current cinema assets that we own and/or manage, please see Part I, Item 1 – </w:t>
      </w:r>
      <w:r>
        <w:rPr>
          <w:rFonts w:ascii="Arial" w:cs="Arial" w:eastAsia="Arial" w:hAnsi="Arial"/>
          <w:sz w:val="17"/>
          <w:szCs w:val="17"/>
          <w:i w:val="1"/>
          <w:iCs w:val="1"/>
          <w:color w:val="auto"/>
        </w:rPr>
        <w:t>Our Business</w:t>
      </w:r>
      <w:r>
        <w:rPr>
          <w:rFonts w:ascii="Arial" w:cs="Arial" w:eastAsia="Arial" w:hAnsi="Arial"/>
          <w:sz w:val="17"/>
          <w:szCs w:val="17"/>
          <w:color w:val="auto"/>
        </w:rPr>
        <w:t xml:space="preserve"> of this 2020 Form 10-K.</w:t>
      </w:r>
    </w:p>
    <w:p>
      <w:pPr>
        <w:spacing w:after="0" w:line="14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While our capital projects in recent years have been focused on growing our real estate segment, we have also maintained our focus on improving and enhancing our cinema exhibition portfolio, as discussed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Additions and Enhancements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latest additions and enhancements to our cinema portfolio over the past three years ended December 31, 2020 are as follows:</w:t>
      </w:r>
    </w:p>
    <w:p>
      <w:pPr>
        <w:spacing w:after="0" w:line="77"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i w:val="1"/>
          <w:iCs w:val="1"/>
          <w:u w:val="single" w:color="auto"/>
          <w:color w:val="auto"/>
        </w:rPr>
        <w:t>Launched our first dine-in concept “Spotlight”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On March 30, 2018, we finished the conversion of one wing (six auditoriums)</w:t>
      </w:r>
      <w:r>
        <w:rPr>
          <w:rFonts w:ascii="Arial" w:cs="Arial" w:eastAsia="Arial" w:hAnsi="Arial"/>
          <w:sz w:val="18"/>
          <w:szCs w:val="18"/>
          <w:i w:val="1"/>
          <w:iCs w:val="1"/>
          <w:color w:val="auto"/>
        </w:rPr>
        <w:t xml:space="preserve"> </w:t>
      </w:r>
      <w:r>
        <w:rPr>
          <w:rFonts w:ascii="Arial" w:cs="Arial" w:eastAsia="Arial" w:hAnsi="Arial"/>
          <w:sz w:val="18"/>
          <w:szCs w:val="18"/>
          <w:color w:val="auto"/>
        </w:rPr>
        <w:t>at our Reading Cinemas in Murrieta, California (Cal Oaks) to our dine-in concept brand, “Spotlight.”</w:t>
      </w:r>
    </w:p>
    <w:p>
      <w:pPr>
        <w:spacing w:after="0" w:line="22" w:lineRule="exact"/>
        <w:rPr>
          <w:sz w:val="20"/>
          <w:szCs w:val="20"/>
          <w:color w:val="auto"/>
        </w:rPr>
      </w:pPr>
    </w:p>
    <w:p>
      <w:pPr>
        <w:ind w:left="660" w:right="100"/>
        <w:spacing w:after="0" w:line="235" w:lineRule="auto"/>
        <w:rPr>
          <w:sz w:val="20"/>
          <w:szCs w:val="20"/>
          <w:color w:val="auto"/>
        </w:rPr>
      </w:pPr>
      <w:r>
        <w:rPr>
          <w:rFonts w:ascii="Arial" w:cs="Arial" w:eastAsia="Arial" w:hAnsi="Arial"/>
          <w:sz w:val="18"/>
          <w:szCs w:val="18"/>
          <w:i w:val="1"/>
          <w:iCs w:val="1"/>
          <w:u w:val="single" w:color="auto"/>
          <w:color w:val="auto"/>
        </w:rPr>
        <w:t>Acquisition of a well-established Cinema in Devonport, Tasmania,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30, 2019, we purchased the tenant’s interest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assets of a well-established four-screen cinema in Devonport, Tasmania, Australia, for $1.4 million (AU$1.95 million). We commenced trading from this new cinema site on January 30, 2019.</w:t>
      </w:r>
    </w:p>
    <w:p>
      <w:pPr>
        <w:spacing w:after="0" w:line="53" w:lineRule="exact"/>
        <w:rPr>
          <w:sz w:val="20"/>
          <w:szCs w:val="20"/>
          <w:color w:val="auto"/>
        </w:rPr>
      </w:pPr>
    </w:p>
    <w:p>
      <w:pPr>
        <w:jc w:val="both"/>
        <w:ind w:left="660" w:right="200"/>
        <w:spacing w:after="0" w:line="274" w:lineRule="auto"/>
        <w:rPr>
          <w:sz w:val="20"/>
          <w:szCs w:val="20"/>
          <w:color w:val="auto"/>
        </w:rPr>
      </w:pPr>
      <w:r>
        <w:rPr>
          <w:rFonts w:ascii="Arial" w:cs="Arial" w:eastAsia="Arial" w:hAnsi="Arial"/>
          <w:sz w:val="17"/>
          <w:szCs w:val="17"/>
          <w:i w:val="1"/>
          <w:iCs w:val="1"/>
          <w:u w:val="single" w:color="auto"/>
          <w:color w:val="auto"/>
        </w:rPr>
        <w:t>Leased a Cinema space in Lower Hutt, adjacent to Wellington, New Zealand:</w:t>
      </w:r>
      <w:r>
        <w:rPr>
          <w:rFonts w:ascii="Arial" w:cs="Arial" w:eastAsia="Arial" w:hAnsi="Arial"/>
          <w:sz w:val="17"/>
          <w:szCs w:val="17"/>
          <w:i w:val="1"/>
          <w:iCs w:val="1"/>
          <w:color w:val="auto"/>
        </w:rPr>
        <w:t xml:space="preserve"> </w:t>
      </w:r>
      <w:r>
        <w:rPr>
          <w:rFonts w:ascii="Arial" w:cs="Arial" w:eastAsia="Arial" w:hAnsi="Arial"/>
          <w:sz w:val="17"/>
          <w:szCs w:val="17"/>
          <w:color w:val="auto"/>
        </w:rPr>
        <w:t>To mitigate the ongoing temporary closure of Reading Cinemas at</w:t>
      </w:r>
      <w:r>
        <w:rPr>
          <w:rFonts w:ascii="Arial" w:cs="Arial" w:eastAsia="Arial" w:hAnsi="Arial"/>
          <w:sz w:val="17"/>
          <w:szCs w:val="17"/>
          <w:i w:val="1"/>
          <w:iCs w:val="1"/>
          <w:color w:val="auto"/>
        </w:rPr>
        <w:t xml:space="preserve"> </w:t>
      </w:r>
      <w:r>
        <w:rPr>
          <w:rFonts w:ascii="Arial" w:cs="Arial" w:eastAsia="Arial" w:hAnsi="Arial"/>
          <w:sz w:val="17"/>
          <w:szCs w:val="17"/>
          <w:color w:val="auto"/>
        </w:rPr>
        <w:t>Courtenay Central, we opened a three-screen cinema that trades as The Hutt Pop Up by Reading Cinemas in late June 2019.</w:t>
      </w:r>
    </w:p>
    <w:p>
      <w:pPr>
        <w:spacing w:after="0" w:line="26" w:lineRule="exact"/>
        <w:rPr>
          <w:sz w:val="20"/>
          <w:szCs w:val="20"/>
          <w:color w:val="auto"/>
        </w:rPr>
      </w:pPr>
    </w:p>
    <w:p>
      <w:pPr>
        <w:jc w:val="both"/>
        <w:ind w:left="660" w:right="220"/>
        <w:spacing w:after="0" w:line="235" w:lineRule="auto"/>
        <w:rPr>
          <w:sz w:val="20"/>
          <w:szCs w:val="20"/>
          <w:color w:val="auto"/>
        </w:rPr>
      </w:pPr>
      <w:r>
        <w:rPr>
          <w:rFonts w:ascii="Arial" w:cs="Arial" w:eastAsia="Arial" w:hAnsi="Arial"/>
          <w:sz w:val="18"/>
          <w:szCs w:val="18"/>
          <w:i w:val="1"/>
          <w:iCs w:val="1"/>
          <w:u w:val="single" w:color="auto"/>
          <w:color w:val="auto"/>
        </w:rPr>
        <w:t>Acquisition of a Dynamic Arthouse Cinema in Hobart, Tasmania,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4, 2019, we acquired the leasehold interest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assets of the iconic State Cinema for $6.2 million (AU$9.0 million). This leasehold interest features 10 screens, a roof top cinema and bar, a large café, and a bookstore.</w:t>
      </w:r>
    </w:p>
    <w:p>
      <w:pPr>
        <w:spacing w:after="0" w:line="40" w:lineRule="exact"/>
        <w:rPr>
          <w:sz w:val="20"/>
          <w:szCs w:val="20"/>
          <w:color w:val="auto"/>
        </w:rPr>
      </w:pPr>
    </w:p>
    <w:p>
      <w:pPr>
        <w:ind w:left="660" w:right="40"/>
        <w:spacing w:after="0" w:line="235" w:lineRule="auto"/>
        <w:rPr>
          <w:sz w:val="20"/>
          <w:szCs w:val="20"/>
          <w:color w:val="auto"/>
        </w:rPr>
      </w:pPr>
      <w:r>
        <w:rPr>
          <w:rFonts w:ascii="Arial" w:cs="Arial" w:eastAsia="Arial" w:hAnsi="Arial"/>
          <w:sz w:val="18"/>
          <w:szCs w:val="18"/>
          <w:i w:val="1"/>
          <w:iCs w:val="1"/>
          <w:u w:val="single" w:color="auto"/>
          <w:color w:val="auto"/>
        </w:rPr>
        <w:t>Opened a new state-of-the-art six-screen Cinema in Melbourne,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5, 2019, we opened a six-screen Reading Cinemas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Burwood Brickworks shopping center offering a TITAN LUXE with DOLBY ATMOS immersive sound, enhanced food and beverage offerings, and full recliner seating in all auditoriums.</w:t>
      </w:r>
    </w:p>
    <w:p>
      <w:pPr>
        <w:spacing w:after="0" w:line="53" w:lineRule="exact"/>
        <w:rPr>
          <w:sz w:val="20"/>
          <w:szCs w:val="20"/>
          <w:color w:val="auto"/>
        </w:rPr>
      </w:pPr>
    </w:p>
    <w:p>
      <w:pPr>
        <w:ind w:left="660" w:right="160"/>
        <w:spacing w:after="0" w:line="235" w:lineRule="auto"/>
        <w:rPr>
          <w:sz w:val="20"/>
          <w:szCs w:val="20"/>
          <w:color w:val="auto"/>
        </w:rPr>
      </w:pPr>
      <w:r>
        <w:rPr>
          <w:rFonts w:ascii="Arial" w:cs="Arial" w:eastAsia="Arial" w:hAnsi="Arial"/>
          <w:sz w:val="18"/>
          <w:szCs w:val="18"/>
          <w:i w:val="1"/>
          <w:iCs w:val="1"/>
          <w:u w:val="single" w:color="auto"/>
          <w:color w:val="auto"/>
        </w:rPr>
        <w:t>Opened a new state-of-the-art six-screen Cinema in Queensland,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22, 2020, we opened a six-screen Reading Cinemas at</w:t>
      </w:r>
      <w:r>
        <w:rPr>
          <w:rFonts w:ascii="Arial" w:cs="Arial" w:eastAsia="Arial" w:hAnsi="Arial"/>
          <w:sz w:val="18"/>
          <w:szCs w:val="18"/>
          <w:i w:val="1"/>
          <w:iCs w:val="1"/>
          <w:color w:val="auto"/>
        </w:rPr>
        <w:t xml:space="preserve"> </w:t>
      </w:r>
      <w:r>
        <w:rPr>
          <w:rFonts w:ascii="Arial" w:cs="Arial" w:eastAsia="Arial" w:hAnsi="Arial"/>
          <w:sz w:val="18"/>
          <w:szCs w:val="18"/>
          <w:color w:val="auto"/>
        </w:rPr>
        <w:t>Jindalee featuring a TITAN LUXE with DOLBY ATMOS immersive sound, luxury recliner seating in all auditoriums, and newly curated enhanced food and beverage offering.</w:t>
      </w:r>
    </w:p>
    <w:p>
      <w:pPr>
        <w:spacing w:after="0" w:line="53" w:lineRule="exact"/>
        <w:rPr>
          <w:sz w:val="20"/>
          <w:szCs w:val="20"/>
          <w:color w:val="auto"/>
        </w:rPr>
      </w:pPr>
    </w:p>
    <w:p>
      <w:pPr>
        <w:ind w:left="660" w:right="20"/>
        <w:spacing w:after="0" w:line="228" w:lineRule="auto"/>
        <w:rPr>
          <w:sz w:val="20"/>
          <w:szCs w:val="20"/>
          <w:color w:val="auto"/>
        </w:rPr>
      </w:pPr>
      <w:r>
        <w:rPr>
          <w:rFonts w:ascii="Arial" w:cs="Arial" w:eastAsia="Arial" w:hAnsi="Arial"/>
          <w:sz w:val="18"/>
          <w:szCs w:val="18"/>
          <w:i w:val="1"/>
          <w:iCs w:val="1"/>
          <w:u w:val="single" w:color="auto"/>
          <w:color w:val="auto"/>
        </w:rPr>
        <w:t>U.S. Renovations: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this period, six locations had refurbishment work performed: our Cal Oaks and Rohnert Park locations in California, our</w:t>
      </w:r>
      <w:r>
        <w:rPr>
          <w:rFonts w:ascii="Arial" w:cs="Arial" w:eastAsia="Arial" w:hAnsi="Arial"/>
          <w:sz w:val="18"/>
          <w:szCs w:val="18"/>
          <w:i w:val="1"/>
          <w:iCs w:val="1"/>
          <w:color w:val="auto"/>
        </w:rPr>
        <w:t xml:space="preserve"> </w:t>
      </w:r>
      <w:r>
        <w:rPr>
          <w:rFonts w:ascii="Arial" w:cs="Arial" w:eastAsia="Arial" w:hAnsi="Arial"/>
          <w:sz w:val="18"/>
          <w:szCs w:val="18"/>
          <w:color w:val="auto"/>
        </w:rPr>
        <w:t>Pearlridge, Mililani and Kahala (which is not yet completed) locations in Hawaii, and our Manville location in New Jersey. Kahala renovation work commenced in late 2019 and we suspended renovations due to the COVID-19 shutdown. As of the date of this Report, we converted 94 of our 238 U.S. auditoriums to luxury recliner seating and are in the process of converting 8 auditoriums at our Consolidated Theatres at the Kahala Mall in Honolulu.</w:t>
      </w:r>
    </w:p>
    <w:p>
      <w:pPr>
        <w:spacing w:after="0" w:line="43" w:lineRule="exact"/>
        <w:rPr>
          <w:sz w:val="20"/>
          <w:szCs w:val="20"/>
          <w:color w:val="auto"/>
        </w:rPr>
      </w:pPr>
    </w:p>
    <w:p>
      <w:pPr>
        <w:ind w:left="660" w:right="60"/>
        <w:spacing w:after="0" w:line="324" w:lineRule="auto"/>
        <w:rPr>
          <w:sz w:val="20"/>
          <w:szCs w:val="20"/>
          <w:color w:val="auto"/>
        </w:rPr>
      </w:pPr>
      <w:r>
        <w:rPr>
          <w:rFonts w:ascii="Arial" w:cs="Arial" w:eastAsia="Arial" w:hAnsi="Arial"/>
          <w:sz w:val="16"/>
          <w:szCs w:val="16"/>
          <w:i w:val="1"/>
          <w:iCs w:val="1"/>
          <w:u w:val="single" w:color="auto"/>
          <w:color w:val="auto"/>
        </w:rPr>
        <w:t>AU and NZ Renovations: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this period, we improved 14 theaters: In Australia, Charlestown, Elizabeth, Auburn, Chirnside Park, Dandenong,</w:t>
      </w:r>
      <w:r>
        <w:rPr>
          <w:rFonts w:ascii="Arial" w:cs="Arial" w:eastAsia="Arial" w:hAnsi="Arial"/>
          <w:sz w:val="16"/>
          <w:szCs w:val="16"/>
          <w:i w:val="1"/>
          <w:iCs w:val="1"/>
          <w:color w:val="auto"/>
        </w:rPr>
        <w:t xml:space="preserve"> </w:t>
      </w:r>
      <w:r>
        <w:rPr>
          <w:rFonts w:ascii="Arial" w:cs="Arial" w:eastAsia="Arial" w:hAnsi="Arial"/>
          <w:sz w:val="16"/>
          <w:szCs w:val="16"/>
          <w:color w:val="auto"/>
        </w:rPr>
        <w:t>Harbour Town, Maitland, Rhodes, Waurn Ponds, West Lakes. And in New Zealand, Courtenay Central, Napier, Rotorua, and The Palms.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Upgrades to our Film Exhibition Technology and Theater Amenities</w:t>
      </w:r>
    </w:p>
    <w:p>
      <w:pPr>
        <w:spacing w:after="0" w:line="77"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Prior to COVID-19, we invested in both (i) the upgrading of our existing cinemas and (ii) the development of new cinemas to provide our customers with premium offerings, including state-of-the-art presentation (including sound, lounges, and bar service) and luxury recliner seating. As of December 31, 2020, all of the upgrades to our theater circuits’ film exhibition technology and amenities over the years are as summarized in the following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Screen</w:t>
            </w:r>
          </w:p>
        </w:tc>
        <w:tc>
          <w:tcPr>
            <w:tcW w:w="0" w:type="dxa"/>
            <w:vAlign w:val="bottom"/>
          </w:tcPr>
          <w:p>
            <w:pPr>
              <w:spacing w:after="0"/>
              <w:rPr>
                <w:sz w:val="1"/>
                <w:szCs w:val="1"/>
                <w:color w:val="auto"/>
              </w:rPr>
            </w:pPr>
          </w:p>
        </w:tc>
      </w:tr>
      <w:tr>
        <w:trPr>
          <w:trHeight w:val="178"/>
        </w:trPr>
        <w:tc>
          <w:tcPr>
            <w:tcW w:w="8600" w:type="dxa"/>
            <w:vAlign w:val="bottom"/>
            <w:vMerge w:val="restart"/>
          </w:tcPr>
          <w:p>
            <w:pPr>
              <w:spacing w:after="0"/>
              <w:rPr>
                <w:sz w:val="20"/>
                <w:szCs w:val="20"/>
                <w:color w:val="auto"/>
              </w:rPr>
            </w:pPr>
            <w:r>
              <w:rPr>
                <w:rFonts w:ascii="Arial" w:cs="Arial" w:eastAsia="Arial" w:hAnsi="Arial"/>
                <w:sz w:val="18"/>
                <w:szCs w:val="18"/>
                <w:i w:val="1"/>
                <w:iCs w:val="1"/>
                <w:color w:val="auto"/>
              </w:rPr>
              <w:t>Screen Format</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Count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Count</w:t>
            </w:r>
          </w:p>
        </w:tc>
        <w:tc>
          <w:tcPr>
            <w:tcW w:w="0" w:type="dxa"/>
            <w:vAlign w:val="bottom"/>
          </w:tcPr>
          <w:p>
            <w:pPr>
              <w:spacing w:after="0"/>
              <w:rPr>
                <w:sz w:val="1"/>
                <w:szCs w:val="1"/>
                <w:color w:val="auto"/>
              </w:rPr>
            </w:pPr>
          </w:p>
        </w:tc>
      </w:tr>
      <w:tr>
        <w:trPr>
          <w:trHeight w:val="189"/>
        </w:trPr>
        <w:tc>
          <w:tcPr>
            <w:tcW w:w="8600" w:type="dxa"/>
            <w:vAlign w:val="bottom"/>
            <w:vMerge w:val="continue"/>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Digital (all cinemas in our theater circuit)</w:t>
            </w:r>
          </w:p>
        </w:tc>
        <w:tc>
          <w:tcPr>
            <w:tcW w:w="12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61</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504</w:t>
            </w:r>
          </w:p>
        </w:tc>
        <w:tc>
          <w:tcPr>
            <w:tcW w:w="0" w:type="dxa"/>
            <w:vAlign w:val="bottom"/>
          </w:tcPr>
          <w:p>
            <w:pPr>
              <w:spacing w:after="0"/>
              <w:rPr>
                <w:sz w:val="1"/>
                <w:szCs w:val="1"/>
                <w:color w:val="auto"/>
              </w:rPr>
            </w:pPr>
          </w:p>
        </w:tc>
      </w:tr>
      <w:tr>
        <w:trPr>
          <w:trHeight w:val="189"/>
        </w:trPr>
        <w:tc>
          <w:tcPr>
            <w:tcW w:w="8600" w:type="dxa"/>
            <w:vAlign w:val="bottom"/>
          </w:tcPr>
          <w:p>
            <w:pPr>
              <w:ind w:left="220"/>
              <w:spacing w:after="0" w:line="189" w:lineRule="exact"/>
              <w:rPr>
                <w:sz w:val="20"/>
                <w:szCs w:val="20"/>
                <w:color w:val="auto"/>
              </w:rPr>
            </w:pPr>
            <w:r>
              <w:rPr>
                <w:rFonts w:ascii="Arial" w:cs="Arial" w:eastAsia="Arial" w:hAnsi="Arial"/>
                <w:sz w:val="18"/>
                <w:szCs w:val="18"/>
                <w:color w:val="auto"/>
              </w:rPr>
              <w:t>IMAX</w:t>
            </w:r>
          </w:p>
        </w:tc>
        <w:tc>
          <w:tcPr>
            <w:tcW w:w="1240" w:type="dxa"/>
            <w:vAlign w:val="bottom"/>
          </w:tcPr>
          <w:p>
            <w:pPr>
              <w:jc w:val="center"/>
              <w:spacing w:after="0" w:line="189" w:lineRule="exact"/>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TITAN XC and LUXE</w:t>
            </w:r>
          </w:p>
        </w:tc>
        <w:tc>
          <w:tcPr>
            <w:tcW w:w="12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25</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8"/>
                <w:szCs w:val="18"/>
                <w:i w:val="1"/>
                <w:iCs w:val="1"/>
                <w:color w:val="auto"/>
              </w:rPr>
              <w:t>Dine-in Service</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60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Gold Lounge (AU/NZ)</w:t>
            </w:r>
            <w:r>
              <w:rPr>
                <w:rFonts w:ascii="Arial" w:cs="Arial" w:eastAsia="Arial" w:hAnsi="Arial"/>
                <w:sz w:val="29"/>
                <w:szCs w:val="29"/>
                <w:color w:val="auto"/>
                <w:vertAlign w:val="superscript"/>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57"/>
        </w:trPr>
        <w:tc>
          <w:tcPr>
            <w:tcW w:w="8600" w:type="dxa"/>
            <w:vAlign w:val="bottom"/>
          </w:tcPr>
          <w:p>
            <w:pPr>
              <w:ind w:left="220"/>
              <w:spacing w:after="0" w:line="256" w:lineRule="exact"/>
              <w:rPr>
                <w:sz w:val="20"/>
                <w:szCs w:val="20"/>
                <w:color w:val="auto"/>
              </w:rPr>
            </w:pPr>
            <w:r>
              <w:rPr>
                <w:rFonts w:ascii="Arial" w:cs="Arial" w:eastAsia="Arial" w:hAnsi="Arial"/>
                <w:sz w:val="18"/>
                <w:szCs w:val="18"/>
                <w:color w:val="auto"/>
              </w:rPr>
              <w:t>Premium (AU/NZ)</w:t>
            </w:r>
            <w:r>
              <w:rPr>
                <w:rFonts w:ascii="Arial" w:cs="Arial" w:eastAsia="Arial" w:hAnsi="Arial"/>
                <w:sz w:val="29"/>
                <w:szCs w:val="29"/>
                <w:color w:val="auto"/>
                <w:vertAlign w:val="superscript"/>
              </w:rPr>
              <w:t>(2)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56"/>
        </w:trPr>
        <w:tc>
          <w:tcPr>
            <w:tcW w:w="860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Spotlight (U.S.)</w:t>
            </w:r>
            <w:r>
              <w:rPr>
                <w:rFonts w:ascii="Arial" w:cs="Arial" w:eastAsia="Arial" w:hAnsi="Arial"/>
                <w:sz w:val="29"/>
                <w:szCs w:val="29"/>
                <w:color w:val="auto"/>
                <w:vertAlign w:val="superscript"/>
              </w:rPr>
              <w:t>(3)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7"/>
        </w:trPr>
        <w:tc>
          <w:tcPr>
            <w:tcW w:w="8600" w:type="dxa"/>
            <w:vAlign w:val="bottom"/>
          </w:tcPr>
          <w:p>
            <w:pPr>
              <w:spacing w:after="0" w:line="256" w:lineRule="exact"/>
              <w:rPr>
                <w:sz w:val="20"/>
                <w:szCs w:val="20"/>
                <w:color w:val="auto"/>
              </w:rPr>
            </w:pPr>
            <w:r>
              <w:rPr>
                <w:rFonts w:ascii="Arial" w:cs="Arial" w:eastAsia="Arial" w:hAnsi="Arial"/>
                <w:sz w:val="18"/>
                <w:szCs w:val="18"/>
                <w:i w:val="1"/>
                <w:iCs w:val="1"/>
                <w:color w:val="auto"/>
              </w:rPr>
              <w:t>Upgraded Food &amp; Beverage menu (U.S.)</w:t>
            </w:r>
            <w:r>
              <w:rPr>
                <w:rFonts w:ascii="Arial" w:cs="Arial" w:eastAsia="Arial" w:hAnsi="Arial"/>
                <w:sz w:val="29"/>
                <w:szCs w:val="29"/>
                <w:color w:val="auto"/>
                <w:vertAlign w:val="superscript"/>
              </w:rPr>
              <w:t>(4)</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i w:val="1"/>
                <w:iCs w:val="1"/>
                <w:color w:val="auto"/>
                <w:w w:val="87"/>
              </w:rPr>
              <w:t>n/a</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Premium Seating (features recliner seating)</w:t>
            </w:r>
          </w:p>
        </w:tc>
        <w:tc>
          <w:tcPr>
            <w:tcW w:w="12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27</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167</w:t>
            </w:r>
          </w:p>
        </w:tc>
        <w:tc>
          <w:tcPr>
            <w:tcW w:w="0" w:type="dxa"/>
            <w:vAlign w:val="bottom"/>
          </w:tcPr>
          <w:p>
            <w:pPr>
              <w:spacing w:after="0"/>
              <w:rPr>
                <w:sz w:val="1"/>
                <w:szCs w:val="1"/>
                <w:color w:val="auto"/>
              </w:rPr>
            </w:pPr>
          </w:p>
        </w:tc>
      </w:tr>
      <w:tr>
        <w:trPr>
          <w:trHeight w:val="344"/>
        </w:trPr>
        <w:tc>
          <w:tcPr>
            <w:tcW w:w="8600" w:type="dxa"/>
            <w:vAlign w:val="bottom"/>
          </w:tcPr>
          <w:p>
            <w:pPr>
              <w:spacing w:after="0"/>
              <w:rPr>
                <w:sz w:val="20"/>
                <w:szCs w:val="20"/>
                <w:color w:val="auto"/>
              </w:rPr>
            </w:pPr>
            <w:r>
              <w:rPr>
                <w:rFonts w:ascii="Arial" w:cs="Arial" w:eastAsia="Arial" w:hAnsi="Arial"/>
                <w:sz w:val="18"/>
                <w:szCs w:val="18"/>
                <w:i w:val="1"/>
                <w:iCs w:val="1"/>
                <w:color w:val="auto"/>
              </w:rPr>
              <w:t>Liquor Licenses in Use</w:t>
            </w:r>
            <w:r>
              <w:rPr>
                <w:rFonts w:ascii="Arial" w:cs="Arial" w:eastAsia="Arial" w:hAnsi="Arial"/>
                <w:sz w:val="29"/>
                <w:szCs w:val="29"/>
                <w:i w:val="1"/>
                <w:iCs w:val="1"/>
                <w:color w:val="auto"/>
                <w:vertAlign w:val="superscript"/>
              </w:rPr>
              <w:t>(5)</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i w:val="1"/>
                <w:iCs w:val="1"/>
                <w:color w:val="auto"/>
                <w:w w:val="87"/>
              </w:rPr>
              <w:t>n/a</w:t>
            </w:r>
          </w:p>
        </w:tc>
        <w:tc>
          <w:tcPr>
            <w:tcW w:w="0" w:type="dxa"/>
            <w:vAlign w:val="bottom"/>
          </w:tcPr>
          <w:p>
            <w:pPr>
              <w:spacing w:after="0"/>
              <w:rPr>
                <w:sz w:val="1"/>
                <w:szCs w:val="1"/>
                <w:color w:val="auto"/>
              </w:rPr>
            </w:pPr>
          </w:p>
        </w:tc>
      </w:tr>
    </w:tbl>
    <w:p>
      <w:pPr>
        <w:ind w:left="660" w:right="180" w:hanging="328"/>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Gold Lounge</w:t>
      </w:r>
      <w:r>
        <w:rPr>
          <w:rFonts w:ascii="Arial" w:cs="Arial" w:eastAsia="Arial" w:hAnsi="Arial"/>
          <w:sz w:val="14"/>
          <w:szCs w:val="14"/>
          <w:color w:val="auto"/>
        </w:rPr>
        <w:t>: This is our "First Class Full Dine-in Service" in our Australian and New Zealand cinemas, which includes an upgraded F&amp;B menu (with alcoholic beverages), luxury</w:t>
      </w:r>
      <w:r>
        <w:rPr>
          <w:rFonts w:ascii="Arial" w:cs="Arial" w:eastAsia="Arial" w:hAnsi="Arial"/>
          <w:sz w:val="14"/>
          <w:szCs w:val="14"/>
          <w:b w:val="1"/>
          <w:bCs w:val="1"/>
          <w:color w:val="auto"/>
        </w:rPr>
        <w:t xml:space="preserve"> </w:t>
      </w:r>
      <w:r>
        <w:rPr>
          <w:rFonts w:ascii="Arial" w:cs="Arial" w:eastAsia="Arial" w:hAnsi="Arial"/>
          <w:sz w:val="14"/>
          <w:szCs w:val="14"/>
          <w:color w:val="auto"/>
        </w:rPr>
        <w:t>recliner seating features (intimate 25-50 seat cinemas) and waiter service.</w:t>
      </w:r>
    </w:p>
    <w:p>
      <w:pPr>
        <w:ind w:left="660" w:right="340" w:hanging="328"/>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Premium Service</w:t>
      </w:r>
      <w:r>
        <w:rPr>
          <w:rFonts w:ascii="Arial" w:cs="Arial" w:eastAsia="Arial" w:hAnsi="Arial"/>
          <w:sz w:val="14"/>
          <w:szCs w:val="14"/>
          <w:color w:val="auto"/>
        </w:rPr>
        <w:t>: This is our "Business Class Dine-in Service" in our Australian and New Zealand cinemas, which typically includes upgraded F&amp;B menu (some with alcoholic</w:t>
      </w:r>
      <w:r>
        <w:rPr>
          <w:rFonts w:ascii="Arial" w:cs="Arial" w:eastAsia="Arial" w:hAnsi="Arial"/>
          <w:sz w:val="14"/>
          <w:szCs w:val="14"/>
          <w:b w:val="1"/>
          <w:bCs w:val="1"/>
          <w:color w:val="auto"/>
        </w:rPr>
        <w:t xml:space="preserve"> </w:t>
      </w:r>
      <w:r>
        <w:rPr>
          <w:rFonts w:ascii="Arial" w:cs="Arial" w:eastAsia="Arial" w:hAnsi="Arial"/>
          <w:sz w:val="14"/>
          <w:szCs w:val="14"/>
          <w:color w:val="auto"/>
        </w:rPr>
        <w:t>beverages) and may include luxury recliner seating features (less intimate 80-seat cinemas), but no waiter service.</w:t>
      </w:r>
    </w:p>
    <w:p>
      <w:pPr>
        <w:ind w:left="660" w:right="200" w:hanging="328"/>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Spotlight Service</w:t>
      </w:r>
      <w:r>
        <w:rPr>
          <w:rFonts w:ascii="Arial" w:cs="Arial" w:eastAsia="Arial" w:hAnsi="Arial"/>
          <w:sz w:val="14"/>
          <w:szCs w:val="14"/>
          <w:color w:val="auto"/>
        </w:rPr>
        <w:t>: On March 30, 2018 we opened “Spotlight,” our first dine-in cinema concept in the U.S. at Reading Cinemas in Murrieta, California. Six of our 17 auditoriums at</w:t>
      </w:r>
      <w:r>
        <w:rPr>
          <w:rFonts w:ascii="Arial" w:cs="Arial" w:eastAsia="Arial" w:hAnsi="Arial"/>
          <w:sz w:val="14"/>
          <w:szCs w:val="14"/>
          <w:b w:val="1"/>
          <w:bCs w:val="1"/>
          <w:color w:val="auto"/>
        </w:rPr>
        <w:t xml:space="preserve"> </w:t>
      </w:r>
      <w:r>
        <w:rPr>
          <w:rFonts w:ascii="Arial" w:cs="Arial" w:eastAsia="Arial" w:hAnsi="Arial"/>
          <w:sz w:val="14"/>
          <w:szCs w:val="14"/>
          <w:color w:val="auto"/>
        </w:rPr>
        <w:t>this theater feature waiter service before the movie begins with a full F&amp;B menu, luxury recliner seating, and laser focus on customer service.</w:t>
      </w:r>
    </w:p>
    <w:p>
      <w:pPr>
        <w:ind w:left="660" w:right="180" w:hanging="328"/>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Upgraded Food &amp; Beverage Menu</w:t>
      </w:r>
      <w:r>
        <w:rPr>
          <w:rFonts w:ascii="Arial" w:cs="Arial" w:eastAsia="Arial" w:hAnsi="Arial"/>
          <w:sz w:val="14"/>
          <w:szCs w:val="14"/>
          <w:color w:val="auto"/>
        </w:rPr>
        <w:t>: Features an elevated F&amp;B menu including a menu of locally inspired and freshly prepared items that go beyond traditional concessions, which</w:t>
      </w:r>
      <w:r>
        <w:rPr>
          <w:rFonts w:ascii="Arial" w:cs="Arial" w:eastAsia="Arial" w:hAnsi="Arial"/>
          <w:sz w:val="14"/>
          <w:szCs w:val="14"/>
          <w:b w:val="1"/>
          <w:bCs w:val="1"/>
          <w:color w:val="auto"/>
        </w:rPr>
        <w:t xml:space="preserve"> </w:t>
      </w:r>
      <w:r>
        <w:rPr>
          <w:rFonts w:ascii="Arial" w:cs="Arial" w:eastAsia="Arial" w:hAnsi="Arial"/>
          <w:sz w:val="14"/>
          <w:szCs w:val="14"/>
          <w:color w:val="auto"/>
        </w:rPr>
        <w:t>we have worked with former Food Network executives to create. The elevated menu also includes beer, wine and/or spirits at most of our locations.</w:t>
      </w:r>
    </w:p>
    <w:p>
      <w:pPr>
        <w:ind w:left="660" w:right="140" w:hanging="328"/>
        <w:spacing w:after="0" w:line="232"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Liquor Licenses: </w:t>
      </w:r>
      <w:r>
        <w:rPr>
          <w:rFonts w:ascii="Arial" w:cs="Arial" w:eastAsia="Arial" w:hAnsi="Arial"/>
          <w:sz w:val="14"/>
          <w:szCs w:val="14"/>
          <w:color w:val="auto"/>
        </w:rPr>
        <w:t>Licenses are applicable at each cinema location, rather than each theater auditorium. For accounting purposes, we capitalize the cost of successfully purchasing or</w:t>
      </w:r>
      <w:r>
        <w:rPr>
          <w:rFonts w:ascii="Arial" w:cs="Arial" w:eastAsia="Arial" w:hAnsi="Arial"/>
          <w:sz w:val="14"/>
          <w:szCs w:val="14"/>
          <w:b w:val="1"/>
          <w:bCs w:val="1"/>
          <w:color w:val="auto"/>
        </w:rPr>
        <w:t xml:space="preserve"> </w:t>
      </w:r>
      <w:r>
        <w:rPr>
          <w:rFonts w:ascii="Arial" w:cs="Arial" w:eastAsia="Arial" w:hAnsi="Arial"/>
          <w:sz w:val="14"/>
          <w:szCs w:val="14"/>
          <w:color w:val="auto"/>
        </w:rPr>
        <w:t>applying for liquor licenses meeting certain thresholds as an intangible asset due to long-term economic benefits derived on future sales of alcoholic beverages. As of December 31, 2020, we have pending applications for additional liquor licenses for six theaters in the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for 2021 and Our Cinema Pipeline</w:t>
      </w:r>
    </w:p>
    <w:p>
      <w:pPr>
        <w:spacing w:after="0" w:line="17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At the start of 2020, we continued with the renovation of our Consolidated Theatres at the Kahala Mall in Honolulu in the U.S. However, this renovation has been suspended due to the governmental restrictions imposed due to the COVID pandemic. We do not have a definitive schedule for recommencing this renovation.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By the end of 2022, we anticipate adding three new Reading Cinemas, totaling 19 screens, to our Australian cinema circuit pursuant to</w:t>
      </w:r>
    </w:p>
    <w:p>
      <w:pPr>
        <w:ind w:right="140"/>
        <w:spacing w:after="0" w:line="238" w:lineRule="auto"/>
        <w:rPr>
          <w:sz w:val="20"/>
          <w:szCs w:val="20"/>
          <w:color w:val="auto"/>
        </w:rPr>
      </w:pPr>
      <w:r>
        <w:rPr>
          <w:rFonts w:ascii="Arial" w:cs="Arial" w:eastAsia="Arial" w:hAnsi="Arial"/>
          <w:sz w:val="17"/>
          <w:szCs w:val="17"/>
          <w:color w:val="auto"/>
        </w:rPr>
        <w:t>Agreements to Lease: (i) Altona, VIC, (ii) Traralgon, VIC, and (iii) South City Square in Brisbane, QLD. We have an agreement with our Altona landlord in the State of Victoria to extend that cinema fit-out handover date. Based on our agreement, the potential opening date of that new cinema will likely be delayed until mid-2021. With respect to our Traralgon cinema in the State of Victoria, the landlord has been delayed in turning over the space for cinema fit-out and discussions about the tenancy and scheduling are ongoing. We anticipate that the cinema in Traralgon will open in 2021. We expect hand-over from the landlord of South City Square early in 2022, with an opening by mid-year.</w:t>
      </w:r>
    </w:p>
    <w:p>
      <w:pPr>
        <w:spacing w:after="0" w:line="149"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Our focus with respect to new cinemas includes state-of-the-art projection and sound, luxury recliner seating, enhanced F&amp;B (typically including alcohol service), and typically at least one major TITAN-type presentation screen. Our focus is on providing best-in-class services and amenities that will differentiate us from in-home and mobile viewing options. We believe that a night at the movies should be a special and premium experience and, indeed, that it must be able to compete with the variety of options being offered to consumers through other platforms.</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During 2021, we will continue to focus on the enhancement of our proprietary online ticketing capabilities and social media interfaces. These are intended to enhance the convenience of our offerings and to promote guest affinity with the experiences and products that we are offering. We will also be focusing on post-COVID-19 technology improvements to facilitate improved social distancing and contactless experiences. Further, expanding our online capabilities, in the third quarter of 2020, we launched the online ordering of a limited F&amp;B menu for our Angelika brand in the U.S. and will expand to other brands during the 2021. In December 2020, we launched our very own streaming service, Angelika Anywhere, in the U.S. which is curated for film lovers of independent and foreign film, documentaries, and the more specialized movies from the major studios. We will be expanding to Australia and New Zealand in 2021.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Cinema 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Temporary</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of the end of the first quarter of 2020, all of our cinemas in the United States, Australia, and New Zealand were temporarily closed in accordance with the directions and recommendations of the relevant local, state, and federal authorities relating to the COVID-19 pandemic. As the COVID-19 pandemic outbreak has been largely contained in most areas in Australia and New Zealand, and the restrictions have been reduced by local government authorities, we have reopened in those jurisdictions. As of the date of this Report, we have reopened 92% of our Australian cinema circuit and all of our New Zealand circuit with the exception of our Reading Cinemas at Courtenay Central, which remains temporarily closed due to seismic concerns. In the U.S., as of the date of this Report, we have reopened 79% of our theaters. We expect to announce reopening dates for our other cinemas in the U.S. once local government restrictions permit the opening of movie theaters and new film product is available.</w:t>
      </w:r>
    </w:p>
    <w:p>
      <w:pPr>
        <w:spacing w:after="0" w:line="14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 January 2019, we temporarily closed our Courtenay Central cinema in Wellington, New Zealand. This temporary closure is related to seismic concerns and is currently ongoing. While we continue to advance our planning for the center and have continued conversations with consultants, potential tenants, and city representatives, given the uncertainty surrounding the COVID-19 pandemic, we have no fixed time frame for the commencement of the redevelopment of this property.</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December 2019, we temporarily closed our Consolidated Theatres at the Kahala Mall in Honolulu for a top-to-bottom renovation, a closure that is currently ongoing. The renovation has not yet been completed and our construction has been effectively halted by the governmental restrictions imposed on us as a result of the COVID-19 pandemic. When reopened, the theatre will feature recliner seating throughout along with a state-of-the-art kitchen and an elevated F&amp;B menu.</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Some of our cinemas have encountered new competition, and we believe that others will benefit from planned refurbishment and upgrading. The scope, extent, and timing of such refurbishment and upgrading will be necessarily impacted by our need to preserve capital and liquidity while we work through the various challenges posed by the ongoing COVID-19 pandemic.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operating properties consisted of the following:</w:t>
      </w:r>
    </w:p>
    <w:p>
      <w:pPr>
        <w:spacing w:after="0" w:line="77"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Newmarket Village (Brisbane area, QLD), Cannon Park (Townsville, QLD), The Belmont Common (Perth area, WA), Auburn Redyard (Sydney area, NSW), and Courtenay Central (Wellington area, NZ);</w:t>
      </w:r>
    </w:p>
    <w:p>
      <w:pPr>
        <w:spacing w:after="0" w:line="22" w:lineRule="exact"/>
        <w:rPr>
          <w:sz w:val="20"/>
          <w:szCs w:val="20"/>
          <w:color w:val="auto"/>
        </w:rPr>
      </w:pPr>
    </w:p>
    <w:p>
      <w:pPr>
        <w:ind w:left="660" w:right="720"/>
        <w:spacing w:after="0" w:line="261" w:lineRule="auto"/>
        <w:rPr>
          <w:sz w:val="20"/>
          <w:szCs w:val="20"/>
          <w:color w:val="auto"/>
        </w:rPr>
      </w:pPr>
      <w:r>
        <w:rPr>
          <w:rFonts w:ascii="Arial" w:cs="Arial" w:eastAsia="Arial" w:hAnsi="Arial"/>
          <w:sz w:val="18"/>
          <w:szCs w:val="18"/>
          <w:color w:val="auto"/>
        </w:rPr>
        <w:t>two single-auditorium live theatres in Manhattan (Minetta Lane and Orpheum) and a four-auditorium live theatre complex, including the accompanying ancillary retail and commercial tenant, in Chicago (The Royal George);</w:t>
      </w:r>
    </w:p>
    <w:p>
      <w:pPr>
        <w:spacing w:after="0" w:line="36" w:lineRule="exact"/>
        <w:rPr>
          <w:sz w:val="20"/>
          <w:szCs w:val="20"/>
          <w:color w:val="auto"/>
        </w:rPr>
      </w:pPr>
    </w:p>
    <w:p>
      <w:pPr>
        <w:ind w:left="660" w:right="580"/>
        <w:spacing w:after="0" w:line="371" w:lineRule="auto"/>
        <w:rPr>
          <w:sz w:val="20"/>
          <w:szCs w:val="20"/>
          <w:color w:val="auto"/>
        </w:rPr>
      </w:pPr>
      <w:r>
        <w:rPr>
          <w:rFonts w:ascii="Arial" w:cs="Arial" w:eastAsia="Arial" w:hAnsi="Arial"/>
          <w:sz w:val="18"/>
          <w:szCs w:val="18"/>
          <w:color w:val="auto"/>
        </w:rPr>
        <w:t>our worldwide headquarters’ building in Culver City, California and our Australian corporate office building in Melbourne, Australia; and, the ancillary retail and commercial tenants at some of our non-ETC cinema properties.</w:t>
      </w:r>
    </w:p>
    <w:p>
      <w:pPr>
        <w:spacing w:after="0" w:line="49"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At the start of the spread of the COVID-19 pandemic, varied trading restrictions, some enforced by the government, affected many of our tenants at our ETC’s in Australia and New Zealand. Although there were varied trading restrictions, most of these properties remained open for business through the COVID-19 crisis. As of the date of this Report, the majority of our tenants are currently open for business at our Australian and New Zealand properties with continued health and safety measures in place. Most of the rentable retail portions of our Courtenay Central location in New Zealand continue to be closed since January 2019 due to seismic concerns, however, two tenants remain open and are trading as of the date of this Report.</w:t>
      </w:r>
    </w:p>
    <w:p>
      <w:pPr>
        <w:spacing w:after="0" w:line="134" w:lineRule="exact"/>
        <w:rPr>
          <w:sz w:val="20"/>
          <w:szCs w:val="20"/>
          <w:color w:val="auto"/>
        </w:rPr>
      </w:pPr>
    </w:p>
    <w:p>
      <w:pPr>
        <w:jc w:val="both"/>
        <w:ind w:right="100"/>
        <w:spacing w:after="0" w:line="225" w:lineRule="auto"/>
        <w:rPr>
          <w:sz w:val="20"/>
          <w:szCs w:val="20"/>
          <w:color w:val="auto"/>
        </w:rPr>
      </w:pPr>
      <w:r>
        <w:rPr>
          <w:rFonts w:ascii="Arial" w:cs="Arial" w:eastAsia="Arial" w:hAnsi="Arial"/>
          <w:sz w:val="18"/>
          <w:szCs w:val="18"/>
          <w:color w:val="auto"/>
        </w:rPr>
        <w:t>In addition, as of December 31, 2020, we had various parcels of unimproved real estate held for sale in Manukau, New Zealand and Coachella, California, various unimproved real estate held development in connection with existing ETCs in Australia and New Zealand, and properties (located principally in Pennsylvania) used in our legacy activities.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Our key real estate transactions over the past three years ended December 31, 2020 were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Acquisitions</w:t>
      </w:r>
    </w:p>
    <w:p>
      <w:pPr>
        <w:spacing w:after="0" w:line="77" w:lineRule="exact"/>
        <w:rPr>
          <w:sz w:val="20"/>
          <w:szCs w:val="20"/>
          <w:color w:val="auto"/>
        </w:rPr>
      </w:pPr>
    </w:p>
    <w:p>
      <w:pPr>
        <w:jc w:val="both"/>
        <w:ind w:left="660" w:right="100"/>
        <w:spacing w:after="0" w:line="235" w:lineRule="auto"/>
        <w:rPr>
          <w:sz w:val="20"/>
          <w:szCs w:val="20"/>
          <w:color w:val="auto"/>
        </w:rPr>
      </w:pPr>
      <w:r>
        <w:rPr>
          <w:rFonts w:ascii="Arial" w:cs="Arial" w:eastAsia="Arial" w:hAnsi="Arial"/>
          <w:sz w:val="18"/>
          <w:szCs w:val="18"/>
          <w:i w:val="1"/>
          <w:iCs w:val="1"/>
          <w:u w:val="single" w:color="auto"/>
          <w:color w:val="auto"/>
        </w:rPr>
        <w:t>Purchase of Land in Townsville,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 On June 13, 2018, we acquired a 163,000 square foot parcel at our Cannon Park ETC,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restructuring of our relationship with the adjacent landowner. Prior to the restructuring, this parcel was commonly owned by us and the adjoining landowner. In the restructuring, the adjoining landowner conveyed to us their interest in the parcel for AU$1. In return, we granted the adjoining landowner certain access rights.</w:t>
      </w:r>
    </w:p>
    <w:p>
      <w:pPr>
        <w:spacing w:after="0" w:line="40" w:lineRule="exact"/>
        <w:rPr>
          <w:sz w:val="20"/>
          <w:szCs w:val="20"/>
          <w:color w:val="auto"/>
        </w:rPr>
      </w:pPr>
    </w:p>
    <w:p>
      <w:pPr>
        <w:ind w:left="660" w:right="80"/>
        <w:spacing w:after="0" w:line="231" w:lineRule="auto"/>
        <w:rPr>
          <w:sz w:val="20"/>
          <w:szCs w:val="20"/>
          <w:color w:val="auto"/>
        </w:rPr>
      </w:pPr>
      <w:r>
        <w:rPr>
          <w:rFonts w:ascii="Arial" w:cs="Arial" w:eastAsia="Arial" w:hAnsi="Arial"/>
          <w:sz w:val="18"/>
          <w:szCs w:val="18"/>
          <w:i w:val="1"/>
          <w:iCs w:val="1"/>
          <w:u w:val="single" w:color="auto"/>
          <w:color w:val="auto"/>
        </w:rPr>
        <w:t>Purchase of Property in Auburn,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 On June 28, 2018, we added 21,000 square feet of land, improved with a 17,000 square foot office</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to our Auburn Redyard ETC. The property was acquired at auction for $3.5 million (AU$4.5 million) and is bordered by our existing ETC on three sides. The property is leased to Telstra through July 2022. With this acquisition, Auburn Redyard now represents approximately 519,000 square feet of land, with approximately 2,000 feet of uninterrupted frontage to Parramatta Road, a major Sydney arterial motorway. This asset was listed for sale in January 2021.</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i w:val="1"/>
          <w:iCs w:val="1"/>
          <w:u w:val="single" w:color="auto"/>
          <w:color w:val="auto"/>
        </w:rPr>
        <w:t>Exercise of Option to Acquire Ground Lessee’s interest in Ground Lease and Improvements Constituting the Village East Cinema</w:t>
      </w:r>
      <w:r>
        <w:rPr>
          <w:rFonts w:ascii="Arial" w:cs="Arial" w:eastAsia="Arial" w:hAnsi="Arial"/>
          <w:sz w:val="16"/>
          <w:szCs w:val="16"/>
          <w:i w:val="1"/>
          <w:iCs w:val="1"/>
          <w:color w:val="auto"/>
        </w:rPr>
        <w:t xml:space="preserve"> – </w:t>
      </w:r>
      <w:r>
        <w:rPr>
          <w:rFonts w:ascii="Arial" w:cs="Arial" w:eastAsia="Arial" w:hAnsi="Arial"/>
          <w:sz w:val="16"/>
          <w:szCs w:val="16"/>
          <w:color w:val="auto"/>
        </w:rPr>
        <w:t>On August 28,</w:t>
      </w:r>
    </w:p>
    <w:p>
      <w:pPr>
        <w:spacing w:after="0" w:line="35" w:lineRule="exact"/>
        <w:rPr>
          <w:sz w:val="20"/>
          <w:szCs w:val="20"/>
          <w:color w:val="auto"/>
        </w:rPr>
      </w:pPr>
    </w:p>
    <w:p>
      <w:pPr>
        <w:jc w:val="both"/>
        <w:ind w:left="660"/>
        <w:spacing w:after="0" w:line="238" w:lineRule="auto"/>
        <w:rPr>
          <w:sz w:val="20"/>
          <w:szCs w:val="20"/>
          <w:color w:val="auto"/>
        </w:rPr>
      </w:pPr>
      <w:r>
        <w:rPr>
          <w:rFonts w:ascii="Arial" w:cs="Arial" w:eastAsia="Arial" w:hAnsi="Arial"/>
          <w:sz w:val="17"/>
          <w:szCs w:val="17"/>
          <w:color w:val="auto"/>
        </w:rPr>
        <w:t>2019, we exercised our option to acquire the ground lessee’s interest in the ground lease underlying and the real property assets constituting our Village East Cinema in Manhattan. The purchase price under the option is $5.9 million. It was initially agreed that the transaction would close on or about May 31, 2021. On March 29, 2021, we extended this closing date to January 1, 2023. As the transaction is a related party transaction, it was reviewed and approved by our Board’s Audit and Conflicts Committee and supported by a third-party valuation, which showed substantial value in the option and, upon closing, will result in an annual rent savings of $590,000.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Asset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77" w:lineRule="exact"/>
        <w:rPr>
          <w:sz w:val="20"/>
          <w:szCs w:val="20"/>
          <w:color w:val="auto"/>
        </w:rPr>
      </w:pPr>
    </w:p>
    <w:p>
      <w:pPr>
        <w:ind w:left="660" w:right="140"/>
        <w:spacing w:after="0" w:line="261" w:lineRule="auto"/>
        <w:rPr>
          <w:sz w:val="20"/>
          <w:szCs w:val="20"/>
          <w:color w:val="auto"/>
        </w:rPr>
      </w:pPr>
      <w:r>
        <w:rPr>
          <w:rFonts w:ascii="Arial" w:cs="Arial" w:eastAsia="Arial" w:hAnsi="Arial"/>
          <w:sz w:val="18"/>
          <w:szCs w:val="18"/>
          <w:i w:val="1"/>
          <w:iCs w:val="1"/>
          <w:u w:val="single" w:color="auto"/>
          <w:color w:val="auto"/>
        </w:rPr>
        <w:t>Sale of Landholding in Coachella, California</w:t>
      </w:r>
      <w:r>
        <w:rPr>
          <w:rFonts w:ascii="Arial" w:cs="Arial" w:eastAsia="Arial" w:hAnsi="Arial"/>
          <w:sz w:val="18"/>
          <w:szCs w:val="18"/>
          <w:i w:val="1"/>
          <w:iCs w:val="1"/>
          <w:color w:val="auto"/>
        </w:rPr>
        <w:t xml:space="preserve"> – </w:t>
      </w:r>
      <w:r>
        <w:rPr>
          <w:rFonts w:ascii="Arial" w:cs="Arial" w:eastAsia="Arial" w:hAnsi="Arial"/>
          <w:sz w:val="18"/>
          <w:szCs w:val="18"/>
          <w:color w:val="auto"/>
        </w:rPr>
        <w:t>This non-income producing land was sold on March 5, 2021 for $11.0 million, and our share was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w:t>
      </w:r>
    </w:p>
    <w:p>
      <w:pPr>
        <w:spacing w:after="0" w:line="77"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i w:val="1"/>
          <w:iCs w:val="1"/>
          <w:u w:val="single" w:color="auto"/>
          <w:color w:val="auto"/>
        </w:rPr>
        <w:t>Sale of Landholding in Manukau/Wiri,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 This non-income producing land was sold on March 4, 2021 for NZ$77.2 million (US$56.1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Value-creating Opportunities</w:t>
      </w:r>
    </w:p>
    <w:p>
      <w:pPr>
        <w:spacing w:after="0" w:line="171"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 implementation of most of our real estate development plans have been delayed due to COVID-19 and the need to conserve capital. However, we continue to believe that our Company’s strong real estate asset base will provide (i) increased financial security through the potential sale of certain non-core real estate assets or (ii) provide collateral for strategic re-financing, in each case to meet liquidity demands. We intend to continue to emphasize the prudent development of our real estate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74" w:lineRule="exact"/>
        <w:rPr>
          <w:sz w:val="20"/>
          <w:szCs w:val="20"/>
          <w:color w:val="auto"/>
        </w:rPr>
      </w:pPr>
    </w:p>
    <w:p>
      <w:pPr>
        <w:jc w:val="both"/>
        <w:ind w:left="660"/>
        <w:spacing w:after="0" w:line="260" w:lineRule="auto"/>
        <w:rPr>
          <w:sz w:val="20"/>
          <w:szCs w:val="20"/>
          <w:color w:val="auto"/>
        </w:rPr>
      </w:pPr>
      <w:r>
        <w:rPr>
          <w:rFonts w:ascii="Arial" w:cs="Arial" w:eastAsia="Arial" w:hAnsi="Arial"/>
          <w:sz w:val="17"/>
          <w:szCs w:val="17"/>
          <w:i w:val="1"/>
          <w:iCs w:val="1"/>
          <w:u w:val="single" w:color="auto"/>
          <w:color w:val="auto"/>
        </w:rPr>
        <w:t>Sepulveda Office Building (Culver City, U.S.)</w:t>
      </w:r>
      <w:r>
        <w:rPr>
          <w:rFonts w:ascii="Arial" w:cs="Arial" w:eastAsia="Arial" w:hAnsi="Arial"/>
          <w:sz w:val="17"/>
          <w:szCs w:val="17"/>
          <w:i w:val="1"/>
          <w:iCs w:val="1"/>
          <w:color w:val="auto"/>
        </w:rPr>
        <w:t xml:space="preserve"> </w:t>
      </w:r>
      <w:r>
        <w:rPr>
          <w:rFonts w:ascii="Arial" w:cs="Arial" w:eastAsia="Arial" w:hAnsi="Arial"/>
          <w:sz w:val="18"/>
          <w:szCs w:val="18"/>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May 27, 2020, we leased on a multi-year basis the entire second floor of our headquarter</w:t>
      </w:r>
      <w:r>
        <w:rPr>
          <w:rFonts w:ascii="Arial" w:cs="Arial" w:eastAsia="Arial" w:hAnsi="Arial"/>
          <w:sz w:val="17"/>
          <w:szCs w:val="17"/>
          <w:i w:val="1"/>
          <w:iCs w:val="1"/>
          <w:color w:val="auto"/>
        </w:rPr>
        <w:t xml:space="preserve"> </w:t>
      </w:r>
      <w:r>
        <w:rPr>
          <w:rFonts w:ascii="Arial" w:cs="Arial" w:eastAsia="Arial" w:hAnsi="Arial"/>
          <w:sz w:val="17"/>
          <w:szCs w:val="17"/>
          <w:color w:val="auto"/>
        </w:rPr>
        <w:t>building in Culver City, California (approximately 12,000 usable square feet) to WWP Beauty (wwpinc.com), a global company with over 35 years of experience providing the cosmetics and personal care industries with a range of packaging needs. On the date of the lease, possession of the space was turned over to WWP Beauty, which is responsible for building out its space. During the second quarter of 2020, rent commenced on a straight-line basis. Tenant improvements commenced in January 2021 and should be completed by April 2021.</w:t>
      </w:r>
    </w:p>
    <w:p>
      <w:pPr>
        <w:spacing w:after="0" w:line="200" w:lineRule="exact"/>
        <w:rPr>
          <w:sz w:val="20"/>
          <w:szCs w:val="20"/>
          <w:color w:val="auto"/>
        </w:rPr>
      </w:pPr>
    </w:p>
    <w:p>
      <w:pPr>
        <w:spacing w:after="0" w:line="216"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i w:val="1"/>
          <w:iCs w:val="1"/>
          <w:u w:val="single" w:color="auto"/>
          <w:color w:val="auto"/>
        </w:rPr>
        <w:t>44 Union Square Redevelopment (New York City, U.S.)</w:t>
      </w:r>
      <w:r>
        <w:rPr>
          <w:rFonts w:ascii="Arial" w:cs="Arial" w:eastAsia="Arial" w:hAnsi="Arial"/>
          <w:sz w:val="16"/>
          <w:szCs w:val="16"/>
          <w:i w:val="1"/>
          <w:iCs w:val="1"/>
          <w:color w:val="auto"/>
        </w:rPr>
        <w:t xml:space="preserve"> </w:t>
      </w:r>
      <w:r>
        <w:rPr>
          <w:rFonts w:ascii="Arial" w:cs="Arial" w:eastAsia="Arial" w:hAnsi="Arial"/>
          <w:sz w:val="16"/>
          <w:szCs w:val="16"/>
          <w:color w:val="auto"/>
        </w:rPr>
        <w:t>– Historically known as Tammany Hall, this building with approximately 73,000 square</w:t>
      </w:r>
      <w:r>
        <w:rPr>
          <w:rFonts w:ascii="Arial" w:cs="Arial" w:eastAsia="Arial" w:hAnsi="Arial"/>
          <w:sz w:val="16"/>
          <w:szCs w:val="16"/>
          <w:i w:val="1"/>
          <w:iCs w:val="1"/>
          <w:color w:val="auto"/>
        </w:rPr>
        <w:t xml:space="preserve"> </w:t>
      </w:r>
      <w:r>
        <w:rPr>
          <w:rFonts w:ascii="Arial" w:cs="Arial" w:eastAsia="Arial" w:hAnsi="Arial"/>
          <w:sz w:val="16"/>
          <w:szCs w:val="16"/>
          <w:color w:val="auto"/>
        </w:rPr>
        <w:t>feet of net rentable area overlooks Manhattan’s Union Square. During the COVID-19 pandemic, New York City shutdown non-essential construction and business, including construction work at our site. However, the construction of the improvements necessary to obtain a core and shell temporary certificate of occupancy were substantially completed prior to the shutdown. On July 1, 2020, the site reopened for construction activities, and on August 31, 2020, we received a temporary certificate of occupancy for the core and shell of the building.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jc w:val="both"/>
        <w:ind w:left="660"/>
        <w:spacing w:after="0" w:line="242" w:lineRule="auto"/>
        <w:rPr>
          <w:sz w:val="20"/>
          <w:szCs w:val="20"/>
          <w:color w:val="auto"/>
        </w:rPr>
      </w:pPr>
      <w:r>
        <w:rPr>
          <w:rFonts w:ascii="Arial" w:cs="Arial" w:eastAsia="Arial" w:hAnsi="Arial"/>
          <w:sz w:val="17"/>
          <w:szCs w:val="17"/>
          <w:color w:val="auto"/>
        </w:rPr>
        <w:t xml:space="preserve">Our leasing team continues to pursue potential tenants. This building, hailed as a dramatic </w:t>
      </w:r>
      <w:r>
        <w:rPr>
          <w:rFonts w:ascii="Arial" w:cs="Arial" w:eastAsia="Arial" w:hAnsi="Arial"/>
          <w:sz w:val="17"/>
          <w:szCs w:val="17"/>
          <w:i w:val="1"/>
          <w:iCs w:val="1"/>
          <w:color w:val="auto"/>
        </w:rPr>
        <w:t>pièce de résistance</w:t>
      </w:r>
      <w:r>
        <w:rPr>
          <w:rFonts w:ascii="Arial" w:cs="Arial" w:eastAsia="Arial" w:hAnsi="Arial"/>
          <w:sz w:val="17"/>
          <w:szCs w:val="17"/>
          <w:color w:val="auto"/>
        </w:rPr>
        <w:t xml:space="preserve"> with its first in the city, over 800-piece glass dome, brings the future to New York’s fabled past and was awarded in 2020 the ENR New York’s Best Projects awards for Renovation/Restoration and for Safety. We believe 44 Union Square is attractive to potential tenants interested in both (i) operating in New York City and (ii) seeking to have greater control over the size and design of their spaces in a post-COVID-19 environment. It is one of a very limited number of “brandable” sites available for lease in New York City and can be delivered immediately upon the execution of leases.</w:t>
      </w:r>
    </w:p>
    <w:p>
      <w:pPr>
        <w:spacing w:after="0" w:line="229" w:lineRule="exact"/>
        <w:rPr>
          <w:sz w:val="20"/>
          <w:szCs w:val="20"/>
          <w:color w:val="auto"/>
        </w:rPr>
      </w:pPr>
    </w:p>
    <w:p>
      <w:pPr>
        <w:jc w:val="both"/>
        <w:ind w:left="660"/>
        <w:spacing w:after="0"/>
        <w:rPr>
          <w:sz w:val="20"/>
          <w:szCs w:val="20"/>
          <w:color w:val="auto"/>
        </w:rPr>
      </w:pPr>
      <w:r>
        <w:rPr>
          <w:rFonts w:ascii="Arial" w:cs="Arial" w:eastAsia="Arial" w:hAnsi="Arial"/>
          <w:sz w:val="17"/>
          <w:szCs w:val="17"/>
          <w:i w:val="1"/>
          <w:iCs w:val="1"/>
          <w:u w:val="single" w:color="auto"/>
          <w:color w:val="auto"/>
        </w:rPr>
        <w:t>Minetta Lane Theatre (New York City, U.S.</w:t>
      </w:r>
      <w:r>
        <w:rPr>
          <w:rFonts w:ascii="Arial" w:cs="Arial" w:eastAsia="Arial" w:hAnsi="Arial"/>
          <w:sz w:val="17"/>
          <w:szCs w:val="17"/>
          <w:i w:val="1"/>
          <w:iCs w:val="1"/>
          <w:color w:val="auto"/>
        </w:rPr>
        <w:t xml:space="preserve">) </w:t>
      </w:r>
      <w:r>
        <w:rPr>
          <w:rFonts w:ascii="Arial" w:cs="Arial" w:eastAsia="Arial" w:hAnsi="Arial"/>
          <w:sz w:val="17"/>
          <w:szCs w:val="17"/>
          <w:color w:val="auto"/>
        </w:rPr>
        <w:t>– Prior to COVID-19, our theatre was used by Audible, a subsidiary of Amazon, to present plays</w:t>
      </w:r>
      <w:r>
        <w:rPr>
          <w:rFonts w:ascii="Arial" w:cs="Arial" w:eastAsia="Arial" w:hAnsi="Arial"/>
          <w:sz w:val="17"/>
          <w:szCs w:val="17"/>
          <w:i w:val="1"/>
          <w:iCs w:val="1"/>
          <w:color w:val="auto"/>
        </w:rPr>
        <w:t xml:space="preserve"> </w:t>
      </w:r>
      <w:r>
        <w:rPr>
          <w:rFonts w:ascii="Arial" w:cs="Arial" w:eastAsia="Arial" w:hAnsi="Arial"/>
          <w:sz w:val="17"/>
          <w:szCs w:val="17"/>
          <w:color w:val="auto"/>
        </w:rPr>
        <w:t>featuring a limited cast of one or two characters and special live performance engagements, which it recorded and made available to the public through the Audible streaming service. Due to COVID-19, no shows have been presented since March 2020 and the theatre remains closed to the public until further instruction from local government authorities. In late 2019, we completed an initial feasibility study for the potential redevelopment of this asset. We will refocus our efforts on this project at a later date when New York City begins to show signs of recovery from the impacts of the COVID-19 pandemic. In the interim, we will continue our license arrangement with Audible.</w:t>
      </w:r>
    </w:p>
    <w:p>
      <w:pPr>
        <w:spacing w:after="0" w:line="339" w:lineRule="exact"/>
        <w:rPr>
          <w:sz w:val="20"/>
          <w:szCs w:val="20"/>
          <w:color w:val="auto"/>
        </w:rPr>
      </w:pPr>
    </w:p>
    <w:p>
      <w:pPr>
        <w:jc w:val="both"/>
        <w:ind w:left="660"/>
        <w:spacing w:after="0" w:line="246" w:lineRule="auto"/>
        <w:rPr>
          <w:sz w:val="20"/>
          <w:szCs w:val="20"/>
          <w:color w:val="auto"/>
        </w:rPr>
      </w:pPr>
      <w:r>
        <w:rPr>
          <w:rFonts w:ascii="Arial" w:cs="Arial" w:eastAsia="Arial" w:hAnsi="Arial"/>
          <w:sz w:val="17"/>
          <w:szCs w:val="17"/>
          <w:i w:val="1"/>
          <w:iCs w:val="1"/>
          <w:u w:val="single" w:color="auto"/>
          <w:color w:val="auto"/>
        </w:rPr>
        <w:t>Cinemas 1,2,3 Redevelopment (New York City, U.S.)</w:t>
      </w:r>
      <w:r>
        <w:rPr>
          <w:rFonts w:ascii="Arial" w:cs="Arial" w:eastAsia="Arial" w:hAnsi="Arial"/>
          <w:sz w:val="17"/>
          <w:szCs w:val="17"/>
          <w:i w:val="1"/>
          <w:iCs w:val="1"/>
          <w:color w:val="auto"/>
        </w:rPr>
        <w:t xml:space="preserve"> </w:t>
      </w:r>
      <w:r>
        <w:rPr>
          <w:rFonts w:ascii="Arial" w:cs="Arial" w:eastAsia="Arial" w:hAnsi="Arial"/>
          <w:sz w:val="17"/>
          <w:szCs w:val="17"/>
          <w:color w:val="auto"/>
        </w:rPr>
        <w:t>– Given the closure of our two cinemas in New York City’s Upper East Side,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to continue to operate this location as a cinema for at least the near term. We are pursuing a rezoning of this property so as to allow us to continue our cinema use as a part of any such redevelopment. However, all other redevelopment activity related to this location has been suspended, until we are able to develop a better understanding of the ongoing effects of COVID-19 on our assets and the market.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77"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i w:val="1"/>
          <w:iCs w:val="1"/>
          <w:u w:val="single" w:color="auto"/>
          <w:color w:val="auto"/>
        </w:rPr>
        <w:t>Expansion Project for Newmarket Village located in an affluent suburb of Brisbane, Australia</w:t>
      </w:r>
      <w:r>
        <w:rPr>
          <w:rFonts w:ascii="Arial" w:cs="Arial" w:eastAsia="Arial" w:hAnsi="Arial"/>
          <w:sz w:val="16"/>
          <w:szCs w:val="16"/>
          <w:i w:val="1"/>
          <w:iCs w:val="1"/>
          <w:color w:val="auto"/>
        </w:rPr>
        <w:t xml:space="preserve"> </w:t>
      </w:r>
      <w:r>
        <w:rPr>
          <w:rFonts w:ascii="Arial" w:cs="Arial" w:eastAsia="Arial" w:hAnsi="Arial"/>
          <w:sz w:val="16"/>
          <w:szCs w:val="16"/>
          <w:color w:val="auto"/>
        </w:rPr>
        <w:t>– In November 2015, we acquired a separate parcel</w:t>
      </w:r>
      <w:r>
        <w:rPr>
          <w:rFonts w:ascii="Arial" w:cs="Arial" w:eastAsia="Arial" w:hAnsi="Arial"/>
          <w:sz w:val="16"/>
          <w:szCs w:val="16"/>
          <w:i w:val="1"/>
          <w:iCs w:val="1"/>
          <w:color w:val="auto"/>
        </w:rPr>
        <w:t xml:space="preserve"> </w:t>
      </w:r>
      <w:r>
        <w:rPr>
          <w:rFonts w:ascii="Arial" w:cs="Arial" w:eastAsia="Arial" w:hAnsi="Arial"/>
          <w:sz w:val="16"/>
          <w:szCs w:val="16"/>
          <w:color w:val="auto"/>
        </w:rPr>
        <w:t>adjacent to our tenant, Coles supermarket. This property is currently improved with an office building, which is now fully leased. These leases have early development provisions allowing us to terminate these arrangements in connection with a redevelopment of the property. We intend to ultimately demolish this office building and to integrate this parcel into Newmarket Village. Newmarket Village is approximately 98% leased.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w:t>
      </w:r>
    </w:p>
    <w:p>
      <w:pPr>
        <w:spacing w:after="0" w:line="77" w:lineRule="exact"/>
        <w:rPr>
          <w:sz w:val="20"/>
          <w:szCs w:val="20"/>
          <w:color w:val="auto"/>
        </w:rPr>
      </w:pPr>
    </w:p>
    <w:p>
      <w:pPr>
        <w:ind w:left="660" w:right="140"/>
        <w:spacing w:after="0"/>
        <w:rPr>
          <w:sz w:val="20"/>
          <w:szCs w:val="20"/>
          <w:color w:val="auto"/>
        </w:rPr>
      </w:pPr>
      <w:r>
        <w:rPr>
          <w:rFonts w:ascii="Arial" w:cs="Arial" w:eastAsia="Arial" w:hAnsi="Arial"/>
          <w:sz w:val="17"/>
          <w:szCs w:val="17"/>
          <w:i w:val="1"/>
          <w:iCs w:val="1"/>
          <w:u w:val="single" w:color="auto"/>
          <w:color w:val="auto"/>
        </w:rPr>
        <w:t>Courtenay Central Redevelopment (Wellington, New Zealand)</w:t>
      </w:r>
      <w:r>
        <w:rPr>
          <w:rFonts w:ascii="Arial" w:cs="Arial" w:eastAsia="Arial" w:hAnsi="Arial"/>
          <w:sz w:val="17"/>
          <w:szCs w:val="17"/>
          <w:i w:val="1"/>
          <w:iCs w:val="1"/>
          <w:color w:val="auto"/>
        </w:rPr>
        <w:t xml:space="preserve"> </w:t>
      </w:r>
      <w:r>
        <w:rPr>
          <w:rFonts w:ascii="Arial" w:cs="Arial" w:eastAsia="Arial" w:hAnsi="Arial"/>
          <w:sz w:val="17"/>
          <w:szCs w:val="17"/>
          <w:color w:val="auto"/>
        </w:rPr>
        <w:t>– Located in the heart of Wellington – New Zealand’s capital city – our Courtenay</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property covers, on a consolidated basis through various subsidiaries, 161,071 square feet of land situated proximate to (i) the Te Papa Tongarewa Museum (attracting over 1.5 million visitors annually, pre-COVID), and (ii) across the street from the site of the future Wellington Convention and Exhibition Centre (wcec.co.nz), the capital’s first premium conference and exhibition space, which is due to be completed in 2023. Despite the COVID-19 pandemic, construction for this major public project has resumed and plans include the creation of a public concourse linking through to Wakefield Street, which is across the street from our Courtenay Central project.</w:t>
      </w:r>
    </w:p>
    <w:p>
      <w:pPr>
        <w:spacing w:after="0" w:line="42" w:lineRule="exact"/>
        <w:rPr>
          <w:sz w:val="20"/>
          <w:szCs w:val="20"/>
          <w:color w:val="auto"/>
        </w:rPr>
      </w:pPr>
    </w:p>
    <w:p>
      <w:pPr>
        <w:ind w:left="660" w:right="380"/>
        <w:spacing w:after="0" w:line="261" w:lineRule="auto"/>
        <w:rPr>
          <w:sz w:val="20"/>
          <w:szCs w:val="20"/>
          <w:color w:val="auto"/>
        </w:rPr>
      </w:pPr>
      <w:r>
        <w:rPr>
          <w:rFonts w:ascii="Arial" w:cs="Arial" w:eastAsia="Arial" w:hAnsi="Arial"/>
          <w:sz w:val="16"/>
          <w:szCs w:val="16"/>
          <w:color w:val="auto"/>
        </w:rPr>
        <w:t>As previously reported, damage from the 2016 Kaikoura earthquake necessitated demolition of our nine-story parking garage at the site, and unrelated seismic issues caused us to close major portions of the existing cinema and retail structure in early 2019. Prior to the COVID-19 pandemic, the real estate team had developed a comprehensive plan featuring a variety of uses to complement and build upon the “destination quality” of the Courtenay Central location. Notwithstanding the COVID-19 pandemic, our real estate team is continuing to work with our consultants, potential tenants, and city representatives to advance our redevelopment plans for this property.</w:t>
      </w:r>
    </w:p>
    <w:p>
      <w:pPr>
        <w:spacing w:after="0" w:line="39" w:lineRule="exact"/>
        <w:rPr>
          <w:sz w:val="20"/>
          <w:szCs w:val="20"/>
          <w:color w:val="auto"/>
        </w:rPr>
      </w:pPr>
    </w:p>
    <w:p>
      <w:pPr>
        <w:ind w:left="660" w:right="920"/>
        <w:spacing w:after="0" w:line="246" w:lineRule="auto"/>
        <w:rPr>
          <w:sz w:val="20"/>
          <w:szCs w:val="20"/>
          <w:color w:val="auto"/>
        </w:rPr>
      </w:pPr>
      <w:r>
        <w:rPr>
          <w:rFonts w:ascii="Arial" w:cs="Arial" w:eastAsia="Arial" w:hAnsi="Arial"/>
          <w:sz w:val="18"/>
          <w:szCs w:val="18"/>
          <w:color w:val="auto"/>
        </w:rPr>
        <w:t xml:space="preserve">For a complete list and further details of our value-creating projects, see Part I, Item 2 –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Investment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Property.”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Matters</w:t>
      </w:r>
    </w:p>
    <w:p>
      <w:pPr>
        <w:spacing w:after="0" w:line="202" w:lineRule="exact"/>
        <w:rPr>
          <w:sz w:val="20"/>
          <w:szCs w:val="20"/>
          <w:color w:val="auto"/>
        </w:rPr>
      </w:pPr>
    </w:p>
    <w:p>
      <w:pPr>
        <w:ind w:left="660" w:right="100"/>
        <w:spacing w:after="0" w:line="231" w:lineRule="auto"/>
        <w:rPr>
          <w:sz w:val="20"/>
          <w:szCs w:val="20"/>
          <w:color w:val="auto"/>
        </w:rPr>
      </w:pPr>
      <w:r>
        <w:rPr>
          <w:rFonts w:ascii="Arial" w:cs="Arial" w:eastAsia="Arial" w:hAnsi="Arial"/>
          <w:sz w:val="18"/>
          <w:szCs w:val="18"/>
          <w:i w:val="1"/>
          <w:iCs w:val="1"/>
          <w:u w:val="single" w:color="auto"/>
          <w:color w:val="auto"/>
        </w:rPr>
        <w:t>Stock Repurchase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 On March 10, 2020, our Board of Directors authorized a $25.0 million increase to our 2017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bringing our total authorized repurchase amount remaining to $26.0 million, and extended the program to March 2, 2022. Through December 31, 2020, we have repurchased 1,792,819 shares of Class A Non-Voting Common Stock at an average price of $13.39 per share (excluding transaction costs). Of these, 75,157 shares were purchased during the year ended December 31, 2020, at an average price of $8.92 per share.</w:t>
      </w:r>
    </w:p>
    <w:p>
      <w:pPr>
        <w:spacing w:after="0" w:line="178"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Due to the COVID-19 pandemic and its impact on our overall liquidity, our stock repurchase program has and will likely continue to take a lower capital allocation priority for the foreseeable future.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7" w:name="page48"/>
    <w:bookmarkEnd w:id="47"/>
    <w:p>
      <w:pPr>
        <w:ind w:left="660" w:right="60"/>
        <w:spacing w:after="0" w:line="236" w:lineRule="auto"/>
        <w:rPr>
          <w:sz w:val="20"/>
          <w:szCs w:val="20"/>
          <w:color w:val="auto"/>
        </w:rPr>
      </w:pPr>
      <w:r>
        <w:rPr>
          <w:rFonts w:ascii="Arial" w:cs="Arial" w:eastAsia="Arial" w:hAnsi="Arial"/>
          <w:sz w:val="17"/>
          <w:szCs w:val="17"/>
          <w:i w:val="1"/>
          <w:iCs w:val="1"/>
          <w:u w:val="single" w:color="auto"/>
          <w:color w:val="auto"/>
        </w:rPr>
        <w:t>Board Compensation and Stock Options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 Our Compensation and Stock Options Committee, in early 2020, determined to pay out no</w:t>
      </w:r>
      <w:r>
        <w:rPr>
          <w:rFonts w:ascii="Arial" w:cs="Arial" w:eastAsia="Arial" w:hAnsi="Arial"/>
          <w:sz w:val="17"/>
          <w:szCs w:val="17"/>
          <w:i w:val="1"/>
          <w:iCs w:val="1"/>
          <w:color w:val="auto"/>
        </w:rPr>
        <w:t xml:space="preserve"> </w:t>
      </w:r>
      <w:r>
        <w:rPr>
          <w:rFonts w:ascii="Arial" w:cs="Arial" w:eastAsia="Arial" w:hAnsi="Arial"/>
          <w:sz w:val="17"/>
          <w:szCs w:val="17"/>
          <w:color w:val="auto"/>
        </w:rPr>
        <w:t>cash bonuses, with respect to 2019, to any Company senior executives, including our CEO. Following the expiration of the Reading International, Inc. 2010 Stock Incentive Plan (as amended, the "2010 Plan"), our Board of Directors adopted the Reading International, Inc. 2020 Stock Incentive Plan (the “2020 Plan”), which was approved by our stockholders on December 8, 2020. The aggregate total number of shares of Common Stock authorized for issuance under the 2020 Plan was 1,250,000 shares of Class A Stock and 200,000 shares of Class B Stock. In addition, if any awards that were outstanding under the 2010 Plan are subsequently forfeited or if the related shares are repurchased, a corresponding number of shares will automatically become available for issuance under the 2020 Plan, resulting in an increase in the number of shares available for issuance under the 2020 Plan (up to an additional 1,024,902 shares of Class A Stock). On December 16, 2020, the Board of Directors issued 60,084 non-employee director RSUs and 38,803 option shares to various Board members following the Annual Meeting of Stockholders. On December 14, 2020 and December 16, 2020, the Board and the Compensation Committee issued 54,719 RSUs to various members of the management team and other key employees of the Company in recognition of their service during 2020, which was a challenging year due to the COVID-19 pandemic.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Financing Strategy</w:t>
      </w:r>
    </w:p>
    <w:p>
      <w:pPr>
        <w:spacing w:after="0" w:line="175" w:lineRule="exact"/>
        <w:rPr>
          <w:sz w:val="20"/>
          <w:szCs w:val="20"/>
          <w:color w:val="auto"/>
        </w:rPr>
      </w:pPr>
    </w:p>
    <w:p>
      <w:pPr>
        <w:ind w:left="340" w:right="140"/>
        <w:spacing w:after="0"/>
        <w:rPr>
          <w:sz w:val="20"/>
          <w:szCs w:val="20"/>
          <w:color w:val="auto"/>
        </w:rPr>
      </w:pPr>
      <w:r>
        <w:rPr>
          <w:rFonts w:ascii="Arial" w:cs="Arial" w:eastAsia="Arial" w:hAnsi="Arial"/>
          <w:sz w:val="17"/>
          <w:szCs w:val="17"/>
          <w:color w:val="auto"/>
        </w:rPr>
        <w:t>Prior to the interruptions to our revenues caused by the COVID-19 pandemic, we have used cash generated from operations and other excess cash to the extent not needed to fund capital investments contemplated by our business plan, to pay down our loans and credit facilities. This has provided us with availability under our available loan facilities for future use and thereby, reduced interest charges. On a periodic basis, we have reviewed the maturities of our borrowing arrangements and negotiated renewals and extensions where necessary in the current circumstances. We completed amending and extending various financing arrangements less than two weeks prior to the COVID-19 government mandated shutdowns, which we believe has helped provide the necessary liquidity to see us through the COVID-19 crisis.</w:t>
      </w:r>
    </w:p>
    <w:p>
      <w:pPr>
        <w:spacing w:after="0" w:line="150" w:lineRule="exact"/>
        <w:rPr>
          <w:sz w:val="20"/>
          <w:szCs w:val="20"/>
          <w:color w:val="auto"/>
        </w:rPr>
      </w:pPr>
    </w:p>
    <w:p>
      <w:pPr>
        <w:jc w:val="both"/>
        <w:ind w:left="340" w:right="100"/>
        <w:spacing w:after="0" w:line="246" w:lineRule="auto"/>
        <w:rPr>
          <w:sz w:val="20"/>
          <w:szCs w:val="20"/>
          <w:color w:val="auto"/>
        </w:rPr>
      </w:pPr>
      <w:r>
        <w:rPr>
          <w:rFonts w:ascii="Arial" w:cs="Arial" w:eastAsia="Arial" w:hAnsi="Arial"/>
          <w:sz w:val="17"/>
          <w:szCs w:val="17"/>
          <w:color w:val="auto"/>
        </w:rPr>
        <w:t>In response to the COVID-19 pandemic, the temporary closure of our theaters, and the trading restrictions placed on many of our real estate tenants at our ETCs, we had fully drawn-down on all our available operating lines-of-credit by the end of the first quarter of 2020, to provide future liquidity by the end of the first quarter of 2020. As of December 31, 2020, we had $3.8 million available on our U.S. Credit Facility and have the ability to redraw these funds as Management sees fit as long as the current required liquidity tests continue to be met.</w:t>
      </w:r>
    </w:p>
    <w:p>
      <w:pPr>
        <w:spacing w:after="0" w:line="144" w:lineRule="exact"/>
        <w:rPr>
          <w:sz w:val="20"/>
          <w:szCs w:val="20"/>
          <w:color w:val="auto"/>
        </w:rPr>
      </w:pPr>
    </w:p>
    <w:p>
      <w:pPr>
        <w:ind w:left="340" w:right="760"/>
        <w:spacing w:after="0" w:line="307" w:lineRule="auto"/>
        <w:rPr>
          <w:sz w:val="20"/>
          <w:szCs w:val="20"/>
          <w:color w:val="auto"/>
        </w:rPr>
      </w:pPr>
      <w:r>
        <w:rPr>
          <w:rFonts w:ascii="Arial" w:cs="Arial" w:eastAsia="Arial" w:hAnsi="Arial"/>
          <w:sz w:val="16"/>
          <w:szCs w:val="16"/>
          <w:color w:val="auto"/>
        </w:rPr>
        <w:t xml:space="preserve">For more information about our liquidity and financing strategy, please refer to </w:t>
      </w:r>
      <w:r>
        <w:rPr>
          <w:rFonts w:ascii="Arial" w:cs="Arial" w:eastAsia="Arial" w:hAnsi="Arial"/>
          <w:sz w:val="16"/>
          <w:szCs w:val="16"/>
          <w:i w:val="1"/>
          <w:iCs w:val="1"/>
          <w:color w:val="auto"/>
        </w:rPr>
        <w:t>Note 3 – Impact of COVID-19 Pandemic and Liquidity</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 of America Loan</w:t>
      </w:r>
    </w:p>
    <w:p>
      <w:pPr>
        <w:spacing w:after="0" w:line="171" w:lineRule="exact"/>
        <w:rPr>
          <w:sz w:val="20"/>
          <w:szCs w:val="20"/>
          <w:color w:val="auto"/>
        </w:rPr>
      </w:pPr>
    </w:p>
    <w:p>
      <w:pPr>
        <w:ind w:left="340" w:right="60"/>
        <w:spacing w:after="0" w:line="253" w:lineRule="auto"/>
        <w:rPr>
          <w:sz w:val="20"/>
          <w:szCs w:val="20"/>
          <w:color w:val="auto"/>
        </w:rPr>
      </w:pPr>
      <w:r>
        <w:rPr>
          <w:rFonts w:ascii="Arial" w:cs="Arial" w:eastAsia="Arial" w:hAnsi="Arial"/>
          <w:sz w:val="17"/>
          <w:szCs w:val="17"/>
          <w:color w:val="auto"/>
        </w:rPr>
        <w:t>On March 6, 2020, we (i) entered into an amendment for our $55.0 million credit facility with Bank of America, which supports our U.S. Cinema operations, extending the maturity date to March 6, 2023 and implementing an interest rate of 2.5% - 3.0% dependent on certain financial ratios plus a variable rate and (ii) also extending the term of our $5.0 million line of credit with Bank of America to March 6, 2023.</w:t>
      </w:r>
    </w:p>
    <w:p>
      <w:pPr>
        <w:spacing w:after="0" w:line="138" w:lineRule="exact"/>
        <w:rPr>
          <w:sz w:val="20"/>
          <w:szCs w:val="20"/>
          <w:color w:val="auto"/>
        </w:rPr>
      </w:pPr>
    </w:p>
    <w:p>
      <w:pPr>
        <w:ind w:left="340"/>
        <w:spacing w:after="0" w:line="237" w:lineRule="auto"/>
        <w:rPr>
          <w:sz w:val="20"/>
          <w:szCs w:val="20"/>
          <w:color w:val="auto"/>
        </w:rPr>
      </w:pPr>
      <w:r>
        <w:rPr>
          <w:rFonts w:ascii="Arial" w:cs="Arial" w:eastAsia="Arial" w:hAnsi="Arial"/>
          <w:sz w:val="17"/>
          <w:szCs w:val="17"/>
          <w:color w:val="auto"/>
        </w:rPr>
        <w:t>On August 7, 2020, we entered into a Waiver and Second Amendment to the Second Amended and Restated Credit Agreement (“Amendment”) modifying certain financial covenants within this credit facility and temporarily suspended the testing of certain other covenant tests through measurement period ending September 30, 2021. The testing of the financial covenant resumes for measurement period ending December 31, 2021. The modifications also include new covenants related to maintenance of certain liquidity levels. Under the Amendment, cash balances in excess of $3.0 million will be used to paydown the facility debt. However, this is not a reduction in that credit facility and, subject to the satisfaction of draw down requirements, will be available for re-borrowing. In addition to the covenant modifications, the interest rate on borrowings under this facility was fixed at 3.0% above the “Eurodollar” rate, which itself now has a floor of 1.0%. As of December 31, 2020, we had $3.8 million available under this credit facility. In regard to the line of credit, we also modified the interest rate, wherein the LIBOR portion of the rate now has a floor of 1.0%. Such modifications were not considered to be substantial under U.S. GAAP.</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Cinemas 1,2,3 Term Loan</w:t>
      </w:r>
    </w:p>
    <w:p>
      <w:pPr>
        <w:spacing w:after="0" w:line="171" w:lineRule="exact"/>
        <w:rPr>
          <w:sz w:val="20"/>
          <w:szCs w:val="20"/>
          <w:color w:val="auto"/>
        </w:rPr>
      </w:pPr>
    </w:p>
    <w:p>
      <w:pPr>
        <w:ind w:left="340" w:right="140"/>
        <w:spacing w:after="0" w:line="253" w:lineRule="auto"/>
        <w:rPr>
          <w:sz w:val="20"/>
          <w:szCs w:val="20"/>
          <w:color w:val="auto"/>
        </w:rPr>
      </w:pPr>
      <w:r>
        <w:rPr>
          <w:rFonts w:ascii="Arial" w:cs="Arial" w:eastAsia="Arial" w:hAnsi="Arial"/>
          <w:sz w:val="17"/>
          <w:szCs w:val="17"/>
          <w:color w:val="auto"/>
        </w:rPr>
        <w:t>On March 13, 2020, Sutton Hill Properties LLC, our 75% subsidiary, increased its term loan with Valley National Bank to $25.0 million from $20.0 million, with an interest rate based on the greater of (i) the two-year U.S. Treasury Rate plus 2.5% or (ii) 4.25%. The current interest rate used for the Valley National loan is 4.25%. This loan matures on April 1, 2022 with two six-month options to extend through April 1, 2023.</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NAB Corporate Term Loan (AU)</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Prior to COVID-19, in March 2019, we amended our Revolving Corporate Markets Loan Facility with NAB from a facility comprised of (i) a</w:t>
      </w:r>
    </w:p>
    <w:p>
      <w:pPr>
        <w:spacing w:after="0" w:line="1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AU$66.5 million loan facility with an interest rate of 0.95% above the BBSY and a maturity date of June 30, 2019 and (ii) a bank guarantee of AU$5.0 million at a rate of 1.90% per annum into (i) a AU$120.0 million Corporate Loan facility at a rate of 0.85% - 1.3% above BBSY, depending on certain ratios, with a due date of December 31, 2023, of which AU$80.0 million is revolving and AU$40.0 million is core and (ii) a Bank Guarantee Facility of AU$5.0 million at a rate of 1.85% per annum. Such debt modifications of this particular term loan were not considered to be substantial under U.S. GAAP.</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August 6, 2020, we modified certain covenants within this Revolving Corporate Markets Loan Facility with NAB (the “NAB Amendment”). These modifications apply until the quarter ended June 30, 2021. In addition, for the period in which these covenant modifications apply, the interest rate on amounts borrowed under the facility is 1.75%. The NAB Amendment modifies the Fixed Charge Cover Ratio testing for the quarters through June 30, 2021 so that ratio testing is calculated on each respective quarter’s trading performance, as opposed to annually and waives the leverage ratio testing through the quarter ended June 30, 2021. Such a modification was not considered to be substantial under U.S. GAAP.</w:t>
      </w:r>
    </w:p>
    <w:p>
      <w:pPr>
        <w:spacing w:after="0" w:line="13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On December 29, 2020, to fund the completion of our recently opened cinema in Jindalee, Queensland, we increased the core portion of our Revolving Corporate Markets Loan Facility by AU$3.0 million, and is repayable in installments by October 31, 2023. This amendment increases the Facility Limit to AU$123.0 million, which will be reduced back to AU$120.0 million as the Jindalee funding is repaid. We further modified certain covenants within this Revolving Corporate Markets Loan Facility with NAB. We further modified certain covenants within this Revolving Corporate Markets Loan Facility with NAB. The Fixed Charge Cover Ratio testing periods were further modified through the quarter ended September 30, 2021. The Leverage ratio was also modified through quarter ended June 30,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Westpac Bank Corporate Credit Facility (NZ)</w:t>
      </w:r>
    </w:p>
    <w:p>
      <w:pPr>
        <w:spacing w:after="0" w:line="171"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color w:val="auto"/>
        </w:rPr>
        <w:t>On December 20, 2018, we restructured our Westpac Corporate Credit Facilities. The maturity of the 1st tranche (general/non-construction credit line) was extended to December 31, 2023, with the available facility being reduced from NZ$35.0 million to NZ$32.0 million. The facility bears an interest rate of 1.75% above the Bank Bill Bid Rate on the drawn down balance and a 1.1% line of credit charge on the entire facility.</w:t>
      </w:r>
    </w:p>
    <w:p>
      <w:pPr>
        <w:spacing w:after="0" w:line="13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 June 29, 2020, Westpac pushed out the June 30, 2020 covenant testing date to July 31, 2020. On July 27, 2020, Westpac waived the requirement to test certain covenants as of July 31, 2020. This agreement also increased the interest rate and line of credit charge to 2.40% above the Bank Bill Bid Rate and 1.65%, respectively. The maturity date was extended to January 1, 2024. Such modifications of this facility were not considered to be substantial under U.S. GAAP. On December 8, 2020, Westpac waived the requirement to test certain covenants as of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 Square Financing</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44 Union Square, our property in Manhattan with 73,000 net rentable square foot of retail and office space, received a temporary certificate of occupancy for the core and shell of the building on August 31, 2020 and is in the lease-up phase with construction being complete (except for minor punch list items). Total debt against the property aggregates to $40.6 million. On January 24, 2020, we exercised a one-year extension options on the Bank OZK (formerly Bank of the Ozarks) loan, taking the maturity to December 29, 2020. On December 29, 2020, we further extended the maturity of this loan to March 31, 2021, at an interest rate of 17.5% and on March 26, 2021, we repaid this loan in full. We are currently working on a refinancing of the property and, while no assurances can be given, based on current facts and circumstances, we anticipate that the refinancing, which will free up substantial capital, can be finalized in the second quarter of 2021.</w:t>
      </w:r>
    </w:p>
    <w:p>
      <w:pPr>
        <w:spacing w:after="0" w:line="149"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 xml:space="preserve">For more information about our refinancing, please refer to </w:t>
      </w:r>
      <w:r>
        <w:rPr>
          <w:rFonts w:ascii="Arial" w:cs="Arial" w:eastAsia="Arial" w:hAnsi="Arial"/>
          <w:sz w:val="17"/>
          <w:szCs w:val="17"/>
          <w:i w:val="1"/>
          <w:iCs w:val="1"/>
          <w:color w:val="auto"/>
        </w:rPr>
        <w:t>Note 3 – Impact of COVID-19 Pandemic and Liquidity</w:t>
      </w:r>
      <w:r>
        <w:rPr>
          <w:rFonts w:ascii="Arial" w:cs="Arial" w:eastAsia="Arial" w:hAnsi="Arial"/>
          <w:sz w:val="17"/>
          <w:szCs w:val="17"/>
          <w:color w:val="auto"/>
        </w:rPr>
        <w:t xml:space="preserve"> to the Consolidated Financial Statements included herein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on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11 – Borrowings</w:t>
      </w:r>
      <w:r>
        <w:rPr>
          <w:rFonts w:ascii="Arial" w:cs="Arial" w:eastAsia="Arial" w:hAnsi="Arial"/>
          <w:sz w:val="18"/>
          <w:szCs w:val="18"/>
          <w:color w:val="auto"/>
        </w:rPr>
        <w:t xml:space="preserve"> for additional information</w:t>
      </w:r>
      <w:r>
        <w:rPr>
          <w:rFonts w:ascii="Arial" w:cs="Arial" w:eastAsia="Arial" w:hAnsi="Arial"/>
          <w:sz w:val="18"/>
          <w:szCs w:val="18"/>
          <w:i w:val="1"/>
          <w:iCs w:val="1"/>
          <w:color w:val="auto"/>
        </w:rPr>
        <w:t>.</w:t>
      </w:r>
    </w:p>
    <w:p>
      <w:pPr>
        <w:spacing w:after="0" w:line="17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199390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301"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OVERALL RESULTS OF OPERATIONS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this section, we discuss the results of our operations for the year ended December 31, 2020 compared to the year ended December 31, 2019. For a discussion of the year ended December 31, 2019 compared to the year ended December 31, 2018, please refer to Part II, Item 7, “Management's Discussion and Analysis of Financial Condition and Results of Operations” in our Annual Report on Form 10-K for the year ended December 31, 2019.</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At December 31, 2020, we leased or owned and operated 61 cinemas with 504 screens, which includes our interests in certain unconsolidated joint ventures that total three cinemas with 29 screens. In addition, we:</w:t>
      </w:r>
    </w:p>
    <w:p>
      <w:pPr>
        <w:spacing w:after="0" w:line="143" w:lineRule="exact"/>
        <w:rPr>
          <w:sz w:val="20"/>
          <w:szCs w:val="20"/>
          <w:color w:val="auto"/>
        </w:rPr>
      </w:pPr>
    </w:p>
    <w:p>
      <w:pPr>
        <w:ind w:left="660" w:right="140"/>
        <w:spacing w:after="0" w:line="225" w:lineRule="auto"/>
        <w:rPr>
          <w:sz w:val="20"/>
          <w:szCs w:val="20"/>
          <w:color w:val="auto"/>
        </w:rPr>
      </w:pPr>
      <w:r>
        <w:rPr>
          <w:rFonts w:ascii="Arial" w:cs="Arial" w:eastAsia="Arial" w:hAnsi="Arial"/>
          <w:sz w:val="18"/>
          <w:szCs w:val="18"/>
          <w:color w:val="auto"/>
        </w:rPr>
        <w:t>opened a new state-of-the-art six-screen Reading Cinemas in Jindalee, a suburb of Queensland, Australia in the fourth quarter of 2020; expanded into Tasmania acquiring a four-screen cinema in Devonport in the first quarter and a ten-screen cinema (the State Cinema) in Hobart in the fourth quarter of 2019;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opened a three-screen pop-up in Lower Hutt located in the greater region of Wellington, New Zealand at the end of June 2019;</w:t>
      </w:r>
    </w:p>
    <w:p>
      <w:pPr>
        <w:spacing w:after="0" w:line="7" w:lineRule="exact"/>
        <w:rPr>
          <w:sz w:val="20"/>
          <w:szCs w:val="20"/>
          <w:color w:val="auto"/>
        </w:rPr>
      </w:pPr>
    </w:p>
    <w:p>
      <w:pPr>
        <w:ind w:left="660" w:right="80"/>
        <w:spacing w:after="0" w:line="186" w:lineRule="auto"/>
        <w:rPr>
          <w:sz w:val="20"/>
          <w:szCs w:val="20"/>
          <w:color w:val="auto"/>
        </w:rPr>
      </w:pPr>
      <w:r>
        <w:rPr>
          <w:rFonts w:ascii="Arial" w:cs="Arial" w:eastAsia="Arial" w:hAnsi="Arial"/>
          <w:sz w:val="18"/>
          <w:szCs w:val="18"/>
          <w:color w:val="auto"/>
        </w:rPr>
        <w:t>ended our management agreement related to the 86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Cinema in New York City due to the expiration of the underlying lease and closed our historically profitable Paris and Beekman theatres in New York City due to lease expirations;</w:t>
      </w:r>
    </w:p>
    <w:p>
      <w:pPr>
        <w:ind w:left="660"/>
        <w:spacing w:after="0" w:line="220" w:lineRule="auto"/>
        <w:rPr>
          <w:sz w:val="20"/>
          <w:szCs w:val="20"/>
          <w:color w:val="auto"/>
        </w:rPr>
      </w:pPr>
      <w:r>
        <w:rPr>
          <w:rFonts w:ascii="Arial" w:cs="Arial" w:eastAsia="Arial" w:hAnsi="Arial"/>
          <w:sz w:val="18"/>
          <w:szCs w:val="18"/>
          <w:color w:val="auto"/>
        </w:rPr>
        <w:t>launched our six-screen Reading Cinemas in Burwood, a suburb of Melbourne, Australia, in December 2019;</w:t>
      </w:r>
    </w:p>
    <w:p>
      <w:pPr>
        <w:spacing w:after="0" w:line="1" w:lineRule="exact"/>
        <w:rPr>
          <w:sz w:val="20"/>
          <w:szCs w:val="20"/>
          <w:color w:val="auto"/>
        </w:rPr>
      </w:pPr>
    </w:p>
    <w:p>
      <w:pPr>
        <w:ind w:left="660" w:right="180"/>
        <w:spacing w:after="0" w:line="219" w:lineRule="auto"/>
        <w:rPr>
          <w:sz w:val="20"/>
          <w:szCs w:val="20"/>
          <w:color w:val="auto"/>
        </w:rPr>
      </w:pPr>
      <w:r>
        <w:rPr>
          <w:rFonts w:ascii="Arial" w:cs="Arial" w:eastAsia="Arial" w:hAnsi="Arial"/>
          <w:sz w:val="18"/>
          <w:szCs w:val="18"/>
          <w:color w:val="auto"/>
        </w:rPr>
        <w:t>owned and operated five ETCs located in Newmarket Village (a suburb of Brisbane), Belmont (a suburb of Perth), Auburn Redyard (a suburb of Sydney) and Cannon Park (in Townsville) in Australia, and Courtenay Central (in Wellington) in New Zealand;</w:t>
      </w:r>
    </w:p>
    <w:p>
      <w:pPr>
        <w:ind w:left="660" w:right="240"/>
        <w:spacing w:after="0" w:line="219" w:lineRule="auto"/>
        <w:rPr>
          <w:sz w:val="20"/>
          <w:szCs w:val="20"/>
          <w:color w:val="auto"/>
        </w:rPr>
      </w:pPr>
      <w:r>
        <w:rPr>
          <w:rFonts w:ascii="Arial" w:cs="Arial" w:eastAsia="Arial" w:hAnsi="Arial"/>
          <w:sz w:val="18"/>
          <w:szCs w:val="18"/>
          <w:color w:val="auto"/>
        </w:rPr>
        <w:t>owned and operated our headquarters’ office buildings in Culver City (an emerging high-tech and communications hub in Los Angeles County) and, during the second quarter 2020, entered a multi-year lease with a corporate tenant for the entire second floor. We are currently in the tenant improvement phase and began receiving rental payments in October 2020; owned and operated our headquarters’ office building in Melbourne, Australia;</w:t>
      </w:r>
    </w:p>
    <w:p>
      <w:pPr>
        <w:spacing w:after="0" w:line="1" w:lineRule="exact"/>
        <w:rPr>
          <w:sz w:val="20"/>
          <w:szCs w:val="20"/>
          <w:color w:val="auto"/>
        </w:rPr>
      </w:pPr>
    </w:p>
    <w:p>
      <w:pPr>
        <w:ind w:left="660" w:right="100"/>
        <w:spacing w:after="0" w:line="219" w:lineRule="auto"/>
        <w:rPr>
          <w:sz w:val="20"/>
          <w:szCs w:val="20"/>
          <w:color w:val="auto"/>
        </w:rPr>
      </w:pPr>
      <w:r>
        <w:rPr>
          <w:rFonts w:ascii="Arial" w:cs="Arial" w:eastAsia="Arial" w:hAnsi="Arial"/>
          <w:sz w:val="18"/>
          <w:szCs w:val="18"/>
          <w:color w:val="auto"/>
        </w:rPr>
        <w:t>owned and operated the fee interests in three developed commercial properties in Manhattan and Chicago improved with live theatres comprising six stages and ancillary retail and commercial space;</w:t>
      </w:r>
    </w:p>
    <w:p>
      <w:pPr>
        <w:ind w:left="660"/>
        <w:spacing w:after="0" w:line="219" w:lineRule="auto"/>
        <w:rPr>
          <w:sz w:val="20"/>
          <w:szCs w:val="20"/>
          <w:color w:val="auto"/>
        </w:rPr>
      </w:pPr>
      <w:r>
        <w:rPr>
          <w:rFonts w:ascii="Arial" w:cs="Arial" w:eastAsia="Arial" w:hAnsi="Arial"/>
          <w:sz w:val="18"/>
          <w:szCs w:val="18"/>
          <w:color w:val="auto"/>
        </w:rPr>
        <w:t>owned a 75% managing member interest in a limited liability company which in turn owns the fee interest in Cinemas 1,2,3;</w:t>
      </w:r>
    </w:p>
    <w:p>
      <w:pPr>
        <w:ind w:left="660" w:right="240"/>
        <w:spacing w:after="0" w:line="219" w:lineRule="auto"/>
        <w:rPr>
          <w:sz w:val="20"/>
          <w:szCs w:val="20"/>
          <w:color w:val="auto"/>
        </w:rPr>
      </w:pPr>
      <w:r>
        <w:rPr>
          <w:rFonts w:ascii="Arial" w:cs="Arial" w:eastAsia="Arial" w:hAnsi="Arial"/>
          <w:sz w:val="18"/>
          <w:szCs w:val="18"/>
          <w:color w:val="auto"/>
        </w:rPr>
        <w:t>owned our Union Square development property with approximately 73,000 square feet of net leasable area comprised of retail and office space. The 44 Union Square is currently in the leasing phase, and we received a temporary certificate of occupancy with respect to the core and shell work on August 31, 2020;</w:t>
      </w:r>
    </w:p>
    <w:p>
      <w:pPr>
        <w:jc w:val="center"/>
        <w:ind w:right="-39"/>
        <w:spacing w:after="0"/>
        <w:rPr>
          <w:sz w:val="20"/>
          <w:szCs w:val="20"/>
          <w:color w:val="auto"/>
        </w:rPr>
      </w:pPr>
      <w:r>
        <w:rPr>
          <w:rFonts w:ascii="Arial" w:cs="Arial" w:eastAsia="Arial" w:hAnsi="Arial"/>
          <w:sz w:val="18"/>
          <w:szCs w:val="18"/>
          <w:color w:val="auto"/>
        </w:rPr>
        <w:t>owned 197-acres principally in Pennsylvania from our legacy railroad business, including the Reading Viaduct in downtown Philadelphia.</w:t>
      </w:r>
    </w:p>
    <w:p>
      <w:pPr>
        <w:spacing w:after="0" w:line="155"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Our Company transacts business in Australia and New Zealand and is subject to risks associated with changing foreign currency exchange rates. During the current year, the Australian dollar and New Zealand dollar weakened against the U.S. dollar by 0.7% and 1.4%, respectively,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sets forth the overall results of operations for the three years ended December 31,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 Change -</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i w:val="1"/>
                <w:iCs w:val="1"/>
                <w:color w:val="auto"/>
              </w:rPr>
              <w:t>% of</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i w:val="1"/>
                <w:iCs w:val="1"/>
                <w:color w:val="auto"/>
                <w:w w:val="94"/>
              </w:rPr>
              <w:t>% of</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i w:val="1"/>
                <w:iCs w:val="1"/>
                <w:color w:val="auto"/>
                <w:w w:val="87"/>
              </w:rPr>
              <w:t>% of</w:t>
            </w: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16"/>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2020 vs. 2019</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2019 vs. 2018</w:t>
            </w:r>
          </w:p>
        </w:tc>
        <w:tc>
          <w:tcPr>
            <w:tcW w:w="0" w:type="dxa"/>
            <w:vAlign w:val="bottom"/>
          </w:tcPr>
          <w:p>
            <w:pPr>
              <w:spacing w:after="0"/>
              <w:rPr>
                <w:sz w:val="1"/>
                <w:szCs w:val="1"/>
                <w:color w:val="auto"/>
              </w:rPr>
            </w:pPr>
          </w:p>
        </w:tc>
      </w:tr>
      <w:tr>
        <w:trPr>
          <w:trHeight w:val="174"/>
        </w:trPr>
        <w:tc>
          <w:tcPr>
            <w:tcW w:w="35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Revenue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i w:val="1"/>
                <w:iCs w:val="1"/>
                <w:color w:val="auto"/>
                <w:w w:val="85"/>
              </w:rPr>
              <w:t>Revenue</w:t>
            </w: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5"/>
              </w:rPr>
              <w:t>Revenue</w:t>
            </w:r>
          </w:p>
        </w:tc>
        <w:tc>
          <w:tcPr>
            <w:tcW w:w="94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SEGMENT RESULTS</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Cinema exhibition operating income (loss)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(45,056)</w:t>
            </w: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(58)%</w:t>
            </w:r>
          </w:p>
        </w:tc>
        <w:tc>
          <w:tcPr>
            <w:tcW w:w="3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23,329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8 %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38,867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i w:val="1"/>
                <w:iCs w:val="1"/>
                <w:color w:val="auto"/>
              </w:rPr>
              <w:t>13 %</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3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Real estate operating income (loss)</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(2,463)</w:t>
            </w: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i w:val="1"/>
                <w:iCs w:val="1"/>
                <w:color w:val="auto"/>
              </w:rPr>
              <w:t>(3)%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5,141</w:t>
            </w:r>
          </w:p>
        </w:tc>
        <w:tc>
          <w:tcPr>
            <w:tcW w:w="8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Arial" w:cs="Arial" w:eastAsia="Arial" w:hAnsi="Arial"/>
                <w:sz w:val="14"/>
                <w:szCs w:val="14"/>
                <w:i w:val="1"/>
                <w:iCs w:val="1"/>
                <w:color w:val="auto"/>
              </w:rPr>
              <w:t>2 %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6,438</w:t>
            </w:r>
          </w:p>
        </w:tc>
        <w:tc>
          <w:tcPr>
            <w:tcW w:w="8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i w:val="1"/>
                <w:iCs w:val="1"/>
                <w:color w:val="auto"/>
              </w:rPr>
              <w:t>2 %</w:t>
            </w:r>
          </w:p>
        </w:tc>
        <w:tc>
          <w:tcPr>
            <w:tcW w:w="10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NON-SEGMENT RESULTS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Depreciation and amortization expense</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(970)</w:t>
            </w: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i w:val="1"/>
                <w:iCs w:val="1"/>
                <w:color w:val="auto"/>
              </w:rPr>
              <w:t>(1)%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and administrative expense</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(12,824)</w:t>
            </w: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(16)%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(18,933)</w:t>
            </w: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(21,287)</w:t>
            </w: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i w:val="1"/>
                <w:iCs w:val="1"/>
                <w:color w:val="auto"/>
              </w:rPr>
              <w:t>(7)%</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48"/>
        </w:trPr>
        <w:tc>
          <w:tcPr>
            <w:tcW w:w="3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(9,354)</w:t>
            </w: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i w:val="1"/>
                <w:iCs w:val="1"/>
                <w:color w:val="auto"/>
              </w:rPr>
              <w:t>(12)%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(7,904)</w:t>
            </w:r>
          </w:p>
        </w:tc>
        <w:tc>
          <w:tcPr>
            <w:tcW w:w="840" w:type="dxa"/>
            <w:vAlign w:val="bottom"/>
          </w:tcPr>
          <w:p>
            <w:pPr>
              <w:jc w:val="right"/>
              <w:ind w:right="68"/>
              <w:spacing w:after="0" w:line="149" w:lineRule="exact"/>
              <w:rPr>
                <w:sz w:val="20"/>
                <w:szCs w:val="20"/>
                <w:color w:val="auto"/>
              </w:rPr>
            </w:pPr>
            <w:r>
              <w:rPr>
                <w:rFonts w:ascii="Arial" w:cs="Arial" w:eastAsia="Arial" w:hAnsi="Arial"/>
                <w:sz w:val="14"/>
                <w:szCs w:val="14"/>
                <w:i w:val="1"/>
                <w:iCs w:val="1"/>
                <w:color w:val="auto"/>
              </w:rPr>
              <w:t>(3)%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(6,837)</w:t>
            </w: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i w:val="1"/>
                <w:iCs w:val="1"/>
                <w:color w:val="auto"/>
              </w:rPr>
              <w:t>(2)%</w:t>
            </w:r>
          </w:p>
        </w:tc>
        <w:tc>
          <w:tcPr>
            <w:tcW w:w="10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Equity earnings of unconsolidated joint ventures</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(449)</w:t>
            </w: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8"/>
        </w:trPr>
        <w:tc>
          <w:tcPr>
            <w:tcW w:w="3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Gain (loss) on sale of assets</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w:t>
            </w: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840" w:type="dxa"/>
            <w:vAlign w:val="bottom"/>
          </w:tcPr>
          <w:p>
            <w:pPr>
              <w:jc w:val="right"/>
              <w:ind w:right="68"/>
              <w:spacing w:after="0" w:line="149" w:lineRule="exact"/>
              <w:rPr>
                <w:sz w:val="20"/>
                <w:szCs w:val="20"/>
                <w:color w:val="auto"/>
              </w:rPr>
            </w:pPr>
            <w:r>
              <w:rPr>
                <w:rFonts w:ascii="Arial" w:cs="Arial" w:eastAsia="Arial" w:hAnsi="Arial"/>
                <w:sz w:val="14"/>
                <w:szCs w:val="14"/>
                <w:i w:val="1"/>
                <w:iCs w:val="1"/>
                <w:color w:val="auto"/>
              </w:rPr>
              <w:t>(0)%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income (expense)</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293</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(70,824)</w:t>
            </w:r>
          </w:p>
        </w:tc>
        <w:tc>
          <w:tcPr>
            <w:tcW w:w="80" w:type="dxa"/>
            <w:vAlign w:val="bottom"/>
          </w:tcPr>
          <w:p>
            <w:pPr>
              <w:spacing w:after="0"/>
              <w:rPr>
                <w:sz w:val="12"/>
                <w:szCs w:val="12"/>
                <w:color w:val="auto"/>
              </w:rPr>
            </w:pPr>
          </w:p>
        </w:tc>
        <w:tc>
          <w:tcPr>
            <w:tcW w:w="820" w:type="dxa"/>
            <w:vAlign w:val="bottom"/>
          </w:tcPr>
          <w:p>
            <w:pPr>
              <w:jc w:val="right"/>
              <w:ind w:right="68"/>
              <w:spacing w:after="0" w:line="142" w:lineRule="exact"/>
              <w:rPr>
                <w:sz w:val="20"/>
                <w:szCs w:val="20"/>
                <w:color w:val="auto"/>
              </w:rPr>
            </w:pPr>
            <w:r>
              <w:rPr>
                <w:rFonts w:ascii="Arial" w:cs="Arial" w:eastAsia="Arial" w:hAnsi="Arial"/>
                <w:sz w:val="14"/>
                <w:szCs w:val="14"/>
                <w:i w:val="1"/>
                <w:iCs w:val="1"/>
                <w:color w:val="auto"/>
              </w:rPr>
              <w:t>(91)%</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2,334</w:t>
            </w:r>
          </w:p>
        </w:tc>
        <w:tc>
          <w:tcPr>
            <w:tcW w:w="8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Arial" w:cs="Arial" w:eastAsia="Arial" w:hAnsi="Arial"/>
                <w:sz w:val="14"/>
                <w:szCs w:val="14"/>
                <w:i w:val="1"/>
                <w:iCs w:val="1"/>
                <w:color w:val="auto"/>
              </w:rPr>
              <w:t>1 %</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17,464</w:t>
            </w:r>
          </w:p>
        </w:tc>
        <w:tc>
          <w:tcPr>
            <w:tcW w:w="80" w:type="dxa"/>
            <w:vAlign w:val="bottom"/>
          </w:tcPr>
          <w:p>
            <w:pPr>
              <w:spacing w:after="0"/>
              <w:rPr>
                <w:sz w:val="12"/>
                <w:szCs w:val="12"/>
                <w:color w:val="auto"/>
              </w:rPr>
            </w:pP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i w:val="1"/>
                <w:iCs w:val="1"/>
                <w:color w:val="auto"/>
              </w:rPr>
              <w:t>6 %</w:t>
            </w:r>
          </w:p>
        </w:tc>
        <w:tc>
          <w:tcPr>
            <w:tcW w:w="100" w:type="dxa"/>
            <w:vAlign w:val="bottom"/>
          </w:tcPr>
          <w:p>
            <w:pPr>
              <w:spacing w:after="0"/>
              <w:rPr>
                <w:sz w:val="12"/>
                <w:szCs w:val="12"/>
                <w:color w:val="auto"/>
              </w:rPr>
            </w:pPr>
          </w:p>
        </w:tc>
        <w:tc>
          <w:tcPr>
            <w:tcW w:w="860" w:type="dxa"/>
            <w:vAlign w:val="bottom"/>
          </w:tcPr>
          <w:p>
            <w:pPr>
              <w:jc w:val="right"/>
              <w:ind w:right="88"/>
              <w:spacing w:after="0" w:line="142"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2"/>
                <w:szCs w:val="12"/>
                <w:color w:val="auto"/>
              </w:rPr>
            </w:pPr>
          </w:p>
        </w:tc>
        <w:tc>
          <w:tcPr>
            <w:tcW w:w="860" w:type="dxa"/>
            <w:vAlign w:val="bottom"/>
          </w:tcPr>
          <w:p>
            <w:pPr>
              <w:jc w:val="right"/>
              <w:ind w:right="88"/>
              <w:spacing w:after="0" w:line="142"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 benefit (expense)</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4,967</w:t>
            </w: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(28,837)</w:t>
            </w: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(3,298)</w:t>
            </w:r>
          </w:p>
        </w:tc>
        <w:tc>
          <w:tcPr>
            <w:tcW w:w="8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i w:val="1"/>
                <w:iCs w:val="1"/>
                <w:color w:val="auto"/>
              </w:rPr>
              <w:t>(1)%</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42"/>
        </w:trPr>
        <w:tc>
          <w:tcPr>
            <w:tcW w:w="3500" w:type="dxa"/>
            <w:vAlign w:val="bottom"/>
            <w:gridSpan w:val="2"/>
          </w:tcPr>
          <w:p>
            <w:pPr>
              <w:spacing w:after="0" w:line="142" w:lineRule="exact"/>
              <w:rPr>
                <w:sz w:val="20"/>
                <w:szCs w:val="20"/>
                <w:color w:val="auto"/>
              </w:rPr>
            </w:pPr>
            <w:r>
              <w:rPr>
                <w:rFonts w:ascii="Arial" w:cs="Arial" w:eastAsia="Arial" w:hAnsi="Arial"/>
                <w:sz w:val="14"/>
                <w:szCs w:val="14"/>
                <w:color w:val="auto"/>
              </w:rPr>
              <w:t>Net income (loss)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(65,857)</w:t>
            </w:r>
          </w:p>
        </w:tc>
        <w:tc>
          <w:tcPr>
            <w:tcW w:w="80" w:type="dxa"/>
            <w:vAlign w:val="bottom"/>
          </w:tcPr>
          <w:p>
            <w:pPr>
              <w:spacing w:after="0"/>
              <w:rPr>
                <w:sz w:val="12"/>
                <w:szCs w:val="12"/>
                <w:color w:val="auto"/>
              </w:rPr>
            </w:pPr>
          </w:p>
        </w:tc>
        <w:tc>
          <w:tcPr>
            <w:tcW w:w="820" w:type="dxa"/>
            <w:vAlign w:val="bottom"/>
          </w:tcPr>
          <w:p>
            <w:pPr>
              <w:jc w:val="right"/>
              <w:ind w:right="68"/>
              <w:spacing w:after="0" w:line="142" w:lineRule="exact"/>
              <w:rPr>
                <w:sz w:val="20"/>
                <w:szCs w:val="20"/>
                <w:color w:val="auto"/>
              </w:rPr>
            </w:pPr>
            <w:r>
              <w:rPr>
                <w:rFonts w:ascii="Arial" w:cs="Arial" w:eastAsia="Arial" w:hAnsi="Arial"/>
                <w:sz w:val="14"/>
                <w:szCs w:val="14"/>
                <w:i w:val="1"/>
                <w:iCs w:val="1"/>
                <w:color w:val="auto"/>
              </w:rPr>
              <w:t>(85)%</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(26,503)</w:t>
            </w:r>
          </w:p>
        </w:tc>
        <w:tc>
          <w:tcPr>
            <w:tcW w:w="8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Arial" w:cs="Arial" w:eastAsia="Arial" w:hAnsi="Arial"/>
                <w:sz w:val="14"/>
                <w:szCs w:val="14"/>
                <w:i w:val="1"/>
                <w:iCs w:val="1"/>
                <w:color w:val="auto"/>
              </w:rPr>
              <w:t>(10)%</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14,166</w:t>
            </w:r>
          </w:p>
        </w:tc>
        <w:tc>
          <w:tcPr>
            <w:tcW w:w="80" w:type="dxa"/>
            <w:vAlign w:val="bottom"/>
          </w:tcPr>
          <w:p>
            <w:pPr>
              <w:spacing w:after="0"/>
              <w:rPr>
                <w:sz w:val="12"/>
                <w:szCs w:val="12"/>
                <w:color w:val="auto"/>
              </w:rPr>
            </w:pP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i w:val="1"/>
                <w:iCs w:val="1"/>
                <w:color w:val="auto"/>
              </w:rPr>
              <w:t>5 %</w:t>
            </w:r>
          </w:p>
        </w:tc>
        <w:tc>
          <w:tcPr>
            <w:tcW w:w="100" w:type="dxa"/>
            <w:vAlign w:val="bottom"/>
          </w:tcPr>
          <w:p>
            <w:pPr>
              <w:spacing w:after="0"/>
              <w:rPr>
                <w:sz w:val="12"/>
                <w:szCs w:val="12"/>
                <w:color w:val="auto"/>
              </w:rPr>
            </w:pPr>
          </w:p>
        </w:tc>
        <w:tc>
          <w:tcPr>
            <w:tcW w:w="860" w:type="dxa"/>
            <w:vAlign w:val="bottom"/>
          </w:tcPr>
          <w:p>
            <w:pPr>
              <w:jc w:val="right"/>
              <w:ind w:right="88"/>
              <w:spacing w:after="0" w:line="142"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2"/>
                <w:szCs w:val="12"/>
                <w:color w:val="auto"/>
              </w:rPr>
            </w:pPr>
          </w:p>
        </w:tc>
        <w:tc>
          <w:tcPr>
            <w:tcW w:w="860" w:type="dxa"/>
            <w:vAlign w:val="bottom"/>
          </w:tcPr>
          <w:p>
            <w:pPr>
              <w:jc w:val="right"/>
              <w:ind w:right="88"/>
              <w:spacing w:after="0" w:line="142" w:lineRule="exact"/>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30"/>
        </w:trPr>
        <w:tc>
          <w:tcPr>
            <w:tcW w:w="350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w w:val="99"/>
              </w:rPr>
              <w:t>Less: Net income (loss) attributable to noncontrolling</w:t>
            </w: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(657)</w:t>
            </w:r>
          </w:p>
        </w:tc>
        <w:tc>
          <w:tcPr>
            <w:tcW w:w="80" w:type="dxa"/>
            <w:vAlign w:val="bottom"/>
            <w:vMerge w:val="restart"/>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interests</w:t>
            </w: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(&gt;100)%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line="130" w:lineRule="exact"/>
              <w:rPr>
                <w:sz w:val="20"/>
                <w:szCs w:val="20"/>
                <w:color w:val="auto"/>
              </w:rPr>
            </w:pPr>
            <w:r>
              <w:rPr>
                <w:rFonts w:ascii="Arial" w:cs="Arial" w:eastAsia="Arial" w:hAnsi="Arial"/>
                <w:sz w:val="14"/>
                <w:szCs w:val="14"/>
                <w:color w:val="auto"/>
              </w:rPr>
              <w:t>Net income (loss) attributable to RDI common</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00" w:type="dxa"/>
            <w:vAlign w:val="bottom"/>
            <w:gridSpan w:val="2"/>
            <w:vMerge w:val="continue"/>
          </w:tcPr>
          <w:p>
            <w:pPr>
              <w:spacing w:after="0"/>
              <w:rPr>
                <w:sz w:val="9"/>
                <w:szCs w:val="9"/>
                <w:color w:val="auto"/>
              </w:rPr>
            </w:pP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(65,200)</w:t>
            </w:r>
          </w:p>
        </w:tc>
        <w:tc>
          <w:tcPr>
            <w:tcW w:w="8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(26,429)</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14,034</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500" w:type="dxa"/>
            <w:vAlign w:val="bottom"/>
            <w:gridSpan w:val="2"/>
          </w:tcPr>
          <w:p>
            <w:pPr>
              <w:spacing w:after="0" w:line="154" w:lineRule="exact"/>
              <w:rPr>
                <w:sz w:val="20"/>
                <w:szCs w:val="20"/>
                <w:color w:val="auto"/>
              </w:rPr>
            </w:pPr>
            <w:r>
              <w:rPr>
                <w:rFonts w:ascii="Arial" w:cs="Arial" w:eastAsia="Arial" w:hAnsi="Arial"/>
                <w:sz w:val="14"/>
                <w:szCs w:val="14"/>
                <w:color w:val="auto"/>
              </w:rPr>
              <w:t>stockholders</w:t>
            </w: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tcPr>
          <w:p>
            <w:pPr>
              <w:jc w:val="right"/>
              <w:ind w:right="68"/>
              <w:spacing w:after="0" w:line="154" w:lineRule="exact"/>
              <w:rPr>
                <w:sz w:val="20"/>
                <w:szCs w:val="20"/>
                <w:color w:val="auto"/>
              </w:rPr>
            </w:pPr>
            <w:r>
              <w:rPr>
                <w:rFonts w:ascii="Arial" w:cs="Arial" w:eastAsia="Arial" w:hAnsi="Arial"/>
                <w:sz w:val="14"/>
                <w:szCs w:val="14"/>
                <w:i w:val="1"/>
                <w:iCs w:val="1"/>
                <w:color w:val="auto"/>
              </w:rPr>
              <w:t>(84)%</w:t>
            </w:r>
          </w:p>
        </w:tc>
        <w:tc>
          <w:tcPr>
            <w:tcW w:w="8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40" w:type="dxa"/>
            <w:vAlign w:val="bottom"/>
          </w:tcPr>
          <w:p>
            <w:pPr>
              <w:jc w:val="right"/>
              <w:ind w:right="68"/>
              <w:spacing w:after="0" w:line="154" w:lineRule="exact"/>
              <w:rPr>
                <w:sz w:val="20"/>
                <w:szCs w:val="20"/>
                <w:color w:val="auto"/>
              </w:rPr>
            </w:pPr>
            <w:r>
              <w:rPr>
                <w:rFonts w:ascii="Arial" w:cs="Arial" w:eastAsia="Arial" w:hAnsi="Arial"/>
                <w:sz w:val="14"/>
                <w:szCs w:val="14"/>
                <w:i w:val="1"/>
                <w:iCs w:val="1"/>
                <w:color w:val="auto"/>
              </w:rPr>
              <w:t>(10)%</w:t>
            </w:r>
          </w:p>
        </w:tc>
        <w:tc>
          <w:tcPr>
            <w:tcW w:w="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48"/>
              <w:spacing w:after="0" w:line="154" w:lineRule="exact"/>
              <w:rPr>
                <w:sz w:val="20"/>
                <w:szCs w:val="20"/>
                <w:color w:val="auto"/>
              </w:rPr>
            </w:pPr>
            <w:r>
              <w:rPr>
                <w:rFonts w:ascii="Arial" w:cs="Arial" w:eastAsia="Arial" w:hAnsi="Arial"/>
                <w:sz w:val="14"/>
                <w:szCs w:val="14"/>
                <w:i w:val="1"/>
                <w:iCs w:val="1"/>
                <w:color w:val="auto"/>
              </w:rPr>
              <w:t>5 %</w:t>
            </w:r>
          </w:p>
        </w:tc>
        <w:tc>
          <w:tcPr>
            <w:tcW w:w="100" w:type="dxa"/>
            <w:vAlign w:val="bottom"/>
          </w:tcPr>
          <w:p>
            <w:pPr>
              <w:spacing w:after="0"/>
              <w:rPr>
                <w:sz w:val="13"/>
                <w:szCs w:val="13"/>
                <w:color w:val="auto"/>
              </w:rPr>
            </w:pPr>
          </w:p>
        </w:tc>
        <w:tc>
          <w:tcPr>
            <w:tcW w:w="860" w:type="dxa"/>
            <w:vAlign w:val="bottom"/>
          </w:tcPr>
          <w:p>
            <w:pPr>
              <w:jc w:val="right"/>
              <w:ind w:right="88"/>
              <w:spacing w:after="0" w:line="154"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3"/>
                <w:szCs w:val="13"/>
                <w:color w:val="auto"/>
              </w:rPr>
            </w:pPr>
          </w:p>
        </w:tc>
        <w:tc>
          <w:tcPr>
            <w:tcW w:w="860" w:type="dxa"/>
            <w:vAlign w:val="bottom"/>
          </w:tcPr>
          <w:p>
            <w:pPr>
              <w:jc w:val="right"/>
              <w:ind w:right="88"/>
              <w:spacing w:after="0" w:line="154" w:lineRule="exact"/>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56"/>
        </w:trPr>
        <w:tc>
          <w:tcPr>
            <w:tcW w:w="3500" w:type="dxa"/>
            <w:vAlign w:val="bottom"/>
            <w:tcBorders>
              <w:top w:val="single" w:sz="8" w:color="CCEEFF"/>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2</w:t>
      </w:r>
      <w:r>
        <w:rPr>
          <w:rFonts w:ascii="Arial" w:cs="Arial" w:eastAsia="Arial" w:hAnsi="Arial"/>
          <w:sz w:val="14"/>
          <w:szCs w:val="14"/>
          <w:color w:val="auto"/>
        </w:rPr>
        <w:t xml:space="preserve"> of the 2020 10-K for the prior period adjustments for accounting for accrued sales tax accounts deemed not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vs. 2019</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RDI common stockholders decreased by $38.8 million to a loss of $65.2 million. This decrease was due to:</w:t>
      </w:r>
    </w:p>
    <w:p>
      <w:pPr>
        <w:spacing w:after="0" w:line="155" w:lineRule="exact"/>
        <w:rPr>
          <w:sz w:val="20"/>
          <w:szCs w:val="20"/>
          <w:color w:val="auto"/>
        </w:rPr>
      </w:pPr>
    </w:p>
    <w:p>
      <w:pPr>
        <w:ind w:left="820" w:hanging="488"/>
        <w:spacing w:after="0" w:line="225"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$68.4 million decrease in Cinema Exhibition segment operating income mainly attributable to the ongoing temporary closure of some of our cinemas, reduced seating occupancy as a result of social distancing measures, and the changes to the release schedule by film distributors, which collectively led to a significant drop in attendance since March 2020;</w:t>
      </w:r>
    </w:p>
    <w:p>
      <w:pPr>
        <w:ind w:left="820" w:right="60" w:hanging="488"/>
        <w:spacing w:after="0" w:line="219"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$7.6 million decrease in the Real Estate segment operating income, due to the ongoing temporary closures of our U.S. Live Theatres, the absence of internal rent revenue from some of our fee-interest cinemas, and the rent abatements provided to our third-party tenants as a result of the COVID-19 pandemic;</w:t>
      </w:r>
    </w:p>
    <w:p>
      <w:pPr>
        <w:ind w:left="820" w:right="140" w:hanging="488"/>
        <w:spacing w:after="0" w:line="233"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$1.5 million increase in interest expense attributable to the termination of the capitalization of interest on Union Square and the renegotiation of our bank covenants due to the COVID-19 pandemic; and</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decreases were offset by a $33.8 million decrease in income tax expense to a benefit of $5.0 million, mainly due to the pretax loss in 2020 and a tax benefit as a result of the CARES Act, partially offset by the recording of a valuation allowance on U.S. deferred tax assets, and by a $6.1 million decrease in general and administrative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 2020 vs. 2019</w:t>
      </w:r>
    </w:p>
    <w:p>
      <w:pPr>
        <w:spacing w:after="0" w:line="17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Presented below is the comparison of the segment operating income of our two business segments for the years ended December 31, 2020 and 2019, respectively: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47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55"/>
        </w:trPr>
        <w:tc>
          <w:tcPr>
            <w:tcW w:w="47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Cinema</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Cinema</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5"/>
              </w:rPr>
              <w:t>Real Estate</w:t>
            </w:r>
          </w:p>
        </w:tc>
        <w:tc>
          <w:tcPr>
            <w:tcW w:w="80" w:type="dxa"/>
            <w:vAlign w:val="bottom"/>
          </w:tcPr>
          <w:p>
            <w:pPr>
              <w:spacing w:after="0"/>
              <w:rPr>
                <w:sz w:val="13"/>
                <w:szCs w:val="13"/>
                <w:color w:val="auto"/>
              </w:rPr>
            </w:pPr>
          </w:p>
        </w:tc>
        <w:tc>
          <w:tcPr>
            <w:tcW w:w="10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Cinema</w:t>
            </w: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Real Estate</w:t>
            </w:r>
          </w:p>
        </w:tc>
        <w:tc>
          <w:tcPr>
            <w:tcW w:w="0" w:type="dxa"/>
            <w:vAlign w:val="bottom"/>
          </w:tcPr>
          <w:p>
            <w:pPr>
              <w:spacing w:after="0"/>
              <w:rPr>
                <w:sz w:val="1"/>
                <w:szCs w:val="1"/>
                <w:color w:val="auto"/>
              </w:rPr>
            </w:pPr>
          </w:p>
        </w:tc>
      </w:tr>
      <w:tr>
        <w:trPr>
          <w:trHeight w:val="148"/>
        </w:trPr>
        <w:tc>
          <w:tcPr>
            <w:tcW w:w="46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Segment Revenues</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67,014</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12,963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262,189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21,905</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(74)%</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4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Segment Operating Expenses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Expense</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(93,180)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(8,578)</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(217,376)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(9,453)</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57 %</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48"/>
        </w:trPr>
        <w:tc>
          <w:tcPr>
            <w:tcW w:w="4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(15,246)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(6,101)</w:t>
            </w:r>
          </w:p>
        </w:tc>
        <w:tc>
          <w:tcPr>
            <w:tcW w:w="1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(16,940)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(5,393)</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10 %</w:t>
            </w:r>
          </w:p>
        </w:tc>
        <w:tc>
          <w:tcPr>
            <w:tcW w:w="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 expense</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(3,427)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(747)</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(4,544)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(1,918)</w:t>
            </w: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8"/>
        </w:trPr>
        <w:tc>
          <w:tcPr>
            <w:tcW w:w="4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Impairment of long-lived assets</w:t>
            </w: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7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segment expenses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(112,070)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(15,426)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(238,860)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(16,764)</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53 %</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7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Segment operating income (loss)</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(45,056)</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(2,463)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23,329</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5,141</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(&gt;100)%</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(&gt;100)%</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b w:val="1"/>
                <w:bCs w:val="1"/>
                <w:i w:val="1"/>
                <w:iCs w:val="1"/>
                <w:color w:val="auto"/>
              </w:rPr>
              <w:t>Breakdown by country:</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United States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(39,371)</w:t>
            </w:r>
          </w:p>
        </w:tc>
        <w:tc>
          <w:tcPr>
            <w:tcW w:w="1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4,457</w:t>
            </w:r>
          </w:p>
        </w:tc>
        <w:tc>
          <w:tcPr>
            <w:tcW w:w="40" w:type="dxa"/>
            <w:vAlign w:val="bottom"/>
          </w:tcPr>
          <w:p>
            <w:pPr>
              <w:spacing w:after="0"/>
              <w:rPr>
                <w:sz w:val="12"/>
                <w:szCs w:val="12"/>
                <w:color w:val="auto"/>
              </w:rPr>
            </w:pPr>
          </w:p>
        </w:tc>
        <w:tc>
          <w:tcPr>
            <w:tcW w:w="1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48"/>
        </w:trPr>
        <w:tc>
          <w:tcPr>
            <w:tcW w:w="4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Australia</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(4,267)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2,336</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(&gt;100)%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4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New Zealand</w:t>
            </w: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(1,400)</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2,898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49"/>
        </w:trPr>
        <w:tc>
          <w:tcPr>
            <w:tcW w:w="46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(45,056)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(2,463)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23,329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(&gt;100)%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(&gt;100)%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 discussion for each segment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Cinema Exhibition</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Cinema Exhibition segment operating results for the years 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31, 2020 and 2019, respectively: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2020 vs. 2019</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3"/>
                <w:szCs w:val="13"/>
                <w:i w:val="1"/>
                <w:iCs w:val="1"/>
                <w:color w:val="auto"/>
                <w:w w:val="98"/>
              </w:rPr>
              <w:t>(Dollars in thousands)</w:t>
            </w: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7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1620" w:type="dxa"/>
            <w:vAlign w:val="bottom"/>
            <w:gridSpan w:val="2"/>
          </w:tcPr>
          <w:p>
            <w:pPr>
              <w:ind w:left="360"/>
              <w:spacing w:after="0"/>
              <w:rPr>
                <w:sz w:val="20"/>
                <w:szCs w:val="20"/>
                <w:color w:val="auto"/>
              </w:rPr>
            </w:pPr>
            <w:r>
              <w:rPr>
                <w:rFonts w:ascii="Arial" w:cs="Arial" w:eastAsia="Arial" w:hAnsi="Arial"/>
                <w:sz w:val="13"/>
                <w:szCs w:val="13"/>
                <w:i w:val="1"/>
                <w:iCs w:val="1"/>
                <w:color w:val="auto"/>
              </w:rPr>
              <w:t>% of Revenue</w:t>
            </w:r>
          </w:p>
        </w:tc>
        <w:tc>
          <w:tcPr>
            <w:tcW w:w="140" w:type="dxa"/>
            <w:vAlign w:val="bottom"/>
          </w:tcPr>
          <w:p>
            <w:pPr>
              <w:spacing w:after="0"/>
              <w:rPr>
                <w:sz w:val="13"/>
                <w:szCs w:val="13"/>
                <w:color w:val="auto"/>
              </w:rPr>
            </w:pPr>
          </w:p>
        </w:tc>
        <w:tc>
          <w:tcPr>
            <w:tcW w:w="1000" w:type="dxa"/>
            <w:vAlign w:val="bottom"/>
          </w:tcPr>
          <w:p>
            <w:pPr>
              <w:jc w:val="right"/>
              <w:ind w:right="377"/>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ind w:left="320"/>
              <w:spacing w:after="0"/>
              <w:rPr>
                <w:sz w:val="20"/>
                <w:szCs w:val="20"/>
                <w:color w:val="auto"/>
              </w:rPr>
            </w:pPr>
            <w:r>
              <w:rPr>
                <w:rFonts w:ascii="Arial" w:cs="Arial" w:eastAsia="Arial" w:hAnsi="Arial"/>
                <w:sz w:val="13"/>
                <w:szCs w:val="13"/>
                <w:i w:val="1"/>
                <w:iCs w:val="1"/>
                <w:color w:val="auto"/>
              </w:rPr>
              <w:t>% of Revenue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135"/>
        </w:trPr>
        <w:tc>
          <w:tcPr>
            <w:tcW w:w="1260" w:type="dxa"/>
            <w:vAlign w:val="bottom"/>
            <w:tcBorders>
              <w:top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REVENUE</w:t>
            </w:r>
          </w:p>
        </w:tc>
        <w:tc>
          <w:tcPr>
            <w:tcW w:w="3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United States</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Admission revenue</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15,593</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57%</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90,492</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61%</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(83)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Food &amp; beverage revenue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8,245</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45,766</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31%</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Advertising and other revenue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3,584</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11,395</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8%</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(69) %</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27,422</w:t>
            </w:r>
          </w:p>
        </w:tc>
        <w:tc>
          <w:tcPr>
            <w:tcW w:w="180" w:type="dxa"/>
            <w:vAlign w:val="bottom"/>
          </w:tcPr>
          <w:p>
            <w:pPr>
              <w:spacing w:after="0"/>
              <w:rPr>
                <w:sz w:val="11"/>
                <w:szCs w:val="11"/>
                <w:color w:val="auto"/>
              </w:rPr>
            </w:pPr>
          </w:p>
        </w:tc>
        <w:tc>
          <w:tcPr>
            <w:tcW w:w="144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147,653</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(81)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Australia</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Admission revenue</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20,137</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62%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60,319</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65%</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Food &amp; beverage revenue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9,590</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26,888</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29%</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Advertising and other revenue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2,788</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8%</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6,301</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32,515</w:t>
            </w:r>
          </w:p>
        </w:tc>
        <w:tc>
          <w:tcPr>
            <w:tcW w:w="180" w:type="dxa"/>
            <w:vAlign w:val="bottom"/>
          </w:tcPr>
          <w:p>
            <w:pPr>
              <w:spacing w:after="0"/>
              <w:rPr>
                <w:sz w:val="11"/>
                <w:szCs w:val="11"/>
                <w:color w:val="auto"/>
              </w:rPr>
            </w:pPr>
          </w:p>
        </w:tc>
        <w:tc>
          <w:tcPr>
            <w:tcW w:w="144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93,508</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(65)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New Zealand</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Admission revenue</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4,569</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65%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14,092</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67%</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Food &amp; beverage revenue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2,066</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5,943</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28%</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Advertising and other revenue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442</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993</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5%</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(55)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7,077</w:t>
            </w:r>
          </w:p>
        </w:tc>
        <w:tc>
          <w:tcPr>
            <w:tcW w:w="180" w:type="dxa"/>
            <w:vAlign w:val="bottom"/>
          </w:tcPr>
          <w:p>
            <w:pPr>
              <w:spacing w:after="0"/>
              <w:rPr>
                <w:sz w:val="11"/>
                <w:szCs w:val="11"/>
                <w:color w:val="auto"/>
              </w:rPr>
            </w:pPr>
          </w:p>
        </w:tc>
        <w:tc>
          <w:tcPr>
            <w:tcW w:w="144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21,028</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(66) %</w:t>
            </w:r>
          </w:p>
        </w:tc>
        <w:tc>
          <w:tcPr>
            <w:tcW w:w="0" w:type="dxa"/>
            <w:vAlign w:val="bottom"/>
          </w:tcPr>
          <w:p>
            <w:pPr>
              <w:spacing w:after="0"/>
              <w:rPr>
                <w:sz w:val="1"/>
                <w:szCs w:val="1"/>
                <w:color w:val="auto"/>
              </w:rPr>
            </w:pPr>
          </w:p>
        </w:tc>
      </w:tr>
      <w:tr>
        <w:trPr>
          <w:trHeight w:val="155"/>
        </w:trPr>
        <w:tc>
          <w:tcPr>
            <w:tcW w:w="1260" w:type="dxa"/>
            <w:vAlign w:val="bottom"/>
            <w:tcBorders>
              <w:bottom w:val="single" w:sz="8" w:color="CCEEFF"/>
            </w:tcBorders>
            <w:shd w:val="clear" w:color="auto" w:fill="CCEEFF"/>
          </w:tcPr>
          <w:p>
            <w:pPr>
              <w:spacing w:after="0"/>
              <w:rPr>
                <w:sz w:val="13"/>
                <w:szCs w:val="13"/>
                <w:color w:val="auto"/>
              </w:rPr>
            </w:pPr>
          </w:p>
        </w:tc>
        <w:tc>
          <w:tcPr>
            <w:tcW w:w="30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260" w:type="dxa"/>
            <w:vAlign w:val="bottom"/>
            <w:tcBorders>
              <w:bottom w:val="single" w:sz="8" w:color="CCEEFF"/>
            </w:tcBorders>
          </w:tcPr>
          <w:p>
            <w:pPr>
              <w:ind w:left="220"/>
              <w:spacing w:after="0" w:line="122" w:lineRule="exact"/>
              <w:rPr>
                <w:sz w:val="20"/>
                <w:szCs w:val="20"/>
                <w:color w:val="auto"/>
              </w:rPr>
            </w:pPr>
            <w:r>
              <w:rPr>
                <w:rFonts w:ascii="Arial" w:cs="Arial" w:eastAsia="Arial" w:hAnsi="Arial"/>
                <w:sz w:val="13"/>
                <w:szCs w:val="13"/>
                <w:b w:val="1"/>
                <w:bCs w:val="1"/>
                <w:color w:val="auto"/>
              </w:rPr>
              <w:t>Total revenue</w:t>
            </w:r>
          </w:p>
        </w:tc>
        <w:tc>
          <w:tcPr>
            <w:tcW w:w="30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67,014</w:t>
            </w:r>
          </w:p>
        </w:tc>
        <w:tc>
          <w:tcPr>
            <w:tcW w:w="18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jc w:val="right"/>
              <w:ind w:right="117"/>
              <w:spacing w:after="0" w:line="122" w:lineRule="exact"/>
              <w:rPr>
                <w:sz w:val="20"/>
                <w:szCs w:val="20"/>
                <w:color w:val="auto"/>
              </w:rPr>
            </w:pPr>
            <w:r>
              <w:rPr>
                <w:rFonts w:ascii="Arial" w:cs="Arial" w:eastAsia="Arial" w:hAnsi="Arial"/>
                <w:sz w:val="13"/>
                <w:szCs w:val="13"/>
                <w:i w:val="1"/>
                <w:iCs w:val="1"/>
                <w:color w:val="auto"/>
              </w:rPr>
              <w:t>100%</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262,189</w:t>
            </w:r>
          </w:p>
        </w:tc>
        <w:tc>
          <w:tcPr>
            <w:tcW w:w="2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gridSpan w:val="2"/>
          </w:tcPr>
          <w:p>
            <w:pPr>
              <w:jc w:val="right"/>
              <w:ind w:right="97"/>
              <w:spacing w:after="0" w:line="122" w:lineRule="exact"/>
              <w:rPr>
                <w:sz w:val="20"/>
                <w:szCs w:val="20"/>
                <w:color w:val="auto"/>
              </w:rPr>
            </w:pPr>
            <w:r>
              <w:rPr>
                <w:rFonts w:ascii="Arial" w:cs="Arial" w:eastAsia="Arial" w:hAnsi="Arial"/>
                <w:sz w:val="13"/>
                <w:szCs w:val="13"/>
                <w:i w:val="1"/>
                <w:iCs w:val="1"/>
                <w:color w:val="auto"/>
              </w:rPr>
              <w:t>100%</w:t>
            </w: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17"/>
              <w:spacing w:after="0" w:line="122" w:lineRule="exact"/>
              <w:rPr>
                <w:sz w:val="20"/>
                <w:szCs w:val="20"/>
                <w:color w:val="auto"/>
              </w:rPr>
            </w:pPr>
            <w:r>
              <w:rPr>
                <w:rFonts w:ascii="Arial" w:cs="Arial" w:eastAsia="Arial" w:hAnsi="Arial"/>
                <w:sz w:val="13"/>
                <w:szCs w:val="13"/>
                <w:color w:val="auto"/>
              </w:rPr>
              <w:t>(74) %</w:t>
            </w:r>
          </w:p>
        </w:tc>
        <w:tc>
          <w:tcPr>
            <w:tcW w:w="0" w:type="dxa"/>
            <w:vAlign w:val="bottom"/>
          </w:tcPr>
          <w:p>
            <w:pPr>
              <w:spacing w:after="0"/>
              <w:rPr>
                <w:sz w:val="1"/>
                <w:szCs w:val="1"/>
                <w:color w:val="auto"/>
              </w:rPr>
            </w:pPr>
          </w:p>
        </w:tc>
      </w:tr>
      <w:tr>
        <w:trPr>
          <w:trHeight w:val="135"/>
        </w:trPr>
        <w:tc>
          <w:tcPr>
            <w:tcW w:w="4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United States</w:t>
            </w: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Film rent and advertising cost</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(8,183)</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(30)%</w:t>
            </w:r>
          </w:p>
        </w:tc>
        <w:tc>
          <w:tcPr>
            <w:tcW w:w="18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(48,368)</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(33)%</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83 %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Food &amp; beverage cost</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(2,519)</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(10,669)</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(26,697)</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(97)%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(27,096)</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(18)%</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operating expense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(18,631)</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(68)%</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(43,800)</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(31)%</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(56,030)</w:t>
            </w:r>
          </w:p>
        </w:tc>
        <w:tc>
          <w:tcPr>
            <w:tcW w:w="180" w:type="dxa"/>
            <w:vAlign w:val="bottom"/>
          </w:tcPr>
          <w:p>
            <w:pPr>
              <w:spacing w:after="0"/>
              <w:rPr>
                <w:sz w:val="11"/>
                <w:szCs w:val="11"/>
                <w:color w:val="auto"/>
              </w:rPr>
            </w:pPr>
          </w:p>
        </w:tc>
        <w:tc>
          <w:tcPr>
            <w:tcW w:w="144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(204)%</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(129,933)</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(88)%</w:t>
            </w:r>
          </w:p>
        </w:tc>
        <w:tc>
          <w:tcPr>
            <w:tcW w:w="18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Australia</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Film rent and advertising cost</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(8,605)</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(26)%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(28,364)</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(30)%</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Food &amp; beverage cost</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(2,276)</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(5,136)</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(5)%</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(8,484)</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(26)%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(15,773)</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(17)%</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Other operating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(10,705)</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(33)%</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(21,677)</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(23)%</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51 %</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30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(30,070)</w:t>
            </w:r>
          </w:p>
        </w:tc>
        <w:tc>
          <w:tcPr>
            <w:tcW w:w="1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i w:val="1"/>
                <w:iCs w:val="1"/>
                <w:color w:val="auto"/>
              </w:rPr>
              <w:t>(91)%</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(70,950)</w:t>
            </w:r>
          </w:p>
        </w:tc>
        <w:tc>
          <w:tcPr>
            <w:tcW w:w="2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CCEEFF"/>
            </w:tcBorders>
            <w:gridSpan w:val="2"/>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(77)%</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58 %</w:t>
            </w: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New Zealand</w:t>
            </w: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Film rent and advertising cost</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(1,991)</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(28)%</w:t>
            </w:r>
          </w:p>
        </w:tc>
        <w:tc>
          <w:tcPr>
            <w:tcW w:w="18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(6,587)</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(31)%</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Food &amp; beverage cost</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(432)</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(1,200)</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64 %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(1,692)</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(3,445)</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(16)%</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operating expense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(2,966)</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(42)%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(5,260)</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(25)%</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(7,081)</w:t>
            </w:r>
          </w:p>
        </w:tc>
        <w:tc>
          <w:tcPr>
            <w:tcW w:w="180" w:type="dxa"/>
            <w:vAlign w:val="bottom"/>
          </w:tcPr>
          <w:p>
            <w:pPr>
              <w:spacing w:after="0"/>
              <w:rPr>
                <w:sz w:val="11"/>
                <w:szCs w:val="11"/>
                <w:color w:val="auto"/>
              </w:rPr>
            </w:pPr>
          </w:p>
        </w:tc>
        <w:tc>
          <w:tcPr>
            <w:tcW w:w="144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(16,492)</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(77)%</w:t>
            </w:r>
          </w:p>
        </w:tc>
        <w:tc>
          <w:tcPr>
            <w:tcW w:w="18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55"/>
        </w:trPr>
        <w:tc>
          <w:tcPr>
            <w:tcW w:w="4320" w:type="dxa"/>
            <w:vAlign w:val="bottom"/>
            <w:tcBorders>
              <w:bottom w:val="single" w:sz="8" w:color="CCEEFF"/>
            </w:tcBorders>
            <w:gridSpan w:val="2"/>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520" w:type="dxa"/>
            <w:vAlign w:val="bottom"/>
            <w:tcBorders>
              <w:bottom w:val="single" w:sz="8" w:color="CCEEFF"/>
            </w:tcBorders>
            <w:gridSpan w:val="3"/>
          </w:tcPr>
          <w:p>
            <w:pPr>
              <w:ind w:left="220"/>
              <w:spacing w:after="0" w:line="122" w:lineRule="exact"/>
              <w:rPr>
                <w:sz w:val="20"/>
                <w:szCs w:val="20"/>
                <w:color w:val="auto"/>
              </w:rPr>
            </w:pPr>
            <w:r>
              <w:rPr>
                <w:rFonts w:ascii="Arial" w:cs="Arial" w:eastAsia="Arial" w:hAnsi="Arial"/>
                <w:sz w:val="13"/>
                <w:szCs w:val="13"/>
                <w:b w:val="1"/>
                <w:bCs w:val="1"/>
                <w:color w:val="auto"/>
              </w:rPr>
              <w:t>Total operating expense</w:t>
            </w: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(93,181)</w:t>
            </w:r>
          </w:p>
        </w:tc>
        <w:tc>
          <w:tcPr>
            <w:tcW w:w="18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jc w:val="right"/>
              <w:ind w:right="117"/>
              <w:spacing w:after="0" w:line="122" w:lineRule="exact"/>
              <w:rPr>
                <w:sz w:val="20"/>
                <w:szCs w:val="20"/>
                <w:color w:val="auto"/>
              </w:rPr>
            </w:pPr>
            <w:r>
              <w:rPr>
                <w:rFonts w:ascii="Arial" w:cs="Arial" w:eastAsia="Arial" w:hAnsi="Arial"/>
                <w:sz w:val="13"/>
                <w:szCs w:val="13"/>
                <w:i w:val="1"/>
                <w:iCs w:val="1"/>
                <w:color w:val="auto"/>
              </w:rPr>
              <w:t>(139)%</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(217,375)</w:t>
            </w:r>
          </w:p>
        </w:tc>
        <w:tc>
          <w:tcPr>
            <w:tcW w:w="2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gridSpan w:val="2"/>
          </w:tcPr>
          <w:p>
            <w:pPr>
              <w:jc w:val="right"/>
              <w:ind w:right="97"/>
              <w:spacing w:after="0" w:line="122" w:lineRule="exact"/>
              <w:rPr>
                <w:sz w:val="20"/>
                <w:szCs w:val="20"/>
                <w:color w:val="auto"/>
              </w:rPr>
            </w:pPr>
            <w:r>
              <w:rPr>
                <w:rFonts w:ascii="Arial" w:cs="Arial" w:eastAsia="Arial" w:hAnsi="Arial"/>
                <w:sz w:val="13"/>
                <w:szCs w:val="13"/>
                <w:i w:val="1"/>
                <w:iCs w:val="1"/>
                <w:color w:val="auto"/>
              </w:rPr>
              <w:t>(83)%</w:t>
            </w: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17"/>
              <w:spacing w:after="0" w:line="122" w:lineRule="exact"/>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03"/>
        </w:trPr>
        <w:tc>
          <w:tcPr>
            <w:tcW w:w="4520" w:type="dxa"/>
            <w:vAlign w:val="bottom"/>
            <w:gridSpan w:val="3"/>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DEPRECIATION, AMORTIZATION, IMPAIRMENT AND GENERAL AND</w:t>
            </w: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ADMINISTRATIVE EXPENSE</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United States</w:t>
            </w: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(8,060)</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(29)%</w:t>
            </w:r>
          </w:p>
        </w:tc>
        <w:tc>
          <w:tcPr>
            <w:tcW w:w="18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(10,516)</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 of long-lived assets</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(217)</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jc w:val="right"/>
              <w:ind w:right="440"/>
              <w:spacing w:after="0" w:line="135" w:lineRule="exact"/>
              <w:rPr>
                <w:sz w:val="20"/>
                <w:szCs w:val="20"/>
                <w:color w:val="auto"/>
              </w:rPr>
            </w:pPr>
            <w:r>
              <w:rPr>
                <w:rFonts w:ascii="Arial" w:cs="Arial" w:eastAsia="Arial" w:hAnsi="Arial"/>
                <w:sz w:val="13"/>
                <w:szCs w:val="13"/>
                <w:i w:val="1"/>
                <w:iCs w:val="1"/>
                <w:color w:val="auto"/>
              </w:rPr>
              <w:t>—</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(2,486)</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(2,747)</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(2)%</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30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(10,763)</w:t>
            </w:r>
          </w:p>
        </w:tc>
        <w:tc>
          <w:tcPr>
            <w:tcW w:w="1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i w:val="1"/>
                <w:iCs w:val="1"/>
                <w:color w:val="auto"/>
              </w:rPr>
              <w:t>(39)%</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(13,263)</w:t>
            </w:r>
          </w:p>
        </w:tc>
        <w:tc>
          <w:tcPr>
            <w:tcW w:w="2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CCEEFF"/>
            </w:tcBorders>
            <w:gridSpan w:val="2"/>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(9)%</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Australia</w:t>
            </w: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(5,762)</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(18)%</w:t>
            </w:r>
          </w:p>
        </w:tc>
        <w:tc>
          <w:tcPr>
            <w:tcW w:w="18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(4,946)</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(5)%</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(950)</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(1,638)</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(2)%</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(6,712)</w:t>
            </w:r>
          </w:p>
        </w:tc>
        <w:tc>
          <w:tcPr>
            <w:tcW w:w="180" w:type="dxa"/>
            <w:vAlign w:val="bottom"/>
          </w:tcPr>
          <w:p>
            <w:pPr>
              <w:spacing w:after="0"/>
              <w:rPr>
                <w:sz w:val="11"/>
                <w:szCs w:val="11"/>
                <w:color w:val="auto"/>
              </w:rPr>
            </w:pPr>
          </w:p>
        </w:tc>
        <w:tc>
          <w:tcPr>
            <w:tcW w:w="144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(21)%</w:t>
            </w:r>
          </w:p>
        </w:tc>
        <w:tc>
          <w:tcPr>
            <w:tcW w:w="18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(6,584)</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(7)%</w:t>
            </w:r>
          </w:p>
        </w:tc>
        <w:tc>
          <w:tcPr>
            <w:tcW w:w="18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New Zealand</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(1,423)</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(20)%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(1,479)</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620" w:type="dxa"/>
            <w:vAlign w:val="bottom"/>
            <w:gridSpan w:val="2"/>
          </w:tcPr>
          <w:p>
            <w:pPr>
              <w:jc w:val="right"/>
              <w:ind w:right="36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(159)</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(1)%</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30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(1,414)</w:t>
            </w:r>
          </w:p>
        </w:tc>
        <w:tc>
          <w:tcPr>
            <w:tcW w:w="1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i w:val="1"/>
                <w:iCs w:val="1"/>
                <w:color w:val="auto"/>
              </w:rPr>
              <w:t>(20)%</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(1,638)</w:t>
            </w:r>
          </w:p>
        </w:tc>
        <w:tc>
          <w:tcPr>
            <w:tcW w:w="2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CCEEFF"/>
            </w:tcBorders>
            <w:gridSpan w:val="2"/>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(8)%</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35"/>
        </w:trPr>
        <w:tc>
          <w:tcPr>
            <w:tcW w:w="4320" w:type="dxa"/>
            <w:vAlign w:val="bottom"/>
            <w:tcBorders>
              <w:bottom w:val="single" w:sz="8" w:color="CCEEFF"/>
            </w:tcBorders>
            <w:gridSpan w:val="2"/>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520" w:type="dxa"/>
            <w:vAlign w:val="bottom"/>
            <w:gridSpan w:val="3"/>
            <w:shd w:val="clear" w:color="auto" w:fill="CCEEFF"/>
          </w:tcPr>
          <w:p>
            <w:pPr>
              <w:ind w:left="220"/>
              <w:spacing w:after="0" w:line="97" w:lineRule="exact"/>
              <w:rPr>
                <w:sz w:val="20"/>
                <w:szCs w:val="20"/>
                <w:color w:val="auto"/>
              </w:rPr>
            </w:pPr>
            <w:r>
              <w:rPr>
                <w:rFonts w:ascii="Arial" w:cs="Arial" w:eastAsia="Arial" w:hAnsi="Arial"/>
                <w:sz w:val="10"/>
                <w:szCs w:val="10"/>
                <w:b w:val="1"/>
                <w:bCs w:val="1"/>
                <w:color w:val="auto"/>
              </w:rPr>
              <w:t>Total depreciation, amortization, impairment and general and</w:t>
            </w:r>
          </w:p>
        </w:tc>
        <w:tc>
          <w:tcPr>
            <w:tcW w:w="240" w:type="dxa"/>
            <w:vAlign w:val="bottom"/>
            <w:vMerge w:val="restart"/>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(18,889)</w:t>
            </w:r>
          </w:p>
        </w:tc>
        <w:tc>
          <w:tcPr>
            <w:tcW w:w="1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(21,485)</w:t>
            </w:r>
          </w:p>
        </w:tc>
        <w:tc>
          <w:tcPr>
            <w:tcW w:w="1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52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3"/>
                <w:szCs w:val="13"/>
                <w:b w:val="1"/>
                <w:bCs w:val="1"/>
                <w:color w:val="auto"/>
              </w:rPr>
              <w:t>administrative expense</w:t>
            </w:r>
          </w:p>
        </w:tc>
        <w:tc>
          <w:tcPr>
            <w:tcW w:w="240" w:type="dxa"/>
            <w:vAlign w:val="bottom"/>
            <w:vMerge w:val="continue"/>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440" w:type="dxa"/>
            <w:vAlign w:val="bottom"/>
            <w:shd w:val="clear" w:color="auto" w:fill="CCEEFF"/>
          </w:tcPr>
          <w:p>
            <w:pPr>
              <w:jc w:val="right"/>
              <w:ind w:right="117"/>
              <w:spacing w:after="0" w:line="140" w:lineRule="exact"/>
              <w:rPr>
                <w:sz w:val="20"/>
                <w:szCs w:val="20"/>
                <w:color w:val="auto"/>
              </w:rPr>
            </w:pPr>
            <w:r>
              <w:rPr>
                <w:rFonts w:ascii="Arial" w:cs="Arial" w:eastAsia="Arial" w:hAnsi="Arial"/>
                <w:sz w:val="13"/>
                <w:szCs w:val="13"/>
                <w:i w:val="1"/>
                <w:iCs w:val="1"/>
                <w:color w:val="auto"/>
              </w:rPr>
              <w:t>(28)%</w:t>
            </w:r>
          </w:p>
        </w:tc>
        <w:tc>
          <w:tcPr>
            <w:tcW w:w="1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500" w:type="dxa"/>
            <w:vAlign w:val="bottom"/>
            <w:gridSpan w:val="2"/>
            <w:shd w:val="clear" w:color="auto" w:fill="CCEEFF"/>
          </w:tcPr>
          <w:p>
            <w:pPr>
              <w:jc w:val="right"/>
              <w:ind w:right="97"/>
              <w:spacing w:after="0" w:line="140" w:lineRule="exact"/>
              <w:rPr>
                <w:sz w:val="20"/>
                <w:szCs w:val="20"/>
                <w:color w:val="auto"/>
              </w:rPr>
            </w:pPr>
            <w:r>
              <w:rPr>
                <w:rFonts w:ascii="Arial" w:cs="Arial" w:eastAsia="Arial" w:hAnsi="Arial"/>
                <w:sz w:val="13"/>
                <w:szCs w:val="13"/>
                <w:i w:val="1"/>
                <w:iCs w:val="1"/>
                <w:color w:val="auto"/>
              </w:rPr>
              <w:t>(8)%</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42"/>
        </w:trPr>
        <w:tc>
          <w:tcPr>
            <w:tcW w:w="1260" w:type="dxa"/>
            <w:vAlign w:val="bottom"/>
            <w:tcBorders>
              <w:top w:val="single" w:sz="8" w:color="CCEEFF"/>
              <w:bottom w:val="single" w:sz="8" w:color="CCEEFF"/>
            </w:tcBorders>
          </w:tcPr>
          <w:p>
            <w:pPr>
              <w:spacing w:after="0"/>
              <w:rPr>
                <w:sz w:val="12"/>
                <w:szCs w:val="12"/>
                <w:color w:val="auto"/>
              </w:rPr>
            </w:pPr>
          </w:p>
        </w:tc>
        <w:tc>
          <w:tcPr>
            <w:tcW w:w="306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CCEEFF"/>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44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3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94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60" w:type="dxa"/>
            <w:vAlign w:val="bottom"/>
            <w:tcBorders>
              <w:bottom w:val="single" w:sz="8" w:color="CCEEFF"/>
            </w:tcBorders>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Total expenses</w:t>
            </w:r>
          </w:p>
        </w:tc>
        <w:tc>
          <w:tcPr>
            <w:tcW w:w="30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(112,070)</w:t>
            </w:r>
          </w:p>
        </w:tc>
        <w:tc>
          <w:tcPr>
            <w:tcW w:w="1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(167)%</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(238,860)</w:t>
            </w:r>
          </w:p>
        </w:tc>
        <w:tc>
          <w:tcPr>
            <w:tcW w:w="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(91)%</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r>
        <w:trPr>
          <w:trHeight w:val="122"/>
        </w:trPr>
        <w:tc>
          <w:tcPr>
            <w:tcW w:w="452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OPERATING INCOME (LOSS)</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United States</w:t>
            </w:r>
          </w:p>
        </w:tc>
        <w:tc>
          <w:tcPr>
            <w:tcW w:w="3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(39,371)</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(144)%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4,457</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3%</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Australia</w:t>
            </w: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(4,267)</w:t>
            </w:r>
          </w:p>
        </w:tc>
        <w:tc>
          <w:tcPr>
            <w:tcW w:w="144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(13)%</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15,974</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17%</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5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New Zealand</w:t>
            </w: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(1,418)</w:t>
            </w:r>
          </w:p>
        </w:tc>
        <w:tc>
          <w:tcPr>
            <w:tcW w:w="14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(20)%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2,898</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14%</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22"/>
        </w:trPr>
        <w:tc>
          <w:tcPr>
            <w:tcW w:w="4520" w:type="dxa"/>
            <w:vAlign w:val="bottom"/>
            <w:tcBorders>
              <w:top w:val="single" w:sz="8" w:color="CCEEFF"/>
            </w:tcBorders>
            <w:gridSpan w:val="3"/>
          </w:tcPr>
          <w:p>
            <w:pPr>
              <w:ind w:left="220"/>
              <w:spacing w:after="0" w:line="122" w:lineRule="exact"/>
              <w:rPr>
                <w:sz w:val="20"/>
                <w:szCs w:val="20"/>
                <w:color w:val="auto"/>
              </w:rPr>
            </w:pPr>
            <w:r>
              <w:rPr>
                <w:rFonts w:ascii="Arial" w:cs="Arial" w:eastAsia="Arial" w:hAnsi="Arial"/>
                <w:sz w:val="13"/>
                <w:szCs w:val="13"/>
                <w:b w:val="1"/>
                <w:bCs w:val="1"/>
                <w:color w:val="auto"/>
              </w:rPr>
              <w:t>Total operating income (loss)</w:t>
            </w: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(45,056)</w:t>
            </w:r>
          </w:p>
        </w:tc>
        <w:tc>
          <w:tcPr>
            <w:tcW w:w="18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jc w:val="right"/>
              <w:ind w:right="117"/>
              <w:spacing w:after="0" w:line="122" w:lineRule="exact"/>
              <w:rPr>
                <w:sz w:val="20"/>
                <w:szCs w:val="20"/>
                <w:color w:val="auto"/>
              </w:rPr>
            </w:pPr>
            <w:r>
              <w:rPr>
                <w:rFonts w:ascii="Arial" w:cs="Arial" w:eastAsia="Arial" w:hAnsi="Arial"/>
                <w:sz w:val="13"/>
                <w:szCs w:val="13"/>
                <w:i w:val="1"/>
                <w:iCs w:val="1"/>
                <w:color w:val="auto"/>
              </w:rPr>
              <w:t>(67)%</w:t>
            </w:r>
          </w:p>
        </w:tc>
        <w:tc>
          <w:tcPr>
            <w:tcW w:w="180" w:type="dxa"/>
            <w:vAlign w:val="bottom"/>
            <w:tcBorders>
              <w:top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23,329</w:t>
            </w:r>
          </w:p>
        </w:tc>
        <w:tc>
          <w:tcPr>
            <w:tcW w:w="20" w:type="dxa"/>
            <w:vAlign w:val="bottom"/>
            <w:tcBorders>
              <w:top w:val="single" w:sz="8" w:color="CCEEFF"/>
              <w:bottom w:val="single" w:sz="8" w:color="auto"/>
            </w:tcBorders>
          </w:tcPr>
          <w:p>
            <w:pPr>
              <w:spacing w:after="0"/>
              <w:rPr>
                <w:sz w:val="10"/>
                <w:szCs w:val="10"/>
                <w:color w:val="auto"/>
              </w:rPr>
            </w:pPr>
          </w:p>
        </w:tc>
        <w:tc>
          <w:tcPr>
            <w:tcW w:w="1500" w:type="dxa"/>
            <w:vAlign w:val="bottom"/>
            <w:tcBorders>
              <w:top w:val="single" w:sz="8" w:color="CCEEFF"/>
            </w:tcBorders>
            <w:gridSpan w:val="2"/>
          </w:tcPr>
          <w:p>
            <w:pPr>
              <w:jc w:val="right"/>
              <w:ind w:right="97"/>
              <w:spacing w:after="0" w:line="122" w:lineRule="exact"/>
              <w:rPr>
                <w:sz w:val="20"/>
                <w:szCs w:val="20"/>
                <w:color w:val="auto"/>
              </w:rPr>
            </w:pPr>
            <w:r>
              <w:rPr>
                <w:rFonts w:ascii="Arial" w:cs="Arial" w:eastAsia="Arial" w:hAnsi="Arial"/>
                <w:sz w:val="13"/>
                <w:szCs w:val="13"/>
                <w:i w:val="1"/>
                <w:iCs w:val="1"/>
                <w:color w:val="auto"/>
              </w:rPr>
              <w:t>9%</w:t>
            </w:r>
          </w:p>
        </w:tc>
        <w:tc>
          <w:tcPr>
            <w:tcW w:w="18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jc w:val="right"/>
              <w:ind w:right="17"/>
              <w:spacing w:after="0" w:line="122"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ind w:right="440"/>
        <w:spacing w:after="0" w:line="250" w:lineRule="auto"/>
        <w:rPr>
          <w:sz w:val="20"/>
          <w:szCs w:val="20"/>
          <w:color w:val="auto"/>
        </w:rPr>
      </w:pPr>
      <w:r>
        <w:rPr>
          <w:rFonts w:ascii="Arial" w:cs="Arial" w:eastAsia="Arial" w:hAnsi="Arial"/>
          <w:sz w:val="18"/>
          <w:szCs w:val="18"/>
          <w:b w:val="1"/>
          <w:bCs w:val="1"/>
          <w:u w:val="single" w:color="auto"/>
          <w:color w:val="auto"/>
        </w:rPr>
        <w:t>Cinema Exhibition</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The following table details our Cinema Exhibition segment operating results for the quarters ended December 31, 2020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2019, respectively</w:t>
      </w:r>
      <w:r>
        <w:rPr>
          <w:rFonts w:ascii="Arial" w:cs="Arial" w:eastAsia="Arial" w:hAnsi="Arial"/>
          <w:sz w:val="18"/>
          <w:szCs w:val="18"/>
          <w:i w:val="1"/>
          <w:iCs w:val="1"/>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2020 vs. 2019</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3"/>
                <w:szCs w:val="13"/>
                <w:i w:val="1"/>
                <w:iCs w:val="1"/>
                <w:color w:val="auto"/>
                <w:w w:val="98"/>
              </w:rPr>
              <w:t>(Dollars in thousands)</w:t>
            </w: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7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i w:val="1"/>
                <w:iCs w:val="1"/>
                <w:color w:val="auto"/>
              </w:rPr>
              <w:t>% of Revenue</w:t>
            </w:r>
          </w:p>
        </w:tc>
        <w:tc>
          <w:tcPr>
            <w:tcW w:w="260" w:type="dxa"/>
            <w:vAlign w:val="bottom"/>
          </w:tcPr>
          <w:p>
            <w:pPr>
              <w:spacing w:after="0"/>
              <w:rPr>
                <w:sz w:val="13"/>
                <w:szCs w:val="13"/>
                <w:color w:val="auto"/>
              </w:rPr>
            </w:pPr>
          </w:p>
        </w:tc>
        <w:tc>
          <w:tcPr>
            <w:tcW w:w="880" w:type="dxa"/>
            <w:vAlign w:val="bottom"/>
          </w:tcPr>
          <w:p>
            <w:pPr>
              <w:jc w:val="right"/>
              <w:ind w:right="377"/>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257"/>
              <w:spacing w:after="0"/>
              <w:rPr>
                <w:sz w:val="20"/>
                <w:szCs w:val="20"/>
                <w:color w:val="auto"/>
              </w:rPr>
            </w:pPr>
            <w:r>
              <w:rPr>
                <w:rFonts w:ascii="Arial" w:cs="Arial" w:eastAsia="Arial" w:hAnsi="Arial"/>
                <w:sz w:val="13"/>
                <w:szCs w:val="13"/>
                <w:i w:val="1"/>
                <w:iCs w:val="1"/>
                <w:color w:val="auto"/>
              </w:rPr>
              <w:t>% of Revenue</w:t>
            </w:r>
          </w:p>
        </w:tc>
        <w:tc>
          <w:tcPr>
            <w:tcW w:w="1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135"/>
        </w:trPr>
        <w:tc>
          <w:tcPr>
            <w:tcW w:w="1260" w:type="dxa"/>
            <w:vAlign w:val="bottom"/>
            <w:tcBorders>
              <w:top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REVENUE</w:t>
            </w:r>
          </w:p>
        </w:tc>
        <w:tc>
          <w:tcPr>
            <w:tcW w:w="3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United States</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Admission revenue</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1,349</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48%</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23,533</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62%</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Food &amp; beverage revenue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923</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33%</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11,462</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30%</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Advertising and other revenue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568</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20%</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3,131</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(82)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2,840</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26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38,126</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(93)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Australia</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Admission revenue</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4,512</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60%</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14,101</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64%</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Food &amp; beverage revenue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2,304</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29%</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6,406</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29%</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Advertising and other revenue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757</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10%</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1,685</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(55)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7,573</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26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22,192</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(66)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New Zealand</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Admission revenue</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1,114</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64%</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3,358</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67%</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Food &amp; beverage revenue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503</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29%</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1,394</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28%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Advertising and other revenue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118</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5%</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1,735</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26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4,988</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(65) %</w:t>
            </w:r>
          </w:p>
        </w:tc>
        <w:tc>
          <w:tcPr>
            <w:tcW w:w="0" w:type="dxa"/>
            <w:vAlign w:val="bottom"/>
          </w:tcPr>
          <w:p>
            <w:pPr>
              <w:spacing w:after="0"/>
              <w:rPr>
                <w:sz w:val="1"/>
                <w:szCs w:val="1"/>
                <w:color w:val="auto"/>
              </w:rPr>
            </w:pPr>
          </w:p>
        </w:tc>
      </w:tr>
      <w:tr>
        <w:trPr>
          <w:trHeight w:val="155"/>
        </w:trPr>
        <w:tc>
          <w:tcPr>
            <w:tcW w:w="1260" w:type="dxa"/>
            <w:vAlign w:val="bottom"/>
            <w:tcBorders>
              <w:bottom w:val="single" w:sz="8" w:color="CCEEFF"/>
            </w:tcBorders>
            <w:shd w:val="clear" w:color="auto" w:fill="CCEEFF"/>
          </w:tcPr>
          <w:p>
            <w:pPr>
              <w:spacing w:after="0"/>
              <w:rPr>
                <w:sz w:val="13"/>
                <w:szCs w:val="13"/>
                <w:color w:val="auto"/>
              </w:rPr>
            </w:pPr>
          </w:p>
        </w:tc>
        <w:tc>
          <w:tcPr>
            <w:tcW w:w="30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260" w:type="dxa"/>
            <w:vAlign w:val="bottom"/>
            <w:tcBorders>
              <w:bottom w:val="single" w:sz="8" w:color="CCEEFF"/>
            </w:tcBorders>
          </w:tcPr>
          <w:p>
            <w:pPr>
              <w:ind w:left="220"/>
              <w:spacing w:after="0" w:line="122" w:lineRule="exact"/>
              <w:rPr>
                <w:sz w:val="20"/>
                <w:szCs w:val="20"/>
                <w:color w:val="auto"/>
              </w:rPr>
            </w:pPr>
            <w:r>
              <w:rPr>
                <w:rFonts w:ascii="Arial" w:cs="Arial" w:eastAsia="Arial" w:hAnsi="Arial"/>
                <w:sz w:val="13"/>
                <w:szCs w:val="13"/>
                <w:b w:val="1"/>
                <w:bCs w:val="1"/>
                <w:color w:val="auto"/>
              </w:rPr>
              <w:t>Total revenue</w:t>
            </w:r>
          </w:p>
        </w:tc>
        <w:tc>
          <w:tcPr>
            <w:tcW w:w="30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12,148</w:t>
            </w:r>
          </w:p>
        </w:tc>
        <w:tc>
          <w:tcPr>
            <w:tcW w:w="1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jc w:val="right"/>
              <w:ind w:right="117"/>
              <w:spacing w:after="0" w:line="122" w:lineRule="exact"/>
              <w:rPr>
                <w:sz w:val="20"/>
                <w:szCs w:val="20"/>
                <w:color w:val="auto"/>
              </w:rPr>
            </w:pPr>
            <w:r>
              <w:rPr>
                <w:rFonts w:ascii="Arial" w:cs="Arial" w:eastAsia="Arial" w:hAnsi="Arial"/>
                <w:sz w:val="13"/>
                <w:szCs w:val="13"/>
                <w:i w:val="1"/>
                <w:iCs w:val="1"/>
                <w:color w:val="auto"/>
              </w:rPr>
              <w:t>100%</w:t>
            </w: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65,306</w:t>
            </w:r>
          </w:p>
        </w:tc>
        <w:tc>
          <w:tcPr>
            <w:tcW w:w="2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gridSpan w:val="2"/>
          </w:tcPr>
          <w:p>
            <w:pPr>
              <w:jc w:val="right"/>
              <w:ind w:right="97"/>
              <w:spacing w:after="0" w:line="122" w:lineRule="exact"/>
              <w:rPr>
                <w:sz w:val="20"/>
                <w:szCs w:val="20"/>
                <w:color w:val="auto"/>
              </w:rPr>
            </w:pPr>
            <w:r>
              <w:rPr>
                <w:rFonts w:ascii="Arial" w:cs="Arial" w:eastAsia="Arial" w:hAnsi="Arial"/>
                <w:sz w:val="13"/>
                <w:szCs w:val="13"/>
                <w:i w:val="1"/>
                <w:iCs w:val="1"/>
                <w:color w:val="auto"/>
              </w:rPr>
              <w:t>100%</w:t>
            </w: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jc w:val="right"/>
              <w:ind w:right="17"/>
              <w:spacing w:after="0" w:line="122" w:lineRule="exact"/>
              <w:rPr>
                <w:sz w:val="20"/>
                <w:szCs w:val="20"/>
                <w:color w:val="auto"/>
              </w:rPr>
            </w:pPr>
            <w:r>
              <w:rPr>
                <w:rFonts w:ascii="Arial" w:cs="Arial" w:eastAsia="Arial" w:hAnsi="Arial"/>
                <w:sz w:val="13"/>
                <w:szCs w:val="13"/>
                <w:color w:val="auto"/>
              </w:rPr>
              <w:t>(81) %</w:t>
            </w:r>
          </w:p>
        </w:tc>
        <w:tc>
          <w:tcPr>
            <w:tcW w:w="0" w:type="dxa"/>
            <w:vAlign w:val="bottom"/>
          </w:tcPr>
          <w:p>
            <w:pPr>
              <w:spacing w:after="0"/>
              <w:rPr>
                <w:sz w:val="1"/>
                <w:szCs w:val="1"/>
                <w:color w:val="auto"/>
              </w:rPr>
            </w:pPr>
          </w:p>
        </w:tc>
      </w:tr>
      <w:tr>
        <w:trPr>
          <w:trHeight w:val="135"/>
        </w:trPr>
        <w:tc>
          <w:tcPr>
            <w:tcW w:w="4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United States</w:t>
            </w: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Film rent and advertising cost</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(727)</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(26)%</w:t>
            </w:r>
          </w:p>
        </w:tc>
        <w:tc>
          <w:tcPr>
            <w:tcW w:w="180" w:type="dxa"/>
            <w:vAlign w:val="bottom"/>
          </w:tcPr>
          <w:p>
            <w:pPr>
              <w:spacing w:after="0"/>
              <w:rPr>
                <w:sz w:val="11"/>
                <w:szCs w:val="11"/>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(12,379)</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(32)%</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Food &amp; beverage cost</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(339)</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(13)%</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(2,717)</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(6,486)</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(228)%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(6,609)</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(17)%</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operating expense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(3,434)</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(121)%</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(10,563)</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(28)%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(10,986)</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(387)%</w:t>
            </w:r>
          </w:p>
        </w:tc>
        <w:tc>
          <w:tcPr>
            <w:tcW w:w="180" w:type="dxa"/>
            <w:vAlign w:val="bottom"/>
          </w:tcPr>
          <w:p>
            <w:pPr>
              <w:spacing w:after="0"/>
              <w:rPr>
                <w:sz w:val="11"/>
                <w:szCs w:val="11"/>
                <w:color w:val="auto"/>
              </w:rPr>
            </w:pPr>
          </w:p>
        </w:tc>
        <w:tc>
          <w:tcPr>
            <w:tcW w:w="26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(32,268)</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(85)%</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66 %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Australia</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Film rent and advertising cost</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(1,877)</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(25)%</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(6,600)</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(30)%</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Food &amp; beverage cost</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(601)</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(1,289)</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(1,865)</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(25)%</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(3,892)</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Other operating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(2,436)</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(31)%</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(5,631)</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(26)%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30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(6,779)</w:t>
            </w: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i w:val="1"/>
                <w:iCs w:val="1"/>
                <w:color w:val="auto"/>
              </w:rPr>
              <w:t>(90)%</w:t>
            </w: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(17,412)</w:t>
            </w:r>
          </w:p>
        </w:tc>
        <w:tc>
          <w:tcPr>
            <w:tcW w:w="2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CCEEFF"/>
            </w:tcBorders>
            <w:gridSpan w:val="2"/>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(78)%</w:t>
            </w: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61 %</w:t>
            </w: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New Zealand</w:t>
            </w: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Film rent and advertising cost</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(463)</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(27)%</w:t>
            </w:r>
          </w:p>
        </w:tc>
        <w:tc>
          <w:tcPr>
            <w:tcW w:w="180" w:type="dxa"/>
            <w:vAlign w:val="bottom"/>
          </w:tcPr>
          <w:p>
            <w:pPr>
              <w:spacing w:after="0"/>
              <w:rPr>
                <w:sz w:val="11"/>
                <w:szCs w:val="11"/>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(1,521)</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(30)%</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Food &amp; beverage cost</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(104)</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(6)%</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(255)</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(5)%</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(256)</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(15)%</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(843)</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(17)%</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operating expense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(872)</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(50)%</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(1,281)</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(26)%</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(1,695)</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(99)%</w:t>
            </w:r>
          </w:p>
        </w:tc>
        <w:tc>
          <w:tcPr>
            <w:tcW w:w="180" w:type="dxa"/>
            <w:vAlign w:val="bottom"/>
          </w:tcPr>
          <w:p>
            <w:pPr>
              <w:spacing w:after="0"/>
              <w:rPr>
                <w:sz w:val="11"/>
                <w:szCs w:val="11"/>
                <w:color w:val="auto"/>
              </w:rPr>
            </w:pPr>
          </w:p>
        </w:tc>
        <w:tc>
          <w:tcPr>
            <w:tcW w:w="26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(3,900)</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(78)%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55"/>
        </w:trPr>
        <w:tc>
          <w:tcPr>
            <w:tcW w:w="4320" w:type="dxa"/>
            <w:vAlign w:val="bottom"/>
            <w:tcBorders>
              <w:bottom w:val="single" w:sz="8" w:color="CCEEFF"/>
            </w:tcBorders>
            <w:gridSpan w:val="2"/>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520" w:type="dxa"/>
            <w:vAlign w:val="bottom"/>
            <w:tcBorders>
              <w:bottom w:val="single" w:sz="8" w:color="CCEEFF"/>
            </w:tcBorders>
            <w:gridSpan w:val="3"/>
          </w:tcPr>
          <w:p>
            <w:pPr>
              <w:ind w:left="220"/>
              <w:spacing w:after="0" w:line="122" w:lineRule="exact"/>
              <w:rPr>
                <w:sz w:val="20"/>
                <w:szCs w:val="20"/>
                <w:color w:val="auto"/>
              </w:rPr>
            </w:pPr>
            <w:r>
              <w:rPr>
                <w:rFonts w:ascii="Arial" w:cs="Arial" w:eastAsia="Arial" w:hAnsi="Arial"/>
                <w:sz w:val="13"/>
                <w:szCs w:val="13"/>
                <w:b w:val="1"/>
                <w:bCs w:val="1"/>
                <w:color w:val="auto"/>
              </w:rPr>
              <w:t>Total operating expense</w:t>
            </w: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(19,460)</w:t>
            </w:r>
          </w:p>
        </w:tc>
        <w:tc>
          <w:tcPr>
            <w:tcW w:w="1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jc w:val="right"/>
              <w:ind w:right="117"/>
              <w:spacing w:after="0" w:line="122" w:lineRule="exact"/>
              <w:rPr>
                <w:sz w:val="20"/>
                <w:szCs w:val="20"/>
                <w:color w:val="auto"/>
              </w:rPr>
            </w:pPr>
            <w:r>
              <w:rPr>
                <w:rFonts w:ascii="Arial" w:cs="Arial" w:eastAsia="Arial" w:hAnsi="Arial"/>
                <w:sz w:val="13"/>
                <w:szCs w:val="13"/>
                <w:i w:val="1"/>
                <w:iCs w:val="1"/>
                <w:color w:val="auto"/>
              </w:rPr>
              <w:t>(160)%</w:t>
            </w: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(53,580)</w:t>
            </w:r>
          </w:p>
        </w:tc>
        <w:tc>
          <w:tcPr>
            <w:tcW w:w="2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gridSpan w:val="2"/>
          </w:tcPr>
          <w:p>
            <w:pPr>
              <w:jc w:val="right"/>
              <w:ind w:right="97"/>
              <w:spacing w:after="0" w:line="122" w:lineRule="exact"/>
              <w:rPr>
                <w:sz w:val="20"/>
                <w:szCs w:val="20"/>
                <w:color w:val="auto"/>
              </w:rPr>
            </w:pPr>
            <w:r>
              <w:rPr>
                <w:rFonts w:ascii="Arial" w:cs="Arial" w:eastAsia="Arial" w:hAnsi="Arial"/>
                <w:sz w:val="13"/>
                <w:szCs w:val="13"/>
                <w:i w:val="1"/>
                <w:iCs w:val="1"/>
                <w:color w:val="auto"/>
              </w:rPr>
              <w:t>(82)%</w:t>
            </w: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jc w:val="right"/>
              <w:ind w:right="17"/>
              <w:spacing w:after="0" w:line="122" w:lineRule="exact"/>
              <w:rPr>
                <w:sz w:val="20"/>
                <w:szCs w:val="20"/>
                <w:color w:val="auto"/>
              </w:rPr>
            </w:pPr>
            <w:r>
              <w:rPr>
                <w:rFonts w:ascii="Arial" w:cs="Arial" w:eastAsia="Arial" w:hAnsi="Arial"/>
                <w:sz w:val="13"/>
                <w:szCs w:val="13"/>
                <w:color w:val="auto"/>
              </w:rPr>
              <w:t>64 %</w:t>
            </w:r>
          </w:p>
        </w:tc>
        <w:tc>
          <w:tcPr>
            <w:tcW w:w="0" w:type="dxa"/>
            <w:vAlign w:val="bottom"/>
          </w:tcPr>
          <w:p>
            <w:pPr>
              <w:spacing w:after="0"/>
              <w:rPr>
                <w:sz w:val="1"/>
                <w:szCs w:val="1"/>
                <w:color w:val="auto"/>
              </w:rPr>
            </w:pPr>
          </w:p>
        </w:tc>
      </w:tr>
      <w:tr>
        <w:trPr>
          <w:trHeight w:val="103"/>
        </w:trPr>
        <w:tc>
          <w:tcPr>
            <w:tcW w:w="4520" w:type="dxa"/>
            <w:vAlign w:val="bottom"/>
            <w:gridSpan w:val="3"/>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DEPRECIATION, AMORTIZATION, IMPAIRMENT AND GENERAL AND</w:t>
            </w: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ADMINISTRATIVE EXPENSE</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United States</w:t>
            </w: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(2,110)</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(74)%</w:t>
            </w:r>
          </w:p>
        </w:tc>
        <w:tc>
          <w:tcPr>
            <w:tcW w:w="180" w:type="dxa"/>
            <w:vAlign w:val="bottom"/>
          </w:tcPr>
          <w:p>
            <w:pPr>
              <w:spacing w:after="0"/>
              <w:rPr>
                <w:sz w:val="11"/>
                <w:szCs w:val="11"/>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(2,726)</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 of long-lived assets</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(217)</w:t>
            </w:r>
          </w:p>
        </w:tc>
        <w:tc>
          <w:tcPr>
            <w:tcW w:w="2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i w:val="1"/>
                <w:iCs w:val="1"/>
                <w:color w:val="auto"/>
              </w:rPr>
              <w:t>(8)</w:t>
            </w: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(258)</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(9)%</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(1,231)</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79 %</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30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(2,585)</w:t>
            </w: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i w:val="1"/>
                <w:iCs w:val="1"/>
                <w:color w:val="auto"/>
              </w:rPr>
              <w:t>(91)%</w:t>
            </w: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(3,957)</w:t>
            </w:r>
          </w:p>
        </w:tc>
        <w:tc>
          <w:tcPr>
            <w:tcW w:w="2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CCEEFF"/>
            </w:tcBorders>
            <w:gridSpan w:val="2"/>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(10)%</w:t>
            </w: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Australia</w:t>
            </w: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(1,413)</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(19)%</w:t>
            </w:r>
          </w:p>
        </w:tc>
        <w:tc>
          <w:tcPr>
            <w:tcW w:w="180" w:type="dxa"/>
            <w:vAlign w:val="bottom"/>
          </w:tcPr>
          <w:p>
            <w:pPr>
              <w:spacing w:after="0"/>
              <w:rPr>
                <w:sz w:val="11"/>
                <w:szCs w:val="11"/>
                <w:color w:val="auto"/>
              </w:rPr>
            </w:pPr>
          </w:p>
        </w:tc>
        <w:tc>
          <w:tcPr>
            <w:tcW w:w="260" w:type="dxa"/>
            <w:vAlign w:val="bottom"/>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(1,316)</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(96)</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(400)</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(2)%</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(1,509)</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117"/>
              <w:spacing w:after="0" w:line="129" w:lineRule="exact"/>
              <w:rPr>
                <w:sz w:val="20"/>
                <w:szCs w:val="20"/>
                <w:color w:val="auto"/>
              </w:rPr>
            </w:pPr>
            <w:r>
              <w:rPr>
                <w:rFonts w:ascii="Arial" w:cs="Arial" w:eastAsia="Arial" w:hAnsi="Arial"/>
                <w:sz w:val="13"/>
                <w:szCs w:val="13"/>
                <w:i w:val="1"/>
                <w:iCs w:val="1"/>
                <w:color w:val="auto"/>
              </w:rPr>
              <w:t>(20)%</w:t>
            </w:r>
          </w:p>
        </w:tc>
        <w:tc>
          <w:tcPr>
            <w:tcW w:w="180" w:type="dxa"/>
            <w:vAlign w:val="bottom"/>
          </w:tcPr>
          <w:p>
            <w:pPr>
              <w:spacing w:after="0"/>
              <w:rPr>
                <w:sz w:val="11"/>
                <w:szCs w:val="11"/>
                <w:color w:val="auto"/>
              </w:rPr>
            </w:pPr>
          </w:p>
        </w:tc>
        <w:tc>
          <w:tcPr>
            <w:tcW w:w="26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(1,716)</w:t>
            </w:r>
          </w:p>
        </w:tc>
        <w:tc>
          <w:tcPr>
            <w:tcW w:w="20" w:type="dxa"/>
            <w:vAlign w:val="bottom"/>
          </w:tcPr>
          <w:p>
            <w:pPr>
              <w:spacing w:after="0"/>
              <w:rPr>
                <w:sz w:val="11"/>
                <w:szCs w:val="11"/>
                <w:color w:val="auto"/>
              </w:rPr>
            </w:pPr>
          </w:p>
        </w:tc>
        <w:tc>
          <w:tcPr>
            <w:tcW w:w="1500" w:type="dxa"/>
            <w:vAlign w:val="bottom"/>
            <w:gridSpan w:val="2"/>
          </w:tcPr>
          <w:p>
            <w:pPr>
              <w:jc w:val="right"/>
              <w:ind w:right="97"/>
              <w:spacing w:after="0" w:line="129" w:lineRule="exact"/>
              <w:rPr>
                <w:sz w:val="20"/>
                <w:szCs w:val="20"/>
                <w:color w:val="auto"/>
              </w:rPr>
            </w:pPr>
            <w:r>
              <w:rPr>
                <w:rFonts w:ascii="Arial" w:cs="Arial" w:eastAsia="Arial" w:hAnsi="Arial"/>
                <w:sz w:val="13"/>
                <w:szCs w:val="13"/>
                <w:i w:val="1"/>
                <w:iCs w:val="1"/>
                <w:color w:val="auto"/>
              </w:rPr>
              <w:t>(8)%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New Zealand</w:t>
            </w:r>
          </w:p>
        </w:tc>
        <w:tc>
          <w:tcPr>
            <w:tcW w:w="3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(333)</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(19)%</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(380)</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280" w:type="dxa"/>
            <w:vAlign w:val="bottom"/>
          </w:tcPr>
          <w:p>
            <w:pPr>
              <w:spacing w:after="0"/>
              <w:rPr>
                <w:sz w:val="11"/>
                <w:szCs w:val="11"/>
                <w:color w:val="auto"/>
              </w:rPr>
            </w:pPr>
          </w:p>
        </w:tc>
        <w:tc>
          <w:tcPr>
            <w:tcW w:w="1340" w:type="dxa"/>
            <w:vAlign w:val="bottom"/>
            <w:gridSpan w:val="2"/>
          </w:tcPr>
          <w:p>
            <w:pPr>
              <w:jc w:val="right"/>
              <w:ind w:right="360"/>
              <w:spacing w:after="0" w:line="135" w:lineRule="exact"/>
              <w:rPr>
                <w:sz w:val="20"/>
                <w:szCs w:val="20"/>
                <w:color w:val="auto"/>
              </w:rPr>
            </w:pPr>
            <w:r>
              <w:rPr>
                <w:rFonts w:ascii="Arial" w:cs="Arial" w:eastAsia="Arial" w:hAnsi="Arial"/>
                <w:sz w:val="13"/>
                <w:szCs w:val="13"/>
                <w:i w:val="1"/>
                <w:iCs w:val="1"/>
                <w:color w:val="auto"/>
              </w:rPr>
              <w:t>—%</w:t>
            </w: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(59)</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(1)%</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&gt;100 %</w:t>
            </w:r>
          </w:p>
        </w:tc>
        <w:tc>
          <w:tcPr>
            <w:tcW w:w="0" w:type="dxa"/>
            <w:vAlign w:val="bottom"/>
          </w:tcPr>
          <w:p>
            <w:pPr>
              <w:spacing w:after="0"/>
              <w:rPr>
                <w:sz w:val="1"/>
                <w:szCs w:val="1"/>
                <w:color w:val="auto"/>
              </w:rPr>
            </w:pPr>
          </w:p>
        </w:tc>
      </w:tr>
      <w:tr>
        <w:trPr>
          <w:trHeight w:val="129"/>
        </w:trPr>
        <w:tc>
          <w:tcPr>
            <w:tcW w:w="1260" w:type="dxa"/>
            <w:vAlign w:val="bottom"/>
            <w:tcBorders>
              <w:top w:val="single" w:sz="8" w:color="CCEEFF"/>
            </w:tcBorders>
            <w:shd w:val="clear" w:color="auto" w:fill="CCEEFF"/>
          </w:tcPr>
          <w:p>
            <w:pPr>
              <w:spacing w:after="0"/>
              <w:rPr>
                <w:sz w:val="11"/>
                <w:szCs w:val="11"/>
                <w:color w:val="auto"/>
              </w:rPr>
            </w:pPr>
          </w:p>
        </w:tc>
        <w:tc>
          <w:tcPr>
            <w:tcW w:w="30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(332)</w:t>
            </w: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i w:val="1"/>
                <w:iCs w:val="1"/>
                <w:color w:val="auto"/>
              </w:rPr>
              <w:t>(19)%</w:t>
            </w: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(439)</w:t>
            </w:r>
          </w:p>
        </w:tc>
        <w:tc>
          <w:tcPr>
            <w:tcW w:w="2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CCEEFF"/>
            </w:tcBorders>
            <w:gridSpan w:val="2"/>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(9)%</w:t>
            </w: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135"/>
        </w:trPr>
        <w:tc>
          <w:tcPr>
            <w:tcW w:w="4320" w:type="dxa"/>
            <w:vAlign w:val="bottom"/>
            <w:tcBorders>
              <w:bottom w:val="single" w:sz="8" w:color="CCEEFF"/>
            </w:tcBorders>
            <w:gridSpan w:val="2"/>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520" w:type="dxa"/>
            <w:vAlign w:val="bottom"/>
            <w:gridSpan w:val="3"/>
            <w:shd w:val="clear" w:color="auto" w:fill="CCEEFF"/>
          </w:tcPr>
          <w:p>
            <w:pPr>
              <w:ind w:left="220"/>
              <w:spacing w:after="0" w:line="97" w:lineRule="exact"/>
              <w:rPr>
                <w:sz w:val="20"/>
                <w:szCs w:val="20"/>
                <w:color w:val="auto"/>
              </w:rPr>
            </w:pPr>
            <w:r>
              <w:rPr>
                <w:rFonts w:ascii="Arial" w:cs="Arial" w:eastAsia="Arial" w:hAnsi="Arial"/>
                <w:sz w:val="10"/>
                <w:szCs w:val="10"/>
                <w:b w:val="1"/>
                <w:bCs w:val="1"/>
                <w:color w:val="auto"/>
              </w:rPr>
              <w:t>Total depreciation, amortization, impairment and general and</w:t>
            </w:r>
          </w:p>
        </w:tc>
        <w:tc>
          <w:tcPr>
            <w:tcW w:w="240" w:type="dxa"/>
            <w:vAlign w:val="bottom"/>
            <w:vMerge w:val="restart"/>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(4,426)</w:t>
            </w: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(6,112)</w:t>
            </w:r>
          </w:p>
        </w:tc>
        <w:tc>
          <w:tcPr>
            <w:tcW w:w="1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520" w:type="dxa"/>
            <w:vAlign w:val="bottom"/>
            <w:gridSpan w:val="3"/>
            <w:shd w:val="clear" w:color="auto" w:fill="CCEEFF"/>
          </w:tcPr>
          <w:p>
            <w:pPr>
              <w:ind w:left="220"/>
              <w:spacing w:after="0" w:line="140" w:lineRule="exact"/>
              <w:rPr>
                <w:sz w:val="20"/>
                <w:szCs w:val="20"/>
                <w:color w:val="auto"/>
              </w:rPr>
            </w:pPr>
            <w:r>
              <w:rPr>
                <w:rFonts w:ascii="Arial" w:cs="Arial" w:eastAsia="Arial" w:hAnsi="Arial"/>
                <w:sz w:val="13"/>
                <w:szCs w:val="13"/>
                <w:b w:val="1"/>
                <w:bCs w:val="1"/>
                <w:color w:val="auto"/>
              </w:rPr>
              <w:t>administrative expense</w:t>
            </w:r>
          </w:p>
        </w:tc>
        <w:tc>
          <w:tcPr>
            <w:tcW w:w="240" w:type="dxa"/>
            <w:vAlign w:val="bottom"/>
            <w:vMerge w:val="continue"/>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17"/>
              <w:spacing w:after="0" w:line="140" w:lineRule="exact"/>
              <w:rPr>
                <w:sz w:val="20"/>
                <w:szCs w:val="20"/>
                <w:color w:val="auto"/>
              </w:rPr>
            </w:pPr>
            <w:r>
              <w:rPr>
                <w:rFonts w:ascii="Arial" w:cs="Arial" w:eastAsia="Arial" w:hAnsi="Arial"/>
                <w:sz w:val="13"/>
                <w:szCs w:val="13"/>
                <w:i w:val="1"/>
                <w:iCs w:val="1"/>
                <w:color w:val="auto"/>
              </w:rPr>
              <w:t>(36)%</w:t>
            </w:r>
          </w:p>
        </w:tc>
        <w:tc>
          <w:tcPr>
            <w:tcW w:w="1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500" w:type="dxa"/>
            <w:vAlign w:val="bottom"/>
            <w:gridSpan w:val="2"/>
            <w:shd w:val="clear" w:color="auto" w:fill="CCEEFF"/>
          </w:tcPr>
          <w:p>
            <w:pPr>
              <w:jc w:val="right"/>
              <w:ind w:right="97"/>
              <w:spacing w:after="0" w:line="140" w:lineRule="exact"/>
              <w:rPr>
                <w:sz w:val="20"/>
                <w:szCs w:val="20"/>
                <w:color w:val="auto"/>
              </w:rPr>
            </w:pPr>
            <w:r>
              <w:rPr>
                <w:rFonts w:ascii="Arial" w:cs="Arial" w:eastAsia="Arial" w:hAnsi="Arial"/>
                <w:sz w:val="13"/>
                <w:szCs w:val="13"/>
                <w:i w:val="1"/>
                <w:iCs w:val="1"/>
                <w:color w:val="auto"/>
              </w:rPr>
              <w:t>(9)%</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7"/>
              <w:spacing w:after="0" w:line="140" w:lineRule="exact"/>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142"/>
        </w:trPr>
        <w:tc>
          <w:tcPr>
            <w:tcW w:w="1260" w:type="dxa"/>
            <w:vAlign w:val="bottom"/>
            <w:tcBorders>
              <w:top w:val="single" w:sz="8" w:color="CCEEFF"/>
              <w:bottom w:val="single" w:sz="8" w:color="CCEEFF"/>
            </w:tcBorders>
          </w:tcPr>
          <w:p>
            <w:pPr>
              <w:spacing w:after="0"/>
              <w:rPr>
                <w:sz w:val="12"/>
                <w:szCs w:val="12"/>
                <w:color w:val="auto"/>
              </w:rPr>
            </w:pPr>
          </w:p>
        </w:tc>
        <w:tc>
          <w:tcPr>
            <w:tcW w:w="306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CCEEFF"/>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CCEEFF"/>
              <w:bottom w:val="single" w:sz="8" w:color="CCEEFF"/>
            </w:tcBorders>
          </w:tcPr>
          <w:p>
            <w:pPr>
              <w:spacing w:after="0"/>
              <w:rPr>
                <w:sz w:val="12"/>
                <w:szCs w:val="12"/>
                <w:color w:val="auto"/>
              </w:rPr>
            </w:pPr>
          </w:p>
        </w:tc>
        <w:tc>
          <w:tcPr>
            <w:tcW w:w="11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3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360" w:type="dxa"/>
            <w:vAlign w:val="bottom"/>
            <w:tcBorders>
              <w:top w:val="single" w:sz="8" w:color="CCEEFF"/>
              <w:bottom w:val="single" w:sz="8" w:color="CCEEFF"/>
            </w:tcBorders>
          </w:tcPr>
          <w:p>
            <w:pPr>
              <w:spacing w:after="0"/>
              <w:rPr>
                <w:sz w:val="12"/>
                <w:szCs w:val="12"/>
                <w:color w:val="auto"/>
              </w:rPr>
            </w:pPr>
          </w:p>
        </w:tc>
        <w:tc>
          <w:tcPr>
            <w:tcW w:w="58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60" w:type="dxa"/>
            <w:vAlign w:val="bottom"/>
            <w:tcBorders>
              <w:bottom w:val="single" w:sz="8" w:color="CCEEFF"/>
            </w:tcBorders>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Total expenses</w:t>
            </w:r>
          </w:p>
        </w:tc>
        <w:tc>
          <w:tcPr>
            <w:tcW w:w="30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(23,886)</w:t>
            </w: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(197)%</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(59,692)</w:t>
            </w:r>
          </w:p>
        </w:tc>
        <w:tc>
          <w:tcPr>
            <w:tcW w:w="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(91)%</w:t>
            </w: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122"/>
        </w:trPr>
        <w:tc>
          <w:tcPr>
            <w:tcW w:w="452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OPERATING INCOME (LOSS)</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United States</w:t>
            </w:r>
          </w:p>
        </w:tc>
        <w:tc>
          <w:tcPr>
            <w:tcW w:w="3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(10,731)</w:t>
            </w: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(378)%</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1,901</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5%</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(&gt;100)</w:t>
            </w: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2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rPr>
              <w:t>Australia</w:t>
            </w: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(715)</w:t>
            </w:r>
          </w:p>
        </w:tc>
        <w:tc>
          <w:tcPr>
            <w:tcW w:w="280" w:type="dxa"/>
            <w:vAlign w:val="bottom"/>
          </w:tcPr>
          <w:p>
            <w:pPr>
              <w:spacing w:after="0"/>
              <w:rPr>
                <w:sz w:val="11"/>
                <w:szCs w:val="11"/>
                <w:color w:val="auto"/>
              </w:rPr>
            </w:pPr>
          </w:p>
        </w:tc>
        <w:tc>
          <w:tcPr>
            <w:tcW w:w="1160" w:type="dxa"/>
            <w:vAlign w:val="bottom"/>
          </w:tcPr>
          <w:p>
            <w:pPr>
              <w:jc w:val="right"/>
              <w:ind w:right="117"/>
              <w:spacing w:after="0" w:line="135" w:lineRule="exact"/>
              <w:rPr>
                <w:sz w:val="20"/>
                <w:szCs w:val="20"/>
                <w:color w:val="auto"/>
              </w:rPr>
            </w:pPr>
            <w:r>
              <w:rPr>
                <w:rFonts w:ascii="Arial" w:cs="Arial" w:eastAsia="Arial" w:hAnsi="Arial"/>
                <w:sz w:val="13"/>
                <w:szCs w:val="13"/>
                <w:i w:val="1"/>
                <w:iCs w:val="1"/>
                <w:color w:val="auto"/>
              </w:rPr>
              <w:t>(9)%</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3,064</w:t>
            </w:r>
          </w:p>
        </w:tc>
        <w:tc>
          <w:tcPr>
            <w:tcW w:w="1500" w:type="dxa"/>
            <w:vAlign w:val="bottom"/>
            <w:gridSpan w:val="2"/>
          </w:tcPr>
          <w:p>
            <w:pPr>
              <w:jc w:val="right"/>
              <w:ind w:right="97"/>
              <w:spacing w:after="0" w:line="135" w:lineRule="exact"/>
              <w:rPr>
                <w:sz w:val="20"/>
                <w:szCs w:val="20"/>
                <w:color w:val="auto"/>
              </w:rPr>
            </w:pPr>
            <w:r>
              <w:rPr>
                <w:rFonts w:ascii="Arial" w:cs="Arial" w:eastAsia="Arial" w:hAnsi="Arial"/>
                <w:sz w:val="13"/>
                <w:szCs w:val="13"/>
                <w:i w:val="1"/>
                <w:iCs w:val="1"/>
                <w:color w:val="auto"/>
              </w:rPr>
              <w:t>14%</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(&gt;100)</w:t>
            </w: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12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b w:val="1"/>
                <w:bCs w:val="1"/>
                <w:color w:val="auto"/>
              </w:rPr>
              <w:t>New Zealand</w:t>
            </w: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(292)</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i w:val="1"/>
                <w:iCs w:val="1"/>
                <w:color w:val="auto"/>
              </w:rPr>
              <w:t>(17)%</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649</w:t>
            </w:r>
          </w:p>
        </w:tc>
        <w:tc>
          <w:tcPr>
            <w:tcW w:w="150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13%</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0"/>
              </w:rPr>
              <w:t>(&gt;100) %</w:t>
            </w:r>
          </w:p>
        </w:tc>
        <w:tc>
          <w:tcPr>
            <w:tcW w:w="0" w:type="dxa"/>
            <w:vAlign w:val="bottom"/>
          </w:tcPr>
          <w:p>
            <w:pPr>
              <w:spacing w:after="0"/>
              <w:rPr>
                <w:sz w:val="1"/>
                <w:szCs w:val="1"/>
                <w:color w:val="auto"/>
              </w:rPr>
            </w:pPr>
          </w:p>
        </w:tc>
      </w:tr>
      <w:tr>
        <w:trPr>
          <w:trHeight w:val="122"/>
        </w:trPr>
        <w:tc>
          <w:tcPr>
            <w:tcW w:w="4520" w:type="dxa"/>
            <w:vAlign w:val="bottom"/>
            <w:tcBorders>
              <w:top w:val="single" w:sz="8" w:color="CCEEFF"/>
            </w:tcBorders>
            <w:gridSpan w:val="3"/>
          </w:tcPr>
          <w:p>
            <w:pPr>
              <w:ind w:left="220"/>
              <w:spacing w:after="0" w:line="122" w:lineRule="exact"/>
              <w:rPr>
                <w:sz w:val="20"/>
                <w:szCs w:val="20"/>
                <w:color w:val="auto"/>
              </w:rPr>
            </w:pPr>
            <w:r>
              <w:rPr>
                <w:rFonts w:ascii="Arial" w:cs="Arial" w:eastAsia="Arial" w:hAnsi="Arial"/>
                <w:sz w:val="13"/>
                <w:szCs w:val="13"/>
                <w:b w:val="1"/>
                <w:bCs w:val="1"/>
                <w:color w:val="auto"/>
              </w:rPr>
              <w:t>Total operating income (loss)</w:t>
            </w: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(11,738)</w:t>
            </w:r>
          </w:p>
        </w:tc>
        <w:tc>
          <w:tcPr>
            <w:tcW w:w="18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jc w:val="right"/>
              <w:ind w:right="117"/>
              <w:spacing w:after="0" w:line="122" w:lineRule="exact"/>
              <w:rPr>
                <w:sz w:val="20"/>
                <w:szCs w:val="20"/>
                <w:color w:val="auto"/>
              </w:rPr>
            </w:pPr>
            <w:r>
              <w:rPr>
                <w:rFonts w:ascii="Arial" w:cs="Arial" w:eastAsia="Arial" w:hAnsi="Arial"/>
                <w:sz w:val="13"/>
                <w:szCs w:val="13"/>
                <w:i w:val="1"/>
                <w:iCs w:val="1"/>
                <w:color w:val="auto"/>
              </w:rPr>
              <w:t>(97)%</w:t>
            </w:r>
          </w:p>
        </w:tc>
        <w:tc>
          <w:tcPr>
            <w:tcW w:w="180" w:type="dxa"/>
            <w:vAlign w:val="bottom"/>
            <w:tcBorders>
              <w:top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5,614</w:t>
            </w:r>
          </w:p>
        </w:tc>
        <w:tc>
          <w:tcPr>
            <w:tcW w:w="20" w:type="dxa"/>
            <w:vAlign w:val="bottom"/>
            <w:tcBorders>
              <w:top w:val="single" w:sz="8" w:color="CCEEFF"/>
              <w:bottom w:val="single" w:sz="8" w:color="auto"/>
            </w:tcBorders>
          </w:tcPr>
          <w:p>
            <w:pPr>
              <w:spacing w:after="0"/>
              <w:rPr>
                <w:sz w:val="10"/>
                <w:szCs w:val="10"/>
                <w:color w:val="auto"/>
              </w:rPr>
            </w:pPr>
          </w:p>
        </w:tc>
        <w:tc>
          <w:tcPr>
            <w:tcW w:w="1500" w:type="dxa"/>
            <w:vAlign w:val="bottom"/>
            <w:tcBorders>
              <w:top w:val="single" w:sz="8" w:color="CCEEFF"/>
            </w:tcBorders>
            <w:gridSpan w:val="2"/>
          </w:tcPr>
          <w:p>
            <w:pPr>
              <w:jc w:val="right"/>
              <w:ind w:right="97"/>
              <w:spacing w:after="0" w:line="122" w:lineRule="exact"/>
              <w:rPr>
                <w:sz w:val="20"/>
                <w:szCs w:val="20"/>
                <w:color w:val="auto"/>
              </w:rPr>
            </w:pPr>
            <w:r>
              <w:rPr>
                <w:rFonts w:ascii="Arial" w:cs="Arial" w:eastAsia="Arial" w:hAnsi="Arial"/>
                <w:sz w:val="13"/>
                <w:szCs w:val="13"/>
                <w:i w:val="1"/>
                <w:iCs w:val="1"/>
                <w:color w:val="auto"/>
              </w:rPr>
              <w:t>9%</w:t>
            </w:r>
          </w:p>
        </w:tc>
        <w:tc>
          <w:tcPr>
            <w:tcW w:w="540" w:type="dxa"/>
            <w:vAlign w:val="bottom"/>
            <w:tcBorders>
              <w:top w:val="single" w:sz="8" w:color="CCEEFF"/>
            </w:tcBorders>
            <w:gridSpan w:val="2"/>
          </w:tcPr>
          <w:p>
            <w:pPr>
              <w:jc w:val="right"/>
              <w:spacing w:after="0" w:line="122" w:lineRule="exact"/>
              <w:rPr>
                <w:sz w:val="20"/>
                <w:szCs w:val="20"/>
                <w:color w:val="auto"/>
              </w:rPr>
            </w:pPr>
            <w:r>
              <w:rPr>
                <w:rFonts w:ascii="Arial" w:cs="Arial" w:eastAsia="Arial" w:hAnsi="Arial"/>
                <w:sz w:val="13"/>
                <w:szCs w:val="13"/>
                <w:color w:val="auto"/>
              </w:rPr>
              <w:t>(&gt;100)</w:t>
            </w:r>
          </w:p>
        </w:tc>
        <w:tc>
          <w:tcPr>
            <w:tcW w:w="580" w:type="dxa"/>
            <w:vAlign w:val="bottom"/>
            <w:tcBorders>
              <w:top w:val="single" w:sz="8" w:color="CCEEFF"/>
            </w:tcBorders>
          </w:tcPr>
          <w:p>
            <w:pPr>
              <w:jc w:val="right"/>
              <w:ind w:right="17"/>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 Exhibition Segment Operating Income</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Cinema Exhibition segment operating income decreased by $68.4 million, to a loss of $45.1 million for the year ended December 31, 2020 compared to December 31, 2019, primarily driven by the repercussions caused by the COVID-19 pandemic, such as the (i) continued temporary closure of some of our cinemas, (ii) reduced capacity as a result of social distancing measures, and (iii) delays in release schedules by film distributors, which collectively led to a significant drop in attendance and a reduction in revenue by 74%, or $195.2 million. This was further impacted by the ongoing temporary closure of Reading Cinemas at Courtenay Central in New Zealand. This decrease is partially mitigated by (i) the reopening of a portion of our cinemas worldwide during the last three quarters of 2020, (ii) the absence of internal rent expense from some of our fee-interest cinemas due to the COVID-19 pandemic, and (iii) rent abatements received from a number of our landlords.</w:t>
      </w:r>
    </w:p>
    <w:p>
      <w:pPr>
        <w:spacing w:after="0" w:line="14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Measured in local currencies, these decreases were slightly lower, as reported results were dampened further by the weakening of the Australian and New Zealand dollars compared to the U.S. dollar in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ind w:right="100"/>
        <w:spacing w:after="0" w:line="231" w:lineRule="auto"/>
        <w:rPr>
          <w:sz w:val="20"/>
          <w:szCs w:val="20"/>
          <w:color w:val="auto"/>
        </w:rPr>
      </w:pPr>
      <w:r>
        <w:rPr>
          <w:rFonts w:ascii="Arial" w:cs="Arial" w:eastAsia="Arial" w:hAnsi="Arial"/>
          <w:sz w:val="18"/>
          <w:szCs w:val="18"/>
          <w:color w:val="auto"/>
        </w:rPr>
        <w:t>Cinema Exhibition segment operating income for the quarter ended December 31, 2020 decreased by $17.4 million, to a loss of $11.7 million compared to the quarter ended December 31, 2019, primarily driven by the continued temporary closure of a portion of our cinemas due to COVID-19 and the lack of film product with releases being pushed into later years. This decrease was reduced by the absence of internal rent expense from some of our fee-interest cinemas and the rent abatements from a number of our landlords.</w:t>
      </w:r>
    </w:p>
    <w:p>
      <w:pPr>
        <w:spacing w:after="0" w:line="14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Measured in local currencies, these decreases were slightly higher, as reported results were reduced further by the strengthening of the Australian and New Zealand dollars compared to the U.S. dollar in the fourth quarter of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Cinema revenue decreased by 74%, or $195.2 million, to $67.0 million for the year ended December 31, 2020 compared to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is the revenue breakdown, by country, for the years ended December 31, 2020 and 2019, respectively: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i w:val="1"/>
                <w:iCs w:val="1"/>
                <w:color w:val="auto"/>
              </w:rPr>
              <w:t>% of</w:t>
            </w:r>
          </w:p>
        </w:tc>
        <w:tc>
          <w:tcPr>
            <w:tcW w:w="24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i w:val="1"/>
                <w:iCs w:val="1"/>
                <w:color w:val="auto"/>
              </w:rPr>
              <w:t>% of</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Revenue</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27,422</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41%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147,653</w:t>
            </w: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56%</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4"/>
                <w:szCs w:val="14"/>
                <w:color w:val="auto"/>
              </w:rPr>
              <w:t>Australia</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32,515</w:t>
            </w:r>
          </w:p>
        </w:tc>
        <w:tc>
          <w:tcPr>
            <w:tcW w:w="940" w:type="dxa"/>
            <w:vAlign w:val="bottom"/>
          </w:tcPr>
          <w:p>
            <w:pPr>
              <w:jc w:val="right"/>
              <w:ind w:right="68"/>
              <w:spacing w:after="0"/>
              <w:rPr>
                <w:sz w:val="20"/>
                <w:szCs w:val="20"/>
                <w:color w:val="auto"/>
              </w:rPr>
            </w:pPr>
            <w:r>
              <w:rPr>
                <w:rFonts w:ascii="Arial" w:cs="Arial" w:eastAsia="Arial" w:hAnsi="Arial"/>
                <w:sz w:val="14"/>
                <w:szCs w:val="14"/>
                <w:i w:val="1"/>
                <w:iCs w:val="1"/>
                <w:color w:val="auto"/>
              </w:rPr>
              <w:t>49%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93,508</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36%</w:t>
            </w:r>
          </w:p>
        </w:tc>
        <w:tc>
          <w:tcPr>
            <w:tcW w:w="8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(65)</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New Zealand</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7,077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21,028</w:t>
            </w: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8%</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Segment Revenues</w:t>
            </w:r>
          </w:p>
        </w:tc>
        <w:tc>
          <w:tcPr>
            <w:tcW w:w="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67,014</w:t>
            </w:r>
          </w:p>
        </w:tc>
        <w:tc>
          <w:tcPr>
            <w:tcW w:w="940" w:type="dxa"/>
            <w:vAlign w:val="bottom"/>
          </w:tcPr>
          <w:p>
            <w:pPr>
              <w:jc w:val="right"/>
              <w:ind w:right="68"/>
              <w:spacing w:after="0"/>
              <w:rPr>
                <w:sz w:val="20"/>
                <w:szCs w:val="20"/>
                <w:color w:val="auto"/>
              </w:rPr>
            </w:pPr>
            <w:r>
              <w:rPr>
                <w:rFonts w:ascii="Arial" w:cs="Arial" w:eastAsia="Arial" w:hAnsi="Arial"/>
                <w:sz w:val="14"/>
                <w:szCs w:val="14"/>
                <w:i w:val="1"/>
                <w:iCs w:val="1"/>
                <w:color w:val="auto"/>
              </w:rPr>
              <w:t>100%</w:t>
            </w:r>
          </w:p>
        </w:tc>
        <w:tc>
          <w:tcPr>
            <w:tcW w:w="8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262,189</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100 %</w:t>
            </w:r>
          </w:p>
        </w:tc>
        <w:tc>
          <w:tcPr>
            <w:tcW w:w="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(74)</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Below are the changes in our cinema revenue by market: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United States</w:t>
      </w:r>
    </w:p>
    <w:p>
      <w:pPr>
        <w:spacing w:after="0" w:line="63" w:lineRule="exact"/>
        <w:rPr>
          <w:sz w:val="20"/>
          <w:szCs w:val="20"/>
          <w:color w:val="auto"/>
        </w:rPr>
      </w:pPr>
    </w:p>
    <w:p>
      <w:pPr>
        <w:ind w:left="660" w:right="20"/>
        <w:spacing w:after="0" w:line="246" w:lineRule="auto"/>
        <w:rPr>
          <w:sz w:val="20"/>
          <w:szCs w:val="20"/>
          <w:color w:val="auto"/>
        </w:rPr>
      </w:pPr>
      <w:r>
        <w:rPr>
          <w:rFonts w:ascii="Arial" w:cs="Arial" w:eastAsia="Arial" w:hAnsi="Arial"/>
          <w:sz w:val="17"/>
          <w:szCs w:val="17"/>
          <w:color w:val="auto"/>
        </w:rPr>
        <w:t>Cinema revenues decreased by 81%, or $120.2 million, to $27.4 million for the year ended December 31, 2020 compared to 2019. This decrease was primarily due to the ongoing temporary closures of most of our U.S. Cinemas and the social distancing measures put in place as a result of the COVID-19 pandemic, the lack of a consistent and compelling movie slate from the major studios, and the ongoing temporary closure in December of 2019 of our Consolidated Theatre at the Kahala Mall in Honolulu for a top-to-bottom renovation.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Australia</w:t>
      </w:r>
    </w:p>
    <w:p>
      <w:pPr>
        <w:spacing w:after="0" w:line="77" w:lineRule="exact"/>
        <w:rPr>
          <w:sz w:val="20"/>
          <w:szCs w:val="20"/>
          <w:color w:val="auto"/>
        </w:rPr>
      </w:pPr>
    </w:p>
    <w:p>
      <w:pPr>
        <w:ind w:left="660" w:right="60"/>
        <w:spacing w:after="0" w:line="231" w:lineRule="auto"/>
        <w:rPr>
          <w:sz w:val="20"/>
          <w:szCs w:val="20"/>
          <w:color w:val="auto"/>
        </w:rPr>
      </w:pPr>
      <w:r>
        <w:rPr>
          <w:rFonts w:ascii="Arial" w:cs="Arial" w:eastAsia="Arial" w:hAnsi="Arial"/>
          <w:sz w:val="18"/>
          <w:szCs w:val="18"/>
          <w:color w:val="auto"/>
        </w:rPr>
        <w:t>Cinema revenues decreased by 65%, or $61.0 million, to $32.5 million for the year ended December 31, 2020 compared to 2019. This decrease was largely due to the temporary closures of our cinemas in Australia as a result of the COVID-19 pandemic, the postponement or removal from the release schedule of major motion pictures, and the weakening of the Australian dollar when compared to the U.S. dollar, partially offset by the reopening of all of our Australian cinemas by November 2020.</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New Zealand</w:t>
      </w:r>
    </w:p>
    <w:p>
      <w:pPr>
        <w:spacing w:after="0" w:line="77"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6"/>
          <w:szCs w:val="16"/>
          <w:color w:val="auto"/>
        </w:rPr>
        <w:t>Cinema revenues decreased by 66%, or $14.0 million, to $7.1 million for the year ended December 31, 2020 compared to 2019. This decrease was mainly due to the temporary closures of some of our cinemas in New Zealand as a result of the COVID-19 pandemic, the lack of a slate of motion pictures from the major studios, and the weakening of the New Zealand dollar when compared to the U.S. dollar, partially offset by the reopening of our cinemas in New Zealand in June of 2020, excluding Courtenay Central, which remains closed due to seismic concerns.</w:t>
      </w:r>
    </w:p>
    <w:p>
      <w:pPr>
        <w:spacing w:after="0" w:line="129"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For the quarter ended December 31, 2020, Cinema segment revenues decreased 81%, or $53.2 million, to $12.1 million compared to the same quarter in 2019. This was driven by the decline in admissions in all three circuits due to the ongoing temporary closures of some of our cinemas as a result of the COVID-19 pandemic further impacted by the continued temporary closure of our Reading Cinemas at Courtenay Central and the ongoing temporary closure of Consolidated Theatres Kahala for renovation, slightly offset by the launch of our Reading Cinemas at Jindalee in Australia at the end of 2020. These results were offset by the strengthening of the Australian and New Zealand dollars in the fourth quarter of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Operating expense for 2020 decreased by 57%, or $124.2 million, to $93.2 million when compared to 2019 due to a decline in film rent expense as a result of cinemas being closed and lack of new films, and savings in internal and external rent abatements received in 2020 as a result of the COVID-19 pandemic. Furthermore, the temporary closures of our cinemas ultimately led to employee terminations in late March in the U.S. resulting in a reduction in labor costs. Conversely, in Australia and New Zealand, there was no need to terminate employees as we enjoyed the benefits of wage subsidies provided by their respective governments, which covered virtually all of the costs of our cinema level personnel. The wage subsidy program in Australia was reduced at the beginning of 2021 and continued to cover a substantial proportion of the costs however, this program ended on March 27, 2021. The wage subsidy program in New Zealand ended on August 25,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4" w:name="page55"/>
    <w:bookmarkEnd w:id="54"/>
    <w:p>
      <w:pPr>
        <w:ind w:right="260"/>
        <w:spacing w:after="0" w:line="235" w:lineRule="auto"/>
        <w:rPr>
          <w:sz w:val="20"/>
          <w:szCs w:val="20"/>
          <w:color w:val="auto"/>
        </w:rPr>
      </w:pPr>
      <w:r>
        <w:rPr>
          <w:rFonts w:ascii="Arial" w:cs="Arial" w:eastAsia="Arial" w:hAnsi="Arial"/>
          <w:sz w:val="18"/>
          <w:szCs w:val="18"/>
          <w:color w:val="auto"/>
        </w:rPr>
        <w:t>For the quarter ended December 31, 2020, operating expense decreased by 64%, or $34.1 million, to $19.5 million compared to December 31, 2019, primarily due to lower film rent expense as a result of cinemas being closed and lack of new films, savings in labor costs, and in some cases, lower F&amp;B costs as a result of a drop in admissions in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General and Administrative Expense</w:t>
      </w:r>
    </w:p>
    <w:p>
      <w:pPr>
        <w:spacing w:after="0" w:line="17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Depreciation, amortization, general and administrative expense for 2020 cinema operations decreased by 12%, or $2.6 million, to $18.9 million compared to 2019 primarily driven by reduction in depreciation expense for our U.S. cinemas digital projectors, which were substantially depreciated by the end of 2019. The decrease was partially offset by increases in depreciation expense related to the completion of our 44 Union Square capital improvements placed into service along with the foreign exchange movements in Australia and New Zealand, and a $0.2 million impairment charge incurred against certain cinema assets.</w:t>
      </w:r>
    </w:p>
    <w:p>
      <w:pPr>
        <w:spacing w:after="0" w:line="15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Depreciation, amortization, general and administrative expense for the quarter ended December 31, 2020 decreased by 28%, or $1.7 million, to $4.4 million primarily from the savings in payroll costs as a result of the wage subsidy programs and reduction in corporate staff costs.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auto"/>
        </w:rPr>
        <w:t>Real Estate</w:t>
      </w:r>
      <w:r>
        <w:rPr>
          <w:rFonts w:ascii="Arial" w:cs="Arial" w:eastAsia="Arial" w:hAnsi="Arial"/>
          <w:sz w:val="16"/>
          <w:szCs w:val="16"/>
          <w:b w:val="1"/>
          <w:bCs w:val="1"/>
          <w:color w:val="auto"/>
        </w:rPr>
        <w:t xml:space="preserve"> – </w:t>
      </w:r>
      <w:r>
        <w:rPr>
          <w:rFonts w:ascii="Arial" w:cs="Arial" w:eastAsia="Arial" w:hAnsi="Arial"/>
          <w:sz w:val="16"/>
          <w:szCs w:val="16"/>
          <w:b w:val="1"/>
          <w:bCs w:val="1"/>
          <w:i w:val="1"/>
          <w:iCs w:val="1"/>
          <w:color w:val="auto"/>
        </w:rPr>
        <w:t>The following table details our Real Estate segment operating results for the years ended December 31, 2020 and 2019, respectively: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4"/>
              </w:rPr>
              <w:t>2020 vs. 2019</w:t>
            </w:r>
          </w:p>
        </w:tc>
      </w:tr>
      <w:tr>
        <w:trPr>
          <w:trHeight w:val="135"/>
        </w:trPr>
        <w:tc>
          <w:tcPr>
            <w:tcW w:w="1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r>
      <w:tr>
        <w:trPr>
          <w:trHeight w:val="160"/>
        </w:trPr>
        <w:tc>
          <w:tcPr>
            <w:tcW w:w="1740" w:type="dxa"/>
            <w:vAlign w:val="bottom"/>
          </w:tcPr>
          <w:p>
            <w:pPr>
              <w:spacing w:after="0"/>
              <w:rPr>
                <w:sz w:val="20"/>
                <w:szCs w:val="20"/>
                <w:color w:val="auto"/>
              </w:rPr>
            </w:pPr>
            <w:r>
              <w:rPr>
                <w:rFonts w:ascii="Arial" w:cs="Arial" w:eastAsia="Arial" w:hAnsi="Arial"/>
                <w:sz w:val="13"/>
                <w:szCs w:val="13"/>
                <w:i w:val="1"/>
                <w:iCs w:val="1"/>
                <w:color w:val="auto"/>
              </w:rPr>
              <w:t>(Dollars in thousands)</w:t>
            </w: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51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3"/>
                <w:szCs w:val="13"/>
                <w:i w:val="1"/>
                <w:iCs w:val="1"/>
                <w:color w:val="auto"/>
              </w:rPr>
              <w:t>% of Revenue</w:t>
            </w:r>
          </w:p>
        </w:tc>
        <w:tc>
          <w:tcPr>
            <w:tcW w:w="240" w:type="dxa"/>
            <w:vAlign w:val="bottom"/>
          </w:tcPr>
          <w:p>
            <w:pPr>
              <w:spacing w:after="0"/>
              <w:rPr>
                <w:sz w:val="13"/>
                <w:szCs w:val="13"/>
                <w:color w:val="auto"/>
              </w:rPr>
            </w:pPr>
          </w:p>
        </w:tc>
        <w:tc>
          <w:tcPr>
            <w:tcW w:w="860" w:type="dxa"/>
            <w:vAlign w:val="bottom"/>
          </w:tcPr>
          <w:p>
            <w:pPr>
              <w:jc w:val="right"/>
              <w:ind w:right="357"/>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ind w:left="300"/>
              <w:spacing w:after="0"/>
              <w:rPr>
                <w:sz w:val="20"/>
                <w:szCs w:val="20"/>
                <w:color w:val="auto"/>
              </w:rPr>
            </w:pPr>
            <w:r>
              <w:rPr>
                <w:rFonts w:ascii="Arial" w:cs="Arial" w:eastAsia="Arial" w:hAnsi="Arial"/>
                <w:sz w:val="13"/>
                <w:szCs w:val="13"/>
                <w:i w:val="1"/>
                <w:iCs w:val="1"/>
                <w:color w:val="auto"/>
              </w:rPr>
              <w:t>% of Revenue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(Unfavorable)</w:t>
            </w:r>
          </w:p>
        </w:tc>
      </w:tr>
      <w:tr>
        <w:trPr>
          <w:trHeight w:val="135"/>
        </w:trPr>
        <w:tc>
          <w:tcPr>
            <w:tcW w:w="1740" w:type="dxa"/>
            <w:vAlign w:val="bottom"/>
            <w:tcBorders>
              <w:top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REVENUE</w:t>
            </w:r>
          </w:p>
        </w:tc>
        <w:tc>
          <w:tcPr>
            <w:tcW w:w="29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r>
        <w:trPr>
          <w:trHeight w:val="135"/>
        </w:trPr>
        <w:tc>
          <w:tcPr>
            <w:tcW w:w="17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United States</w:t>
            </w:r>
          </w:p>
        </w:tc>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Live theatre rental and ancillary income</w:t>
            </w:r>
          </w:p>
        </w:tc>
        <w:tc>
          <w:tcPr>
            <w:tcW w:w="50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988</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69%</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3,426</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89%</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 %</w:t>
            </w:r>
          </w:p>
        </w:tc>
      </w:tr>
      <w:tr>
        <w:trPr>
          <w:trHeight w:val="135"/>
        </w:trPr>
        <w:tc>
          <w:tcPr>
            <w:tcW w:w="1740" w:type="dxa"/>
            <w:vAlign w:val="bottom"/>
          </w:tcPr>
          <w:p>
            <w:pPr>
              <w:spacing w:after="0"/>
              <w:rPr>
                <w:sz w:val="11"/>
                <w:szCs w:val="11"/>
                <w:color w:val="auto"/>
              </w:rPr>
            </w:pP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Property rental income</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434</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31%</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422</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11%</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3 %</w:t>
            </w: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29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1,422</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3,848</w:t>
            </w:r>
          </w:p>
        </w:tc>
        <w:tc>
          <w:tcPr>
            <w:tcW w:w="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 %</w:t>
            </w:r>
          </w:p>
        </w:tc>
      </w:tr>
      <w:tr>
        <w:trPr>
          <w:trHeight w:val="135"/>
        </w:trPr>
        <w:tc>
          <w:tcPr>
            <w:tcW w:w="17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Australia</w:t>
            </w: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Property rental income</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10,576</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15,656</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(32) %</w:t>
            </w:r>
          </w:p>
        </w:tc>
      </w:tr>
      <w:tr>
        <w:trPr>
          <w:trHeight w:val="135"/>
        </w:trPr>
        <w:tc>
          <w:tcPr>
            <w:tcW w:w="17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New Zealand</w:t>
            </w:r>
          </w:p>
        </w:tc>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rental income</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965</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100%</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2,401</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100%</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 %</w:t>
            </w:r>
          </w:p>
        </w:tc>
      </w:tr>
      <w:tr>
        <w:trPr>
          <w:trHeight w:val="135"/>
        </w:trPr>
        <w:tc>
          <w:tcPr>
            <w:tcW w:w="1740" w:type="dxa"/>
            <w:vAlign w:val="bottom"/>
            <w:tcBorders>
              <w:bottom w:val="single" w:sz="8" w:color="CCEEFF"/>
            </w:tcBorders>
          </w:tcPr>
          <w:p>
            <w:pPr>
              <w:ind w:left="200"/>
              <w:spacing w:after="0" w:line="129" w:lineRule="exact"/>
              <w:rPr>
                <w:sz w:val="20"/>
                <w:szCs w:val="20"/>
                <w:color w:val="auto"/>
              </w:rPr>
            </w:pPr>
            <w:r>
              <w:rPr>
                <w:rFonts w:ascii="Arial" w:cs="Arial" w:eastAsia="Arial" w:hAnsi="Arial"/>
                <w:sz w:val="13"/>
                <w:szCs w:val="13"/>
                <w:b w:val="1"/>
                <w:bCs w:val="1"/>
                <w:color w:val="auto"/>
              </w:rPr>
              <w:t>Total revenue</w:t>
            </w:r>
          </w:p>
        </w:tc>
        <w:tc>
          <w:tcPr>
            <w:tcW w:w="29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12,963</w:t>
            </w: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21,905</w:t>
            </w:r>
          </w:p>
        </w:tc>
        <w:tc>
          <w:tcPr>
            <w:tcW w:w="2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gridSpan w:val="2"/>
          </w:tcPr>
          <w:p>
            <w:pPr>
              <w:jc w:val="right"/>
              <w:ind w:right="7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(41) %</w:t>
            </w: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w:t>
            </w:r>
          </w:p>
        </w:tc>
        <w:tc>
          <w:tcPr>
            <w:tcW w:w="2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5"/>
        </w:trPr>
        <w:tc>
          <w:tcPr>
            <w:tcW w:w="17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United States</w:t>
            </w: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Live theatre cost</w:t>
            </w:r>
          </w:p>
        </w:tc>
        <w:tc>
          <w:tcPr>
            <w:tcW w:w="50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(698)</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(49)%</w:t>
            </w:r>
          </w:p>
        </w:tc>
        <w:tc>
          <w:tcPr>
            <w:tcW w:w="18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(1,271)</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(33)%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45 %</w:t>
            </w:r>
          </w:p>
        </w:tc>
      </w:tr>
      <w:tr>
        <w:trPr>
          <w:trHeight w:val="135"/>
        </w:trPr>
        <w:tc>
          <w:tcPr>
            <w:tcW w:w="1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cost</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(1,184)</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(83)%</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(640)</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(17)%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 %</w:t>
            </w:r>
          </w:p>
        </w:tc>
      </w:tr>
      <w:tr>
        <w:trPr>
          <w:trHeight w:val="135"/>
        </w:trPr>
        <w:tc>
          <w:tcPr>
            <w:tcW w:w="1740" w:type="dxa"/>
            <w:vAlign w:val="bottom"/>
          </w:tcPr>
          <w:p>
            <w:pPr>
              <w:spacing w:after="0"/>
              <w:rPr>
                <w:sz w:val="11"/>
                <w:szCs w:val="11"/>
                <w:color w:val="auto"/>
              </w:rPr>
            </w:pP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Occupancy expense</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(930)</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(65)%</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(507)</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(83) %</w:t>
            </w: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29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(2,812)</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(198)%</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(2,418)</w:t>
            </w:r>
          </w:p>
        </w:tc>
        <w:tc>
          <w:tcPr>
            <w:tcW w:w="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(63)%</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 %</w:t>
            </w:r>
          </w:p>
        </w:tc>
      </w:tr>
      <w:tr>
        <w:trPr>
          <w:trHeight w:val="135"/>
        </w:trPr>
        <w:tc>
          <w:tcPr>
            <w:tcW w:w="17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Australia</w:t>
            </w: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Property cost</w:t>
            </w:r>
          </w:p>
        </w:tc>
        <w:tc>
          <w:tcPr>
            <w:tcW w:w="50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(2,457)</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(23)%</w:t>
            </w:r>
          </w:p>
        </w:tc>
        <w:tc>
          <w:tcPr>
            <w:tcW w:w="18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(2,810)</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(18)%</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13 %</w:t>
            </w:r>
          </w:p>
        </w:tc>
      </w:tr>
      <w:tr>
        <w:trPr>
          <w:trHeight w:val="135"/>
        </w:trPr>
        <w:tc>
          <w:tcPr>
            <w:tcW w:w="1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Occupancy expense</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(1,874)</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(18)%</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(2,648)</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(17)%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29 %</w:t>
            </w:r>
          </w:p>
        </w:tc>
      </w:tr>
      <w:tr>
        <w:trPr>
          <w:trHeight w:val="129"/>
        </w:trPr>
        <w:tc>
          <w:tcPr>
            <w:tcW w:w="1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(4,331)</w:t>
            </w:r>
          </w:p>
        </w:tc>
        <w:tc>
          <w:tcPr>
            <w:tcW w:w="18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Arial" w:cs="Arial" w:eastAsia="Arial" w:hAnsi="Arial"/>
                <w:sz w:val="13"/>
                <w:szCs w:val="13"/>
                <w:i w:val="1"/>
                <w:iCs w:val="1"/>
                <w:color w:val="auto"/>
              </w:rPr>
              <w:t>(41)%</w:t>
            </w:r>
          </w:p>
        </w:tc>
        <w:tc>
          <w:tcPr>
            <w:tcW w:w="18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(5,458)</w:t>
            </w:r>
          </w:p>
        </w:tc>
        <w:tc>
          <w:tcPr>
            <w:tcW w:w="20" w:type="dxa"/>
            <w:vAlign w:val="bottom"/>
          </w:tcPr>
          <w:p>
            <w:pPr>
              <w:spacing w:after="0"/>
              <w:rPr>
                <w:sz w:val="11"/>
                <w:szCs w:val="11"/>
                <w:color w:val="auto"/>
              </w:rPr>
            </w:pPr>
          </w:p>
        </w:tc>
        <w:tc>
          <w:tcPr>
            <w:tcW w:w="1460" w:type="dxa"/>
            <w:vAlign w:val="bottom"/>
            <w:gridSpan w:val="2"/>
          </w:tcPr>
          <w:p>
            <w:pPr>
              <w:jc w:val="right"/>
              <w:ind w:right="77"/>
              <w:spacing w:after="0" w:line="129" w:lineRule="exact"/>
              <w:rPr>
                <w:sz w:val="20"/>
                <w:szCs w:val="20"/>
                <w:color w:val="auto"/>
              </w:rPr>
            </w:pPr>
            <w:r>
              <w:rPr>
                <w:rFonts w:ascii="Arial" w:cs="Arial" w:eastAsia="Arial" w:hAnsi="Arial"/>
                <w:sz w:val="13"/>
                <w:szCs w:val="13"/>
                <w:i w:val="1"/>
                <w:iCs w:val="1"/>
                <w:color w:val="auto"/>
              </w:rPr>
              <w:t>(35)%</w:t>
            </w: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21 %</w:t>
            </w:r>
          </w:p>
        </w:tc>
      </w:tr>
      <w:tr>
        <w:trPr>
          <w:trHeight w:val="135"/>
        </w:trPr>
        <w:tc>
          <w:tcPr>
            <w:tcW w:w="17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New Zealand</w:t>
            </w:r>
          </w:p>
        </w:tc>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cost</w:t>
            </w:r>
          </w:p>
        </w:tc>
        <w:tc>
          <w:tcPr>
            <w:tcW w:w="50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(1,002)</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(104)%</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(1,073)</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(45)%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7 %</w:t>
            </w:r>
          </w:p>
        </w:tc>
      </w:tr>
      <w:tr>
        <w:trPr>
          <w:trHeight w:val="135"/>
        </w:trPr>
        <w:tc>
          <w:tcPr>
            <w:tcW w:w="1740" w:type="dxa"/>
            <w:vAlign w:val="bottom"/>
          </w:tcPr>
          <w:p>
            <w:pPr>
              <w:spacing w:after="0"/>
              <w:rPr>
                <w:sz w:val="11"/>
                <w:szCs w:val="11"/>
                <w:color w:val="auto"/>
              </w:rPr>
            </w:pP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Occupancy expense</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(432)</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(45)%</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(504)</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(21)%</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14 %</w:t>
            </w: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29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(1,434)</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(149)%</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(1,577)</w:t>
            </w:r>
          </w:p>
        </w:tc>
        <w:tc>
          <w:tcPr>
            <w:tcW w:w="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(66)%</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9 %</w:t>
            </w:r>
          </w:p>
        </w:tc>
      </w:tr>
      <w:tr>
        <w:trPr>
          <w:trHeight w:val="142"/>
        </w:trPr>
        <w:tc>
          <w:tcPr>
            <w:tcW w:w="17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r>
      <w:tr>
        <w:trPr>
          <w:trHeight w:val="155"/>
        </w:trPr>
        <w:tc>
          <w:tcPr>
            <w:tcW w:w="1740" w:type="dxa"/>
            <w:vAlign w:val="bottom"/>
            <w:tcBorders>
              <w:bottom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Total operating expense</w:t>
            </w:r>
          </w:p>
        </w:tc>
        <w:tc>
          <w:tcPr>
            <w:tcW w:w="29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(8,577)</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(66)%</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(9,453)</w:t>
            </w:r>
          </w:p>
        </w:tc>
        <w:tc>
          <w:tcPr>
            <w:tcW w:w="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(43)%</w:t>
            </w: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9 %</w:t>
            </w:r>
          </w:p>
        </w:tc>
      </w:tr>
      <w:tr>
        <w:trPr>
          <w:trHeight w:val="90"/>
        </w:trPr>
        <w:tc>
          <w:tcPr>
            <w:tcW w:w="472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DEPRECIATION, AMORTIZATION, GENERAL AND ADMINISTRATIVE</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153"/>
        </w:trPr>
        <w:tc>
          <w:tcPr>
            <w:tcW w:w="1740" w:type="dxa"/>
            <w:vAlign w:val="bottom"/>
          </w:tcPr>
          <w:p>
            <w:pPr>
              <w:spacing w:after="0"/>
              <w:rPr>
                <w:sz w:val="20"/>
                <w:szCs w:val="20"/>
                <w:color w:val="auto"/>
              </w:rPr>
            </w:pPr>
            <w:r>
              <w:rPr>
                <w:rFonts w:ascii="Arial" w:cs="Arial" w:eastAsia="Arial" w:hAnsi="Arial"/>
                <w:sz w:val="13"/>
                <w:szCs w:val="13"/>
                <w:b w:val="1"/>
                <w:bCs w:val="1"/>
                <w:color w:val="auto"/>
              </w:rPr>
              <w:t>EXPENSE</w:t>
            </w: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5"/>
        </w:trPr>
        <w:tc>
          <w:tcPr>
            <w:tcW w:w="17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United States</w:t>
            </w:r>
          </w:p>
        </w:tc>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50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(1,522)</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(107)%</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(778)</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(20)%</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 %</w:t>
            </w:r>
          </w:p>
        </w:tc>
      </w:tr>
      <w:tr>
        <w:trPr>
          <w:trHeight w:val="135"/>
        </w:trPr>
        <w:tc>
          <w:tcPr>
            <w:tcW w:w="1740" w:type="dxa"/>
            <w:vAlign w:val="bottom"/>
          </w:tcPr>
          <w:p>
            <w:pPr>
              <w:spacing w:after="0"/>
              <w:rPr>
                <w:sz w:val="11"/>
                <w:szCs w:val="11"/>
                <w:color w:val="auto"/>
              </w:rPr>
            </w:pP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General and administrative expense</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(487)</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(34)%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(588)</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(15)%</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17 %</w:t>
            </w: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29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(2,009)</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(141)%</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(1,366)</w:t>
            </w:r>
          </w:p>
        </w:tc>
        <w:tc>
          <w:tcPr>
            <w:tcW w:w="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(35)%</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 %</w:t>
            </w:r>
          </w:p>
        </w:tc>
      </w:tr>
      <w:tr>
        <w:trPr>
          <w:trHeight w:val="135"/>
        </w:trPr>
        <w:tc>
          <w:tcPr>
            <w:tcW w:w="17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Australia</w:t>
            </w: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50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(3,634)</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(34)%</w:t>
            </w:r>
          </w:p>
        </w:tc>
        <w:tc>
          <w:tcPr>
            <w:tcW w:w="18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(3,622)</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(23)%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 %</w:t>
            </w:r>
          </w:p>
        </w:tc>
      </w:tr>
      <w:tr>
        <w:trPr>
          <w:trHeight w:val="135"/>
        </w:trPr>
        <w:tc>
          <w:tcPr>
            <w:tcW w:w="1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General and administrative expense</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(275)</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(3)%</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(1,127)</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76 %</w:t>
            </w:r>
          </w:p>
        </w:tc>
      </w:tr>
      <w:tr>
        <w:trPr>
          <w:trHeight w:val="129"/>
        </w:trPr>
        <w:tc>
          <w:tcPr>
            <w:tcW w:w="1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(3,909)</w:t>
            </w:r>
          </w:p>
        </w:tc>
        <w:tc>
          <w:tcPr>
            <w:tcW w:w="18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Arial" w:cs="Arial" w:eastAsia="Arial" w:hAnsi="Arial"/>
                <w:sz w:val="13"/>
                <w:szCs w:val="13"/>
                <w:i w:val="1"/>
                <w:iCs w:val="1"/>
                <w:color w:val="auto"/>
              </w:rPr>
              <w:t>(37)%</w:t>
            </w:r>
          </w:p>
        </w:tc>
        <w:tc>
          <w:tcPr>
            <w:tcW w:w="18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(4,749)</w:t>
            </w:r>
          </w:p>
        </w:tc>
        <w:tc>
          <w:tcPr>
            <w:tcW w:w="20" w:type="dxa"/>
            <w:vAlign w:val="bottom"/>
          </w:tcPr>
          <w:p>
            <w:pPr>
              <w:spacing w:after="0"/>
              <w:rPr>
                <w:sz w:val="11"/>
                <w:szCs w:val="11"/>
                <w:color w:val="auto"/>
              </w:rPr>
            </w:pPr>
          </w:p>
        </w:tc>
        <w:tc>
          <w:tcPr>
            <w:tcW w:w="1460" w:type="dxa"/>
            <w:vAlign w:val="bottom"/>
            <w:gridSpan w:val="2"/>
          </w:tcPr>
          <w:p>
            <w:pPr>
              <w:jc w:val="right"/>
              <w:ind w:right="77"/>
              <w:spacing w:after="0" w:line="129" w:lineRule="exact"/>
              <w:rPr>
                <w:sz w:val="20"/>
                <w:szCs w:val="20"/>
                <w:color w:val="auto"/>
              </w:rPr>
            </w:pPr>
            <w:r>
              <w:rPr>
                <w:rFonts w:ascii="Arial" w:cs="Arial" w:eastAsia="Arial" w:hAnsi="Arial"/>
                <w:sz w:val="13"/>
                <w:szCs w:val="13"/>
                <w:i w:val="1"/>
                <w:iCs w:val="1"/>
                <w:color w:val="auto"/>
              </w:rPr>
              <w:t>(30)%</w:t>
            </w: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18 %</w:t>
            </w:r>
          </w:p>
        </w:tc>
      </w:tr>
      <w:tr>
        <w:trPr>
          <w:trHeight w:val="135"/>
        </w:trPr>
        <w:tc>
          <w:tcPr>
            <w:tcW w:w="17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New Zealand</w:t>
            </w:r>
          </w:p>
        </w:tc>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50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(945)</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(98)%</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(992)</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(41)%</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5 %</w:t>
            </w:r>
          </w:p>
        </w:tc>
      </w:tr>
      <w:tr>
        <w:trPr>
          <w:trHeight w:val="135"/>
        </w:trPr>
        <w:tc>
          <w:tcPr>
            <w:tcW w:w="1740" w:type="dxa"/>
            <w:vAlign w:val="bottom"/>
          </w:tcPr>
          <w:p>
            <w:pPr>
              <w:spacing w:after="0"/>
              <w:rPr>
                <w:sz w:val="11"/>
                <w:szCs w:val="11"/>
                <w:color w:val="auto"/>
              </w:rPr>
            </w:pPr>
          </w:p>
        </w:tc>
        <w:tc>
          <w:tcPr>
            <w:tcW w:w="2980" w:type="dxa"/>
            <w:vAlign w:val="bottom"/>
          </w:tcPr>
          <w:p>
            <w:pPr>
              <w:spacing w:after="0" w:line="135" w:lineRule="exact"/>
              <w:rPr>
                <w:sz w:val="20"/>
                <w:szCs w:val="20"/>
                <w:color w:val="auto"/>
              </w:rPr>
            </w:pPr>
            <w:r>
              <w:rPr>
                <w:rFonts w:ascii="Arial" w:cs="Arial" w:eastAsia="Arial" w:hAnsi="Arial"/>
                <w:sz w:val="13"/>
                <w:szCs w:val="13"/>
                <w:color w:val="auto"/>
              </w:rPr>
              <w:t>General and administrative expense</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0%</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(204)</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(8)%</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28"/>
        </w:trPr>
        <w:tc>
          <w:tcPr>
            <w:tcW w:w="1740" w:type="dxa"/>
            <w:vAlign w:val="bottom"/>
            <w:tcBorders>
              <w:top w:val="single" w:sz="8" w:color="CCEEFF"/>
            </w:tcBorders>
            <w:shd w:val="clear" w:color="auto" w:fill="CCEEFF"/>
          </w:tcPr>
          <w:p>
            <w:pPr>
              <w:spacing w:after="0"/>
              <w:rPr>
                <w:sz w:val="11"/>
                <w:szCs w:val="11"/>
                <w:color w:val="auto"/>
              </w:rPr>
            </w:pPr>
          </w:p>
        </w:tc>
        <w:tc>
          <w:tcPr>
            <w:tcW w:w="29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(931)</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(96)%</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(1,196)</w:t>
            </w:r>
          </w:p>
        </w:tc>
        <w:tc>
          <w:tcPr>
            <w:tcW w:w="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(50)%</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22 %</w:t>
            </w:r>
          </w:p>
        </w:tc>
      </w:tr>
      <w:tr>
        <w:trPr>
          <w:trHeight w:val="142"/>
        </w:trPr>
        <w:tc>
          <w:tcPr>
            <w:tcW w:w="472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r>
      <w:tr>
        <w:trPr>
          <w:trHeight w:val="142"/>
        </w:trPr>
        <w:tc>
          <w:tcPr>
            <w:tcW w:w="4720" w:type="dxa"/>
            <w:vAlign w:val="bottom"/>
            <w:tcBorders>
              <w:bottom w:val="single" w:sz="8" w:color="CCEEFF"/>
            </w:tcBorders>
            <w:gridSpan w:val="2"/>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w w:val="99"/>
              </w:rPr>
              <w:t>Total depreciation, amortization, and general and administrative expense</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(6,849)</w:t>
            </w:r>
          </w:p>
        </w:tc>
        <w:tc>
          <w:tcPr>
            <w:tcW w:w="1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(53)%</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(7,311)</w:t>
            </w:r>
          </w:p>
        </w:tc>
        <w:tc>
          <w:tcPr>
            <w:tcW w:w="2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(33)%</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6 %</w:t>
            </w:r>
          </w:p>
        </w:tc>
      </w:tr>
      <w:tr>
        <w:trPr>
          <w:trHeight w:val="142"/>
        </w:trPr>
        <w:tc>
          <w:tcPr>
            <w:tcW w:w="174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r>
      <w:tr>
        <w:trPr>
          <w:trHeight w:val="155"/>
        </w:trPr>
        <w:tc>
          <w:tcPr>
            <w:tcW w:w="1740" w:type="dxa"/>
            <w:vAlign w:val="bottom"/>
            <w:tcBorders>
              <w:bottom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Total expenses</w:t>
            </w:r>
          </w:p>
        </w:tc>
        <w:tc>
          <w:tcPr>
            <w:tcW w:w="29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(15,426)</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(119)%</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(16,764)</w:t>
            </w:r>
          </w:p>
        </w:tc>
        <w:tc>
          <w:tcPr>
            <w:tcW w:w="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(77)%</w:t>
            </w: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8 %</w:t>
            </w:r>
          </w:p>
        </w:tc>
      </w:tr>
      <w:tr>
        <w:trPr>
          <w:trHeight w:val="122"/>
        </w:trPr>
        <w:tc>
          <w:tcPr>
            <w:tcW w:w="4720" w:type="dxa"/>
            <w:vAlign w:val="bottom"/>
            <w:gridSpan w:val="2"/>
          </w:tcPr>
          <w:p>
            <w:pPr>
              <w:spacing w:after="0" w:line="122" w:lineRule="exact"/>
              <w:rPr>
                <w:sz w:val="20"/>
                <w:szCs w:val="20"/>
                <w:color w:val="auto"/>
              </w:rPr>
            </w:pPr>
            <w:r>
              <w:rPr>
                <w:rFonts w:ascii="Arial" w:cs="Arial" w:eastAsia="Arial" w:hAnsi="Arial"/>
                <w:sz w:val="13"/>
                <w:szCs w:val="13"/>
                <w:b w:val="1"/>
                <w:bCs w:val="1"/>
                <w:color w:val="auto"/>
              </w:rPr>
              <w:t>OPERATING INCOME (LOSS)</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5"/>
        </w:trPr>
        <w:tc>
          <w:tcPr>
            <w:tcW w:w="17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United States</w:t>
            </w:r>
          </w:p>
        </w:tc>
        <w:tc>
          <w:tcPr>
            <w:tcW w:w="29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(3,399)</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(239)%</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64</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2%</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35"/>
        </w:trPr>
        <w:tc>
          <w:tcPr>
            <w:tcW w:w="17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Australia</w:t>
            </w: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2,336</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22%</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5,449</w:t>
            </w:r>
          </w:p>
        </w:tc>
        <w:tc>
          <w:tcPr>
            <w:tcW w:w="146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35%</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(57) %</w:t>
            </w:r>
          </w:p>
        </w:tc>
      </w:tr>
      <w:tr>
        <w:trPr>
          <w:trHeight w:val="155"/>
        </w:trPr>
        <w:tc>
          <w:tcPr>
            <w:tcW w:w="17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New Zealand</w:t>
            </w:r>
          </w:p>
        </w:tc>
        <w:tc>
          <w:tcPr>
            <w:tcW w:w="2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(1,400)</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(145)%</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(372)</w:t>
            </w:r>
          </w:p>
        </w:tc>
        <w:tc>
          <w:tcPr>
            <w:tcW w:w="14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(15)%</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22"/>
        </w:trPr>
        <w:tc>
          <w:tcPr>
            <w:tcW w:w="1740" w:type="dxa"/>
            <w:vAlign w:val="bottom"/>
            <w:tcBorders>
              <w:top w:val="single" w:sz="8" w:color="CCEEFF"/>
            </w:tcBorders>
          </w:tcPr>
          <w:p>
            <w:pPr>
              <w:ind w:left="200"/>
              <w:spacing w:after="0" w:line="122" w:lineRule="exact"/>
              <w:rPr>
                <w:sz w:val="20"/>
                <w:szCs w:val="20"/>
                <w:color w:val="auto"/>
              </w:rPr>
            </w:pPr>
            <w:r>
              <w:rPr>
                <w:rFonts w:ascii="Arial" w:cs="Arial" w:eastAsia="Arial" w:hAnsi="Arial"/>
                <w:sz w:val="13"/>
                <w:szCs w:val="13"/>
                <w:b w:val="1"/>
                <w:bCs w:val="1"/>
                <w:color w:val="auto"/>
                <w:w w:val="83"/>
              </w:rPr>
              <w:t>Total operating income (loss)</w:t>
            </w:r>
          </w:p>
        </w:tc>
        <w:tc>
          <w:tcPr>
            <w:tcW w:w="29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77"/>
              <w:spacing w:after="0" w:line="122" w:lineRule="exact"/>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(2,463)</w:t>
            </w:r>
          </w:p>
        </w:tc>
        <w:tc>
          <w:tcPr>
            <w:tcW w:w="18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jc w:val="right"/>
              <w:ind w:right="97"/>
              <w:spacing w:after="0" w:line="122" w:lineRule="exact"/>
              <w:rPr>
                <w:sz w:val="20"/>
                <w:szCs w:val="20"/>
                <w:color w:val="auto"/>
              </w:rPr>
            </w:pPr>
            <w:r>
              <w:rPr>
                <w:rFonts w:ascii="Arial" w:cs="Arial" w:eastAsia="Arial" w:hAnsi="Arial"/>
                <w:sz w:val="13"/>
                <w:szCs w:val="13"/>
                <w:i w:val="1"/>
                <w:iCs w:val="1"/>
                <w:color w:val="auto"/>
              </w:rPr>
              <w:t>(19)%</w:t>
            </w:r>
          </w:p>
        </w:tc>
        <w:tc>
          <w:tcPr>
            <w:tcW w:w="180" w:type="dxa"/>
            <w:vAlign w:val="bottom"/>
            <w:tcBorders>
              <w:top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5,141</w:t>
            </w:r>
          </w:p>
        </w:tc>
        <w:tc>
          <w:tcPr>
            <w:tcW w:w="20" w:type="dxa"/>
            <w:vAlign w:val="bottom"/>
            <w:tcBorders>
              <w:top w:val="single" w:sz="8" w:color="CCEEFF"/>
              <w:bottom w:val="single" w:sz="8" w:color="auto"/>
            </w:tcBorders>
          </w:tcPr>
          <w:p>
            <w:pPr>
              <w:spacing w:after="0"/>
              <w:rPr>
                <w:sz w:val="10"/>
                <w:szCs w:val="10"/>
                <w:color w:val="auto"/>
              </w:rPr>
            </w:pPr>
          </w:p>
        </w:tc>
        <w:tc>
          <w:tcPr>
            <w:tcW w:w="1460" w:type="dxa"/>
            <w:vAlign w:val="bottom"/>
            <w:tcBorders>
              <w:top w:val="single" w:sz="8" w:color="CCEEFF"/>
            </w:tcBorders>
            <w:gridSpan w:val="2"/>
          </w:tcPr>
          <w:p>
            <w:pPr>
              <w:jc w:val="right"/>
              <w:ind w:right="77"/>
              <w:spacing w:after="0" w:line="122" w:lineRule="exact"/>
              <w:rPr>
                <w:sz w:val="20"/>
                <w:szCs w:val="20"/>
                <w:color w:val="auto"/>
              </w:rPr>
            </w:pPr>
            <w:r>
              <w:rPr>
                <w:rFonts w:ascii="Arial" w:cs="Arial" w:eastAsia="Arial" w:hAnsi="Arial"/>
                <w:sz w:val="13"/>
                <w:szCs w:val="13"/>
                <w:i w:val="1"/>
                <w:iCs w:val="1"/>
                <w:color w:val="auto"/>
              </w:rPr>
              <w:t>23%</w:t>
            </w:r>
          </w:p>
        </w:tc>
        <w:tc>
          <w:tcPr>
            <w:tcW w:w="18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(&gt;100) %</w:t>
            </w:r>
          </w:p>
        </w:tc>
      </w:tr>
      <w:tr>
        <w:trPr>
          <w:trHeight w:val="20"/>
        </w:trPr>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u w:val="single" w:color="auto"/>
          <w:color w:val="auto"/>
        </w:rPr>
        <w:t>Real Estate</w:t>
      </w:r>
      <w:r>
        <w:rPr>
          <w:rFonts w:ascii="Arial" w:cs="Arial" w:eastAsia="Arial" w:hAnsi="Arial"/>
          <w:sz w:val="15"/>
          <w:szCs w:val="15"/>
          <w:b w:val="1"/>
          <w:bCs w:val="1"/>
          <w:color w:val="auto"/>
        </w:rPr>
        <w:t xml:space="preserve"> – </w:t>
      </w:r>
      <w:r>
        <w:rPr>
          <w:rFonts w:ascii="Arial" w:cs="Arial" w:eastAsia="Arial" w:hAnsi="Arial"/>
          <w:sz w:val="15"/>
          <w:szCs w:val="15"/>
          <w:b w:val="1"/>
          <w:bCs w:val="1"/>
          <w:i w:val="1"/>
          <w:iCs w:val="1"/>
          <w:color w:val="auto"/>
        </w:rPr>
        <w:t>The following table details our Real Estate segment operating results for the quarters ended December 31, 2020 and 2019, respectively: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6"/>
              </w:rPr>
              <w:t>2020 vs. 2019</w:t>
            </w:r>
          </w:p>
        </w:tc>
      </w:tr>
      <w:tr>
        <w:trPr>
          <w:trHeight w:val="135"/>
        </w:trPr>
        <w:tc>
          <w:tcPr>
            <w:tcW w:w="15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Favorable/</w:t>
            </w:r>
          </w:p>
        </w:tc>
      </w:tr>
      <w:tr>
        <w:trPr>
          <w:trHeight w:val="160"/>
        </w:trPr>
        <w:tc>
          <w:tcPr>
            <w:tcW w:w="1580" w:type="dxa"/>
            <w:vAlign w:val="bottom"/>
          </w:tcPr>
          <w:p>
            <w:pPr>
              <w:spacing w:after="0"/>
              <w:rPr>
                <w:sz w:val="20"/>
                <w:szCs w:val="20"/>
                <w:color w:val="auto"/>
              </w:rPr>
            </w:pPr>
            <w:r>
              <w:rPr>
                <w:rFonts w:ascii="Arial" w:cs="Arial" w:eastAsia="Arial" w:hAnsi="Arial"/>
                <w:sz w:val="13"/>
                <w:szCs w:val="13"/>
                <w:i w:val="1"/>
                <w:iCs w:val="1"/>
                <w:color w:val="auto"/>
              </w:rPr>
              <w:t>(Dollars in thousands)</w:t>
            </w: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1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3"/>
                <w:szCs w:val="13"/>
                <w:i w:val="1"/>
                <w:iCs w:val="1"/>
                <w:color w:val="auto"/>
              </w:rPr>
              <w:t>% of Revenue</w:t>
            </w:r>
          </w:p>
        </w:tc>
        <w:tc>
          <w:tcPr>
            <w:tcW w:w="240" w:type="dxa"/>
            <w:vAlign w:val="bottom"/>
          </w:tcPr>
          <w:p>
            <w:pPr>
              <w:spacing w:after="0"/>
              <w:rPr>
                <w:sz w:val="13"/>
                <w:szCs w:val="13"/>
                <w:color w:val="auto"/>
              </w:rPr>
            </w:pPr>
          </w:p>
        </w:tc>
        <w:tc>
          <w:tcPr>
            <w:tcW w:w="880" w:type="dxa"/>
            <w:vAlign w:val="bottom"/>
          </w:tcPr>
          <w:p>
            <w:pPr>
              <w:jc w:val="right"/>
              <w:ind w:right="377"/>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300"/>
              <w:spacing w:after="0"/>
              <w:rPr>
                <w:sz w:val="20"/>
                <w:szCs w:val="20"/>
                <w:color w:val="auto"/>
              </w:rPr>
            </w:pPr>
            <w:r>
              <w:rPr>
                <w:rFonts w:ascii="Arial" w:cs="Arial" w:eastAsia="Arial" w:hAnsi="Arial"/>
                <w:sz w:val="13"/>
                <w:szCs w:val="13"/>
                <w:i w:val="1"/>
                <w:iCs w:val="1"/>
                <w:color w:val="auto"/>
              </w:rPr>
              <w:t>% of Revenue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r>
      <w:tr>
        <w:trPr>
          <w:trHeight w:val="135"/>
        </w:trPr>
        <w:tc>
          <w:tcPr>
            <w:tcW w:w="1580" w:type="dxa"/>
            <w:vAlign w:val="bottom"/>
            <w:tcBorders>
              <w:top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REVENUE</w:t>
            </w:r>
          </w:p>
        </w:tc>
        <w:tc>
          <w:tcPr>
            <w:tcW w:w="31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3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United States</w:t>
            </w:r>
          </w:p>
        </w:tc>
        <w:tc>
          <w:tcPr>
            <w:tcW w:w="3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Live theatre rental and ancillary income</w:t>
            </w:r>
          </w:p>
        </w:tc>
        <w:tc>
          <w:tcPr>
            <w:tcW w:w="3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39%</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705</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72%</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 %</w:t>
            </w:r>
          </w:p>
        </w:tc>
      </w:tr>
      <w:tr>
        <w:trPr>
          <w:trHeight w:val="135"/>
        </w:trPr>
        <w:tc>
          <w:tcPr>
            <w:tcW w:w="1580" w:type="dxa"/>
            <w:vAlign w:val="bottom"/>
          </w:tcPr>
          <w:p>
            <w:pPr>
              <w:spacing w:after="0"/>
              <w:rPr>
                <w:sz w:val="11"/>
                <w:szCs w:val="11"/>
                <w:color w:val="auto"/>
              </w:rPr>
            </w:pP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Property rental income</w:t>
            </w:r>
          </w:p>
        </w:tc>
        <w:tc>
          <w:tcPr>
            <w:tcW w:w="3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157</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61%</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270</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28%</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(42) %</w:t>
            </w:r>
          </w:p>
        </w:tc>
      </w:tr>
      <w:tr>
        <w:trPr>
          <w:trHeight w:val="128"/>
        </w:trPr>
        <w:tc>
          <w:tcPr>
            <w:tcW w:w="1580" w:type="dxa"/>
            <w:vAlign w:val="bottom"/>
            <w:tcBorders>
              <w:top w:val="single" w:sz="8" w:color="CCEEFF"/>
            </w:tcBorders>
            <w:shd w:val="clear" w:color="auto" w:fill="CCEEFF"/>
          </w:tcPr>
          <w:p>
            <w:pPr>
              <w:spacing w:after="0"/>
              <w:rPr>
                <w:sz w:val="11"/>
                <w:szCs w:val="11"/>
                <w:color w:val="auto"/>
              </w:rPr>
            </w:pPr>
          </w:p>
        </w:tc>
        <w:tc>
          <w:tcPr>
            <w:tcW w:w="3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257</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975</w:t>
            </w:r>
          </w:p>
        </w:tc>
        <w:tc>
          <w:tcPr>
            <w:tcW w:w="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 %</w:t>
            </w:r>
          </w:p>
        </w:tc>
      </w:tr>
      <w:tr>
        <w:trPr>
          <w:trHeight w:val="135"/>
        </w:trPr>
        <w:tc>
          <w:tcPr>
            <w:tcW w:w="158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Australia</w:t>
            </w: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Property rental income</w:t>
            </w:r>
          </w:p>
        </w:tc>
        <w:tc>
          <w:tcPr>
            <w:tcW w:w="3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2,526</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3,783</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100%</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(33) %</w:t>
            </w:r>
          </w:p>
        </w:tc>
      </w:tr>
      <w:tr>
        <w:trPr>
          <w:trHeight w:val="13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New Zealand</w:t>
            </w:r>
          </w:p>
        </w:tc>
        <w:tc>
          <w:tcPr>
            <w:tcW w:w="3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Property rental income</w:t>
            </w:r>
          </w:p>
        </w:tc>
        <w:tc>
          <w:tcPr>
            <w:tcW w:w="3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252</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100%</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622</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100%</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 %</w:t>
            </w:r>
          </w:p>
        </w:tc>
      </w:tr>
      <w:tr>
        <w:trPr>
          <w:trHeight w:val="136"/>
        </w:trPr>
        <w:tc>
          <w:tcPr>
            <w:tcW w:w="1580" w:type="dxa"/>
            <w:vAlign w:val="bottom"/>
            <w:tcBorders>
              <w:bottom w:val="single" w:sz="8" w:color="CCEEFF"/>
            </w:tcBorders>
          </w:tcPr>
          <w:p>
            <w:pPr>
              <w:ind w:left="200"/>
              <w:spacing w:after="0" w:line="129" w:lineRule="exact"/>
              <w:rPr>
                <w:sz w:val="20"/>
                <w:szCs w:val="20"/>
                <w:color w:val="auto"/>
              </w:rPr>
            </w:pPr>
            <w:r>
              <w:rPr>
                <w:rFonts w:ascii="Arial" w:cs="Arial" w:eastAsia="Arial" w:hAnsi="Arial"/>
                <w:sz w:val="13"/>
                <w:szCs w:val="13"/>
                <w:b w:val="1"/>
                <w:bCs w:val="1"/>
                <w:color w:val="auto"/>
              </w:rPr>
              <w:t>Total revenue</w:t>
            </w:r>
          </w:p>
        </w:tc>
        <w:tc>
          <w:tcPr>
            <w:tcW w:w="3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3,035</w:t>
            </w:r>
          </w:p>
        </w:tc>
        <w:tc>
          <w:tcPr>
            <w:tcW w:w="20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5,380</w:t>
            </w:r>
          </w:p>
        </w:tc>
        <w:tc>
          <w:tcPr>
            <w:tcW w:w="2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gridSpan w:val="2"/>
          </w:tcPr>
          <w:p>
            <w:pPr>
              <w:jc w:val="right"/>
              <w:ind w:right="7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(44) %</w:t>
            </w:r>
          </w:p>
        </w:tc>
      </w:tr>
      <w:tr>
        <w:trPr>
          <w:trHeight w:val="135"/>
        </w:trPr>
        <w:tc>
          <w:tcPr>
            <w:tcW w:w="15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w:t>
            </w:r>
          </w:p>
        </w:tc>
        <w:tc>
          <w:tcPr>
            <w:tcW w:w="3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35"/>
        </w:trPr>
        <w:tc>
          <w:tcPr>
            <w:tcW w:w="158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United States</w:t>
            </w: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Live theatre cost</w:t>
            </w:r>
          </w:p>
        </w:tc>
        <w:tc>
          <w:tcPr>
            <w:tcW w:w="340" w:type="dxa"/>
            <w:vAlign w:val="bottom"/>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(86)</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(33)%</w:t>
            </w:r>
          </w:p>
        </w:tc>
        <w:tc>
          <w:tcPr>
            <w:tcW w:w="18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(351)</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(36)%</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75 %</w:t>
            </w:r>
          </w:p>
        </w:tc>
      </w:tr>
      <w:tr>
        <w:trPr>
          <w:trHeight w:val="135"/>
        </w:trPr>
        <w:tc>
          <w:tcPr>
            <w:tcW w:w="1580" w:type="dxa"/>
            <w:vAlign w:val="bottom"/>
            <w:shd w:val="clear" w:color="auto" w:fill="CCEEFF"/>
          </w:tcPr>
          <w:p>
            <w:pPr>
              <w:spacing w:after="0"/>
              <w:rPr>
                <w:sz w:val="11"/>
                <w:szCs w:val="11"/>
                <w:color w:val="auto"/>
              </w:rPr>
            </w:pPr>
          </w:p>
        </w:tc>
        <w:tc>
          <w:tcPr>
            <w:tcW w:w="3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Property cost</w:t>
            </w:r>
          </w:p>
        </w:tc>
        <w:tc>
          <w:tcPr>
            <w:tcW w:w="3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(240)</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(93)%</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(179)</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(18)%</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 %</w:t>
            </w:r>
          </w:p>
        </w:tc>
      </w:tr>
      <w:tr>
        <w:trPr>
          <w:trHeight w:val="135"/>
        </w:trPr>
        <w:tc>
          <w:tcPr>
            <w:tcW w:w="1580" w:type="dxa"/>
            <w:vAlign w:val="bottom"/>
          </w:tcPr>
          <w:p>
            <w:pPr>
              <w:spacing w:after="0"/>
              <w:rPr>
                <w:sz w:val="11"/>
                <w:szCs w:val="11"/>
                <w:color w:val="auto"/>
              </w:rPr>
            </w:pP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3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(369)</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(144)%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(154)</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(16)%</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28"/>
        </w:trPr>
        <w:tc>
          <w:tcPr>
            <w:tcW w:w="1580" w:type="dxa"/>
            <w:vAlign w:val="bottom"/>
            <w:tcBorders>
              <w:top w:val="single" w:sz="8" w:color="CCEEFF"/>
            </w:tcBorders>
            <w:shd w:val="clear" w:color="auto" w:fill="CCEEFF"/>
          </w:tcPr>
          <w:p>
            <w:pPr>
              <w:spacing w:after="0"/>
              <w:rPr>
                <w:sz w:val="11"/>
                <w:szCs w:val="11"/>
                <w:color w:val="auto"/>
              </w:rPr>
            </w:pPr>
          </w:p>
        </w:tc>
        <w:tc>
          <w:tcPr>
            <w:tcW w:w="3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97"/>
              <w:spacing w:after="0" w:line="129"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(695)</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(270)%</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(684)</w:t>
            </w:r>
          </w:p>
        </w:tc>
        <w:tc>
          <w:tcPr>
            <w:tcW w:w="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(70)%</w:t>
            </w: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 %</w:t>
            </w:r>
          </w:p>
        </w:tc>
      </w:tr>
      <w:tr>
        <w:trPr>
          <w:trHeight w:val="135"/>
        </w:trPr>
        <w:tc>
          <w:tcPr>
            <w:tcW w:w="158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Australia</w:t>
            </w: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Property cost</w:t>
            </w:r>
          </w:p>
        </w:tc>
        <w:tc>
          <w:tcPr>
            <w:tcW w:w="340" w:type="dxa"/>
            <w:vAlign w:val="bottom"/>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(724)</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(29)%</w:t>
            </w:r>
          </w:p>
        </w:tc>
        <w:tc>
          <w:tcPr>
            <w:tcW w:w="18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(703)</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(19)%</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(3) %</w:t>
            </w:r>
          </w:p>
        </w:tc>
      </w:tr>
      <w:tr>
        <w:trPr>
          <w:trHeight w:val="135"/>
        </w:trPr>
        <w:tc>
          <w:tcPr>
            <w:tcW w:w="1580" w:type="dxa"/>
            <w:vAlign w:val="bottom"/>
            <w:shd w:val="clear" w:color="auto" w:fill="CCEEFF"/>
          </w:tcPr>
          <w:p>
            <w:pPr>
              <w:spacing w:after="0"/>
              <w:rPr>
                <w:sz w:val="11"/>
                <w:szCs w:val="11"/>
                <w:color w:val="auto"/>
              </w:rPr>
            </w:pPr>
          </w:p>
        </w:tc>
        <w:tc>
          <w:tcPr>
            <w:tcW w:w="3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3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(521)</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(21)%</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(624)</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(16)%</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17 %</w:t>
            </w:r>
          </w:p>
        </w:tc>
      </w:tr>
      <w:tr>
        <w:trPr>
          <w:trHeight w:val="128"/>
        </w:trPr>
        <w:tc>
          <w:tcPr>
            <w:tcW w:w="15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(1,245)</w:t>
            </w:r>
          </w:p>
        </w:tc>
        <w:tc>
          <w:tcPr>
            <w:tcW w:w="20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Arial" w:cs="Arial" w:eastAsia="Arial" w:hAnsi="Arial"/>
                <w:sz w:val="13"/>
                <w:szCs w:val="13"/>
                <w:i w:val="1"/>
                <w:iCs w:val="1"/>
                <w:color w:val="auto"/>
              </w:rPr>
              <w:t>(49)%</w:t>
            </w:r>
          </w:p>
        </w:tc>
        <w:tc>
          <w:tcPr>
            <w:tcW w:w="18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(1,327)</w:t>
            </w:r>
          </w:p>
        </w:tc>
        <w:tc>
          <w:tcPr>
            <w:tcW w:w="20" w:type="dxa"/>
            <w:vAlign w:val="bottom"/>
          </w:tcPr>
          <w:p>
            <w:pPr>
              <w:spacing w:after="0"/>
              <w:rPr>
                <w:sz w:val="11"/>
                <w:szCs w:val="11"/>
                <w:color w:val="auto"/>
              </w:rPr>
            </w:pPr>
          </w:p>
        </w:tc>
        <w:tc>
          <w:tcPr>
            <w:tcW w:w="1440" w:type="dxa"/>
            <w:vAlign w:val="bottom"/>
            <w:gridSpan w:val="2"/>
          </w:tcPr>
          <w:p>
            <w:pPr>
              <w:jc w:val="right"/>
              <w:ind w:right="77"/>
              <w:spacing w:after="0" w:line="129" w:lineRule="exact"/>
              <w:rPr>
                <w:sz w:val="20"/>
                <w:szCs w:val="20"/>
                <w:color w:val="auto"/>
              </w:rPr>
            </w:pPr>
            <w:r>
              <w:rPr>
                <w:rFonts w:ascii="Arial" w:cs="Arial" w:eastAsia="Arial" w:hAnsi="Arial"/>
                <w:sz w:val="13"/>
                <w:szCs w:val="13"/>
                <w:i w:val="1"/>
                <w:iCs w:val="1"/>
                <w:color w:val="auto"/>
              </w:rPr>
              <w:t>(35)%</w:t>
            </w:r>
          </w:p>
        </w:tc>
        <w:tc>
          <w:tcPr>
            <w:tcW w:w="1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6 %</w:t>
            </w:r>
          </w:p>
        </w:tc>
      </w:tr>
      <w:tr>
        <w:trPr>
          <w:trHeight w:val="13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New Zealand</w:t>
            </w:r>
          </w:p>
        </w:tc>
        <w:tc>
          <w:tcPr>
            <w:tcW w:w="3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Property cost</w:t>
            </w:r>
          </w:p>
        </w:tc>
        <w:tc>
          <w:tcPr>
            <w:tcW w:w="3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(264)</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(105)%</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(224)</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(36)%</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 %</w:t>
            </w:r>
          </w:p>
        </w:tc>
      </w:tr>
      <w:tr>
        <w:trPr>
          <w:trHeight w:val="135"/>
        </w:trPr>
        <w:tc>
          <w:tcPr>
            <w:tcW w:w="1580" w:type="dxa"/>
            <w:vAlign w:val="bottom"/>
          </w:tcPr>
          <w:p>
            <w:pPr>
              <w:spacing w:after="0"/>
              <w:rPr>
                <w:sz w:val="11"/>
                <w:szCs w:val="11"/>
                <w:color w:val="auto"/>
              </w:rPr>
            </w:pP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Occupancy expense</w:t>
            </w:r>
          </w:p>
        </w:tc>
        <w:tc>
          <w:tcPr>
            <w:tcW w:w="3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(115)</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(46)%</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(110)</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(18)%</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(5) %</w:t>
            </w:r>
          </w:p>
        </w:tc>
      </w:tr>
      <w:tr>
        <w:trPr>
          <w:trHeight w:val="128"/>
        </w:trPr>
        <w:tc>
          <w:tcPr>
            <w:tcW w:w="1580" w:type="dxa"/>
            <w:vAlign w:val="bottom"/>
            <w:tcBorders>
              <w:top w:val="single" w:sz="8" w:color="CCEEFF"/>
            </w:tcBorders>
            <w:shd w:val="clear" w:color="auto" w:fill="CCEEFF"/>
          </w:tcPr>
          <w:p>
            <w:pPr>
              <w:spacing w:after="0"/>
              <w:rPr>
                <w:sz w:val="11"/>
                <w:szCs w:val="11"/>
                <w:color w:val="auto"/>
              </w:rPr>
            </w:pPr>
          </w:p>
        </w:tc>
        <w:tc>
          <w:tcPr>
            <w:tcW w:w="3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97"/>
              <w:spacing w:after="0" w:line="129"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(379)</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(150)%</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(334)</w:t>
            </w:r>
          </w:p>
        </w:tc>
        <w:tc>
          <w:tcPr>
            <w:tcW w:w="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(54)%</w:t>
            </w: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 %</w:t>
            </w:r>
          </w:p>
        </w:tc>
      </w:tr>
      <w:tr>
        <w:trPr>
          <w:trHeight w:val="142"/>
        </w:trPr>
        <w:tc>
          <w:tcPr>
            <w:tcW w:w="158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r>
      <w:tr>
        <w:trPr>
          <w:trHeight w:val="155"/>
        </w:trPr>
        <w:tc>
          <w:tcPr>
            <w:tcW w:w="1580" w:type="dxa"/>
            <w:vAlign w:val="bottom"/>
            <w:tcBorders>
              <w:bottom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w w:val="90"/>
              </w:rPr>
              <w:t>Total operating expense</w:t>
            </w:r>
          </w:p>
        </w:tc>
        <w:tc>
          <w:tcPr>
            <w:tcW w:w="3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(2,319)</w:t>
            </w: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(76)%</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(2,345)</w:t>
            </w:r>
          </w:p>
        </w:tc>
        <w:tc>
          <w:tcPr>
            <w:tcW w:w="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(44)%</w:t>
            </w: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1 %</w:t>
            </w:r>
          </w:p>
        </w:tc>
      </w:tr>
      <w:tr>
        <w:trPr>
          <w:trHeight w:val="90"/>
        </w:trPr>
        <w:tc>
          <w:tcPr>
            <w:tcW w:w="4860" w:type="dxa"/>
            <w:vAlign w:val="bottom"/>
            <w:gridSpan w:val="3"/>
          </w:tcPr>
          <w:p>
            <w:pPr>
              <w:spacing w:after="0" w:line="91" w:lineRule="exact"/>
              <w:rPr>
                <w:sz w:val="20"/>
                <w:szCs w:val="20"/>
                <w:color w:val="auto"/>
              </w:rPr>
            </w:pPr>
            <w:r>
              <w:rPr>
                <w:rFonts w:ascii="Arial" w:cs="Arial" w:eastAsia="Arial" w:hAnsi="Arial"/>
                <w:sz w:val="10"/>
                <w:szCs w:val="10"/>
                <w:b w:val="1"/>
                <w:bCs w:val="1"/>
                <w:color w:val="auto"/>
              </w:rPr>
              <w:t>DEPRECIATION, AMORTIZATION, GENERAL AND ADMINISTRATIVE</w:t>
            </w: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53"/>
        </w:trPr>
        <w:tc>
          <w:tcPr>
            <w:tcW w:w="1580" w:type="dxa"/>
            <w:vAlign w:val="bottom"/>
          </w:tcPr>
          <w:p>
            <w:pPr>
              <w:spacing w:after="0"/>
              <w:rPr>
                <w:sz w:val="20"/>
                <w:szCs w:val="20"/>
                <w:color w:val="auto"/>
              </w:rPr>
            </w:pPr>
            <w:r>
              <w:rPr>
                <w:rFonts w:ascii="Arial" w:cs="Arial" w:eastAsia="Arial" w:hAnsi="Arial"/>
                <w:sz w:val="13"/>
                <w:szCs w:val="13"/>
                <w:b w:val="1"/>
                <w:bCs w:val="1"/>
                <w:color w:val="auto"/>
              </w:rPr>
              <w:t>EXPENSE</w:t>
            </w: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United States</w:t>
            </w:r>
          </w:p>
        </w:tc>
        <w:tc>
          <w:tcPr>
            <w:tcW w:w="3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3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(731)</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(285)%</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(194)</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(20)%</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35"/>
        </w:trPr>
        <w:tc>
          <w:tcPr>
            <w:tcW w:w="1580" w:type="dxa"/>
            <w:vAlign w:val="bottom"/>
          </w:tcPr>
          <w:p>
            <w:pPr>
              <w:spacing w:after="0"/>
              <w:rPr>
                <w:sz w:val="11"/>
                <w:szCs w:val="11"/>
                <w:color w:val="auto"/>
              </w:rPr>
            </w:pP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3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114</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44%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(196)</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(21)%</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28"/>
        </w:trPr>
        <w:tc>
          <w:tcPr>
            <w:tcW w:w="1580" w:type="dxa"/>
            <w:vAlign w:val="bottom"/>
            <w:tcBorders>
              <w:top w:val="single" w:sz="8" w:color="CCEEFF"/>
            </w:tcBorders>
            <w:shd w:val="clear" w:color="auto" w:fill="CCEEFF"/>
          </w:tcPr>
          <w:p>
            <w:pPr>
              <w:spacing w:after="0"/>
              <w:rPr>
                <w:sz w:val="11"/>
                <w:szCs w:val="11"/>
                <w:color w:val="auto"/>
              </w:rPr>
            </w:pPr>
          </w:p>
        </w:tc>
        <w:tc>
          <w:tcPr>
            <w:tcW w:w="3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97"/>
              <w:spacing w:after="0" w:line="129"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(617)</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(241)%</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(390)</w:t>
            </w:r>
          </w:p>
        </w:tc>
        <w:tc>
          <w:tcPr>
            <w:tcW w:w="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(40)%</w:t>
            </w: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 %</w:t>
            </w:r>
          </w:p>
        </w:tc>
      </w:tr>
      <w:tr>
        <w:trPr>
          <w:trHeight w:val="135"/>
        </w:trPr>
        <w:tc>
          <w:tcPr>
            <w:tcW w:w="158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Australia</w:t>
            </w: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340" w:type="dxa"/>
            <w:vAlign w:val="bottom"/>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(1,001)</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(40)%</w:t>
            </w:r>
          </w:p>
        </w:tc>
        <w:tc>
          <w:tcPr>
            <w:tcW w:w="18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(893)</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(24)%</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(12) %</w:t>
            </w:r>
          </w:p>
        </w:tc>
      </w:tr>
      <w:tr>
        <w:trPr>
          <w:trHeight w:val="135"/>
        </w:trPr>
        <w:tc>
          <w:tcPr>
            <w:tcW w:w="1580" w:type="dxa"/>
            <w:vAlign w:val="bottom"/>
            <w:shd w:val="clear" w:color="auto" w:fill="CCEEFF"/>
          </w:tcPr>
          <w:p>
            <w:pPr>
              <w:spacing w:after="0"/>
              <w:rPr>
                <w:sz w:val="11"/>
                <w:szCs w:val="11"/>
                <w:color w:val="auto"/>
              </w:rPr>
            </w:pPr>
          </w:p>
        </w:tc>
        <w:tc>
          <w:tcPr>
            <w:tcW w:w="3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3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154</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6%</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(267)</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28"/>
        </w:trPr>
        <w:tc>
          <w:tcPr>
            <w:tcW w:w="15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(847)</w:t>
            </w:r>
          </w:p>
        </w:tc>
        <w:tc>
          <w:tcPr>
            <w:tcW w:w="20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Arial" w:cs="Arial" w:eastAsia="Arial" w:hAnsi="Arial"/>
                <w:sz w:val="13"/>
                <w:szCs w:val="13"/>
                <w:i w:val="1"/>
                <w:iCs w:val="1"/>
                <w:color w:val="auto"/>
              </w:rPr>
              <w:t>(34)%</w:t>
            </w:r>
          </w:p>
        </w:tc>
        <w:tc>
          <w:tcPr>
            <w:tcW w:w="180" w:type="dxa"/>
            <w:vAlign w:val="bottom"/>
          </w:tcPr>
          <w:p>
            <w:pPr>
              <w:spacing w:after="0"/>
              <w:rPr>
                <w:sz w:val="11"/>
                <w:szCs w:val="11"/>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(1,160)</w:t>
            </w:r>
          </w:p>
        </w:tc>
        <w:tc>
          <w:tcPr>
            <w:tcW w:w="20" w:type="dxa"/>
            <w:vAlign w:val="bottom"/>
          </w:tcPr>
          <w:p>
            <w:pPr>
              <w:spacing w:after="0"/>
              <w:rPr>
                <w:sz w:val="11"/>
                <w:szCs w:val="11"/>
                <w:color w:val="auto"/>
              </w:rPr>
            </w:pPr>
          </w:p>
        </w:tc>
        <w:tc>
          <w:tcPr>
            <w:tcW w:w="1440" w:type="dxa"/>
            <w:vAlign w:val="bottom"/>
            <w:gridSpan w:val="2"/>
          </w:tcPr>
          <w:p>
            <w:pPr>
              <w:jc w:val="right"/>
              <w:ind w:right="77"/>
              <w:spacing w:after="0" w:line="129" w:lineRule="exact"/>
              <w:rPr>
                <w:sz w:val="20"/>
                <w:szCs w:val="20"/>
                <w:color w:val="auto"/>
              </w:rPr>
            </w:pPr>
            <w:r>
              <w:rPr>
                <w:rFonts w:ascii="Arial" w:cs="Arial" w:eastAsia="Arial" w:hAnsi="Arial"/>
                <w:sz w:val="13"/>
                <w:szCs w:val="13"/>
                <w:i w:val="1"/>
                <w:iCs w:val="1"/>
                <w:color w:val="auto"/>
              </w:rPr>
              <w:t>(31)%</w:t>
            </w:r>
          </w:p>
        </w:tc>
        <w:tc>
          <w:tcPr>
            <w:tcW w:w="1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27 %</w:t>
            </w:r>
          </w:p>
        </w:tc>
      </w:tr>
      <w:tr>
        <w:trPr>
          <w:trHeight w:val="13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New Zealand</w:t>
            </w:r>
          </w:p>
        </w:tc>
        <w:tc>
          <w:tcPr>
            <w:tcW w:w="3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3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(242)</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(96)%</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(244)</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(39)%</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1 %</w:t>
            </w:r>
          </w:p>
        </w:tc>
      </w:tr>
      <w:tr>
        <w:trPr>
          <w:trHeight w:val="135"/>
        </w:trPr>
        <w:tc>
          <w:tcPr>
            <w:tcW w:w="1580" w:type="dxa"/>
            <w:vAlign w:val="bottom"/>
          </w:tcPr>
          <w:p>
            <w:pPr>
              <w:spacing w:after="0"/>
              <w:rPr>
                <w:sz w:val="11"/>
                <w:szCs w:val="11"/>
                <w:color w:val="auto"/>
              </w:rPr>
            </w:pPr>
          </w:p>
        </w:tc>
        <w:tc>
          <w:tcPr>
            <w:tcW w:w="3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3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(87)</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(14)%</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90 %</w:t>
            </w:r>
          </w:p>
        </w:tc>
      </w:tr>
      <w:tr>
        <w:trPr>
          <w:trHeight w:val="128"/>
        </w:trPr>
        <w:tc>
          <w:tcPr>
            <w:tcW w:w="1580" w:type="dxa"/>
            <w:vAlign w:val="bottom"/>
            <w:tcBorders>
              <w:top w:val="single" w:sz="8" w:color="CCEEFF"/>
            </w:tcBorders>
            <w:shd w:val="clear" w:color="auto" w:fill="CCEEFF"/>
          </w:tcPr>
          <w:p>
            <w:pPr>
              <w:spacing w:after="0"/>
              <w:rPr>
                <w:sz w:val="11"/>
                <w:szCs w:val="11"/>
                <w:color w:val="auto"/>
              </w:rPr>
            </w:pPr>
          </w:p>
        </w:tc>
        <w:tc>
          <w:tcPr>
            <w:tcW w:w="3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(251)</w:t>
            </w: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i w:val="1"/>
                <w:iCs w:val="1"/>
                <w:color w:val="auto"/>
              </w:rPr>
              <w:t>(100)%</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(331)</w:t>
            </w:r>
          </w:p>
        </w:tc>
        <w:tc>
          <w:tcPr>
            <w:tcW w:w="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i w:val="1"/>
                <w:iCs w:val="1"/>
                <w:color w:val="auto"/>
              </w:rPr>
              <w:t>(53)%</w:t>
            </w: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24 %</w:t>
            </w:r>
          </w:p>
        </w:tc>
      </w:tr>
      <w:tr>
        <w:trPr>
          <w:trHeight w:val="142"/>
        </w:trPr>
        <w:tc>
          <w:tcPr>
            <w:tcW w:w="468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r>
      <w:tr>
        <w:trPr>
          <w:trHeight w:val="142"/>
        </w:trPr>
        <w:tc>
          <w:tcPr>
            <w:tcW w:w="4860" w:type="dxa"/>
            <w:vAlign w:val="bottom"/>
            <w:tcBorders>
              <w:bottom w:val="single" w:sz="8" w:color="CCEEFF"/>
            </w:tcBorders>
            <w:gridSpan w:val="3"/>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Total depreciation, amortization, and general and administrative expense</w:t>
            </w:r>
          </w:p>
        </w:tc>
        <w:tc>
          <w:tcPr>
            <w:tcW w:w="340" w:type="dxa"/>
            <w:vAlign w:val="bottom"/>
            <w:tcBorders>
              <w:bottom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(1,715)</w:t>
            </w:r>
          </w:p>
        </w:tc>
        <w:tc>
          <w:tcPr>
            <w:tcW w:w="2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(57)%</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(1,881)</w:t>
            </w:r>
          </w:p>
        </w:tc>
        <w:tc>
          <w:tcPr>
            <w:tcW w:w="2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(35)%</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9 %</w:t>
            </w:r>
          </w:p>
        </w:tc>
      </w:tr>
      <w:tr>
        <w:trPr>
          <w:trHeight w:val="142"/>
        </w:trPr>
        <w:tc>
          <w:tcPr>
            <w:tcW w:w="158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r>
      <w:tr>
        <w:trPr>
          <w:trHeight w:val="155"/>
        </w:trPr>
        <w:tc>
          <w:tcPr>
            <w:tcW w:w="1580" w:type="dxa"/>
            <w:vAlign w:val="bottom"/>
            <w:tcBorders>
              <w:bottom w:val="single" w:sz="8" w:color="CCEEFF"/>
            </w:tcBorders>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Total expenses</w:t>
            </w:r>
          </w:p>
        </w:tc>
        <w:tc>
          <w:tcPr>
            <w:tcW w:w="3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(4,034)</w:t>
            </w: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(133)%</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(4,226)</w:t>
            </w:r>
          </w:p>
        </w:tc>
        <w:tc>
          <w:tcPr>
            <w:tcW w:w="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(79)%</w:t>
            </w: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5 %</w:t>
            </w:r>
          </w:p>
        </w:tc>
      </w:tr>
      <w:tr>
        <w:trPr>
          <w:trHeight w:val="122"/>
        </w:trPr>
        <w:tc>
          <w:tcPr>
            <w:tcW w:w="486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OPERATING INCOME (LOSS)</w:t>
            </w: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United States</w:t>
            </w:r>
          </w:p>
        </w:tc>
        <w:tc>
          <w:tcPr>
            <w:tcW w:w="3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(1,055)</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(411)%</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(99)</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(10)%</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35"/>
        </w:trPr>
        <w:tc>
          <w:tcPr>
            <w:tcW w:w="158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Australia</w:t>
            </w: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434</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i w:val="1"/>
                <w:iCs w:val="1"/>
                <w:color w:val="auto"/>
              </w:rPr>
              <w:t>17%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1,296</w:t>
            </w:r>
          </w:p>
        </w:tc>
        <w:tc>
          <w:tcPr>
            <w:tcW w:w="1440" w:type="dxa"/>
            <w:vAlign w:val="bottom"/>
            <w:gridSpan w:val="2"/>
          </w:tcPr>
          <w:p>
            <w:pPr>
              <w:jc w:val="right"/>
              <w:ind w:right="77"/>
              <w:spacing w:after="0" w:line="135" w:lineRule="exact"/>
              <w:rPr>
                <w:sz w:val="20"/>
                <w:szCs w:val="20"/>
                <w:color w:val="auto"/>
              </w:rPr>
            </w:pPr>
            <w:r>
              <w:rPr>
                <w:rFonts w:ascii="Arial" w:cs="Arial" w:eastAsia="Arial" w:hAnsi="Arial"/>
                <w:sz w:val="13"/>
                <w:szCs w:val="13"/>
                <w:i w:val="1"/>
                <w:iCs w:val="1"/>
                <w:color w:val="auto"/>
              </w:rPr>
              <w:t>34%</w:t>
            </w:r>
          </w:p>
        </w:tc>
        <w:tc>
          <w:tcPr>
            <w:tcW w:w="1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(67) %</w:t>
            </w:r>
          </w:p>
        </w:tc>
      </w:tr>
      <w:tr>
        <w:trPr>
          <w:trHeight w:val="15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b w:val="1"/>
                <w:bCs w:val="1"/>
                <w:color w:val="auto"/>
              </w:rPr>
              <w:t>New Zealand</w:t>
            </w:r>
          </w:p>
        </w:tc>
        <w:tc>
          <w:tcPr>
            <w:tcW w:w="3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(378)</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i w:val="1"/>
                <w:iCs w:val="1"/>
                <w:color w:val="auto"/>
              </w:rPr>
              <w:t>(150)%</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w:t>
            </w:r>
          </w:p>
        </w:tc>
        <w:tc>
          <w:tcPr>
            <w:tcW w:w="14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i w:val="1"/>
                <w:iCs w:val="1"/>
                <w:color w:val="auto"/>
              </w:rPr>
              <w:t>(7)%</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(&gt;100) %</w:t>
            </w:r>
          </w:p>
        </w:tc>
      </w:tr>
      <w:tr>
        <w:trPr>
          <w:trHeight w:val="122"/>
        </w:trPr>
        <w:tc>
          <w:tcPr>
            <w:tcW w:w="4860" w:type="dxa"/>
            <w:vAlign w:val="bottom"/>
            <w:tcBorders>
              <w:top w:val="single" w:sz="8" w:color="CCEEFF"/>
            </w:tcBorders>
            <w:gridSpan w:val="3"/>
          </w:tcPr>
          <w:p>
            <w:pPr>
              <w:ind w:left="200"/>
              <w:spacing w:after="0" w:line="122" w:lineRule="exact"/>
              <w:rPr>
                <w:sz w:val="20"/>
                <w:szCs w:val="20"/>
                <w:color w:val="auto"/>
              </w:rPr>
            </w:pPr>
            <w:r>
              <w:rPr>
                <w:rFonts w:ascii="Arial" w:cs="Arial" w:eastAsia="Arial" w:hAnsi="Arial"/>
                <w:sz w:val="13"/>
                <w:szCs w:val="13"/>
                <w:b w:val="1"/>
                <w:bCs w:val="1"/>
                <w:color w:val="auto"/>
              </w:rPr>
              <w:t>Total operating income (loss)</w:t>
            </w:r>
          </w:p>
        </w:tc>
        <w:tc>
          <w:tcPr>
            <w:tcW w:w="340" w:type="dxa"/>
            <w:vAlign w:val="bottom"/>
            <w:tcBorders>
              <w:top w:val="single" w:sz="8" w:color="auto"/>
              <w:bottom w:val="single" w:sz="8" w:color="auto"/>
            </w:tcBorders>
          </w:tcPr>
          <w:p>
            <w:pPr>
              <w:jc w:val="right"/>
              <w:ind w:right="197"/>
              <w:spacing w:after="0" w:line="122" w:lineRule="exact"/>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(999)</w:t>
            </w:r>
          </w:p>
        </w:tc>
        <w:tc>
          <w:tcPr>
            <w:tcW w:w="2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jc w:val="right"/>
              <w:ind w:right="97"/>
              <w:spacing w:after="0" w:line="122" w:lineRule="exact"/>
              <w:rPr>
                <w:sz w:val="20"/>
                <w:szCs w:val="20"/>
                <w:color w:val="auto"/>
              </w:rPr>
            </w:pPr>
            <w:r>
              <w:rPr>
                <w:rFonts w:ascii="Arial" w:cs="Arial" w:eastAsia="Arial" w:hAnsi="Arial"/>
                <w:sz w:val="13"/>
                <w:szCs w:val="13"/>
                <w:i w:val="1"/>
                <w:iCs w:val="1"/>
                <w:color w:val="auto"/>
              </w:rPr>
              <w:t>(33)%</w:t>
            </w:r>
          </w:p>
        </w:tc>
        <w:tc>
          <w:tcPr>
            <w:tcW w:w="180" w:type="dxa"/>
            <w:vAlign w:val="bottom"/>
            <w:tcBorders>
              <w:top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1,154</w:t>
            </w:r>
          </w:p>
        </w:tc>
        <w:tc>
          <w:tcPr>
            <w:tcW w:w="20" w:type="dxa"/>
            <w:vAlign w:val="bottom"/>
            <w:tcBorders>
              <w:top w:val="single" w:sz="8" w:color="CCEEFF"/>
              <w:bottom w:val="single" w:sz="8" w:color="auto"/>
            </w:tcBorders>
          </w:tcPr>
          <w:p>
            <w:pPr>
              <w:spacing w:after="0"/>
              <w:rPr>
                <w:sz w:val="10"/>
                <w:szCs w:val="10"/>
                <w:color w:val="auto"/>
              </w:rPr>
            </w:pPr>
          </w:p>
        </w:tc>
        <w:tc>
          <w:tcPr>
            <w:tcW w:w="1440" w:type="dxa"/>
            <w:vAlign w:val="bottom"/>
            <w:tcBorders>
              <w:top w:val="single" w:sz="8" w:color="CCEEFF"/>
            </w:tcBorders>
            <w:gridSpan w:val="2"/>
          </w:tcPr>
          <w:p>
            <w:pPr>
              <w:jc w:val="right"/>
              <w:ind w:right="77"/>
              <w:spacing w:after="0" w:line="122" w:lineRule="exact"/>
              <w:rPr>
                <w:sz w:val="20"/>
                <w:szCs w:val="20"/>
                <w:color w:val="auto"/>
              </w:rPr>
            </w:pPr>
            <w:r>
              <w:rPr>
                <w:rFonts w:ascii="Arial" w:cs="Arial" w:eastAsia="Arial" w:hAnsi="Arial"/>
                <w:sz w:val="13"/>
                <w:szCs w:val="13"/>
                <w:i w:val="1"/>
                <w:iCs w:val="1"/>
                <w:color w:val="auto"/>
              </w:rPr>
              <w:t>21%</w:t>
            </w:r>
          </w:p>
        </w:tc>
        <w:tc>
          <w:tcPr>
            <w:tcW w:w="18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(&gt;100) %</w:t>
            </w:r>
          </w:p>
        </w:tc>
      </w:tr>
      <w:tr>
        <w:trPr>
          <w:trHeight w:val="20"/>
        </w:trPr>
        <w:tc>
          <w:tcPr>
            <w:tcW w:w="15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 Operating Income</w:t>
      </w:r>
    </w:p>
    <w:p>
      <w:pPr>
        <w:spacing w:after="0" w:line="171"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Real Estate segment operating income decreased by $7.6 million, to a loss of $2.5 million for the year ended December 31, 2020 compared to 2019. This decrease is attributable to the ongoing temporary closures of our U.S. Live Theatres, the absence of internal rent revenue from some of our fee-interest cinemas, and the rent abatements provided to our third-party tenants as a result of the COVID-19 pandemic.</w:t>
      </w:r>
    </w:p>
    <w:p>
      <w:pPr>
        <w:spacing w:after="0" w:line="138" w:lineRule="exact"/>
        <w:rPr>
          <w:sz w:val="20"/>
          <w:szCs w:val="20"/>
          <w:color w:val="auto"/>
        </w:rPr>
      </w:pPr>
    </w:p>
    <w:p>
      <w:pPr>
        <w:ind w:right="380"/>
        <w:spacing w:after="0" w:line="225" w:lineRule="auto"/>
        <w:rPr>
          <w:sz w:val="20"/>
          <w:szCs w:val="20"/>
          <w:color w:val="auto"/>
        </w:rPr>
      </w:pPr>
      <w:r>
        <w:rPr>
          <w:rFonts w:ascii="Arial" w:cs="Arial" w:eastAsia="Arial" w:hAnsi="Arial"/>
          <w:sz w:val="18"/>
          <w:szCs w:val="18"/>
          <w:color w:val="auto"/>
        </w:rPr>
        <w:t>Real Estate segment operating income decreased by $2.2 million, to a loss of $1.0 million for the quarter ended December 31, 2020 compared to 2019, primarily due to the ongoing temporary closures of our U.S. Live Theatres, the absence of intercompany rent revenue from some of our fee-interest cinemas, and rent abatements provided to tenants as a result of the COVID-19 pandemic.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is the revenue breakdown by country for each year:</w:t>
      </w: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 of</w:t>
            </w:r>
          </w:p>
        </w:tc>
        <w:tc>
          <w:tcPr>
            <w:tcW w:w="24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2"/>
              </w:rPr>
              <w:t>% of</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78"/>
        </w:trPr>
        <w:tc>
          <w:tcPr>
            <w:tcW w:w="55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89"/>
              </w:rPr>
              <w:t>Revenue</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89"/>
              </w:rPr>
              <w:t>Revenue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48"/>
        </w:trPr>
        <w:tc>
          <w:tcPr>
            <w:tcW w:w="55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1,422</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11%</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3,848</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18%</w:t>
            </w:r>
          </w:p>
        </w:tc>
        <w:tc>
          <w:tcPr>
            <w:tcW w:w="8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(63)</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4"/>
                <w:szCs w:val="14"/>
                <w:color w:val="auto"/>
              </w:rPr>
              <w:t>Australia</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10,576</w:t>
            </w: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i w:val="1"/>
                <w:iCs w:val="1"/>
                <w:color w:val="auto"/>
              </w:rPr>
              <w:t>82%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15,656</w:t>
            </w:r>
          </w:p>
        </w:tc>
        <w:tc>
          <w:tcPr>
            <w:tcW w:w="1000" w:type="dxa"/>
            <w:vAlign w:val="bottom"/>
            <w:gridSpan w:val="2"/>
          </w:tcPr>
          <w:p>
            <w:pPr>
              <w:jc w:val="right"/>
              <w:ind w:right="68"/>
              <w:spacing w:after="0" w:line="149" w:lineRule="exact"/>
              <w:rPr>
                <w:sz w:val="20"/>
                <w:szCs w:val="20"/>
                <w:color w:val="auto"/>
              </w:rPr>
            </w:pPr>
            <w:r>
              <w:rPr>
                <w:rFonts w:ascii="Arial" w:cs="Arial" w:eastAsia="Arial" w:hAnsi="Arial"/>
                <w:sz w:val="14"/>
                <w:szCs w:val="14"/>
                <w:i w:val="1"/>
                <w:iCs w:val="1"/>
                <w:color w:val="auto"/>
              </w:rPr>
              <w:t>71%</w:t>
            </w:r>
          </w:p>
        </w:tc>
        <w:tc>
          <w:tcPr>
            <w:tcW w:w="80" w:type="dxa"/>
            <w:vAlign w:val="bottom"/>
          </w:tcPr>
          <w:p>
            <w:pPr>
              <w:spacing w:after="0"/>
              <w:rPr>
                <w:sz w:val="12"/>
                <w:szCs w:val="12"/>
                <w:color w:val="auto"/>
              </w:rPr>
            </w:pPr>
          </w:p>
        </w:tc>
        <w:tc>
          <w:tcPr>
            <w:tcW w:w="13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(32)</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Zealand</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965</w:t>
            </w:r>
          </w:p>
        </w:tc>
        <w:tc>
          <w:tcPr>
            <w:tcW w:w="9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2,401</w:t>
            </w:r>
          </w:p>
        </w:tc>
        <w:tc>
          <w:tcPr>
            <w:tcW w:w="10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i w:val="1"/>
                <w:iCs w:val="1"/>
                <w:color w:val="auto"/>
              </w:rPr>
              <w:t>11%</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49"/>
        </w:trPr>
        <w:tc>
          <w:tcPr>
            <w:tcW w:w="5500" w:type="dxa"/>
            <w:vAlign w:val="bottom"/>
          </w:tcPr>
          <w:p>
            <w:pPr>
              <w:spacing w:after="0" w:line="142" w:lineRule="exact"/>
              <w:rPr>
                <w:sz w:val="20"/>
                <w:szCs w:val="20"/>
                <w:color w:val="auto"/>
              </w:rPr>
            </w:pPr>
            <w:r>
              <w:rPr>
                <w:rFonts w:ascii="Arial" w:cs="Arial" w:eastAsia="Arial" w:hAnsi="Arial"/>
                <w:sz w:val="14"/>
                <w:szCs w:val="14"/>
                <w:b w:val="1"/>
                <w:bCs w:val="1"/>
                <w:color w:val="auto"/>
              </w:rPr>
              <w:t>Total Segment Revenues</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12,963</w:t>
            </w:r>
          </w:p>
        </w:tc>
        <w:tc>
          <w:tcPr>
            <w:tcW w:w="80" w:type="dxa"/>
            <w:vAlign w:val="bottom"/>
          </w:tcPr>
          <w:p>
            <w:pPr>
              <w:spacing w:after="0"/>
              <w:rPr>
                <w:sz w:val="12"/>
                <w:szCs w:val="12"/>
                <w:color w:val="auto"/>
              </w:rPr>
            </w:pPr>
          </w:p>
        </w:tc>
        <w:tc>
          <w:tcPr>
            <w:tcW w:w="940" w:type="dxa"/>
            <w:vAlign w:val="bottom"/>
          </w:tcPr>
          <w:p>
            <w:pPr>
              <w:jc w:val="right"/>
              <w:ind w:right="68"/>
              <w:spacing w:after="0" w:line="142" w:lineRule="exact"/>
              <w:rPr>
                <w:sz w:val="20"/>
                <w:szCs w:val="20"/>
                <w:color w:val="auto"/>
              </w:rPr>
            </w:pPr>
            <w:r>
              <w:rPr>
                <w:rFonts w:ascii="Arial" w:cs="Arial" w:eastAsia="Arial" w:hAnsi="Arial"/>
                <w:sz w:val="14"/>
                <w:szCs w:val="14"/>
                <w:i w:val="1"/>
                <w:iCs w:val="1"/>
                <w:color w:val="auto"/>
              </w:rPr>
              <w:t>100 %</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21,905</w:t>
            </w:r>
          </w:p>
        </w:tc>
        <w:tc>
          <w:tcPr>
            <w:tcW w:w="20" w:type="dxa"/>
            <w:vAlign w:val="bottom"/>
            <w:tcBorders>
              <w:bottom w:val="single" w:sz="8" w:color="auto"/>
            </w:tcBorders>
          </w:tcPr>
          <w:p>
            <w:pPr>
              <w:spacing w:after="0"/>
              <w:rPr>
                <w:sz w:val="12"/>
                <w:szCs w:val="12"/>
                <w:color w:val="auto"/>
              </w:rPr>
            </w:pPr>
          </w:p>
        </w:tc>
        <w:tc>
          <w:tcPr>
            <w:tcW w:w="1000" w:type="dxa"/>
            <w:vAlign w:val="bottom"/>
            <w:gridSpan w:val="2"/>
          </w:tcPr>
          <w:p>
            <w:pPr>
              <w:jc w:val="right"/>
              <w:ind w:right="68"/>
              <w:spacing w:after="0" w:line="142" w:lineRule="exact"/>
              <w:rPr>
                <w:sz w:val="20"/>
                <w:szCs w:val="20"/>
                <w:color w:val="auto"/>
              </w:rPr>
            </w:pPr>
            <w:r>
              <w:rPr>
                <w:rFonts w:ascii="Arial" w:cs="Arial" w:eastAsia="Arial" w:hAnsi="Arial"/>
                <w:sz w:val="14"/>
                <w:szCs w:val="14"/>
                <w:i w:val="1"/>
                <w:iCs w:val="1"/>
                <w:color w:val="auto"/>
              </w:rPr>
              <w:t>100 %</w:t>
            </w:r>
          </w:p>
        </w:tc>
        <w:tc>
          <w:tcPr>
            <w:tcW w:w="80" w:type="dxa"/>
            <w:vAlign w:val="bottom"/>
          </w:tcPr>
          <w:p>
            <w:pPr>
              <w:spacing w:after="0"/>
              <w:rPr>
                <w:sz w:val="12"/>
                <w:szCs w:val="12"/>
                <w:color w:val="auto"/>
              </w:rPr>
            </w:pPr>
          </w:p>
        </w:tc>
        <w:tc>
          <w:tcPr>
            <w:tcW w:w="1300" w:type="dxa"/>
            <w:vAlign w:val="bottom"/>
          </w:tcPr>
          <w:p>
            <w:pPr>
              <w:jc w:val="right"/>
              <w:ind w:right="68"/>
              <w:spacing w:after="0" w:line="142" w:lineRule="exact"/>
              <w:rPr>
                <w:sz w:val="20"/>
                <w:szCs w:val="20"/>
                <w:color w:val="auto"/>
              </w:rPr>
            </w:pPr>
            <w:r>
              <w:rPr>
                <w:rFonts w:ascii="Arial" w:cs="Arial" w:eastAsia="Arial" w:hAnsi="Arial"/>
                <w:sz w:val="14"/>
                <w:szCs w:val="14"/>
                <w:color w:val="auto"/>
              </w:rPr>
              <w:t>(41)</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Real estate revenues for the year ended December 31, 2020 decreased by 41% or $8.9 million, to $13.0 million compared to 2019. This decrease is attributable to the ongoing temporary closures of our U.S. Live Theatres and the issuance of rent abatements to certain third-party Australian tenants. The decrease was further impacted by the vacating of a tenant at our Courtenay Central site in March 2020 and the decision by our Real Estate division to abate intercompany rent payable by Reading Cinemas as anchor tenants at some of our ETCs in response to the closures and revenue reductions caused by COVID-19.</w:t>
      </w:r>
    </w:p>
    <w:p>
      <w:pPr>
        <w:spacing w:after="0" w:line="151"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Referring to our Australian real estate revenue, a federal government Code of Conduct was prepared at the end of the first quarter of 2020 intended to function as guidance for landlords and tenants when negotiating rent relief. Initially this Code of Conduct was taken to be ‘best practice,’ but during the second quarter of 2020, state governments signed into law their own rent relief legislation which, to varying degrees, drew upon the Code of Conduct as well as incorporated other legislative requirements at a state’s own discretion. Consistent across the Australian states is legislation regarding the measurement of rent relief by way of abatement and is measured against declines in sales volumes over the period in which a tenant is impacted by COVID-19.</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For the quarter ended December 31, 2020, Real Estate revenue decreased by 44%, or $2.3 million, to $3.0 million compared to 2019. primarily due to the ongoing pandemic which resulted in the temporary closure of our U.S. Live Theatres and the rent abatements provided to our third-party tenants as a result of the COVID-19 pandemic. These results were partially offset by the strengthening foreign currency exchange rate in the Australian and New Zealand dollars.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7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Operating expense for the year ended December 31, 2020 decreased by 9%, or $0.9 million, to $8.6 million when compared to the same period in 2019 mainly driven by (i) the ongoing temporary closures of our Live Theatre business unit and (ii) a rent abatement obtained from a ground lessor in Australia. Throughout the fourth quarter of 2020, many operating expenses were significantly reduced, and various projects and maintenance works were postponed. In addition, our operating expenses were reduced as we brought in-house certain property management functions that were earlier outsourced. In Australia, various State Revenue Offices (SRO) implemented support measures for commercial landlords whereby land tax relief was provided, and continues to provide, by way of a percentage of land tax waiver or deferral. Further, this decrease was offset by increased legal expenses for our property development work.</w:t>
      </w:r>
    </w:p>
    <w:p>
      <w:pPr>
        <w:spacing w:after="0" w:line="15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For the quarter ended December 31, 2020, operating expenses remained flat with a slight decrease of 1%, to $2.3 million when compared to the same period in 2019 due to our inability to lower fixed expenses even with declining revenues, offset by increased costs related to our 44 Union Square property being included in operating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General and Administrative Expense</w:t>
      </w:r>
    </w:p>
    <w:p>
      <w:pPr>
        <w:spacing w:after="0" w:line="17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Depreciation, amortization, general and administrative expenses for 2020 decreased by 6%, to $6.8 million when compared to the same period in 2019 driven by general and administrative expense reductions in Australia, while depreciation remained flat.</w:t>
      </w:r>
    </w:p>
    <w:p>
      <w:pPr>
        <w:spacing w:after="0" w:line="14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For the quarter ended December 31, 2020, depreciation, amortization, and general, and administrative expenses decreased by 9%, or $0.2 million, to $1.7 million compared to the quarter ended December 31, 2019 due to the capitalization of our 44 Union Square property.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NON-SEGMENT RESULTS –2020 vs.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Non-segment general and administrative expense for the year ended December 31, 2020 decreased by 32%, or $6.1 million, to $12.8 million compared to the same period in the prior year, mainly attributed to (i) savings in payroll costs as a result of the wage subsidy programs and reduction in corporate staff,</w:t>
      </w:r>
    </w:p>
    <w:p>
      <w:pPr>
        <w:spacing w:after="0" w:line="1" w:lineRule="exact"/>
        <w:rPr>
          <w:sz w:val="20"/>
          <w:szCs w:val="20"/>
          <w:color w:val="auto"/>
        </w:rPr>
      </w:pPr>
    </w:p>
    <w:p>
      <w:pPr>
        <w:ind w:right="260" w:firstLine="8"/>
        <w:spacing w:after="0" w:line="219"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costs related to corporate airfare and travel as a result of COVID-19 restrictions, and (iii) decreases in professional and legal services. The decrease was further favorably impacted by the affirmation on appeal by the Nevada Supreme Court of a $0.8 million costs judgment entered in favor of our Company in the James J. Cotter Jr. derivative litigation.</w:t>
      </w: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spacing w:after="0" w:line="246" w:lineRule="auto"/>
        <w:rPr>
          <w:sz w:val="20"/>
          <w:szCs w:val="20"/>
          <w:color w:val="auto"/>
        </w:rPr>
      </w:pPr>
      <w:r>
        <w:rPr>
          <w:rFonts w:ascii="Arial" w:cs="Arial" w:eastAsia="Arial" w:hAnsi="Arial"/>
          <w:sz w:val="18"/>
          <w:szCs w:val="18"/>
          <w:color w:val="auto"/>
        </w:rPr>
        <w:t xml:space="preserve">For more information about the legal expense, please refer to </w:t>
      </w:r>
      <w:r>
        <w:rPr>
          <w:rFonts w:ascii="Arial" w:cs="Arial" w:eastAsia="Arial" w:hAnsi="Arial"/>
          <w:sz w:val="18"/>
          <w:szCs w:val="18"/>
          <w:i w:val="1"/>
          <w:iCs w:val="1"/>
          <w:color w:val="auto"/>
        </w:rPr>
        <w:t>Note 13 – Commitments and Contingencies</w:t>
      </w:r>
      <w:r>
        <w:rPr>
          <w:rFonts w:ascii="Arial" w:cs="Arial" w:eastAsia="Arial" w:hAnsi="Arial"/>
          <w:sz w:val="18"/>
          <w:szCs w:val="18"/>
          <w:color w:val="auto"/>
        </w:rPr>
        <w:t xml:space="preserve"> to the Consolidated Financial Statements included herein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71"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The U.S. Coronavirus Aid, Relief, and Economic Security Act (“the CARES Act”) was enacted on March 27, 2020 to provide tax relief to companies impacted by the COVID-19 pandemic. The CARES Act includes, among other items, provisions for net operating loss carryback, modifications to the business interest expense deduction, a technical correction to tax depreciation methods for qualified improvement property, and alternative minimum tax credit refunds. During the quarter ended March 31, 2020, we recorded a tax benefit arising from the carryback of the net operating loss generated in the taxable year ended December 31, 2019.</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Income tax expense decreased by $33.8 million, to a benefit of $5.0 million, when compared to 2019, mainly due to the pretax loss in 2020 and a tax benefit as a result of the CARES Act. This was partially offset by the recording of valuation allowance on U.S. deferred tax assets. Please refer to </w:t>
      </w:r>
      <w:r>
        <w:rPr>
          <w:rFonts w:ascii="Arial" w:cs="Arial" w:eastAsia="Arial" w:hAnsi="Arial"/>
          <w:sz w:val="17"/>
          <w:szCs w:val="17"/>
          <w:i w:val="1"/>
          <w:iCs w:val="1"/>
          <w:color w:val="auto"/>
        </w:rPr>
        <w:t>Note 10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of the Notes to Consolidated Financial Statements in Part II of this Annual Report for further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Interest expense (net of interest income) increased by 18%, or $1.5 million, to $9.4 million, mainly due to an increase in our borrowings as a result of the COVID-19 pandemic and the termination of the capitalization of interest on 44 Union Square.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COVID-19 outbreak has materially adversely affected the economies (and the cinema exhibition industry in particular) of the United States, Australia, and New Zealand. Outbreaks of COVID-19 caused cinemas and other public assembly venues to close in March of 2020. Major studios have announced the delayed release of major motion pictures into 2021 and beyond or have gone straight to streaming. Consequently, the delayed releases of major motion pictures and the elimination of the theatrical window by some studios has and will push revenues into later quarters, thereby reducing our full year revenues, and may accelerate our decisions to consider more permanent reductions of operational levels at our cinemas. However, even if such film product is forthcoming, operating revenues may continue to be adversely impacted by ongoing governmental restrictions, social distancing requirements, the adoption and implementation of new sanitization protocols, and potential hesitancy of patrons to return to public indoor venues.</w:t>
      </w:r>
    </w:p>
    <w:p>
      <w:pPr>
        <w:spacing w:after="0" w:line="138"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With respect to our home office employees, our Company’s home offices in Culver City, CA and New York City, NY, remain closed as of the date of filing of this Report, with employees continuing to work remotely. Our employees in our Melbourne, Australia office are back at the office full time. With regard to our office in Wellington, New Zealand, our temporary office space lease expired, and our staff continue to work remotely for the time being.</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response to uncertainties associated with the outbreak of the COVID-19 pandemic and its impact on our Company’s business, Management drew down the available operating borrowing capacity in the first quarter of 2020 and continued to maintain those borrowing levels through the second quarter. During the third quarter of 2020, we paid down $5.8 million on the Bank of America revolving credit facility as part of our expense reduction, in this case interest expense. We subsequently borrowed $2.0 million on this line in the fourth quarter of 2020, therefore $3.8 million was available at December 31, 2020. These funds are, however, available to be drawn under this facility. Total outstanding borrowings were $285.0 million at December 31, 2020. As of December 31, 2020, we had $26.8 million in cash and cash equivalents. Our Company’s use of these funds is in some ways limited due to limitations on the expatriation of funds from Australia and New Zealand to the United States and limitations on our use of the proceeds from our $55.0 million Bank of America Credit Facility for purposes unrelated to our U.S. cinema activities.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9" w:name="page60"/>
    <w:bookmarkEnd w:id="59"/>
    <w:p>
      <w:pPr>
        <w:ind w:right="80"/>
        <w:spacing w:after="0" w:line="235" w:lineRule="auto"/>
        <w:rPr>
          <w:sz w:val="20"/>
          <w:szCs w:val="20"/>
          <w:color w:val="auto"/>
        </w:rPr>
      </w:pPr>
      <w:r>
        <w:rPr>
          <w:rFonts w:ascii="Arial" w:cs="Arial" w:eastAsia="Arial" w:hAnsi="Arial"/>
          <w:sz w:val="17"/>
          <w:szCs w:val="17"/>
          <w:color w:val="auto"/>
        </w:rPr>
        <w:t>Our bank loans with the Bank of America, NAB, and Westpac require that our Company comply with certain covenants. The longer the COVID-19 pandemic and the associated limitations (both legal and practical) on our business exist, the more likely it becomes, in the absence of other actions by our Company, that we will be unable to continue to comply with these covenants. However, in such an event, our Company expects to be able to obtain an amendment or waiver from its lenders, though no assurances can be given. We believe that our lenders understand that the current situation is not of our making, that we are doing everything that can reasonably be done, and that our relationship with our lenders is good. In an effort to mitigate the need for such waivers, we are looking to our real estate assets to provide needed liquidity. Our 44 Union Square property in Manhattan, with 73,000 net rentable square feet of retail and office space, received a temporary certificate of occupancy for the core and shell of the building on August 31, 2020 and is in the lease-up phase with construction being complete (except for minor punch list items). On January 24, 2020, we exercised the first of our two extension options on the Bank OZK (formerly Bank of the Ozarks) loan, extending the maturity date to December 29, 2020. On December 29, 2020, we further extended the maturity of this loan to March 31, 2021, at an interest rate of 17.5% and on March 26, 2021, we repaid this loan in full in the amount of $40.6 million. We are currently working on a refinancing of the property and, while no assurances can be given, based on current facts and circumstances, we are optimistic that the refinancing, which will free up substantial capital, can be finalized in the second quarter of 2021. On March 4, 2021, we sold our Manukau land for NZ$77.2 million (US$56.1 million). On March 5, 2021, we sold our Coachella land for $11.0 million. As a 50% member in Shadow View Land &amp; Farming LLC, the Company received 50% of the Coachella net sale proceeds. Unlike pure cinema exhibition companies, we own the fee interest underlying 12 of our cinemas and all of our Live Theatres.</w:t>
      </w:r>
    </w:p>
    <w:p>
      <w:pPr>
        <w:spacing w:after="0" w:line="153"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Prior to the COVID-19 pandemic, our cinema exhibition business plan had been to enhance our current cinemas where it was financially reasonable to do so; develop our specialty cinemas in select markets; expand our F&amp;B offering, and continue on an opportunistic basis, to identify, develop, and acquire cinema properties that allow us to leverage our cinema expertise over a larger operating base. This continues to be our plan once we are able to fully reopen, subject to liquidity constraints.</w:t>
      </w:r>
    </w:p>
    <w:p>
      <w:pPr>
        <w:spacing w:after="0" w:line="14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continue to advance most of our real estate initiatives as these are, generally speaking, still in the planning stage and, as a result, less impacted than projects in their construction phase. We, fortunately, have only two projects in a construction phase – the redevelopment of our 44 Union Square property in Manhattan and the refurbishment of our Consolidated Theatre at the Kahala Mall in Honolulu. 44 Union Square received a temporary certificate of occupancy for the core and shell of the building on August 31, 2020 and is in the lease-up phase following completion of construction with the exception of minor punch list items. We anticipate that our Consolidated Theatre at the Kahala Mall will reopen for business after construction is completed, which should follow a few months of work upon recommencement of construction once COVID-19 related Hawaiian government restrictions have been relaxed.</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pre-COVID-19 business plan with respect to the Real Estate segment of our business was to continue the build-out of our Newmarket Village and Auburn Redyard ETCs in Australia; to master-plan the redevelopment of our Courtenay Central site in New Zealand into an urban entertainment center with a focus on cinema exhibition and food &amp; beverage; in Manukau/Wiri, New Zealand, to develop in concert with other major landowners, the infrastructure needed to support the construction of income-producing light industrial improvements; to reassess and master-plan our Cinemas 1,2,3 property for redevelopment as a stand-alone 96,000 square foot mixed-use property and in the interim to continue to use it as a cinema; and to continue to be sensitive to opportunities to convert our entertainment assets to higher and better uses, or, where appropriate, to dispose of such assets. Subsequently, during the first quarter of 2021, we sold our Manukau and Coachella non-income producing land assets and have reclassified our Auburn Redyard ETC and Royal George Theatre complex as assets held for sale. Going forward, subject to capital allocation considerations, we will be focusing on completing the lease up of our 44 Union Square property in Manhattan, the further development of our Newmarket and Courtenay Central ETCs in Australia and New Zealand, and the redevelopment of our Cinema 1,2,3 property in Manhattan and our historic railroad properties in Philadelphia.</w:t>
      </w:r>
    </w:p>
    <w:p>
      <w:pPr>
        <w:spacing w:after="0" w:line="1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success of our Company is naturally dependent on our ongoing ability to execute these business plans effectively through our available resources (both cash and available borrowing facilities), while still addressing our liquidity risk in a timely manner. Liquidity risk is the risk relating to our ability to meet our financial obligations when they come due. Prior to the COVID-19 pandemic, our financial obligations arose mainly from capital expenditure needs, working capital requirements, and debt servicing requirements. We managed the liquidity risk by working to generate adequate cash flows from operating activities, to obtain and maintain appropriate financing or extension of maturity dates under reasonable arrangements, and/or to convert non-performing or non-strategic assets into cash as appropriate under the circumstances. During the pandemic, we had to rely on our ability to control costs, to generate revenue from different sources, and to maintain and obtain adequate and reasonable financing, while at the same time reviewing and, where appropriate, acting upon our ability to convert non-strategic assets into cash, if needed. Historically, we have funded our capital expenditures out of operating cash flow. Obviously, with our revenues severely curtailed by the closure and other limitations imposed on our cinema activities, we have needed to look to our lenders for the near term. However, we remain confident in our cinema industry and that it will once again be the primary engine through which we fund our liquidity needs.</w:t>
      </w:r>
    </w:p>
    <w:p>
      <w:pPr>
        <w:spacing w:after="0" w:line="15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impact of the COVID-19 pandemic on our business has reduced our liquidity and our Management, consequently, has postponed, or reprioritized most of our capital expenditures based on assessments of conditions and liquidity requirements.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ind w:right="80"/>
        <w:spacing w:after="0" w:line="237" w:lineRule="auto"/>
        <w:rPr>
          <w:sz w:val="20"/>
          <w:szCs w:val="20"/>
          <w:color w:val="auto"/>
        </w:rPr>
      </w:pPr>
      <w:r>
        <w:rPr>
          <w:rFonts w:ascii="Arial" w:cs="Arial" w:eastAsia="Arial" w:hAnsi="Arial"/>
          <w:sz w:val="17"/>
          <w:szCs w:val="17"/>
          <w:color w:val="auto"/>
        </w:rPr>
        <w:t>During 2021, we anticipate that we will continue to limit our capital expenditures, and as a result, we currently estimate that our cash capital expenditures in both our cinema and real estate segments in 2021 will not exceed $25.5 million. The projects requiring capital expenditures in 2021 will include: (i) with respect to our cinema business, the renovation of existing global cinemas and the construction of new cinemas in Australia and (ii) with respect to our real estate business, capital for the build out/fit out of third party tenant spaces. The Company believes that 2021 capital expenditures will be paid for by funds raised by asset sales, cash flow from operations and/or funds available under global credit facilities. The Company is surrounded by uncertainty about COVID-19, as well as financial, economic, competitive, regulatory, and other factors, many of which are beyond its control. If the Company is unable to generate sufficient cash flow in the upcoming months or if its cash needs exceed the Company’s borrowing capacity under its available facilities, it could be required to adopt one or more alternatives, such as reducing, delaying or eliminating such planned capital expenditures, selling additional assets or restructuring debt.</w:t>
      </w:r>
    </w:p>
    <w:p>
      <w:pPr>
        <w:spacing w:after="0" w:line="153"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 xml:space="preserve">For more information about our liquidity, please refer to Note 3 – Impact of COVID-19 Pandemic on Liquidity to the Consolidated Financial Statements included herein in Part II, Item 8 (Financial Statements and Supplementary Data) on this report. Refer to </w:t>
      </w:r>
      <w:r>
        <w:rPr>
          <w:rFonts w:ascii="Arial" w:cs="Arial" w:eastAsia="Arial" w:hAnsi="Arial"/>
          <w:sz w:val="18"/>
          <w:szCs w:val="18"/>
          <w:i w:val="1"/>
          <w:iCs w:val="1"/>
          <w:color w:val="auto"/>
        </w:rPr>
        <w:t>Note 11 – Borrowings</w:t>
      </w:r>
      <w:r>
        <w:rPr>
          <w:rFonts w:ascii="Arial" w:cs="Arial" w:eastAsia="Arial" w:hAnsi="Arial"/>
          <w:sz w:val="18"/>
          <w:szCs w:val="18"/>
          <w:color w:val="auto"/>
        </w:rPr>
        <w:t xml:space="preserve"> for additional information.</w:t>
      </w:r>
    </w:p>
    <w:p>
      <w:pPr>
        <w:spacing w:after="0" w:line="148"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table below presents the changes in our total available resources (cash and borrowings), debt-to-equity ratio, working capital, and other relevant information addressing our liquidity for the last five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23"/>
                <w:szCs w:val="23"/>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28"/>
                <w:szCs w:val="28"/>
                <w:b w:val="1"/>
                <w:bCs w:val="1"/>
                <w:color w:val="auto"/>
                <w:w w:val="93"/>
                <w:vertAlign w:val="subscript"/>
              </w:rPr>
              <w:t>2017</w:t>
            </w:r>
            <w:r>
              <w:rPr>
                <w:rFonts w:ascii="Arial" w:cs="Arial" w:eastAsia="Arial" w:hAnsi="Arial"/>
                <w:sz w:val="12"/>
                <w:szCs w:val="12"/>
                <w:b w:val="1"/>
                <w:bCs w:val="1"/>
                <w:color w:val="auto"/>
                <w:w w:val="93"/>
              </w:rPr>
              <w:t>(2)(3)</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23"/>
                <w:szCs w:val="23"/>
                <w:b w:val="1"/>
                <w:bCs w:val="1"/>
                <w:color w:val="auto"/>
                <w:vertAlign w:val="superscript"/>
              </w:rPr>
              <w:t>(2)</w:t>
            </w:r>
          </w:p>
        </w:tc>
      </w:tr>
      <w:tr>
        <w:trPr>
          <w:trHeight w:val="189"/>
        </w:trPr>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Net Cash from Operating Activities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(30,201)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24,607</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23,851</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30,188</w:t>
            </w:r>
          </w:p>
        </w:tc>
      </w:tr>
      <w:tr>
        <w:trPr>
          <w:trHeight w:val="203"/>
        </w:trPr>
        <w:tc>
          <w:tcPr>
            <w:tcW w:w="4580" w:type="dxa"/>
            <w:vAlign w:val="bottom"/>
          </w:tcPr>
          <w:p>
            <w:pPr>
              <w:spacing w:after="0"/>
              <w:rPr>
                <w:sz w:val="20"/>
                <w:szCs w:val="20"/>
                <w:color w:val="auto"/>
              </w:rPr>
            </w:pPr>
            <w:r>
              <w:rPr>
                <w:rFonts w:ascii="Arial" w:cs="Arial" w:eastAsia="Arial" w:hAnsi="Arial"/>
                <w:sz w:val="14"/>
                <w:szCs w:val="14"/>
                <w:b w:val="1"/>
                <w:bCs w:val="1"/>
                <w:i w:val="1"/>
                <w:iCs w:val="1"/>
                <w:color w:val="auto"/>
              </w:rPr>
              <w:t>Total Resources (cash and borrowings)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 (unrestricted)</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26,826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12,135</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13,668</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19,017</w:t>
            </w:r>
          </w:p>
        </w:tc>
      </w:tr>
      <w:tr>
        <w:trPr>
          <w:trHeight w:val="203"/>
        </w:trPr>
        <w:tc>
          <w:tcPr>
            <w:tcW w:w="4580" w:type="dxa"/>
            <w:vAlign w:val="bottom"/>
          </w:tcPr>
          <w:p>
            <w:pPr>
              <w:ind w:left="120"/>
              <w:spacing w:after="0"/>
              <w:rPr>
                <w:sz w:val="20"/>
                <w:szCs w:val="20"/>
                <w:color w:val="auto"/>
              </w:rPr>
            </w:pPr>
            <w:r>
              <w:rPr>
                <w:rFonts w:ascii="Arial" w:cs="Arial" w:eastAsia="Arial" w:hAnsi="Arial"/>
                <w:sz w:val="14"/>
                <w:szCs w:val="14"/>
                <w:color w:val="auto"/>
              </w:rPr>
              <w:t>Unused borrowing facility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15,490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73,920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85,886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137,231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117,599</w:t>
            </w:r>
          </w:p>
        </w:tc>
      </w:tr>
      <w:tr>
        <w:trPr>
          <w:trHeight w:val="203"/>
        </w:trPr>
        <w:tc>
          <w:tcPr>
            <w:tcW w:w="4580" w:type="dxa"/>
            <w:vAlign w:val="bottom"/>
            <w:shd w:val="clear" w:color="auto" w:fill="CCEEFF"/>
          </w:tcPr>
          <w:p>
            <w:pPr>
              <w:ind w:left="340"/>
              <w:spacing w:after="0" w:line="202" w:lineRule="exact"/>
              <w:rPr>
                <w:sz w:val="20"/>
                <w:szCs w:val="20"/>
                <w:color w:val="auto"/>
              </w:rPr>
            </w:pPr>
            <w:r>
              <w:rPr>
                <w:rFonts w:ascii="Arial" w:cs="Arial" w:eastAsia="Arial" w:hAnsi="Arial"/>
                <w:sz w:val="14"/>
                <w:szCs w:val="14"/>
                <w:color w:val="auto"/>
              </w:rPr>
              <w:t>Restricted for capital projects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62,024</w:t>
            </w:r>
          </w:p>
        </w:tc>
      </w:tr>
      <w:tr>
        <w:trPr>
          <w:trHeight w:val="203"/>
        </w:trPr>
        <w:tc>
          <w:tcPr>
            <w:tcW w:w="4580" w:type="dxa"/>
            <w:vAlign w:val="bottom"/>
          </w:tcPr>
          <w:p>
            <w:pPr>
              <w:ind w:left="340"/>
              <w:spacing w:after="0"/>
              <w:rPr>
                <w:sz w:val="20"/>
                <w:szCs w:val="20"/>
                <w:color w:val="auto"/>
              </w:rPr>
            </w:pPr>
            <w:r>
              <w:rPr>
                <w:rFonts w:ascii="Arial" w:cs="Arial" w:eastAsia="Arial" w:hAnsi="Arial"/>
                <w:sz w:val="14"/>
                <w:szCs w:val="14"/>
                <w:color w:val="auto"/>
              </w:rPr>
              <w:t>Unrestricted capacity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6,113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59,968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55,568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74,951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55,575</w:t>
            </w:r>
          </w:p>
        </w:tc>
      </w:tr>
      <w:tr>
        <w:trPr>
          <w:trHeight w:val="203"/>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resources at 12/31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42,316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136,616</w:t>
            </w:r>
          </w:p>
        </w:tc>
      </w:tr>
      <w:tr>
        <w:trPr>
          <w:trHeight w:val="203"/>
        </w:trPr>
        <w:tc>
          <w:tcPr>
            <w:tcW w:w="4580" w:type="dxa"/>
            <w:vAlign w:val="bottom"/>
          </w:tcPr>
          <w:p>
            <w:pPr>
              <w:ind w:left="120"/>
              <w:spacing w:after="0"/>
              <w:rPr>
                <w:sz w:val="20"/>
                <w:szCs w:val="20"/>
                <w:color w:val="auto"/>
              </w:rPr>
            </w:pPr>
            <w:r>
              <w:rPr>
                <w:rFonts w:ascii="Arial" w:cs="Arial" w:eastAsia="Arial" w:hAnsi="Arial"/>
                <w:sz w:val="14"/>
                <w:szCs w:val="14"/>
                <w:color w:val="auto"/>
              </w:rPr>
              <w:t>Total unrestricted resources at 12/31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32,939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72,103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68,695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88,619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74,592</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Debt-to-Equity Ratio</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4"/>
                <w:szCs w:val="14"/>
                <w:color w:val="auto"/>
              </w:rPr>
              <w:t>Total contractual facility</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300,449</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283,138</w:t>
            </w:r>
          </w:p>
        </w:tc>
        <w:tc>
          <w:tcPr>
            <w:tcW w:w="8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252,929</w:t>
            </w:r>
          </w:p>
        </w:tc>
        <w:tc>
          <w:tcPr>
            <w:tcW w:w="16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271,732</w:t>
            </w:r>
          </w:p>
        </w:tc>
        <w:tc>
          <w:tcPr>
            <w:tcW w:w="8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266,134</w:t>
            </w:r>
          </w:p>
        </w:tc>
      </w:tr>
      <w:tr>
        <w:trPr>
          <w:trHeight w:val="203"/>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debt (gross of deferred financing costs)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284,959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167,043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148,535</w:t>
            </w:r>
          </w:p>
        </w:tc>
      </w:tr>
      <w:tr>
        <w:trPr>
          <w:trHeight w:val="202"/>
        </w:trPr>
        <w:tc>
          <w:tcPr>
            <w:tcW w:w="4580" w:type="dxa"/>
            <w:vAlign w:val="bottom"/>
          </w:tcPr>
          <w:p>
            <w:pPr>
              <w:ind w:left="340"/>
              <w:spacing w:after="0"/>
              <w:rPr>
                <w:sz w:val="20"/>
                <w:szCs w:val="20"/>
                <w:color w:val="auto"/>
              </w:rPr>
            </w:pPr>
            <w:r>
              <w:rPr>
                <w:rFonts w:ascii="Arial" w:cs="Arial" w:eastAsia="Arial" w:hAnsi="Arial"/>
                <w:sz w:val="14"/>
                <w:szCs w:val="14"/>
                <w:color w:val="auto"/>
              </w:rPr>
              <w:t>Current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42,299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37,380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30,393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567</w:t>
            </w:r>
          </w:p>
        </w:tc>
      </w:tr>
      <w:tr>
        <w:trPr>
          <w:trHeight w:val="203"/>
        </w:trPr>
        <w:tc>
          <w:tcPr>
            <w:tcW w:w="4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Non-current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242,660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126,392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147,968</w:t>
            </w:r>
          </w:p>
        </w:tc>
      </w:tr>
      <w:tr>
        <w:trPr>
          <w:trHeight w:val="203"/>
        </w:trPr>
        <w:tc>
          <w:tcPr>
            <w:tcW w:w="4580" w:type="dxa"/>
            <w:vAlign w:val="bottom"/>
          </w:tcPr>
          <w:p>
            <w:pPr>
              <w:ind w:left="340"/>
              <w:spacing w:after="0"/>
              <w:rPr>
                <w:sz w:val="20"/>
                <w:szCs w:val="20"/>
                <w:color w:val="auto"/>
              </w:rPr>
            </w:pPr>
            <w:r>
              <w:rPr>
                <w:rFonts w:ascii="Arial" w:cs="Arial" w:eastAsia="Arial" w:hAnsi="Arial"/>
                <w:sz w:val="14"/>
                <w:szCs w:val="14"/>
                <w:color w:val="auto"/>
              </w:rPr>
              <w:t>Finance lease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book equity</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81,173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179,979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146,890</w:t>
            </w:r>
          </w:p>
        </w:tc>
      </w:tr>
      <w:tr>
        <w:trPr>
          <w:trHeight w:val="203"/>
        </w:trPr>
        <w:tc>
          <w:tcPr>
            <w:tcW w:w="4580" w:type="dxa"/>
            <w:vAlign w:val="bottom"/>
          </w:tcPr>
          <w:p>
            <w:pPr>
              <w:ind w:left="120"/>
              <w:spacing w:after="0"/>
              <w:rPr>
                <w:sz w:val="20"/>
                <w:szCs w:val="20"/>
                <w:color w:val="auto"/>
              </w:rPr>
            </w:pPr>
            <w:r>
              <w:rPr>
                <w:rFonts w:ascii="Arial" w:cs="Arial" w:eastAsia="Arial" w:hAnsi="Arial"/>
                <w:sz w:val="14"/>
                <w:szCs w:val="14"/>
                <w:color w:val="auto"/>
              </w:rPr>
              <w:t>Debt-to-equity ratio</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Changes in Working Capital</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120"/>
              <w:spacing w:after="0" w:line="202" w:lineRule="exact"/>
              <w:rPr>
                <w:sz w:val="20"/>
                <w:szCs w:val="20"/>
                <w:color w:val="auto"/>
              </w:rPr>
            </w:pPr>
            <w:r>
              <w:rPr>
                <w:rFonts w:ascii="Arial" w:cs="Arial" w:eastAsia="Arial" w:hAnsi="Arial"/>
                <w:sz w:val="14"/>
                <w:szCs w:val="14"/>
                <w:color w:val="auto"/>
              </w:rPr>
              <w:t>Working capital (deficit)</w:t>
            </w:r>
            <w:r>
              <w:rPr>
                <w:rFonts w:ascii="Arial" w:cs="Arial" w:eastAsia="Arial" w:hAnsi="Arial"/>
                <w:sz w:val="23"/>
                <w:szCs w:val="23"/>
                <w:color w:val="auto"/>
                <w:vertAlign w:val="superscript"/>
              </w:rPr>
              <w:t>(4)</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(64,140)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(84,138)</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(56,047)</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(47,294)</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6,655</w:t>
            </w:r>
          </w:p>
        </w:tc>
      </w:tr>
      <w:tr>
        <w:trPr>
          <w:trHeight w:val="203"/>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ratio</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18"/>
        </w:trPr>
        <w:tc>
          <w:tcPr>
            <w:tcW w:w="4580" w:type="dxa"/>
            <w:vAlign w:val="bottom"/>
          </w:tcPr>
          <w:p>
            <w:pPr>
              <w:spacing w:after="0"/>
              <w:rPr>
                <w:sz w:val="20"/>
                <w:szCs w:val="20"/>
                <w:color w:val="auto"/>
              </w:rPr>
            </w:pPr>
            <w:r>
              <w:rPr>
                <w:rFonts w:ascii="Arial" w:cs="Arial" w:eastAsia="Arial" w:hAnsi="Arial"/>
                <w:sz w:val="14"/>
                <w:szCs w:val="14"/>
                <w:b w:val="1"/>
                <w:bCs w:val="1"/>
                <w:i w:val="1"/>
                <w:iCs w:val="1"/>
                <w:color w:val="auto"/>
              </w:rPr>
              <w:t>Capital Expenditures (including acquisitions)</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16,759</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47,722</w:t>
            </w:r>
          </w:p>
        </w:tc>
        <w:tc>
          <w:tcPr>
            <w:tcW w:w="8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56,827</w:t>
            </w:r>
          </w:p>
        </w:tc>
        <w:tc>
          <w:tcPr>
            <w:tcW w:w="16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76,708</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49,166</w:t>
            </w:r>
          </w:p>
        </w:tc>
      </w:tr>
    </w:tbl>
    <w:p>
      <w:pPr>
        <w:spacing w:after="0" w:line="6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relates to the construction facilities specifically negotiated for 44 Union Square redevelopment project, obtained in December 2016.</w:t>
      </w:r>
    </w:p>
    <w:p>
      <w:pPr>
        <w:ind w:left="660" w:right="180" w:hanging="328"/>
        <w:spacing w:after="0" w:line="22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Certain 2017 and 2016 balances included the restatement impact as a result of a prior period financial statement correction of immaterial errors (see </w:t>
      </w:r>
      <w:r>
        <w:rPr>
          <w:rFonts w:ascii="Arial" w:cs="Arial" w:eastAsia="Arial" w:hAnsi="Arial"/>
          <w:sz w:val="14"/>
          <w:szCs w:val="14"/>
          <w:i w:val="1"/>
          <w:iCs w:val="1"/>
          <w:color w:val="auto"/>
        </w:rPr>
        <w:t>Note 2 – Summary of Significant</w:t>
      </w:r>
      <w:r>
        <w:rPr>
          <w:rFonts w:ascii="Arial" w:cs="Arial" w:eastAsia="Arial" w:hAnsi="Arial"/>
          <w:sz w:val="14"/>
          <w:szCs w:val="14"/>
          <w:color w:val="auto"/>
        </w:rPr>
        <w:t xml:space="preserve"> </w:t>
      </w:r>
      <w:r>
        <w:rPr>
          <w:rFonts w:ascii="Arial" w:cs="Arial" w:eastAsia="Arial" w:hAnsi="Arial"/>
          <w:sz w:val="14"/>
          <w:szCs w:val="14"/>
          <w:i w:val="1"/>
          <w:iCs w:val="1"/>
          <w:color w:val="auto"/>
        </w:rPr>
        <w:t>Accounting Policies – Prior Period Financial Statement Correction of Immaterial Errors</w:t>
      </w:r>
      <w:r>
        <w:rPr>
          <w:rFonts w:ascii="Arial" w:cs="Arial" w:eastAsia="Arial" w:hAnsi="Arial"/>
          <w:sz w:val="14"/>
          <w:szCs w:val="14"/>
          <w:color w:val="auto"/>
        </w:rPr>
        <w:t>).</w:t>
      </w:r>
    </w:p>
    <w:p>
      <w:pPr>
        <w:ind w:left="660" w:right="360" w:hanging="328"/>
        <w:spacing w:after="0" w:line="22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2 – Summary of Significant Accounting Policies – Prior Period Financial Statement Correction of Immaterial Errors</w:t>
      </w:r>
      <w:r>
        <w:rPr>
          <w:rFonts w:ascii="Arial" w:cs="Arial" w:eastAsia="Arial" w:hAnsi="Arial"/>
          <w:sz w:val="14"/>
          <w:szCs w:val="14"/>
          <w:color w:val="auto"/>
        </w:rPr>
        <w:t xml:space="preserve"> for the prior period adjustments for accounting for accrued sales tax deemed not material.</w:t>
      </w:r>
    </w:p>
    <w:p>
      <w:pPr>
        <w:ind w:left="660" w:right="380" w:hanging="328"/>
        <w:spacing w:after="0" w:line="23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Typically, our working capital is reported as a deficit, as we receive revenue from our cinema business ahead of the time that we have to pay our associated liabilities. We use the money we receive to pay down our borrowings in the first instance.</w:t>
      </w:r>
    </w:p>
    <w:p>
      <w:pPr>
        <w:spacing w:after="0" w:line="14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Before the COVID-19 pandemic, our treasury management has been focused on aggressive cash management using cash balances to reduce debt and minimize interest expense.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 As a result of the COVID-19 pandemic, we chose to fully draw down on most of our lines of credit in order to provide liquidity for the Company during a time of minimal revenues.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11 – Borrowings</w:t>
      </w:r>
      <w:r>
        <w:rPr>
          <w:rFonts w:ascii="Arial" w:cs="Arial" w:eastAsia="Arial" w:hAnsi="Arial"/>
          <w:sz w:val="18"/>
          <w:szCs w:val="18"/>
          <w:color w:val="auto"/>
        </w:rPr>
        <w:t xml:space="preserve"> in the Consolidated Financial Statements for further details on our various borrowing arrangements.</w:t>
      </w:r>
    </w:p>
    <w:p>
      <w:pPr>
        <w:spacing w:after="0" w:line="17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At December 31, 2020, our consolidated cash and cash equivalents totaled $26.8 million. Of this amount, $7.7 million, $6.3 million and $12.8 million were held by our U.S., Australian and New Zealand operations, respectively. Due to the impact of COVID-19, we no longer intend to indefinitely reinvest offshore any earnings derived from our Australian and New Zealand operations.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ind w:right="120"/>
        <w:spacing w:after="0" w:line="228" w:lineRule="auto"/>
        <w:rPr>
          <w:sz w:val="20"/>
          <w:szCs w:val="20"/>
          <w:color w:val="auto"/>
        </w:rPr>
      </w:pPr>
      <w:r>
        <w:rPr>
          <w:rFonts w:ascii="Arial" w:cs="Arial" w:eastAsia="Arial" w:hAnsi="Arial"/>
          <w:sz w:val="18"/>
          <w:szCs w:val="18"/>
          <w:color w:val="auto"/>
        </w:rPr>
        <w:t>We have historically funded our working capital requirements, capital expenditures and investments in individual properties primarily from a combination of internally generated cash flows and debt. During 2020 and into 2021 the need for such funding, apart from working capital, has been and will be substantially reduced, due to the COVID pandemic. The funding that has been required, has been funded from predominantly from cost reductions, debt and strategic asset sales. As noted in the preceding table, we had $6.1 million unused, unrestricted capacity of available corporate credit facilities at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cash and cash equivalents for the three years ended December 31, 2020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2020 vs. 2019</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48"/>
        </w:trPr>
        <w:tc>
          <w:tcPr>
            <w:tcW w:w="5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(30,201)</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24,607</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32,645</w:t>
            </w: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(&gt;100)%</w:t>
            </w: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516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(18,771)</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(51,929)</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(64,855)</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11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59,330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26,008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33,210</w:t>
            </w:r>
          </w:p>
        </w:tc>
        <w:tc>
          <w:tcPr>
            <w:tcW w:w="10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&gt;100%</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Impact of exchange rate on cash</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4,333</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322</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(1,541)</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&gt;100%</w:t>
            </w:r>
          </w:p>
        </w:tc>
        <w:tc>
          <w:tcPr>
            <w:tcW w:w="80" w:type="dxa"/>
            <w:vAlign w:val="bottom"/>
          </w:tcPr>
          <w:p>
            <w:pPr>
              <w:spacing w:after="0"/>
              <w:rPr>
                <w:sz w:val="12"/>
                <w:szCs w:val="12"/>
                <w:color w:val="auto"/>
              </w:rPr>
            </w:pPr>
          </w:p>
        </w:tc>
        <w:tc>
          <w:tcPr>
            <w:tcW w:w="11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&gt;100%</w:t>
            </w:r>
          </w:p>
        </w:tc>
        <w:tc>
          <w:tcPr>
            <w:tcW w:w="0" w:type="dxa"/>
            <w:vAlign w:val="bottom"/>
          </w:tcPr>
          <w:p>
            <w:pPr>
              <w:spacing w:after="0"/>
              <w:rPr>
                <w:sz w:val="1"/>
                <w:szCs w:val="1"/>
                <w:color w:val="auto"/>
              </w:rPr>
            </w:pPr>
          </w:p>
        </w:tc>
      </w:tr>
      <w:tr>
        <w:trPr>
          <w:trHeight w:val="149"/>
        </w:trPr>
        <w:tc>
          <w:tcPr>
            <w:tcW w:w="51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14,691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&gt;100</w:t>
            </w: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CCEEFF"/>
              <w:bottom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vs. 2019</w:t>
      </w:r>
    </w:p>
    <w:p>
      <w:pPr>
        <w:ind w:right="240"/>
        <w:spacing w:after="0" w:line="233" w:lineRule="auto"/>
        <w:rPr>
          <w:sz w:val="20"/>
          <w:szCs w:val="20"/>
          <w:color w:val="auto"/>
        </w:rPr>
      </w:pPr>
      <w:r>
        <w:rPr>
          <w:rFonts w:ascii="Arial" w:cs="Arial" w:eastAsia="Arial" w:hAnsi="Arial"/>
          <w:sz w:val="18"/>
          <w:szCs w:val="18"/>
          <w:color w:val="auto"/>
        </w:rPr>
        <w:t>Cash provided by operating activities for 2020 decreased by $54.8 million, to cash used of $30.2 million, primarily driven by a $61.5 million decrease in cash inflows from operating activities and a $6.4 million increase in cash inflows due to a decline in net operating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2020</w:t>
      </w:r>
      <w:r>
        <w:rPr>
          <w:rFonts w:ascii="Arial" w:cs="Arial" w:eastAsia="Arial" w:hAnsi="Arial"/>
          <w:sz w:val="16"/>
          <w:szCs w:val="16"/>
          <w:color w:val="auto"/>
        </w:rPr>
        <w:t>: The $18.8 million of cash used in investing activities was mainly related to $15.4 million spent on capital expenditures, primarily in the U.S., with</w:t>
      </w:r>
    </w:p>
    <w:p>
      <w:pPr>
        <w:spacing w:after="0" w:line="2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$10.1 million of that comprised mainly of the 44 Union Square redevelopment and the Kahala refurbishment, $4.4 million in Australia comprised mainly of the launch of Reading Cinemas at Jindalee, and $0.9 million in New Zealand comprised mainly of the redevelopment of Courtenay Central and Manukau (which has now been sold).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i w:val="1"/>
          <w:iCs w:val="1"/>
          <w:u w:val="single" w:color="auto"/>
          <w:color w:val="auto"/>
        </w:rPr>
        <w:t>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cash provided by financing activities of $59.3 million was primarily related to net loan proceeds of $60.4 million offset by first quarter 2020</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of stock of $0.7 million as part of the 2017 $25.0 million stock repurchase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table provides information with respect to the future maturities and scheduled principal repayments of our recorded contractual obligations and certain of our commitments and contingencies, either recorded or off-balance sheet, as of December 31,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Thereafter</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Debt</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41,467</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24,309</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180,011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296</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7,792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254,162</w:t>
            </w:r>
          </w:p>
        </w:tc>
      </w:tr>
      <w:tr>
        <w:trPr>
          <w:trHeight w:val="203"/>
        </w:trPr>
        <w:tc>
          <w:tcPr>
            <w:tcW w:w="3400" w:type="dxa"/>
            <w:vAlign w:val="bottom"/>
            <w:gridSpan w:val="2"/>
          </w:tcPr>
          <w:p>
            <w:pPr>
              <w:spacing w:after="0"/>
              <w:rPr>
                <w:sz w:val="20"/>
                <w:szCs w:val="20"/>
                <w:color w:val="auto"/>
              </w:rPr>
            </w:pPr>
            <w:r>
              <w:rPr>
                <w:rFonts w:ascii="Arial" w:cs="Arial" w:eastAsia="Arial" w:hAnsi="Arial"/>
                <w:sz w:val="14"/>
                <w:szCs w:val="14"/>
                <w:color w:val="auto"/>
              </w:rPr>
              <w:t>Operating leases, including imputed interest</w:t>
            </w:r>
          </w:p>
        </w:tc>
        <w:tc>
          <w:tcPr>
            <w:tcW w:w="2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33,328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33,388</w:t>
            </w:r>
          </w:p>
        </w:tc>
        <w:tc>
          <w:tcPr>
            <w:tcW w:w="2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32,579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30,692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28,521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144,402</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302,910</w:t>
            </w:r>
          </w:p>
        </w:tc>
      </w:tr>
      <w:tr>
        <w:trPr>
          <w:trHeight w:val="203"/>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 including imputed interest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4"/>
                <w:szCs w:val="14"/>
                <w:color w:val="auto"/>
              </w:rPr>
              <w:t>Subordinated debt</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840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711</w:t>
            </w:r>
          </w:p>
        </w:tc>
        <w:tc>
          <w:tcPr>
            <w:tcW w:w="2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747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585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27,913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30,796</w:t>
            </w:r>
          </w:p>
        </w:tc>
      </w:tr>
      <w:tr>
        <w:trPr>
          <w:trHeight w:val="203"/>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Pension liability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1,312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w:t>
            </w: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4"/>
                <w:szCs w:val="14"/>
                <w:color w:val="auto"/>
              </w:rPr>
              <w:t>Village East purchase option</w:t>
            </w:r>
            <w:r>
              <w:rPr>
                <w:rFonts w:ascii="Arial" w:cs="Arial" w:eastAsia="Arial" w:hAnsi="Arial"/>
                <w:sz w:val="23"/>
                <w:szCs w:val="23"/>
                <w:color w:val="auto"/>
                <w:vertAlign w:val="superscript"/>
              </w:rPr>
              <w:t>(2)</w:t>
            </w:r>
          </w:p>
        </w:tc>
        <w:tc>
          <w:tcPr>
            <w:tcW w:w="2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5,900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5,900</w:t>
            </w: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Estimated interest on debt</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10,161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7,579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5,386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1,552</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28,323</w:t>
            </w: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69"/>
        </w:trPr>
        <w:tc>
          <w:tcPr>
            <w:tcW w:w="34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86,534</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66,713</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225,335</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33,809</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30,992</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183,566</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626,949</w:t>
            </w:r>
          </w:p>
        </w:tc>
      </w:tr>
      <w:tr>
        <w:trPr>
          <w:trHeight w:val="27"/>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Information is presented gross of deferred financing costs.</w:t>
      </w:r>
    </w:p>
    <w:p>
      <w:pPr>
        <w:ind w:left="660" w:hanging="328"/>
        <w:spacing w:after="0" w:line="22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lease liability of the option associated with the ground lease purchase of the Village East Cinema.</w:t>
      </w: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Estimated interest on debt is based on the anticipated loan balances for future periods and current applicable interest rates.</w:t>
      </w:r>
    </w:p>
    <w:p>
      <w:pPr>
        <w:spacing w:after="0" w:line="11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i w:val="1"/>
          <w:iCs w:val="1"/>
          <w:color w:val="auto"/>
        </w:rPr>
        <w:t>Note 13 – Commitments and Contingencies</w:t>
      </w:r>
      <w:r>
        <w:rPr>
          <w:rFonts w:ascii="Arial" w:cs="Arial" w:eastAsia="Arial" w:hAnsi="Arial"/>
          <w:sz w:val="18"/>
          <w:szCs w:val="18"/>
          <w:color w:val="auto"/>
        </w:rPr>
        <w:t xml:space="preserve"> to the Consolidated Financial Statements included herein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Supplementary Data</w:t>
      </w:r>
      <w:r>
        <w:rPr>
          <w:rFonts w:ascii="Arial" w:cs="Arial" w:eastAsia="Arial" w:hAnsi="Arial"/>
          <w:sz w:val="18"/>
          <w:szCs w:val="18"/>
          <w:color w:val="auto"/>
        </w:rPr>
        <w:t>) on this report for more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are currently involved in certain legal proceedings and, as required, have accrued estimates of probable and estimable losses for the resolution of these claims.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ind w:right="20"/>
        <w:spacing w:after="0" w:line="246" w:lineRule="auto"/>
        <w:rPr>
          <w:sz w:val="20"/>
          <w:szCs w:val="20"/>
          <w:color w:val="auto"/>
        </w:rPr>
      </w:pPr>
      <w:r>
        <w:rPr>
          <w:rFonts w:ascii="Arial" w:cs="Arial" w:eastAsia="Arial" w:hAnsi="Arial"/>
          <w:sz w:val="17"/>
          <w:szCs w:val="17"/>
          <w:color w:val="auto"/>
        </w:rPr>
        <w:t>Where we are the plaintiffs, we expense all legal fees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44"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w:t>
      </w:r>
    </w:p>
    <w:p>
      <w:pPr>
        <w:spacing w:after="0" w:line="14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i w:val="1"/>
          <w:iCs w:val="1"/>
          <w:color w:val="auto"/>
        </w:rPr>
        <w:t>Item 3 – Legal Proceedings</w:t>
      </w:r>
      <w:r>
        <w:rPr>
          <w:rFonts w:ascii="Arial" w:cs="Arial" w:eastAsia="Arial" w:hAnsi="Arial"/>
          <w:sz w:val="18"/>
          <w:szCs w:val="18"/>
          <w:color w:val="auto"/>
        </w:rPr>
        <w:t xml:space="preserve"> for more information. There have been no material changes to our litigation, except as set forth in </w:t>
      </w:r>
      <w:r>
        <w:rPr>
          <w:rFonts w:ascii="Arial" w:cs="Arial" w:eastAsia="Arial" w:hAnsi="Arial"/>
          <w:sz w:val="18"/>
          <w:szCs w:val="18"/>
          <w:i w:val="1"/>
          <w:iCs w:val="1"/>
          <w:color w:val="auto"/>
        </w:rPr>
        <w:t>Note 13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in the accompanying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and Interest Rate Risk</w:t>
      </w:r>
    </w:p>
    <w:p>
      <w:pPr>
        <w:spacing w:after="0" w:line="17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Company’s objective in managing exposure to foreign currency and interest rate fluctuations is to reduce volatility of earnings and cash flows in order to allow management to focus on core business issues and challenges.</w:t>
      </w:r>
    </w:p>
    <w:p>
      <w:pPr>
        <w:spacing w:after="0" w:line="143"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Historically, we have managed our currency exposure by creating, whenever possible, natural hedges in Australia and New Zealand. This involves local country sourcing of goods and services, as well as borrowing in local currencies to match revenues and expenses.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The effects of inflation have not had a material impact on our operations and the resulting financial position or liquidity.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Including Goodwill and Intangible Assets</w:t>
      </w:r>
    </w:p>
    <w:p>
      <w:pPr>
        <w:spacing w:after="0" w:line="171"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21" w:lineRule="exact"/>
        <w:rPr>
          <w:sz w:val="20"/>
          <w:szCs w:val="20"/>
          <w:color w:val="auto"/>
        </w:rPr>
      </w:pPr>
    </w:p>
    <w:p>
      <w:pPr>
        <w:ind w:left="660" w:right="200" w:hanging="328"/>
        <w:spacing w:after="0" w:line="258" w:lineRule="auto"/>
        <w:tabs>
          <w:tab w:leader="none" w:pos="6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Impairment of Long-lived Assets (other than Goodwill and Intangible Assets with indefinite lives) – </w:t>
      </w:r>
      <w:r>
        <w:rPr>
          <w:rFonts w:ascii="Arial" w:cs="Arial" w:eastAsia="Arial" w:hAnsi="Arial"/>
          <w:sz w:val="16"/>
          <w:szCs w:val="16"/>
          <w:color w:val="auto"/>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36" w:lineRule="exact"/>
        <w:rPr>
          <w:rFonts w:ascii="Arial" w:cs="Arial" w:eastAsia="Arial" w:hAnsi="Arial"/>
          <w:sz w:val="16"/>
          <w:szCs w:val="16"/>
          <w:i w:val="1"/>
          <w:iCs w:val="1"/>
          <w:color w:val="auto"/>
        </w:rPr>
      </w:pPr>
    </w:p>
    <w:p>
      <w:pPr>
        <w:ind w:left="660" w:right="340"/>
        <w:spacing w:after="0" w:line="235" w:lineRule="auto"/>
        <w:rPr>
          <w:rFonts w:ascii="Arial" w:cs="Arial" w:eastAsia="Arial" w:hAnsi="Arial"/>
          <w:sz w:val="16"/>
          <w:szCs w:val="16"/>
          <w:i w:val="1"/>
          <w:iCs w:val="1"/>
          <w:color w:val="auto"/>
        </w:rPr>
      </w:pPr>
      <w:r>
        <w:rPr>
          <w:rFonts w:ascii="Arial" w:cs="Arial" w:eastAsia="Arial" w:hAnsi="Arial"/>
          <w:sz w:val="18"/>
          <w:szCs w:val="18"/>
          <w:color w:val="auto"/>
        </w:rPr>
        <w:t>$217,000 of impairment losses were recorded for long-lived and finite-lived intangible assets for the year ended December 31, 2020, based on historical information and projected cash flow. No impairment losses were recorded for the years ended December 31, 2019 or December 31, 2018.</w:t>
      </w:r>
    </w:p>
    <w:p>
      <w:pPr>
        <w:spacing w:after="0" w:line="147" w:lineRule="exact"/>
        <w:rPr>
          <w:rFonts w:ascii="Arial" w:cs="Arial" w:eastAsia="Arial" w:hAnsi="Arial"/>
          <w:sz w:val="16"/>
          <w:szCs w:val="16"/>
          <w:i w:val="1"/>
          <w:iCs w:val="1"/>
          <w:color w:val="auto"/>
        </w:rPr>
      </w:pPr>
    </w:p>
    <w:p>
      <w:pPr>
        <w:ind w:left="660" w:right="40" w:hanging="328"/>
        <w:spacing w:after="0" w:line="261" w:lineRule="auto"/>
        <w:tabs>
          <w:tab w:leader="none" w:pos="6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Impairment of Goodwill and Intangible Assets with indefinite lives – </w:t>
      </w:r>
      <w:r>
        <w:rPr>
          <w:rFonts w:ascii="Arial" w:cs="Arial" w:eastAsia="Arial" w:hAnsi="Arial"/>
          <w:sz w:val="16"/>
          <w:szCs w:val="16"/>
          <w:color w:val="auto"/>
        </w:rPr>
        <w:t>goodwill and intangible assets with indefinite useful lives are not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33"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6"/>
          <w:szCs w:val="16"/>
          <w:color w:val="auto"/>
        </w:rPr>
        <w:t>No impairment losses were recorded for goodwill and indefinite-lived intangible assets for the years ended December 31, 2020, 2019, or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recent years, our business acquisition efforts have been focused on our real estate segment, however in 2019 we acquired two cinema businesses in Tasmania, Australia. For acquisitions meeting the definition of a “business”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assets acquired and the liabilities assumed are recorded at their fair values as of the acquisition date. To accomplish this, we typically obtain third 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as described in more detail under the heading “</w:t>
      </w:r>
      <w:r>
        <w:rPr>
          <w:rFonts w:ascii="Arial" w:cs="Arial" w:eastAsia="Arial" w:hAnsi="Arial"/>
          <w:sz w:val="16"/>
          <w:szCs w:val="16"/>
          <w:i w:val="1"/>
          <w:iCs w:val="1"/>
          <w:color w:val="auto"/>
        </w:rPr>
        <w:t>Business Acquisition Valuation and Purchase Price</w:t>
      </w:r>
      <w:r>
        <w:rPr>
          <w:rFonts w:ascii="Arial" w:cs="Arial" w:eastAsia="Arial" w:hAnsi="Arial"/>
          <w:sz w:val="16"/>
          <w:szCs w:val="16"/>
          <w:color w:val="auto"/>
        </w:rPr>
        <w:t xml:space="preserve"> </w:t>
      </w:r>
      <w:r>
        <w:rPr>
          <w:rFonts w:ascii="Arial" w:cs="Arial" w:eastAsia="Arial" w:hAnsi="Arial"/>
          <w:sz w:val="16"/>
          <w:szCs w:val="16"/>
          <w:i w:val="1"/>
          <w:iCs w:val="1"/>
          <w:color w:val="auto"/>
        </w:rPr>
        <w:t>Allocation</w:t>
      </w:r>
      <w:r>
        <w:rPr>
          <w:rFonts w:ascii="Arial" w:cs="Arial" w:eastAsia="Arial" w:hAnsi="Arial"/>
          <w:sz w:val="16"/>
          <w:szCs w:val="16"/>
          <w:color w:val="auto"/>
        </w:rPr>
        <w:t>” in</w:t>
      </w:r>
      <w:r>
        <w:rPr>
          <w:rFonts w:ascii="Arial" w:cs="Arial" w:eastAsia="Arial" w:hAnsi="Arial"/>
          <w:sz w:val="16"/>
          <w:szCs w:val="16"/>
          <w:i w:val="1"/>
          <w:iCs w:val="1"/>
          <w:color w:val="auto"/>
        </w:rPr>
        <w:t xml:space="preserve"> Note 2 – Summary of Significant Accounting Policies </w:t>
      </w:r>
      <w:r>
        <w:rPr>
          <w:rFonts w:ascii="Arial" w:cs="Arial" w:eastAsia="Arial" w:hAnsi="Arial"/>
          <w:sz w:val="16"/>
          <w:szCs w:val="16"/>
          <w:color w:val="auto"/>
        </w:rPr>
        <w:t>to the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Gift Card Breakage Income</w:t>
      </w:r>
    </w:p>
    <w:p>
      <w:pPr>
        <w:spacing w:after="0" w:line="17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Generally, our revenue recognition is not assessed as an area requiring significant judgment or estimation. Revenues from ticket and food and beverage sales are recognized when the service is provided – that is when the show has commenced, or the food has been provided. Transaction fees from online sales are recorded at the time of the online transaction. In regard to our real estate business, we execute lease contracts for existing tenancies, but revenue is recognized on a straight-line basis over the lease term.</w:t>
      </w:r>
    </w:p>
    <w:p>
      <w:pPr>
        <w:spacing w:after="0" w:line="148"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 xml:space="preserve">On January 1, 2018,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method. This adoption is described in detail in the section </w:t>
      </w:r>
      <w:r>
        <w:rPr>
          <w:rFonts w:ascii="Arial" w:cs="Arial" w:eastAsia="Arial" w:hAnsi="Arial"/>
          <w:sz w:val="18"/>
          <w:szCs w:val="18"/>
          <w:i w:val="1"/>
          <w:iCs w:val="1"/>
          <w:color w:val="auto"/>
        </w:rPr>
        <w:t>Note 2 – Summary of Significant Accounting Policies – Accounting Changes</w:t>
      </w:r>
      <w:r>
        <w:rPr>
          <w:rFonts w:ascii="Arial" w:cs="Arial" w:eastAsia="Arial" w:hAnsi="Arial"/>
          <w:sz w:val="18"/>
          <w:szCs w:val="18"/>
          <w:color w:val="auto"/>
        </w:rPr>
        <w:t>, along with our policies for accounting for gift card breakage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Valuation Allowance and Deferred Taxes</w:t>
      </w:r>
    </w:p>
    <w:p>
      <w:pPr>
        <w:spacing w:after="0" w:line="171"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We record our estimated future tax benefits and liabilities arising from the temporary differences between the tax basis of assets and liabilities and amounts reported in the accompanying consolidated balance sheets, as well as operating loss carryforwards. In evaluating our ability to recover our deferred tax assets in the jurisdiction from which they arise, we consider all available positive and negative evidence, including scheduled reversals of deferred tax liabilities, projected future taxable income, tax planning strategies, and results of recent operations. In projecting future taxable income, we begin with historical results and incorporate assumptions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ind w:right="20"/>
        <w:spacing w:after="0" w:line="256" w:lineRule="auto"/>
        <w:rPr>
          <w:sz w:val="20"/>
          <w:szCs w:val="20"/>
          <w:color w:val="auto"/>
        </w:rPr>
      </w:pPr>
      <w:r>
        <w:rPr>
          <w:rFonts w:ascii="Arial" w:cs="Arial" w:eastAsia="Arial" w:hAnsi="Arial"/>
          <w:sz w:val="16"/>
          <w:szCs w:val="16"/>
          <w:color w:val="auto"/>
        </w:rPr>
        <w:t>about the amount of future federal, state, and foreign pretax operating income adjusted for items that do not have tax consequences. The assumptions about future taxable income require the use of significant judgment and are consistent with the plans and estimates we are using to manage the underlying businesses. In evaluating the objective evidence that historical results provide, we consider three years of cumulative operating income (loss). As of December 31, 2020, we had recorded approximately $50.4 million of deferred tax assets (net of $62.3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$47.1 million resulting in a net deferred tax asset of $3.4 million. The recoverability of deferred tax assets is dependent upon our ability to generate future taxable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u w:val="single" w:color="auto"/>
          <w:color w:val="auto"/>
        </w:rPr>
        <w:t>loss contingencies</w:t>
      </w:r>
      <w:r>
        <w:rPr>
          <w:rFonts w:ascii="Arial" w:cs="Arial" w:eastAsia="Arial" w:hAnsi="Arial"/>
          <w:sz w:val="18"/>
          <w:szCs w:val="18"/>
          <w:color w:val="auto"/>
        </w:rPr>
        <w:t>, we record any loss contingencies when there is a probable likelihood that the liability has been incurred and the amount of the loss can be reasonably estimated.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u w:val="single" w:color="auto"/>
          <w:color w:val="auto"/>
        </w:rPr>
        <w:t>other contingencies</w:t>
      </w:r>
      <w:r>
        <w:rPr>
          <w:rFonts w:ascii="Arial" w:cs="Arial" w:eastAsia="Arial" w:hAnsi="Arial"/>
          <w:sz w:val="18"/>
          <w:szCs w:val="18"/>
          <w:i w:val="1"/>
          <w:iCs w:val="1"/>
          <w:u w:val="single" w:color="auto"/>
          <w:color w:val="auto"/>
        </w:rPr>
        <w:t>,</w:t>
      </w:r>
    </w:p>
    <w:p>
      <w:pPr>
        <w:spacing w:after="0" w:line="171" w:lineRule="exact"/>
        <w:rPr>
          <w:sz w:val="20"/>
          <w:szCs w:val="20"/>
          <w:color w:val="auto"/>
        </w:rPr>
      </w:pPr>
    </w:p>
    <w:p>
      <w:pPr>
        <w:ind w:left="660" w:right="260" w:hanging="328"/>
        <w:spacing w:after="0" w:line="235"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spacing w:after="0" w:line="147" w:lineRule="exact"/>
        <w:rPr>
          <w:rFonts w:ascii="Arial" w:cs="Arial" w:eastAsia="Arial" w:hAnsi="Arial"/>
          <w:sz w:val="18"/>
          <w:szCs w:val="18"/>
          <w:i w:val="1"/>
          <w:iCs w:val="1"/>
          <w:color w:val="auto"/>
        </w:rPr>
      </w:pPr>
    </w:p>
    <w:p>
      <w:pPr>
        <w:ind w:left="660" w:right="340" w:hanging="328"/>
        <w:spacing w:after="0" w:line="246"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for gain contingencies resulting from legal settlements, we record those settlements in our consolidated statements of operations when cash or other forms of payments are received.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From time to 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 We do not record expected gains until the proceeds (either in cash or other forms of payments) are received by us. Please refer to </w:t>
      </w:r>
      <w:r>
        <w:rPr>
          <w:rFonts w:ascii="Arial" w:cs="Arial" w:eastAsia="Arial" w:hAnsi="Arial"/>
          <w:sz w:val="16"/>
          <w:szCs w:val="16"/>
          <w:i w:val="1"/>
          <w:iCs w:val="1"/>
          <w:color w:val="auto"/>
        </w:rPr>
        <w:t>Note 13 – Commitments and Contingencies</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 for more information on legal matters.</w:t>
      </w:r>
    </w:p>
    <w:p>
      <w:pPr>
        <w:spacing w:after="0" w:line="134"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 xml:space="preserve">For a summary of our significant accounting policies, including the critical accounting estimates discussed above,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to the Consolidated Financial Statements included herein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on this report.</w:t>
      </w:r>
    </w:p>
    <w:p>
      <w:pPr>
        <w:spacing w:after="0" w:line="229" w:lineRule="auto"/>
        <w:rPr>
          <w:sz w:val="20"/>
          <w:szCs w:val="20"/>
          <w:color w:val="auto"/>
        </w:rPr>
      </w:pPr>
      <w:r>
        <w:rPr>
          <w:rFonts w:ascii="Arial" w:cs="Arial" w:eastAsia="Arial" w:hAnsi="Arial"/>
          <w:sz w:val="18"/>
          <w:szCs w:val="18"/>
          <w:color w:val="808080"/>
        </w:rPr>
        <w:t>Click or tap here to enter text.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7A – Quantitative and Qualitative Disclosure about Market Risk</w:t>
      </w:r>
    </w:p>
    <w:p>
      <w:pPr>
        <w:spacing w:after="0" w:line="182"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color w:val="auto"/>
        </w:rPr>
        <w:t>The SEC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based on a single point in time; and</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does not include the effects of other complex market reactions that would arise from the changes modeled.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Although the results of such an analysis may be useful as a benchmark, they should not be viewed as forecasts.</w:t>
      </w:r>
    </w:p>
    <w:p>
      <w:pPr>
        <w:spacing w:after="0" w:line="17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At December 31, 2020, approximately 39% and 12% of our assets were invested in assets denominated in Australian dollars (Reading Australia) and New Zealand dollars (Reading New Zealand), respectively, including approximately $19.1 million in cash and cash equivalents. At December 31, 2019, approximately 37% and 10% of our assets were invested in assets denominated in Australian and New Zealand dollars, respectively, including approximately $4.3 million in cash and cash equivalents.</w:t>
      </w:r>
    </w:p>
    <w:p>
      <w:pPr>
        <w:spacing w:after="0" w:line="14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The effect of the translation adjustment on our assets and liabilities noted in our other comprehensive income was an increase of $6.8 million for the year ended December 31, 2020. As we continue to progress our acquisition and development activities in Australia and New Zealand, no assurances can be given that the foreign currency effect on our earnings will not be material in the future.</w:t>
      </w:r>
    </w:p>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Even so, and as a result of our issuance of fully subordinated Trust Preferred Securities in 2007,</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5" w:name="page66"/>
    <w:bookmarkEnd w:id="65"/>
    <w:p>
      <w:pPr>
        <w:ind w:right="100"/>
        <w:spacing w:after="0" w:line="253" w:lineRule="auto"/>
        <w:rPr>
          <w:sz w:val="20"/>
          <w:szCs w:val="20"/>
          <w:color w:val="auto"/>
        </w:rPr>
      </w:pPr>
      <w:r>
        <w:rPr>
          <w:rFonts w:ascii="Arial" w:cs="Arial" w:eastAsia="Arial" w:hAnsi="Arial"/>
          <w:sz w:val="16"/>
          <w:szCs w:val="16"/>
          <w:color w:val="auto"/>
        </w:rPr>
        <w:t>and their subsequent partial repayment, approximately 24% and 58%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result in an increase or decrease of $6.3 million and</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$4.7 million, respectively, and the change in our net income for the year would be $0.5 million and $0.6 million, respectively. Presently, we have no plans to hedge such exposure.</w:t>
      </w:r>
    </w:p>
    <w:p>
      <w:pPr>
        <w:spacing w:after="0" w:line="149"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With changes in the tax landscape caused by the Tax Cuts and Jobs Act of 2017, we may reconsider our strategy for financing operations and redevelopment projects in the three countries we are invested in, which may include increased borrowings from banks in higher-tax countries, and dividends to the U.S. from foreign subsidiaries, being mindful of withholding taxes on interest, and thin capitalization limitations on interest deduction in Australia and New Zealand.</w:t>
      </w:r>
    </w:p>
    <w:p>
      <w:pPr>
        <w:spacing w:after="0" w:line="148"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We record unrealized foreign currency translation gains or losses that could materially affect our financial position. We have accumulated unrealized foreign currency translation gains of approximately $15.0 million and $8.1 million as of December 31, 2020 and 2019, respectively.</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Historically, we maintained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 while some of our cinema operations remain closed and some of our tenant income curtailed.</w:t>
      </w:r>
    </w:p>
    <w:p>
      <w:pPr>
        <w:spacing w:after="0" w:line="14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We have a combination of fixed and variable interest rate loans. In connection with our variable interest rate loans, a change of approximately 1% in short-term interest rates would have resulted in approximately $2.0 million increase or decrease in our 2020 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discussion on market risks, please refer to </w:t>
      </w:r>
      <w:r>
        <w:rPr>
          <w:rFonts w:ascii="Arial" w:cs="Arial" w:eastAsia="Arial" w:hAnsi="Arial"/>
          <w:sz w:val="18"/>
          <w:szCs w:val="18"/>
          <w:i w:val="1"/>
          <w:iCs w:val="1"/>
          <w:color w:val="auto"/>
        </w:rPr>
        <w:t>International Business Risks</w:t>
      </w:r>
      <w:r>
        <w:rPr>
          <w:rFonts w:ascii="Arial" w:cs="Arial" w:eastAsia="Arial" w:hAnsi="Arial"/>
          <w:sz w:val="18"/>
          <w:szCs w:val="18"/>
          <w:color w:val="auto"/>
        </w:rPr>
        <w:t xml:space="preserve"> included in Item 1A –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u w:val="single" w:color="auto"/>
          <w:color w:val="auto"/>
        </w:rPr>
        <w:t>Item 8 – Financial Statements and Supplementary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60" w:type="dxa"/>
            <w:vAlign w:val="bottom"/>
            <w:gridSpan w:val="16"/>
          </w:tcPr>
          <w:p>
            <w:pPr>
              <w:jc w:val="center"/>
              <w:ind w:right="2280"/>
              <w:spacing w:after="0"/>
              <w:rPr>
                <w:sz w:val="20"/>
                <w:szCs w:val="20"/>
                <w:color w:val="auto"/>
              </w:rPr>
            </w:pPr>
            <w:r>
              <w:rPr>
                <w:rFonts w:ascii="Arial" w:cs="Arial" w:eastAsia="Arial" w:hAnsi="Arial"/>
                <w:sz w:val="18"/>
                <w:szCs w:val="18"/>
                <w:b w:val="1"/>
                <w:bCs w:val="1"/>
                <w:color w:val="auto"/>
              </w:rPr>
              <w:t>READING INTERNATIONAL, INC.</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99"/>
              </w:rPr>
              <w:t>TABLE OF CONTENTS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20" w:type="dxa"/>
            <w:vAlign w:val="bottom"/>
            <w:vMerge w:val="restart"/>
          </w:tcPr>
          <w:p>
            <w:pPr>
              <w:jc w:val="right"/>
              <w:ind w:right="1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9000" w:type="dxa"/>
            <w:vAlign w:val="bottom"/>
            <w:gridSpan w:val="34"/>
            <w:shd w:val="clear" w:color="auto" w:fill="CCEEFF"/>
          </w:tcPr>
          <w:p>
            <w:pPr>
              <w:spacing w:after="0" w:line="162" w:lineRule="exact"/>
              <w:rPr>
                <w:rFonts w:ascii="Arial" w:cs="Arial" w:eastAsia="Arial" w:hAnsi="Arial"/>
                <w:sz w:val="18"/>
                <w:szCs w:val="18"/>
                <w:color w:val="0000FF"/>
              </w:rPr>
            </w:pPr>
            <w:hyperlink w:anchor="page68">
              <w:r>
                <w:rPr>
                  <w:rFonts w:ascii="Arial" w:cs="Arial" w:eastAsia="Arial" w:hAnsi="Arial"/>
                  <w:sz w:val="18"/>
                  <w:szCs w:val="18"/>
                  <w:color w:val="0000FF"/>
                </w:rPr>
                <w:t>Management’s Report on Internal Control over Financial Reporting</w:t>
              </w:r>
            </w:hyperlink>
          </w:p>
        </w:tc>
        <w:tc>
          <w:tcPr>
            <w:tcW w:w="22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9000" w:type="dxa"/>
            <w:vAlign w:val="bottom"/>
            <w:gridSpan w:val="34"/>
          </w:tcPr>
          <w:p>
            <w:pPr>
              <w:spacing w:after="0" w:line="162" w:lineRule="exact"/>
              <w:rPr>
                <w:rFonts w:ascii="Arial" w:cs="Arial" w:eastAsia="Arial" w:hAnsi="Arial"/>
                <w:sz w:val="18"/>
                <w:szCs w:val="18"/>
                <w:color w:val="0000FF"/>
              </w:rPr>
            </w:pPr>
            <w:hyperlink w:anchor="page69">
              <w:r>
                <w:rPr>
                  <w:rFonts w:ascii="Arial" w:cs="Arial" w:eastAsia="Arial" w:hAnsi="Arial"/>
                  <w:sz w:val="18"/>
                  <w:szCs w:val="18"/>
                  <w:color w:val="0000FF"/>
                </w:rPr>
                <w:t>Report of Independent Registered Public Accounting Firm (Consolidated Financial Statements)</w:t>
              </w:r>
            </w:hyperlink>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000" w:type="dxa"/>
            <w:vAlign w:val="bottom"/>
            <w:gridSpan w:val="34"/>
            <w:shd w:val="clear" w:color="auto" w:fill="CCEEFF"/>
          </w:tcPr>
          <w:p>
            <w:pPr>
              <w:spacing w:after="0" w:line="162" w:lineRule="exact"/>
              <w:rPr>
                <w:rFonts w:ascii="Arial" w:cs="Arial" w:eastAsia="Arial" w:hAnsi="Arial"/>
                <w:sz w:val="18"/>
                <w:szCs w:val="18"/>
                <w:color w:val="0000FF"/>
              </w:rPr>
            </w:pPr>
            <w:hyperlink w:anchor="page72">
              <w:r>
                <w:rPr>
                  <w:rFonts w:ascii="Arial" w:cs="Arial" w:eastAsia="Arial" w:hAnsi="Arial"/>
                  <w:sz w:val="18"/>
                  <w:szCs w:val="18"/>
                  <w:color w:val="0000FF"/>
                </w:rPr>
                <w:t>Report of Independent Registered Public Accounting Firm (Internal Control over Financial Reporting)</w:t>
              </w:r>
            </w:hyperlink>
          </w:p>
        </w:tc>
        <w:tc>
          <w:tcPr>
            <w:tcW w:w="22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7380" w:type="dxa"/>
            <w:vAlign w:val="bottom"/>
            <w:tcBorders>
              <w:top w:val="single" w:sz="8" w:color="0000FF"/>
            </w:tcBorders>
            <w:gridSpan w:val="33"/>
          </w:tcPr>
          <w:p>
            <w:pPr>
              <w:spacing w:after="0" w:line="162" w:lineRule="exact"/>
              <w:rPr>
                <w:rFonts w:ascii="Arial" w:cs="Arial" w:eastAsia="Arial" w:hAnsi="Arial"/>
                <w:sz w:val="18"/>
                <w:szCs w:val="18"/>
                <w:color w:val="0000FF"/>
              </w:rPr>
            </w:pPr>
            <w:hyperlink w:anchor="page73">
              <w:r>
                <w:rPr>
                  <w:rFonts w:ascii="Arial" w:cs="Arial" w:eastAsia="Arial" w:hAnsi="Arial"/>
                  <w:sz w:val="18"/>
                  <w:szCs w:val="18"/>
                  <w:color w:val="0000FF"/>
                </w:rPr>
                <w:t>Consolidated Balance Sheets as of December 31, 2020 and 2019</w:t>
              </w:r>
            </w:hyperlink>
          </w:p>
        </w:tc>
        <w:tc>
          <w:tcPr>
            <w:tcW w:w="1620" w:type="dxa"/>
            <w:vAlign w:val="bottom"/>
            <w:tcBorders>
              <w:top w:val="single" w:sz="8" w:color="CCEEFF"/>
            </w:tcBorders>
          </w:tcPr>
          <w:p>
            <w:pPr>
              <w:spacing w:after="0"/>
              <w:rPr>
                <w:sz w:val="14"/>
                <w:szCs w:val="14"/>
                <w:color w:val="auto"/>
              </w:rPr>
            </w:pPr>
          </w:p>
        </w:tc>
        <w:tc>
          <w:tcPr>
            <w:tcW w:w="222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960" w:type="dxa"/>
            <w:vAlign w:val="bottom"/>
            <w:tcBorders>
              <w:bottom w:val="single" w:sz="8" w:color="0000FF"/>
            </w:tcBorders>
            <w:gridSpan w:val="27"/>
            <w:shd w:val="clear" w:color="auto" w:fill="CCEEFF"/>
          </w:tcPr>
          <w:p>
            <w:pPr>
              <w:spacing w:after="0" w:line="162"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Consolidated Statements of Income for the Three Years Ended December 31, 2020</w:t>
              </w:r>
            </w:hyperlink>
          </w:p>
        </w:tc>
        <w:tc>
          <w:tcPr>
            <w:tcW w:w="3040" w:type="dxa"/>
            <w:vAlign w:val="bottom"/>
            <w:tcBorders>
              <w:bottom w:val="single" w:sz="8" w:color="CCEEFF"/>
            </w:tcBorders>
            <w:gridSpan w:val="7"/>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Borders>
              <w:bottom w:val="single" w:sz="8" w:color="0000FF"/>
            </w:tcBorders>
            <w:gridSpan w:val="32"/>
          </w:tcPr>
          <w:p>
            <w:pPr>
              <w:spacing w:after="0" w:line="16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Consolidated Statements of Comprehensive Income for the Three Years Ended December 31, 2020</w:t>
              </w:r>
            </w:hyperlink>
          </w:p>
        </w:tc>
        <w:tc>
          <w:tcPr>
            <w:tcW w:w="1860" w:type="dxa"/>
            <w:vAlign w:val="bottom"/>
            <w:gridSpan w:val="2"/>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000" w:type="dxa"/>
            <w:vAlign w:val="bottom"/>
            <w:gridSpan w:val="34"/>
            <w:shd w:val="clear" w:color="auto" w:fill="CCEEFF"/>
          </w:tcPr>
          <w:p>
            <w:pPr>
              <w:spacing w:after="0" w:line="162" w:lineRule="exact"/>
              <w:rPr>
                <w:rFonts w:ascii="Arial" w:cs="Arial" w:eastAsia="Arial" w:hAnsi="Arial"/>
                <w:sz w:val="18"/>
                <w:szCs w:val="18"/>
                <w:color w:val="0000FF"/>
              </w:rPr>
            </w:pPr>
            <w:hyperlink w:anchor="page76">
              <w:r>
                <w:rPr>
                  <w:rFonts w:ascii="Arial" w:cs="Arial" w:eastAsia="Arial" w:hAnsi="Arial"/>
                  <w:sz w:val="18"/>
                  <w:szCs w:val="18"/>
                  <w:color w:val="0000FF"/>
                </w:rPr>
                <w:t>Consolidated Statements of Stockholders’ Equity for the Three Years Ended December 31, 2020</w:t>
              </w:r>
            </w:hyperlink>
          </w:p>
        </w:tc>
        <w:tc>
          <w:tcPr>
            <w:tcW w:w="22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6940" w:type="dxa"/>
            <w:vAlign w:val="bottom"/>
            <w:tcBorders>
              <w:top w:val="single" w:sz="8" w:color="0000FF"/>
            </w:tcBorders>
            <w:gridSpan w:val="31"/>
          </w:tcPr>
          <w:p>
            <w:pPr>
              <w:spacing w:after="0" w:line="162" w:lineRule="exact"/>
              <w:rPr>
                <w:rFonts w:ascii="Arial" w:cs="Arial" w:eastAsia="Arial" w:hAnsi="Arial"/>
                <w:sz w:val="18"/>
                <w:szCs w:val="18"/>
                <w:color w:val="0000FF"/>
                <w:w w:val="98"/>
              </w:rPr>
            </w:pPr>
            <w:hyperlink w:anchor="page77">
              <w:r>
                <w:rPr>
                  <w:rFonts w:ascii="Arial" w:cs="Arial" w:eastAsia="Arial" w:hAnsi="Arial"/>
                  <w:sz w:val="18"/>
                  <w:szCs w:val="18"/>
                  <w:color w:val="0000FF"/>
                  <w:w w:val="98"/>
                </w:rPr>
                <w:t>Consolidated Statements of Cash Flows for the Three Years Ended December 31, 2020</w:t>
              </w:r>
            </w:hyperlink>
          </w:p>
        </w:tc>
        <w:tc>
          <w:tcPr>
            <w:tcW w:w="2060" w:type="dxa"/>
            <w:vAlign w:val="bottom"/>
            <w:tcBorders>
              <w:top w:val="single" w:sz="8" w:color="CCEEFF"/>
            </w:tcBorders>
            <w:gridSpan w:val="3"/>
          </w:tcPr>
          <w:p>
            <w:pPr>
              <w:spacing w:after="0"/>
              <w:rPr>
                <w:sz w:val="14"/>
                <w:szCs w:val="14"/>
                <w:color w:val="auto"/>
              </w:rPr>
            </w:pPr>
          </w:p>
        </w:tc>
        <w:tc>
          <w:tcPr>
            <w:tcW w:w="222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260" w:type="dxa"/>
            <w:vAlign w:val="bottom"/>
            <w:tcBorders>
              <w:top w:val="single" w:sz="8" w:color="0000FF"/>
            </w:tcBorders>
            <w:gridSpan w:val="28"/>
            <w:shd w:val="clear" w:color="auto" w:fill="CCEEFF"/>
          </w:tcPr>
          <w:p>
            <w:pPr>
              <w:spacing w:after="0" w:line="162" w:lineRule="exact"/>
              <w:rPr>
                <w:rFonts w:ascii="Arial" w:cs="Arial" w:eastAsia="Arial" w:hAnsi="Arial"/>
                <w:sz w:val="18"/>
                <w:szCs w:val="18"/>
                <w:color w:val="0000FF"/>
              </w:rPr>
            </w:pPr>
            <w:hyperlink w:anchor="page78">
              <w:r>
                <w:rPr>
                  <w:rFonts w:ascii="Arial" w:cs="Arial" w:eastAsia="Arial" w:hAnsi="Arial"/>
                  <w:sz w:val="18"/>
                  <w:szCs w:val="18"/>
                  <w:color w:val="0000FF"/>
                </w:rPr>
                <w:t>Notes to Consolidated Financial Statements</w:t>
              </w:r>
            </w:hyperlink>
          </w:p>
        </w:tc>
        <w:tc>
          <w:tcPr>
            <w:tcW w:w="2740" w:type="dxa"/>
            <w:vAlign w:val="bottom"/>
            <w:gridSpan w:val="6"/>
            <w:shd w:val="clear" w:color="auto" w:fill="CCEEFF"/>
          </w:tcPr>
          <w:p>
            <w:pPr>
              <w:spacing w:after="0"/>
              <w:rPr>
                <w:sz w:val="14"/>
                <w:szCs w:val="14"/>
                <w:color w:val="auto"/>
              </w:rPr>
            </w:pPr>
          </w:p>
        </w:tc>
        <w:tc>
          <w:tcPr>
            <w:tcW w:w="22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CCEEFF"/>
            </w:tcBorders>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000" w:type="dxa"/>
            <w:vAlign w:val="bottom"/>
            <w:gridSpan w:val="34"/>
          </w:tcPr>
          <w:p>
            <w:pPr>
              <w:spacing w:after="0" w:line="162" w:lineRule="exact"/>
              <w:rPr>
                <w:rFonts w:ascii="Arial" w:cs="Arial" w:eastAsia="Arial" w:hAnsi="Arial"/>
                <w:sz w:val="18"/>
                <w:szCs w:val="18"/>
                <w:color w:val="0000FF"/>
              </w:rPr>
            </w:pPr>
            <w:hyperlink w:anchor="page78">
              <w:r>
                <w:rPr>
                  <w:rFonts w:ascii="Arial" w:cs="Arial" w:eastAsia="Arial" w:hAnsi="Arial"/>
                  <w:sz w:val="18"/>
                  <w:szCs w:val="18"/>
                  <w:color w:val="0000FF"/>
                </w:rPr>
                <w:t>Note 1 – Description of Business and Segment Reporting</w:t>
              </w:r>
            </w:hyperlink>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900" w:type="dxa"/>
            <w:vAlign w:val="bottom"/>
            <w:tcBorders>
              <w:top w:val="single" w:sz="8" w:color="0000FF"/>
              <w:bottom w:val="single" w:sz="8" w:color="0000FF"/>
            </w:tcBorders>
            <w:gridSpan w:val="20"/>
            <w:shd w:val="clear" w:color="auto" w:fill="CCEEFF"/>
          </w:tcPr>
          <w:p>
            <w:pPr>
              <w:spacing w:after="0" w:line="162" w:lineRule="exact"/>
              <w:rPr>
                <w:rFonts w:ascii="Arial" w:cs="Arial" w:eastAsia="Arial" w:hAnsi="Arial"/>
                <w:sz w:val="18"/>
                <w:szCs w:val="18"/>
                <w:color w:val="0000FF"/>
                <w:w w:val="92"/>
              </w:rPr>
            </w:pPr>
            <w:hyperlink w:anchor="page79">
              <w:r>
                <w:rPr>
                  <w:rFonts w:ascii="Arial" w:cs="Arial" w:eastAsia="Arial" w:hAnsi="Arial"/>
                  <w:sz w:val="18"/>
                  <w:szCs w:val="18"/>
                  <w:color w:val="0000FF"/>
                  <w:w w:val="92"/>
                </w:rPr>
                <w:t>Note 2 – Summary of Significant Accounting Policies</w:t>
              </w:r>
            </w:hyperlink>
          </w:p>
        </w:tc>
        <w:tc>
          <w:tcPr>
            <w:tcW w:w="22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4880" w:type="dxa"/>
            <w:vAlign w:val="bottom"/>
            <w:tcBorders>
              <w:bottom w:val="single" w:sz="8" w:color="CCEEFF"/>
            </w:tcBorders>
            <w:gridSpan w:val="11"/>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0" w:type="dxa"/>
            <w:vAlign w:val="bottom"/>
            <w:gridSpan w:val="34"/>
          </w:tcPr>
          <w:p>
            <w:pPr>
              <w:spacing w:after="0" w:line="162" w:lineRule="exact"/>
              <w:rPr>
                <w:rFonts w:ascii="Arial" w:cs="Arial" w:eastAsia="Arial" w:hAnsi="Arial"/>
                <w:sz w:val="18"/>
                <w:szCs w:val="18"/>
                <w:color w:val="0000FF"/>
              </w:rPr>
            </w:pPr>
            <w:hyperlink w:anchor="page90">
              <w:r>
                <w:rPr>
                  <w:rFonts w:ascii="Arial" w:cs="Arial" w:eastAsia="Arial" w:hAnsi="Arial"/>
                  <w:sz w:val="18"/>
                  <w:szCs w:val="18"/>
                  <w:color w:val="0000FF"/>
                </w:rPr>
                <w:t>Note 3 – Impact of COVID-19 Pandemic and Liquidity</w:t>
              </w:r>
            </w:hyperlink>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600" w:type="dxa"/>
            <w:vAlign w:val="bottom"/>
            <w:tcBorders>
              <w:top w:val="single" w:sz="8" w:color="0000FF"/>
              <w:bottom w:val="single" w:sz="8" w:color="0000FF"/>
            </w:tcBorders>
            <w:gridSpan w:val="12"/>
            <w:shd w:val="clear" w:color="auto" w:fill="CCEEFF"/>
          </w:tcPr>
          <w:p>
            <w:pPr>
              <w:spacing w:after="0" w:line="162" w:lineRule="exact"/>
              <w:rPr>
                <w:rFonts w:ascii="Arial" w:cs="Arial" w:eastAsia="Arial" w:hAnsi="Arial"/>
                <w:sz w:val="18"/>
                <w:szCs w:val="18"/>
                <w:color w:val="0000FF"/>
                <w:w w:val="90"/>
              </w:rPr>
            </w:pPr>
            <w:hyperlink w:anchor="page93">
              <w:r>
                <w:rPr>
                  <w:rFonts w:ascii="Arial" w:cs="Arial" w:eastAsia="Arial" w:hAnsi="Arial"/>
                  <w:sz w:val="18"/>
                  <w:szCs w:val="18"/>
                  <w:color w:val="0000FF"/>
                  <w:w w:val="90"/>
                </w:rPr>
                <w:t>Note 4 – Earnings (Loss) Per Share</w:t>
              </w:r>
            </w:hyperlink>
          </w:p>
        </w:tc>
        <w:tc>
          <w:tcPr>
            <w:tcW w:w="138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5020" w:type="dxa"/>
            <w:vAlign w:val="bottom"/>
            <w:tcBorders>
              <w:bottom w:val="single" w:sz="8" w:color="CCEEFF"/>
            </w:tcBorders>
            <w:gridSpan w:val="13"/>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tcBorders>
              <w:bottom w:val="single" w:sz="8" w:color="0000FF"/>
            </w:tcBorders>
            <w:gridSpan w:val="8"/>
          </w:tcPr>
          <w:p>
            <w:pPr>
              <w:spacing w:after="0" w:line="162"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Note 5 – Real Estate Transactions</w:t>
              </w:r>
            </w:hyperlink>
          </w:p>
        </w:tc>
        <w:tc>
          <w:tcPr>
            <w:tcW w:w="6520" w:type="dxa"/>
            <w:vAlign w:val="bottom"/>
            <w:gridSpan w:val="26"/>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580" w:type="dxa"/>
            <w:vAlign w:val="bottom"/>
            <w:tcBorders>
              <w:bottom w:val="single" w:sz="8" w:color="0000FF"/>
            </w:tcBorders>
            <w:gridSpan w:val="11"/>
            <w:shd w:val="clear" w:color="auto" w:fill="CCEEFF"/>
          </w:tcPr>
          <w:p>
            <w:pPr>
              <w:spacing w:after="0" w:line="162" w:lineRule="exact"/>
              <w:rPr>
                <w:rFonts w:ascii="Arial" w:cs="Arial" w:eastAsia="Arial" w:hAnsi="Arial"/>
                <w:sz w:val="18"/>
                <w:szCs w:val="18"/>
                <w:color w:val="0000FF"/>
                <w:w w:val="91"/>
              </w:rPr>
            </w:pPr>
            <w:hyperlink w:anchor="page95">
              <w:r>
                <w:rPr>
                  <w:rFonts w:ascii="Arial" w:cs="Arial" w:eastAsia="Arial" w:hAnsi="Arial"/>
                  <w:sz w:val="18"/>
                  <w:szCs w:val="18"/>
                  <w:color w:val="0000FF"/>
                  <w:w w:val="91"/>
                </w:rPr>
                <w:t>Note 6 – Properties and Equipment</w:t>
              </w:r>
            </w:hyperlink>
          </w:p>
        </w:tc>
        <w:tc>
          <w:tcPr>
            <w:tcW w:w="6420" w:type="dxa"/>
            <w:vAlign w:val="bottom"/>
            <w:tcBorders>
              <w:bottom w:val="single" w:sz="8" w:color="CCEEFF"/>
            </w:tcBorders>
            <w:gridSpan w:val="23"/>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Borders>
              <w:bottom w:val="single" w:sz="8" w:color="0000FF"/>
            </w:tcBorders>
            <w:gridSpan w:val="22"/>
          </w:tcPr>
          <w:p>
            <w:pPr>
              <w:spacing w:after="0" w:line="162"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Note 7 – Investments in Unconsolidated Joint Ventures</w:t>
              </w:r>
            </w:hyperlink>
          </w:p>
        </w:tc>
        <w:tc>
          <w:tcPr>
            <w:tcW w:w="5000" w:type="dxa"/>
            <w:vAlign w:val="bottom"/>
            <w:gridSpan w:val="12"/>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980" w:type="dxa"/>
            <w:vAlign w:val="bottom"/>
            <w:tcBorders>
              <w:bottom w:val="single" w:sz="8" w:color="0000FF"/>
            </w:tcBorders>
            <w:gridSpan w:val="15"/>
            <w:shd w:val="clear" w:color="auto" w:fill="CCEEFF"/>
          </w:tcPr>
          <w:p>
            <w:pPr>
              <w:spacing w:after="0" w:line="162" w:lineRule="exact"/>
              <w:rPr>
                <w:rFonts w:ascii="Arial" w:cs="Arial" w:eastAsia="Arial" w:hAnsi="Arial"/>
                <w:sz w:val="18"/>
                <w:szCs w:val="18"/>
                <w:color w:val="0000FF"/>
                <w:w w:val="92"/>
              </w:rPr>
            </w:pPr>
            <w:hyperlink w:anchor="page96">
              <w:r>
                <w:rPr>
                  <w:rFonts w:ascii="Arial" w:cs="Arial" w:eastAsia="Arial" w:hAnsi="Arial"/>
                  <w:sz w:val="18"/>
                  <w:szCs w:val="18"/>
                  <w:color w:val="0000FF"/>
                  <w:w w:val="92"/>
                </w:rPr>
                <w:t>Note 8 – Goodwill and Intangible Assets</w:t>
              </w:r>
            </w:hyperlink>
          </w:p>
        </w:tc>
        <w:tc>
          <w:tcPr>
            <w:tcW w:w="6020" w:type="dxa"/>
            <w:vAlign w:val="bottom"/>
            <w:tcBorders>
              <w:bottom w:val="single" w:sz="8" w:color="CCEEFF"/>
            </w:tcBorders>
            <w:gridSpan w:val="19"/>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Borders>
              <w:bottom w:val="single" w:sz="8" w:color="0000FF"/>
            </w:tcBorders>
            <w:gridSpan w:val="9"/>
          </w:tcPr>
          <w:p>
            <w:pPr>
              <w:spacing w:after="0" w:line="162" w:lineRule="exact"/>
              <w:rPr>
                <w:rFonts w:ascii="Arial" w:cs="Arial" w:eastAsia="Arial" w:hAnsi="Arial"/>
                <w:sz w:val="18"/>
                <w:szCs w:val="18"/>
                <w:color w:val="0000FF"/>
                <w:w w:val="90"/>
              </w:rPr>
            </w:pPr>
            <w:hyperlink w:anchor="page97">
              <w:r>
                <w:rPr>
                  <w:rFonts w:ascii="Arial" w:cs="Arial" w:eastAsia="Arial" w:hAnsi="Arial"/>
                  <w:sz w:val="18"/>
                  <w:szCs w:val="18"/>
                  <w:color w:val="0000FF"/>
                  <w:w w:val="90"/>
                </w:rPr>
                <w:t>Note 9 – Prepaid and Other Assets</w:t>
              </w:r>
            </w:hyperlink>
          </w:p>
        </w:tc>
        <w:tc>
          <w:tcPr>
            <w:tcW w:w="6460" w:type="dxa"/>
            <w:vAlign w:val="bottom"/>
            <w:gridSpan w:val="25"/>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0000FF"/>
            </w:tcBorders>
            <w:gridSpan w:val="3"/>
            <w:shd w:val="clear" w:color="auto" w:fill="CCEEFF"/>
          </w:tcPr>
          <w:p>
            <w:pPr>
              <w:spacing w:after="0" w:line="162" w:lineRule="exact"/>
              <w:rPr>
                <w:rFonts w:ascii="Arial" w:cs="Arial" w:eastAsia="Arial" w:hAnsi="Arial"/>
                <w:sz w:val="18"/>
                <w:szCs w:val="18"/>
                <w:color w:val="0000FF"/>
                <w:w w:val="90"/>
              </w:rPr>
            </w:pPr>
            <w:hyperlink w:anchor="page97">
              <w:r>
                <w:rPr>
                  <w:rFonts w:ascii="Arial" w:cs="Arial" w:eastAsia="Arial" w:hAnsi="Arial"/>
                  <w:sz w:val="18"/>
                  <w:szCs w:val="18"/>
                  <w:color w:val="0000FF"/>
                  <w:w w:val="90"/>
                </w:rPr>
                <w:t>Note 10 – Income Taxes</w:t>
              </w:r>
            </w:hyperlink>
          </w:p>
        </w:tc>
        <w:tc>
          <w:tcPr>
            <w:tcW w:w="7200" w:type="dxa"/>
            <w:vAlign w:val="bottom"/>
            <w:tcBorders>
              <w:bottom w:val="single" w:sz="8" w:color="CCEEFF"/>
            </w:tcBorders>
            <w:gridSpan w:val="31"/>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40" w:type="dxa"/>
            <w:vAlign w:val="bottom"/>
            <w:tcBorders>
              <w:bottom w:val="single" w:sz="8" w:color="0000FF"/>
            </w:tcBorders>
            <w:gridSpan w:val="2"/>
          </w:tcPr>
          <w:p>
            <w:pPr>
              <w:spacing w:after="0" w:line="162" w:lineRule="exact"/>
              <w:rPr>
                <w:rFonts w:ascii="Arial" w:cs="Arial" w:eastAsia="Arial" w:hAnsi="Arial"/>
                <w:sz w:val="18"/>
                <w:szCs w:val="18"/>
                <w:color w:val="0000FF"/>
                <w:w w:val="93"/>
              </w:rPr>
            </w:pPr>
            <w:hyperlink w:anchor="page100">
              <w:r>
                <w:rPr>
                  <w:rFonts w:ascii="Arial" w:cs="Arial" w:eastAsia="Arial" w:hAnsi="Arial"/>
                  <w:sz w:val="18"/>
                  <w:szCs w:val="18"/>
                  <w:color w:val="0000FF"/>
                  <w:w w:val="93"/>
                </w:rPr>
                <w:t>Note 11 – Borrowings</w:t>
              </w:r>
            </w:hyperlink>
          </w:p>
        </w:tc>
        <w:tc>
          <w:tcPr>
            <w:tcW w:w="7360" w:type="dxa"/>
            <w:vAlign w:val="bottom"/>
            <w:gridSpan w:val="32"/>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900" w:type="dxa"/>
            <w:vAlign w:val="bottom"/>
            <w:tcBorders>
              <w:bottom w:val="single" w:sz="8" w:color="0000FF"/>
            </w:tcBorders>
            <w:gridSpan w:val="14"/>
            <w:shd w:val="clear" w:color="auto" w:fill="CCEEFF"/>
          </w:tcPr>
          <w:p>
            <w:pPr>
              <w:spacing w:after="0" w:line="162" w:lineRule="exact"/>
              <w:rPr>
                <w:rFonts w:ascii="Arial" w:cs="Arial" w:eastAsia="Arial" w:hAnsi="Arial"/>
                <w:sz w:val="18"/>
                <w:szCs w:val="18"/>
                <w:color w:val="0000FF"/>
                <w:w w:val="92"/>
              </w:rPr>
            </w:pPr>
            <w:hyperlink w:anchor="page104">
              <w:r>
                <w:rPr>
                  <w:rFonts w:ascii="Arial" w:cs="Arial" w:eastAsia="Arial" w:hAnsi="Arial"/>
                  <w:sz w:val="18"/>
                  <w:szCs w:val="18"/>
                  <w:color w:val="0000FF"/>
                  <w:w w:val="92"/>
                </w:rPr>
                <w:t>Note 12 – Pension and Other Liabilities</w:t>
              </w:r>
            </w:hyperlink>
          </w:p>
        </w:tc>
        <w:tc>
          <w:tcPr>
            <w:tcW w:w="6100" w:type="dxa"/>
            <w:vAlign w:val="bottom"/>
            <w:tcBorders>
              <w:bottom w:val="single" w:sz="8" w:color="CCEEFF"/>
            </w:tcBorders>
            <w:gridSpan w:val="20"/>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0" w:type="dxa"/>
            <w:vAlign w:val="bottom"/>
            <w:tcBorders>
              <w:bottom w:val="single" w:sz="8" w:color="0000FF"/>
            </w:tcBorders>
            <w:gridSpan w:val="16"/>
          </w:tcPr>
          <w:p>
            <w:pPr>
              <w:spacing w:after="0" w:line="162" w:lineRule="exact"/>
              <w:rPr>
                <w:rFonts w:ascii="Arial" w:cs="Arial" w:eastAsia="Arial" w:hAnsi="Arial"/>
                <w:sz w:val="18"/>
                <w:szCs w:val="18"/>
                <w:color w:val="0000FF"/>
                <w:w w:val="90"/>
              </w:rPr>
            </w:pPr>
            <w:hyperlink w:anchor="page106">
              <w:r>
                <w:rPr>
                  <w:rFonts w:ascii="Arial" w:cs="Arial" w:eastAsia="Arial" w:hAnsi="Arial"/>
                  <w:sz w:val="18"/>
                  <w:szCs w:val="18"/>
                  <w:color w:val="0000FF"/>
                  <w:w w:val="90"/>
                </w:rPr>
                <w:t>Note 13 – Commitments and Contingencies</w:t>
              </w:r>
            </w:hyperlink>
          </w:p>
        </w:tc>
        <w:tc>
          <w:tcPr>
            <w:tcW w:w="5800" w:type="dxa"/>
            <w:vAlign w:val="bottom"/>
            <w:gridSpan w:val="18"/>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560" w:type="dxa"/>
            <w:vAlign w:val="bottom"/>
            <w:tcBorders>
              <w:bottom w:val="single" w:sz="8" w:color="0000FF"/>
            </w:tcBorders>
            <w:gridSpan w:val="10"/>
            <w:shd w:val="clear" w:color="auto" w:fill="CCEEFF"/>
          </w:tcPr>
          <w:p>
            <w:pPr>
              <w:spacing w:after="0" w:line="162" w:lineRule="exact"/>
              <w:rPr>
                <w:rFonts w:ascii="Arial" w:cs="Arial" w:eastAsia="Arial" w:hAnsi="Arial"/>
                <w:sz w:val="18"/>
                <w:szCs w:val="18"/>
                <w:color w:val="0000FF"/>
                <w:w w:val="93"/>
              </w:rPr>
            </w:pPr>
            <w:hyperlink w:anchor="page110">
              <w:r>
                <w:rPr>
                  <w:rFonts w:ascii="Arial" w:cs="Arial" w:eastAsia="Arial" w:hAnsi="Arial"/>
                  <w:sz w:val="18"/>
                  <w:szCs w:val="18"/>
                  <w:color w:val="0000FF"/>
                  <w:w w:val="93"/>
                </w:rPr>
                <w:t>Note 14 – Noncontrolling Interests</w:t>
              </w:r>
            </w:hyperlink>
          </w:p>
        </w:tc>
        <w:tc>
          <w:tcPr>
            <w:tcW w:w="6440" w:type="dxa"/>
            <w:vAlign w:val="bottom"/>
            <w:tcBorders>
              <w:bottom w:val="single" w:sz="8" w:color="CCEEFF"/>
            </w:tcBorders>
            <w:gridSpan w:val="24"/>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tcBorders>
              <w:bottom w:val="single" w:sz="8" w:color="0000FF"/>
            </w:tcBorders>
            <w:gridSpan w:val="24"/>
          </w:tcPr>
          <w:p>
            <w:pPr>
              <w:spacing w:after="0" w:line="162" w:lineRule="exact"/>
              <w:rPr>
                <w:rFonts w:ascii="Arial" w:cs="Arial" w:eastAsia="Arial" w:hAnsi="Arial"/>
                <w:sz w:val="18"/>
                <w:szCs w:val="18"/>
                <w:color w:val="0000FF"/>
                <w:w w:val="88"/>
              </w:rPr>
            </w:pPr>
            <w:hyperlink w:anchor="page111">
              <w:r>
                <w:rPr>
                  <w:rFonts w:ascii="Arial" w:cs="Arial" w:eastAsia="Arial" w:hAnsi="Arial"/>
                  <w:sz w:val="18"/>
                  <w:szCs w:val="18"/>
                  <w:color w:val="0000FF"/>
                  <w:w w:val="88"/>
                </w:rPr>
                <w:t>Note 15 – Share-based Compensation and Repurchase Plans</w:t>
              </w:r>
            </w:hyperlink>
          </w:p>
        </w:tc>
        <w:tc>
          <w:tcPr>
            <w:tcW w:w="4620" w:type="dxa"/>
            <w:vAlign w:val="bottom"/>
            <w:gridSpan w:val="10"/>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980" w:type="dxa"/>
            <w:vAlign w:val="bottom"/>
            <w:tcBorders>
              <w:bottom w:val="single" w:sz="8" w:color="0000FF"/>
            </w:tcBorders>
            <w:gridSpan w:val="21"/>
            <w:shd w:val="clear" w:color="auto" w:fill="CCEEFF"/>
          </w:tcPr>
          <w:p>
            <w:pPr>
              <w:spacing w:after="0" w:line="162" w:lineRule="exact"/>
              <w:rPr>
                <w:rFonts w:ascii="Arial" w:cs="Arial" w:eastAsia="Arial" w:hAnsi="Arial"/>
                <w:sz w:val="18"/>
                <w:szCs w:val="18"/>
                <w:color w:val="0000FF"/>
                <w:w w:val="91"/>
              </w:rPr>
            </w:pPr>
            <w:hyperlink w:anchor="page113">
              <w:r>
                <w:rPr>
                  <w:rFonts w:ascii="Arial" w:cs="Arial" w:eastAsia="Arial" w:hAnsi="Arial"/>
                  <w:sz w:val="18"/>
                  <w:szCs w:val="18"/>
                  <w:color w:val="0000FF"/>
                  <w:w w:val="91"/>
                </w:rPr>
                <w:t>Note 16 – Accumulated Other Comprehensive Income</w:t>
              </w:r>
            </w:hyperlink>
          </w:p>
        </w:tc>
        <w:tc>
          <w:tcPr>
            <w:tcW w:w="5020" w:type="dxa"/>
            <w:vAlign w:val="bottom"/>
            <w:tcBorders>
              <w:bottom w:val="single" w:sz="8" w:color="CCEEFF"/>
            </w:tcBorders>
            <w:gridSpan w:val="13"/>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tcBorders>
              <w:bottom w:val="single" w:sz="8" w:color="0000FF"/>
            </w:tcBorders>
            <w:gridSpan w:val="13"/>
          </w:tcPr>
          <w:p>
            <w:pPr>
              <w:spacing w:after="0" w:line="162" w:lineRule="exact"/>
              <w:rPr>
                <w:rFonts w:ascii="Arial" w:cs="Arial" w:eastAsia="Arial" w:hAnsi="Arial"/>
                <w:sz w:val="18"/>
                <w:szCs w:val="18"/>
                <w:color w:val="0000FF"/>
                <w:w w:val="90"/>
              </w:rPr>
            </w:pPr>
            <w:hyperlink w:anchor="page115">
              <w:r>
                <w:rPr>
                  <w:rFonts w:ascii="Arial" w:cs="Arial" w:eastAsia="Arial" w:hAnsi="Arial"/>
                  <w:sz w:val="18"/>
                  <w:szCs w:val="18"/>
                  <w:color w:val="0000FF"/>
                  <w:w w:val="90"/>
                </w:rPr>
                <w:t>Note 17 – Fair Value Measurements</w:t>
              </w:r>
            </w:hyperlink>
          </w:p>
        </w:tc>
        <w:tc>
          <w:tcPr>
            <w:tcW w:w="6360" w:type="dxa"/>
            <w:vAlign w:val="bottom"/>
            <w:gridSpan w:val="21"/>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0000FF"/>
            </w:tcBorders>
            <w:gridSpan w:val="6"/>
            <w:shd w:val="clear" w:color="auto" w:fill="CCEEFF"/>
          </w:tcPr>
          <w:p>
            <w:pPr>
              <w:spacing w:after="0" w:line="162" w:lineRule="exact"/>
              <w:rPr>
                <w:rFonts w:ascii="Arial" w:cs="Arial" w:eastAsia="Arial" w:hAnsi="Arial"/>
                <w:sz w:val="18"/>
                <w:szCs w:val="18"/>
                <w:color w:val="0000FF"/>
                <w:w w:val="92"/>
              </w:rPr>
            </w:pPr>
            <w:hyperlink w:anchor="page116">
              <w:r>
                <w:rPr>
                  <w:rFonts w:ascii="Arial" w:cs="Arial" w:eastAsia="Arial" w:hAnsi="Arial"/>
                  <w:sz w:val="18"/>
                  <w:szCs w:val="18"/>
                  <w:color w:val="0000FF"/>
                  <w:w w:val="92"/>
                </w:rPr>
                <w:t>Note 18 – Hedge Accounting</w:t>
              </w:r>
            </w:hyperlink>
          </w:p>
        </w:tc>
        <w:tc>
          <w:tcPr>
            <w:tcW w:w="6840" w:type="dxa"/>
            <w:vAlign w:val="bottom"/>
            <w:tcBorders>
              <w:bottom w:val="single" w:sz="8" w:color="CCEEFF"/>
            </w:tcBorders>
            <w:gridSpan w:val="28"/>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00" w:type="dxa"/>
            <w:vAlign w:val="bottom"/>
            <w:tcBorders>
              <w:bottom w:val="single" w:sz="8" w:color="0000FF"/>
            </w:tcBorders>
          </w:tcPr>
          <w:p>
            <w:pPr>
              <w:spacing w:after="0" w:line="162"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Note 19 – Leases</w:t>
              </w:r>
            </w:hyperlink>
          </w:p>
        </w:tc>
        <w:tc>
          <w:tcPr>
            <w:tcW w:w="7700" w:type="dxa"/>
            <w:vAlign w:val="bottom"/>
            <w:gridSpan w:val="33"/>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0000FF"/>
            </w:tcBorders>
            <w:gridSpan w:val="7"/>
            <w:shd w:val="clear" w:color="auto" w:fill="CCEEFF"/>
          </w:tcPr>
          <w:p>
            <w:pPr>
              <w:spacing w:after="0" w:line="162" w:lineRule="exact"/>
              <w:rPr>
                <w:rFonts w:ascii="Arial" w:cs="Arial" w:eastAsia="Arial" w:hAnsi="Arial"/>
                <w:sz w:val="18"/>
                <w:szCs w:val="18"/>
                <w:color w:val="0000FF"/>
                <w:w w:val="89"/>
              </w:rPr>
            </w:pPr>
            <w:hyperlink w:anchor="page118">
              <w:r>
                <w:rPr>
                  <w:rFonts w:ascii="Arial" w:cs="Arial" w:eastAsia="Arial" w:hAnsi="Arial"/>
                  <w:sz w:val="18"/>
                  <w:szCs w:val="18"/>
                  <w:color w:val="0000FF"/>
                  <w:w w:val="89"/>
                </w:rPr>
                <w:t>Note 20 – Business Combinations</w:t>
              </w:r>
            </w:hyperlink>
          </w:p>
        </w:tc>
        <w:tc>
          <w:tcPr>
            <w:tcW w:w="6540" w:type="dxa"/>
            <w:vAlign w:val="bottom"/>
            <w:tcBorders>
              <w:bottom w:val="single" w:sz="8" w:color="CCEEFF"/>
            </w:tcBorders>
            <w:gridSpan w:val="27"/>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80" w:type="dxa"/>
            <w:vAlign w:val="bottom"/>
            <w:tcBorders>
              <w:bottom w:val="single" w:sz="8" w:color="0000FF"/>
            </w:tcBorders>
            <w:gridSpan w:val="4"/>
          </w:tcPr>
          <w:p>
            <w:pPr>
              <w:spacing w:after="0" w:line="162"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Note 21 – Related Parties</w:t>
              </w:r>
            </w:hyperlink>
          </w:p>
        </w:tc>
        <w:tc>
          <w:tcPr>
            <w:tcW w:w="7120" w:type="dxa"/>
            <w:vAlign w:val="bottom"/>
            <w:gridSpan w:val="30"/>
          </w:tcPr>
          <w:p>
            <w:pPr>
              <w:spacing w:after="0"/>
              <w:rPr>
                <w:sz w:val="14"/>
                <w:szCs w:val="14"/>
                <w:color w:val="auto"/>
              </w:rPr>
            </w:pPr>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60" w:type="dxa"/>
            <w:vAlign w:val="bottom"/>
            <w:tcBorders>
              <w:bottom w:val="single" w:sz="8" w:color="0000FF"/>
            </w:tcBorders>
            <w:gridSpan w:val="19"/>
            <w:shd w:val="clear" w:color="auto" w:fill="CCEEFF"/>
          </w:tcPr>
          <w:p>
            <w:pPr>
              <w:spacing w:after="0" w:line="162" w:lineRule="exact"/>
              <w:rPr>
                <w:rFonts w:ascii="Arial" w:cs="Arial" w:eastAsia="Arial" w:hAnsi="Arial"/>
                <w:sz w:val="18"/>
                <w:szCs w:val="18"/>
                <w:color w:val="0000FF"/>
                <w:w w:val="92"/>
              </w:rPr>
            </w:pPr>
            <w:hyperlink w:anchor="page120">
              <w:r>
                <w:rPr>
                  <w:rFonts w:ascii="Arial" w:cs="Arial" w:eastAsia="Arial" w:hAnsi="Arial"/>
                  <w:sz w:val="18"/>
                  <w:szCs w:val="18"/>
                  <w:color w:val="0000FF"/>
                  <w:w w:val="92"/>
                </w:rPr>
                <w:t>Note 22 – Unaudited Quarterly Financial Information</w:t>
              </w:r>
            </w:hyperlink>
          </w:p>
        </w:tc>
        <w:tc>
          <w:tcPr>
            <w:tcW w:w="5140" w:type="dxa"/>
            <w:vAlign w:val="bottom"/>
            <w:tcBorders>
              <w:bottom w:val="single" w:sz="8" w:color="CCEEFF"/>
            </w:tcBorders>
            <w:gridSpan w:val="15"/>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0" w:type="dxa"/>
            <w:vAlign w:val="bottom"/>
            <w:gridSpan w:val="34"/>
          </w:tcPr>
          <w:p>
            <w:pPr>
              <w:spacing w:after="0" w:line="162" w:lineRule="exact"/>
              <w:rPr>
                <w:rFonts w:ascii="Arial" w:cs="Arial" w:eastAsia="Arial" w:hAnsi="Arial"/>
                <w:sz w:val="18"/>
                <w:szCs w:val="18"/>
                <w:color w:val="0000FF"/>
              </w:rPr>
            </w:pPr>
            <w:hyperlink w:anchor="page122">
              <w:r>
                <w:rPr>
                  <w:rFonts w:ascii="Arial" w:cs="Arial" w:eastAsia="Arial" w:hAnsi="Arial"/>
                  <w:sz w:val="18"/>
                  <w:szCs w:val="18"/>
                  <w:color w:val="0000FF"/>
                </w:rPr>
                <w:t>Note 23 – Subsequent Events</w:t>
              </w:r>
            </w:hyperlink>
          </w:p>
        </w:tc>
        <w:tc>
          <w:tcPr>
            <w:tcW w:w="2220" w:type="dxa"/>
            <w:vAlign w:val="bottom"/>
          </w:tcPr>
          <w:p>
            <w:pPr>
              <w:jc w:val="right"/>
              <w:spacing w:after="0" w:line="16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000" w:type="dxa"/>
            <w:vAlign w:val="bottom"/>
            <w:gridSpan w:val="34"/>
            <w:shd w:val="clear" w:color="auto" w:fill="CCEEFF"/>
          </w:tcPr>
          <w:p>
            <w:pPr>
              <w:spacing w:after="0" w:line="162" w:lineRule="exact"/>
              <w:rPr>
                <w:rFonts w:ascii="Arial" w:cs="Arial" w:eastAsia="Arial" w:hAnsi="Arial"/>
                <w:sz w:val="18"/>
                <w:szCs w:val="18"/>
                <w:color w:val="0000FF"/>
              </w:rPr>
            </w:pPr>
            <w:hyperlink w:anchor="page124">
              <w:r>
                <w:rPr>
                  <w:rFonts w:ascii="Arial" w:cs="Arial" w:eastAsia="Arial" w:hAnsi="Arial"/>
                  <w:sz w:val="18"/>
                  <w:szCs w:val="18"/>
                  <w:color w:val="0000FF"/>
                </w:rPr>
                <w:t>Schedule II – Valuation and Qualifying Accounts</w:t>
              </w:r>
            </w:hyperlink>
          </w:p>
        </w:tc>
        <w:tc>
          <w:tcPr>
            <w:tcW w:w="22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594"/>
        </w:trPr>
        <w:tc>
          <w:tcPr>
            <w:tcW w:w="20" w:type="dxa"/>
            <w:vAlign w:val="bottom"/>
            <w:tcBorders>
              <w:top w:val="single" w:sz="8" w:color="CCEEFF"/>
            </w:tcBorders>
          </w:tcPr>
          <w:p>
            <w:pPr>
              <w:spacing w:after="0"/>
              <w:rPr>
                <w:sz w:val="24"/>
                <w:szCs w:val="24"/>
                <w:color w:val="auto"/>
              </w:rPr>
            </w:pPr>
          </w:p>
        </w:tc>
        <w:tc>
          <w:tcPr>
            <w:tcW w:w="3540" w:type="dxa"/>
            <w:vAlign w:val="bottom"/>
            <w:tcBorders>
              <w:top w:val="single" w:sz="8" w:color="0000FF"/>
            </w:tcBorders>
            <w:gridSpan w:val="17"/>
          </w:tcPr>
          <w:p>
            <w:pPr>
              <w:spacing w:after="0"/>
              <w:rPr>
                <w:sz w:val="24"/>
                <w:szCs w:val="24"/>
                <w:color w:val="auto"/>
              </w:rPr>
            </w:pPr>
          </w:p>
        </w:tc>
        <w:tc>
          <w:tcPr>
            <w:tcW w:w="2420" w:type="dxa"/>
            <w:vAlign w:val="bottom"/>
            <w:tcBorders>
              <w:top w:val="single" w:sz="8" w:color="CCEEFF"/>
            </w:tcBorders>
            <w:gridSpan w:val="10"/>
          </w:tcPr>
          <w:p>
            <w:pPr>
              <w:jc w:val="right"/>
              <w:ind w:right="160"/>
              <w:spacing w:after="0"/>
              <w:rPr>
                <w:sz w:val="20"/>
                <w:szCs w:val="20"/>
                <w:color w:val="auto"/>
              </w:rPr>
            </w:pPr>
            <w:r>
              <w:rPr>
                <w:rFonts w:ascii="Arial" w:cs="Arial" w:eastAsia="Arial" w:hAnsi="Arial"/>
                <w:sz w:val="18"/>
                <w:szCs w:val="18"/>
                <w:color w:val="auto"/>
              </w:rPr>
              <w:t>- 67 -</w:t>
            </w:r>
          </w:p>
        </w:tc>
        <w:tc>
          <w:tcPr>
            <w:tcW w:w="3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2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u w:val="single" w:color="auto"/>
          <w:color w:val="auto"/>
        </w:rPr>
        <w:t>MANAGEMENT'S REPORT ON INTERNAL CONTROL OVER FINANCIAL REPORTING</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18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on this assessment, our management believes that the Company’s internal control over financial reporting is effective as of December 31, 2020.</w:t>
      </w:r>
    </w:p>
    <w:p>
      <w:pPr>
        <w:spacing w:after="0" w:line="14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Grant Thornton LLP, an independent registered public accounting firm, as stated in their report, which is included herein</w:t>
      </w:r>
      <w:r>
        <w:rPr>
          <w:rFonts w:ascii="Arial" w:cs="Arial" w:eastAsia="Arial" w:hAnsi="Arial"/>
          <w:sz w:val="15"/>
          <w:szCs w:val="15"/>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ind w:left="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Ellen M. Cotter</w:t>
            </w:r>
          </w:p>
        </w:tc>
        <w:tc>
          <w:tcPr>
            <w:tcW w:w="6620" w:type="dxa"/>
            <w:vAlign w:val="bottom"/>
            <w:gridSpan w:val="3"/>
          </w:tcPr>
          <w:p>
            <w:pPr>
              <w:ind w:left="1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/s/Gilbert Avanes</w:t>
            </w:r>
          </w:p>
        </w:tc>
      </w:tr>
      <w:tr>
        <w:trPr>
          <w:trHeight w:val="168"/>
        </w:trPr>
        <w:tc>
          <w:tcPr>
            <w:tcW w:w="1060" w:type="dxa"/>
            <w:vAlign w:val="bottom"/>
          </w:tcPr>
          <w:p>
            <w:pPr>
              <w:spacing w:after="0"/>
              <w:rPr>
                <w:sz w:val="14"/>
                <w:szCs w:val="14"/>
                <w:color w:val="auto"/>
              </w:rPr>
            </w:pPr>
          </w:p>
        </w:tc>
        <w:tc>
          <w:tcPr>
            <w:tcW w:w="1340" w:type="dxa"/>
            <w:vAlign w:val="bottom"/>
            <w:tcBorders>
              <w:top w:val="single" w:sz="8" w:color="auto"/>
            </w:tcBorders>
          </w:tcPr>
          <w:p>
            <w:pPr>
              <w:ind w:left="20"/>
              <w:spacing w:after="0" w:line="168" w:lineRule="exact"/>
              <w:rPr>
                <w:sz w:val="20"/>
                <w:szCs w:val="20"/>
                <w:color w:val="auto"/>
              </w:rPr>
            </w:pPr>
            <w:r>
              <w:rPr>
                <w:rFonts w:ascii="Arial" w:cs="Arial" w:eastAsia="Arial" w:hAnsi="Arial"/>
                <w:sz w:val="18"/>
                <w:szCs w:val="18"/>
                <w:color w:val="auto"/>
              </w:rPr>
              <w:t>Ellen M. Cotter</w:t>
            </w:r>
          </w:p>
        </w:tc>
        <w:tc>
          <w:tcPr>
            <w:tcW w:w="2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Gilbert Avanes</w:t>
            </w:r>
          </w:p>
        </w:tc>
        <w:tc>
          <w:tcPr>
            <w:tcW w:w="4060" w:type="dxa"/>
            <w:vAlign w:val="bottom"/>
          </w:tcPr>
          <w:p>
            <w:pPr>
              <w:spacing w:after="0"/>
              <w:rPr>
                <w:sz w:val="14"/>
                <w:szCs w:val="14"/>
                <w:color w:val="auto"/>
              </w:rPr>
            </w:pPr>
          </w:p>
        </w:tc>
      </w:tr>
      <w:tr>
        <w:trPr>
          <w:trHeight w:val="189"/>
        </w:trPr>
        <w:tc>
          <w:tcPr>
            <w:tcW w:w="1060" w:type="dxa"/>
            <w:vAlign w:val="bottom"/>
          </w:tcPr>
          <w:p>
            <w:pPr>
              <w:spacing w:after="0"/>
              <w:rPr>
                <w:sz w:val="16"/>
                <w:szCs w:val="16"/>
                <w:color w:val="auto"/>
              </w:rPr>
            </w:pPr>
          </w:p>
        </w:tc>
        <w:tc>
          <w:tcPr>
            <w:tcW w:w="35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c>
          <w:tcPr>
            <w:tcW w:w="1320" w:type="dxa"/>
            <w:vAlign w:val="bottom"/>
          </w:tcPr>
          <w:p>
            <w:pPr>
              <w:spacing w:after="0"/>
              <w:rPr>
                <w:sz w:val="16"/>
                <w:szCs w:val="16"/>
                <w:color w:val="auto"/>
              </w:rPr>
            </w:pPr>
          </w:p>
        </w:tc>
        <w:tc>
          <w:tcPr>
            <w:tcW w:w="5300" w:type="dxa"/>
            <w:vAlign w:val="bottom"/>
            <w:gridSpan w:val="2"/>
          </w:tcPr>
          <w:p>
            <w:pPr>
              <w:spacing w:after="0" w:line="189" w:lineRule="exact"/>
              <w:rPr>
                <w:sz w:val="20"/>
                <w:szCs w:val="20"/>
                <w:color w:val="auto"/>
              </w:rPr>
            </w:pPr>
            <w:r>
              <w:rPr>
                <w:rFonts w:ascii="Arial" w:cs="Arial" w:eastAsia="Arial" w:hAnsi="Arial"/>
                <w:sz w:val="18"/>
                <w:szCs w:val="18"/>
                <w:color w:val="auto"/>
              </w:rPr>
              <w:t>EVP, Chief Financial Officer and Treasurer</w:t>
            </w:r>
          </w:p>
        </w:tc>
      </w:tr>
      <w:tr>
        <w:trPr>
          <w:trHeight w:val="230"/>
        </w:trPr>
        <w:tc>
          <w:tcPr>
            <w:tcW w:w="1060" w:type="dxa"/>
            <w:vAlign w:val="bottom"/>
          </w:tcPr>
          <w:p>
            <w:pPr>
              <w:spacing w:after="0"/>
              <w:rPr>
                <w:sz w:val="20"/>
                <w:szCs w:val="20"/>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13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March 31, 2021</w:t>
            </w:r>
          </w:p>
        </w:tc>
      </w:tr>
      <w:tr>
        <w:trPr>
          <w:trHeight w:val="904"/>
        </w:trPr>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- 68 -</w:t>
            </w:r>
          </w:p>
        </w:tc>
        <w:tc>
          <w:tcPr>
            <w:tcW w:w="1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18"/>
        </w:trPr>
        <w:tc>
          <w:tcPr>
            <w:tcW w:w="10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on the financial statements</w:t>
      </w:r>
    </w:p>
    <w:p>
      <w:pPr>
        <w:spacing w:after="0" w:line="17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We have audited the accompanying consolidated balance sheets of Reading International, Inc. and subsidiaries (the “Company”) as of December 31, 2020 and 2019, the related consolidated statements of operations, comprehensive income, stockholders’ equity, and cash flows for each of the three years in the period ended December 31, 2020, and the related notes and schedule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4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31, 2021 expressed an unqualified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for opinion</w:t>
      </w:r>
    </w:p>
    <w:p>
      <w:pPr>
        <w:spacing w:after="0" w:line="175"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Audit Matters</w:t>
      </w:r>
    </w:p>
    <w:p>
      <w:pPr>
        <w:spacing w:after="0" w:line="17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As described further in Note 3 to the consolidated financial statements, as a result of the global pandemic caused by COVID-19, governments and or other jurisdictions located in geographies where the Company has operations imposed widespread restrictions that required the closure of the Company’s movie cinema and live theater venues. As a result of these closures, the Company’s revenues and cash flows from operations have been negatively impacted by the COVID-19 global pandemic. There are uncertainties in projecting future cash flows from movie cinema and live theater venues, the ability to amend existing debt obligations or acquire new or additional financings and the execution and timing of strategic real estate sales. The Company’s management concluded that there are sufficient resources to fund operations for a period of at least one year from the issuance of the financial statements. We identified the Company’s evaluation over its ability to maintain liquidity as a critical audit matter.</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principal considerations for our determination regarding the judgements made in regards to maintaining liquidity as a critical audit matter, relates to the uncertainty involved in the determination of future revenue and cash flow estimates. Such matters required significant auditor judgement in evaluating management’s plans to fund operations for a period of at least one year from the issuance of the financial statements such as 1) financing transaction events subject to matters outside the Company’s control and 2) estimation uncertainty of operating cash flows. Uncertainties regarding future operating cash flows exist due to the estimation of when the lifting of closure restrictions may occur, the public’s demand to attend indoor entertainment settings, the timing of the release of movie and production content and the successful completion and timing of strategic sales of real estate.</w:t>
      </w:r>
    </w:p>
    <w:p>
      <w:pPr>
        <w:jc w:val="center"/>
        <w:ind w:right="-19"/>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Our audit procedures related to the going concern assertion included the following, among others.</w:t>
      </w:r>
    </w:p>
    <w:p>
      <w:pPr>
        <w:spacing w:after="0" w:line="171" w:lineRule="exact"/>
        <w:rPr>
          <w:sz w:val="20"/>
          <w:szCs w:val="20"/>
          <w:color w:val="auto"/>
        </w:rPr>
      </w:pPr>
    </w:p>
    <w:p>
      <w:pPr>
        <w:ind w:left="660" w:right="140"/>
        <w:spacing w:after="0" w:line="228" w:lineRule="auto"/>
        <w:rPr>
          <w:sz w:val="20"/>
          <w:szCs w:val="20"/>
          <w:color w:val="auto"/>
        </w:rPr>
      </w:pPr>
      <w:r>
        <w:rPr>
          <w:rFonts w:ascii="Arial" w:cs="Arial" w:eastAsia="Arial" w:hAnsi="Arial"/>
          <w:sz w:val="18"/>
          <w:szCs w:val="18"/>
          <w:color w:val="auto"/>
        </w:rPr>
        <w:t>We tested the design and operating effectiveness of internal controls relating to the Company’s forecasts and assumptions used to estimate future cash flows and the proper and adequate financial statement disclosures relating to management’s plans.</w:t>
      </w:r>
    </w:p>
    <w:p>
      <w:pPr>
        <w:spacing w:after="0" w:line="1" w:lineRule="exact"/>
        <w:rPr>
          <w:sz w:val="20"/>
          <w:szCs w:val="20"/>
          <w:color w:val="auto"/>
        </w:rPr>
      </w:pPr>
    </w:p>
    <w:p>
      <w:pPr>
        <w:ind w:left="660" w:right="600"/>
        <w:spacing w:after="0" w:line="219" w:lineRule="auto"/>
        <w:rPr>
          <w:sz w:val="20"/>
          <w:szCs w:val="20"/>
          <w:color w:val="auto"/>
        </w:rPr>
      </w:pPr>
      <w:r>
        <w:rPr>
          <w:rFonts w:ascii="Arial" w:cs="Arial" w:eastAsia="Arial" w:hAnsi="Arial"/>
          <w:sz w:val="18"/>
          <w:szCs w:val="18"/>
          <w:color w:val="auto"/>
        </w:rPr>
        <w:t>We evaluated whether the cash flows included in the projection models were reasonable by assessing historical trends and sensitizing such projections in regards to projected theater opening dates and availability of production content.</w:t>
      </w:r>
    </w:p>
    <w:p>
      <w:pPr>
        <w:ind w:left="660" w:right="840"/>
        <w:spacing w:after="0" w:line="219" w:lineRule="auto"/>
        <w:rPr>
          <w:sz w:val="20"/>
          <w:szCs w:val="20"/>
          <w:color w:val="auto"/>
        </w:rPr>
      </w:pPr>
      <w:r>
        <w:rPr>
          <w:rFonts w:ascii="Arial" w:cs="Arial" w:eastAsia="Arial" w:hAnsi="Arial"/>
          <w:sz w:val="18"/>
          <w:szCs w:val="18"/>
          <w:color w:val="auto"/>
        </w:rPr>
        <w:t>We evaluated the Company’s ability to sell certain real-estate that was classified as held for sale as of December 31, 2020 including the marketability and valuation of such real-estate.</w:t>
      </w:r>
    </w:p>
    <w:p>
      <w:pPr>
        <w:ind w:left="660"/>
        <w:spacing w:after="0"/>
        <w:rPr>
          <w:sz w:val="20"/>
          <w:szCs w:val="20"/>
          <w:color w:val="auto"/>
        </w:rPr>
      </w:pPr>
      <w:r>
        <w:rPr>
          <w:rFonts w:ascii="Arial" w:cs="Arial" w:eastAsia="Arial" w:hAnsi="Arial"/>
          <w:sz w:val="18"/>
          <w:szCs w:val="18"/>
          <w:color w:val="auto"/>
        </w:rPr>
        <w:t>We evaluated management’s plans regarding their intent and ability to refinance existing or source new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of Long-Lived Assets</w:t>
      </w:r>
    </w:p>
    <w:p>
      <w:pPr>
        <w:spacing w:after="0" w:line="17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As described further in Note 2 and Note 8 to the financial statements, the Company reviews long-lived assets for impairment whenever events or changes in circumstances indicate the carrying amount of the asset may not be fully recoverable. The impairment evaluation of long-lived assets is an assessment that begins with the Company’s monitoring of indicators of impairment on an asset group basis, which the Company believes is the lowest applicable level for which there are identifiable cash flows. Due to the temporary closure of the Company’s theaters during the first quarter of the year ended December 31, 2020, the Company performed long-lived asset impairment evaluations for its theater assets during each quarter during the year ended December 31, 2020. When performing the impairment assessments, the Company estimates undiscounted cash flows at the theatre level from continuing use through the remainder of the theater’s useful life. If the estimated undiscounted cash flows are not sufficient to recover the carrying value of the asset, the Company then compares the carrying value of the asset with its estimated fair value. The key uncertainties in the assumptions used in estimating the projected cash flows of theatres is due to the impact of COVID-19 regarding the estimation of when the lifting of closure restrictions may occur, the public’s demand to attend indoor entertainment settings and the timing of the release of movie and production content. We identified the impairment of long-lived assets for theaters as a critical audit matter.</w:t>
      </w:r>
    </w:p>
    <w:p>
      <w:pPr>
        <w:spacing w:after="0" w:line="154"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principal considerations for our determination that the valuation of long-lived assets for theaters is a critical audit matter is due to the uncertainties and significant management judgement used to estimate the undiscounted cash flows. Evaluating management’s estimates required a high degree of auditor judgement and an increased level of effort when performing audit procedures to evaluate the reasonableness of management’s cash flow analysis in light of the uncertainties presented from the COVID-19 global pandemic.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valuation considerations for long-lived assets included the following, among others:</w:t>
      </w:r>
    </w:p>
    <w:p>
      <w:pPr>
        <w:spacing w:after="0" w:line="171" w:lineRule="exact"/>
        <w:rPr>
          <w:sz w:val="20"/>
          <w:szCs w:val="20"/>
          <w:color w:val="auto"/>
        </w:rPr>
      </w:pPr>
    </w:p>
    <w:p>
      <w:pPr>
        <w:ind w:left="660" w:right="20"/>
        <w:spacing w:after="0" w:line="225" w:lineRule="auto"/>
        <w:rPr>
          <w:sz w:val="20"/>
          <w:szCs w:val="20"/>
          <w:color w:val="auto"/>
        </w:rPr>
      </w:pPr>
      <w:r>
        <w:rPr>
          <w:rFonts w:ascii="Arial" w:cs="Arial" w:eastAsia="Arial" w:hAnsi="Arial"/>
          <w:sz w:val="18"/>
          <w:szCs w:val="18"/>
          <w:color w:val="auto"/>
        </w:rPr>
        <w:t>We tested the design and operating effectiveness of internal controls relating to management’s identification of triggering events and measurement considerations for long-lived assets, including controls over the determination of impairment consideration models used, key inputs and assumptions used in relation to the forecasting of future cash flows.</w:t>
      </w:r>
    </w:p>
    <w:p>
      <w:pPr>
        <w:spacing w:after="0" w:line="1" w:lineRule="exact"/>
        <w:rPr>
          <w:sz w:val="20"/>
          <w:szCs w:val="20"/>
          <w:color w:val="auto"/>
        </w:rPr>
      </w:pPr>
    </w:p>
    <w:p>
      <w:pPr>
        <w:ind w:left="660" w:right="300"/>
        <w:spacing w:after="0" w:line="219" w:lineRule="auto"/>
        <w:rPr>
          <w:sz w:val="20"/>
          <w:szCs w:val="20"/>
          <w:color w:val="auto"/>
        </w:rPr>
      </w:pPr>
      <w:r>
        <w:rPr>
          <w:rFonts w:ascii="Arial" w:cs="Arial" w:eastAsia="Arial" w:hAnsi="Arial"/>
          <w:sz w:val="18"/>
          <w:szCs w:val="18"/>
          <w:color w:val="auto"/>
        </w:rPr>
        <w:t>The evaluation of assumptions within the impairment consideration models, including future cash flows, long-term growth rates and terminal values were evaluated for management bias. We benchmarked the average historical cash flows generated at the specific theater location level during prior periods not impacted by government mandated closures due to pandemic concerns. Where available, external information was obtained and used to audit management’s assumptions.</w:t>
      </w:r>
    </w:p>
    <w:p>
      <w:pPr>
        <w:ind w:left="660"/>
        <w:spacing w:after="0" w:line="219" w:lineRule="auto"/>
        <w:rPr>
          <w:sz w:val="20"/>
          <w:szCs w:val="20"/>
          <w:color w:val="auto"/>
        </w:rPr>
      </w:pPr>
      <w:r>
        <w:rPr>
          <w:rFonts w:ascii="Arial" w:cs="Arial" w:eastAsia="Arial" w:hAnsi="Arial"/>
          <w:sz w:val="18"/>
          <w:szCs w:val="18"/>
          <w:color w:val="auto"/>
        </w:rPr>
        <w:t>On a scope basis we performed independent calculations to test the sensitivity of key assumptions used by management.</w:t>
      </w:r>
    </w:p>
    <w:p>
      <w:pPr>
        <w:spacing w:after="0" w:line="1" w:lineRule="exact"/>
        <w:rPr>
          <w:sz w:val="20"/>
          <w:szCs w:val="20"/>
          <w:color w:val="auto"/>
        </w:rPr>
      </w:pPr>
    </w:p>
    <w:p>
      <w:pPr>
        <w:ind w:left="660" w:right="120"/>
        <w:spacing w:after="0" w:line="233" w:lineRule="auto"/>
        <w:rPr>
          <w:sz w:val="20"/>
          <w:szCs w:val="20"/>
          <w:color w:val="auto"/>
        </w:rPr>
      </w:pPr>
      <w:r>
        <w:rPr>
          <w:rFonts w:ascii="Arial" w:cs="Arial" w:eastAsia="Arial" w:hAnsi="Arial"/>
          <w:sz w:val="18"/>
          <w:szCs w:val="18"/>
          <w:color w:val="auto"/>
        </w:rPr>
        <w:t>We utilized the assistance of our firm’s valuation services group to assist in testing certain scoped theaters’ impairment consideration models and in evaluating the reasonableness of significant assumptions utilized within the models.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Goodwill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As described further in Note 2 and Note 8 to the financial statements, the Company reviews intangibles assets including goodwill for impairment on at least an annual basis and whenever events or changes in circumstances indicate the carrying amount of the asset may not be fully recoverable. To test for impairment of goodwill, the Company compares the fair value of each reporting unit to its carrying amount, including the goodwill, to determine if there is potential goodwill impairment. The fair value of reporting units are determined using the present value of estimated future cash flows plus the expected terminal value. Such significant inputs and assumptions are further complicated due to uncertainties related to the COVID-19 global pandemic. We identified the Company’s measurement considerations for goodwill as a critical audit matter.</w:t>
      </w:r>
    </w:p>
    <w:p>
      <w:pPr>
        <w:spacing w:after="0" w:line="150" w:lineRule="exact"/>
        <w:rPr>
          <w:sz w:val="20"/>
          <w:szCs w:val="20"/>
          <w:color w:val="auto"/>
        </w:rPr>
      </w:pPr>
    </w:p>
    <w:p>
      <w:pPr>
        <w:ind w:right="280"/>
        <w:spacing w:after="0" w:line="221" w:lineRule="auto"/>
        <w:rPr>
          <w:sz w:val="20"/>
          <w:szCs w:val="20"/>
          <w:color w:val="auto"/>
        </w:rPr>
      </w:pPr>
      <w:r>
        <w:rPr>
          <w:rFonts w:ascii="Arial" w:cs="Arial" w:eastAsia="Arial" w:hAnsi="Arial"/>
          <w:sz w:val="18"/>
          <w:szCs w:val="18"/>
          <w:color w:val="auto"/>
        </w:rPr>
        <w:t>The principal considerations for our determination that measurement considerations for goodwill is a critical audit matter are due to the significant judgements necessary to evaluate the estimated discounted cash flows and fair value of the reporting unit. Significant judgement is required to evaluate expectations of future operating performance based on relevant information available regarding expectations of industry performance as well as expectations for company-specific performance. Determining the discount rate requires judgement to evaluate the appropriate risk premium based on industry and company-specific risks. The evaluation of such matters required a high degree of auditor judgement and an increased level of effort when performing audit procedures to evaluate management’s goodwill impairment analysis in light of the uncertainties presented from the COVID-19 global pandemic.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Our audit procedures related to the evaluation of goodwill impairment included the following, among others:</w:t>
      </w:r>
    </w:p>
    <w:p>
      <w:pPr>
        <w:spacing w:after="0" w:line="171" w:lineRule="exact"/>
        <w:rPr>
          <w:sz w:val="20"/>
          <w:szCs w:val="20"/>
          <w:color w:val="auto"/>
        </w:rPr>
      </w:pPr>
    </w:p>
    <w:p>
      <w:pPr>
        <w:ind w:left="660"/>
        <w:spacing w:after="0" w:line="225" w:lineRule="auto"/>
        <w:rPr>
          <w:sz w:val="20"/>
          <w:szCs w:val="20"/>
          <w:color w:val="auto"/>
        </w:rPr>
      </w:pPr>
      <w:r>
        <w:rPr>
          <w:rFonts w:ascii="Arial" w:cs="Arial" w:eastAsia="Arial" w:hAnsi="Arial"/>
          <w:sz w:val="18"/>
          <w:szCs w:val="18"/>
          <w:color w:val="auto"/>
        </w:rPr>
        <w:t>We tested the design and operating effectiveness of internal controls relating to management’s identification of triggering events and controls over the determination of discounted cash flow models used, key inputs and assumptions used in relation to the forecasting of future cash flows and determination of the reporting unit fair value.</w:t>
      </w:r>
    </w:p>
    <w:p>
      <w:pPr>
        <w:spacing w:after="0" w:line="1" w:lineRule="exact"/>
        <w:rPr>
          <w:sz w:val="20"/>
          <w:szCs w:val="20"/>
          <w:color w:val="auto"/>
        </w:rPr>
      </w:pPr>
    </w:p>
    <w:p>
      <w:pPr>
        <w:jc w:val="both"/>
        <w:ind w:left="660" w:right="80"/>
        <w:spacing w:after="0" w:line="219" w:lineRule="auto"/>
        <w:rPr>
          <w:sz w:val="20"/>
          <w:szCs w:val="20"/>
          <w:color w:val="auto"/>
        </w:rPr>
      </w:pPr>
      <w:r>
        <w:rPr>
          <w:rFonts w:ascii="Arial" w:cs="Arial" w:eastAsia="Arial" w:hAnsi="Arial"/>
          <w:sz w:val="18"/>
          <w:szCs w:val="18"/>
          <w:color w:val="auto"/>
        </w:rPr>
        <w:t>Evaluation of the assumptions within the discounted cash flow models, including future cash flows, long-term growth rates and terminal values were evaluated for management bias and benchmarked to average historical cash flows generated at the reporting unit level during prior periods not impacted by government mandated closures due to pandemic concerns. Where available, external information was obtained and used to audit management’s assumptions.</w:t>
      </w:r>
    </w:p>
    <w:p>
      <w:pPr>
        <w:spacing w:after="0" w:line="1" w:lineRule="exact"/>
        <w:rPr>
          <w:sz w:val="20"/>
          <w:szCs w:val="20"/>
          <w:color w:val="auto"/>
        </w:rPr>
      </w:pPr>
    </w:p>
    <w:p>
      <w:pPr>
        <w:ind w:left="660" w:right="440"/>
        <w:spacing w:after="0" w:line="219" w:lineRule="auto"/>
        <w:rPr>
          <w:sz w:val="20"/>
          <w:szCs w:val="20"/>
          <w:color w:val="auto"/>
        </w:rPr>
      </w:pPr>
      <w:r>
        <w:rPr>
          <w:rFonts w:ascii="Arial" w:cs="Arial" w:eastAsia="Arial" w:hAnsi="Arial"/>
          <w:sz w:val="18"/>
          <w:szCs w:val="18"/>
          <w:color w:val="auto"/>
        </w:rPr>
        <w:t>In order to scope the level of our audit procedures, we performed independent calculations to test the sensitivity of key assumptions used by management.</w:t>
      </w:r>
    </w:p>
    <w:p>
      <w:pPr>
        <w:ind w:left="660" w:right="120"/>
        <w:spacing w:after="0" w:line="233" w:lineRule="auto"/>
        <w:rPr>
          <w:sz w:val="20"/>
          <w:szCs w:val="20"/>
          <w:color w:val="auto"/>
        </w:rPr>
      </w:pPr>
      <w:r>
        <w:rPr>
          <w:rFonts w:ascii="Arial" w:cs="Arial" w:eastAsia="Arial" w:hAnsi="Arial"/>
          <w:sz w:val="18"/>
          <w:szCs w:val="18"/>
          <w:color w:val="auto"/>
        </w:rPr>
        <w:t>We utilized the assistance of our firm’s valuation services group to assist in testing the Company’s discounted cash flow model and in evaluating the reasonableness of significant assumptions including the discount rate and the reporting unit fair value.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rPr>
          <w:sz w:val="20"/>
          <w:szCs w:val="20"/>
          <w:color w:val="auto"/>
        </w:rPr>
      </w:pPr>
      <w:r>
        <w:rPr>
          <w:rFonts w:ascii="Arial" w:cs="Arial" w:eastAsia="Arial" w:hAnsi="Arial"/>
          <w:sz w:val="18"/>
          <w:szCs w:val="18"/>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Stockholders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Reading International, Inc.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on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internal control over financial reporting of Reading International, Inc. and subsidiaries (the “Company”) as of December 31, 2020,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Commission (“COSO”). In our opinion, the Company maintained, in all material respects, effective internal control over financial reporting as of December</w:t>
      </w:r>
    </w:p>
    <w:p>
      <w:pPr>
        <w:spacing w:after="0" w:line="224" w:lineRule="auto"/>
        <w:rPr>
          <w:sz w:val="20"/>
          <w:szCs w:val="20"/>
          <w:color w:val="auto"/>
        </w:rPr>
      </w:pPr>
      <w:r>
        <w:rPr>
          <w:rFonts w:ascii="Arial" w:cs="Arial" w:eastAsia="Arial" w:hAnsi="Arial"/>
          <w:sz w:val="18"/>
          <w:szCs w:val="18"/>
          <w:color w:val="auto"/>
        </w:rPr>
        <w:t xml:space="preserve">31, 2020, based on criteria established in the 2013 </w:t>
      </w:r>
      <w:r>
        <w:rPr>
          <w:rFonts w:ascii="Arial" w:cs="Arial" w:eastAsia="Arial" w:hAnsi="Arial"/>
          <w:sz w:val="18"/>
          <w:szCs w:val="18"/>
          <w:i w:val="1"/>
          <w:iCs w:val="1"/>
          <w:color w:val="auto"/>
        </w:rPr>
        <w:t>Internal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COSO.</w:t>
      </w:r>
    </w:p>
    <w:p>
      <w:pPr>
        <w:spacing w:after="0" w:line="15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2020, and our report dated March 31, 2021 expressed an unqualified opinion on those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for opinion</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of Reading International, Inc.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 and limitations of internal control over financial reporting</w:t>
      </w:r>
    </w:p>
    <w:p>
      <w:pPr>
        <w:spacing w:after="0" w:line="17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31, 2021</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jc w:val="center"/>
        <w:spacing w:after="0" w:line="227" w:lineRule="auto"/>
        <w:rPr>
          <w:sz w:val="20"/>
          <w:szCs w:val="20"/>
          <w:color w:val="auto"/>
        </w:rPr>
      </w:pPr>
      <w:r>
        <w:rPr>
          <w:rFonts w:ascii="Arial" w:cs="Arial" w:eastAsia="Arial" w:hAnsi="Arial"/>
          <w:sz w:val="18"/>
          <w:szCs w:val="18"/>
          <w:b w:val="1"/>
          <w:bCs w:val="1"/>
          <w:color w:val="auto"/>
        </w:rPr>
        <w:t>Consolidated Balance Sheets as of December 31, 2020 and 2019</w:t>
      </w:r>
    </w:p>
    <w:p>
      <w:pPr>
        <w:jc w:val="center"/>
        <w:spacing w:after="0"/>
        <w:rPr>
          <w:sz w:val="20"/>
          <w:szCs w:val="20"/>
          <w:color w:val="auto"/>
        </w:rPr>
      </w:pPr>
      <w:r>
        <w:rPr>
          <w:rFonts w:ascii="Arial" w:cs="Arial" w:eastAsia="Arial" w:hAnsi="Arial"/>
          <w:sz w:val="18"/>
          <w:szCs w:val="18"/>
          <w:i w:val="1"/>
          <w:iCs w:val="1"/>
          <w:color w:val="auto"/>
        </w:rPr>
        <w:t>(U.S. dollars in thousands, except share information)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55"/>
        </w:trPr>
        <w:tc>
          <w:tcPr>
            <w:tcW w:w="8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0"/>
              <w:spacing w:after="0" w:line="149" w:lineRule="exact"/>
              <w:rPr>
                <w:sz w:val="20"/>
                <w:szCs w:val="20"/>
                <w:color w:val="auto"/>
              </w:rPr>
            </w:pPr>
            <w:r>
              <w:rPr>
                <w:rFonts w:ascii="Arial" w:cs="Arial" w:eastAsia="Arial" w:hAnsi="Arial"/>
                <w:sz w:val="14"/>
                <w:szCs w:val="14"/>
                <w:b w:val="1"/>
                <w:bCs w:val="1"/>
                <w:color w:val="auto"/>
              </w:rPr>
              <w:t>2019</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26,826</w:t>
            </w:r>
          </w:p>
        </w:tc>
        <w:tc>
          <w:tcPr>
            <w:tcW w:w="160" w:type="dxa"/>
            <w:vAlign w:val="bottom"/>
          </w:tcPr>
          <w:p>
            <w:pPr>
              <w:spacing w:after="0"/>
              <w:rPr>
                <w:sz w:val="16"/>
                <w:szCs w:val="16"/>
                <w:color w:val="auto"/>
              </w:rPr>
            </w:pPr>
          </w:p>
        </w:tc>
        <w:tc>
          <w:tcPr>
            <w:tcW w:w="44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12,135</w:t>
            </w: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2,438</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7,085</w:t>
            </w: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1,059</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1,674</w:t>
            </w: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8,414</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6,105</w:t>
            </w:r>
          </w:p>
        </w:tc>
      </w:tr>
      <w:tr>
        <w:trPr>
          <w:trHeight w:val="189"/>
        </w:trPr>
        <w:tc>
          <w:tcPr>
            <w:tcW w:w="818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8"/>
                <w:szCs w:val="18"/>
                <w:color w:val="auto"/>
              </w:rPr>
              <w:t>Land held for sale</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17,730</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8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56,467</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26,999</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Operating properties, net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353,125</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258,138</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220,503</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229,879</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Investment and development properties, net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11,570</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114,024</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 in unconsolidated joint ventures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5,025</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5,069</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28,116</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26,448</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3,971</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4,320</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3,362</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3,444</w:t>
            </w:r>
          </w:p>
        </w:tc>
      </w:tr>
      <w:tr>
        <w:trPr>
          <w:trHeight w:val="189"/>
        </w:trPr>
        <w:tc>
          <w:tcPr>
            <w:tcW w:w="81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8,030</w:t>
            </w:r>
          </w:p>
        </w:tc>
        <w:tc>
          <w:tcPr>
            <w:tcW w:w="1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6,668</w:t>
            </w:r>
          </w:p>
        </w:tc>
      </w:tr>
      <w:tr>
        <w:trPr>
          <w:trHeight w:val="189"/>
        </w:trPr>
        <w:tc>
          <w:tcPr>
            <w:tcW w:w="81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690,169</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674,989</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Accounts payable and accrued liabilities</w:t>
            </w:r>
          </w:p>
        </w:tc>
        <w:tc>
          <w:tcPr>
            <w:tcW w:w="48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38,877</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29,436</w:t>
            </w: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Film rent payable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2,473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8,716</w:t>
            </w: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Debt - current portion</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41,459</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36,736</w:t>
            </w: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Subordinated debt - current portion</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840</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644</w:t>
            </w: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Derivative financial instruments - current portion</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109</w:t>
            </w: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Taxes payable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82</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140</w:t>
            </w: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current revenue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10,133</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11,324</w:t>
            </w: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Operating lease liabilities - current portion</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22,699</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20,379</w:t>
            </w:r>
          </w:p>
        </w:tc>
      </w:tr>
      <w:tr>
        <w:trPr>
          <w:trHeight w:val="189"/>
        </w:trPr>
        <w:tc>
          <w:tcPr>
            <w:tcW w:w="818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3,826</w:t>
            </w:r>
          </w:p>
        </w:tc>
        <w:tc>
          <w:tcPr>
            <w:tcW w:w="1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3,653</w:t>
            </w: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120,607</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111,137</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Debt – long-term portion</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213,779</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140,602</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Derivative financial instruments - non-current portion</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212</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233</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Subordinated debt - non-current portion</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26,505</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29,030</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Noncurrent tax liabilities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13,070</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12,353</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lease liabilities - non-current portion</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212,806</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223,164</w:t>
            </w:r>
          </w:p>
        </w:tc>
      </w:tr>
      <w:tr>
        <w:trPr>
          <w:trHeight w:val="189"/>
        </w:trPr>
        <w:tc>
          <w:tcPr>
            <w:tcW w:w="81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22,017</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18,854</w:t>
            </w:r>
          </w:p>
        </w:tc>
      </w:tr>
      <w:tr>
        <w:trPr>
          <w:trHeight w:val="183"/>
        </w:trPr>
        <w:tc>
          <w:tcPr>
            <w:tcW w:w="81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608,996</w:t>
            </w:r>
          </w:p>
        </w:tc>
        <w:tc>
          <w:tcPr>
            <w:tcW w:w="1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535,373</w:t>
            </w: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61"/>
        </w:trPr>
        <w:tc>
          <w:tcPr>
            <w:tcW w:w="8180" w:type="dxa"/>
            <w:vAlign w:val="bottom"/>
          </w:tcPr>
          <w:p>
            <w:pPr>
              <w:spacing w:after="0" w:line="161" w:lineRule="exact"/>
              <w:rPr>
                <w:sz w:val="20"/>
                <w:szCs w:val="20"/>
                <w:color w:val="auto"/>
              </w:rPr>
            </w:pPr>
            <w:r>
              <w:rPr>
                <w:rFonts w:ascii="Arial" w:cs="Arial" w:eastAsia="Arial" w:hAnsi="Arial"/>
                <w:sz w:val="18"/>
                <w:szCs w:val="18"/>
                <w:color w:val="auto"/>
              </w:rPr>
              <w:t>Class A non-voting common shares, par value $0.01, 100,000,000 shares authorized,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33,004,717 issued and 20,068,606 outstanding at December 31, 2020 and 32,963,489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8180" w:type="dxa"/>
            <w:vAlign w:val="bottom"/>
          </w:tcPr>
          <w:p>
            <w:pPr>
              <w:ind w:left="120"/>
              <w:spacing w:after="0"/>
              <w:rPr>
                <w:sz w:val="20"/>
                <w:szCs w:val="20"/>
                <w:color w:val="auto"/>
              </w:rPr>
            </w:pPr>
            <w:r>
              <w:rPr>
                <w:rFonts w:ascii="Arial" w:cs="Arial" w:eastAsia="Arial" w:hAnsi="Arial"/>
                <w:sz w:val="18"/>
                <w:szCs w:val="18"/>
                <w:color w:val="auto"/>
              </w:rPr>
              <w:t>issued and 20,102,535 outstanding at December 31, 2019</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161"/>
        </w:trPr>
        <w:tc>
          <w:tcPr>
            <w:tcW w:w="81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Class B voting common shares, par value $0.01, 20,000,000 shares authorized and</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17"/>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1,680,590 issued and outstanding at December 31, 2020 and 2019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161"/>
        </w:trPr>
        <w:tc>
          <w:tcPr>
            <w:tcW w:w="8180" w:type="dxa"/>
            <w:vAlign w:val="bottom"/>
          </w:tcPr>
          <w:p>
            <w:pPr>
              <w:spacing w:after="0" w:line="161" w:lineRule="exact"/>
              <w:rPr>
                <w:sz w:val="20"/>
                <w:szCs w:val="20"/>
                <w:color w:val="auto"/>
              </w:rPr>
            </w:pPr>
            <w:r>
              <w:rPr>
                <w:rFonts w:ascii="Arial" w:cs="Arial" w:eastAsia="Arial" w:hAnsi="Arial"/>
                <w:sz w:val="18"/>
                <w:szCs w:val="18"/>
                <w:color w:val="auto"/>
              </w:rPr>
              <w:t>Nonvoting preferred shares, par value $0.01, 12,000 shares authorized and no issued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7"/>
        </w:trPr>
        <w:tc>
          <w:tcPr>
            <w:tcW w:w="8180" w:type="dxa"/>
            <w:vAlign w:val="bottom"/>
          </w:tcPr>
          <w:p>
            <w:pPr>
              <w:ind w:left="120"/>
              <w:spacing w:after="0"/>
              <w:rPr>
                <w:sz w:val="20"/>
                <w:szCs w:val="20"/>
                <w:color w:val="auto"/>
              </w:rPr>
            </w:pPr>
            <w:r>
              <w:rPr>
                <w:rFonts w:ascii="Arial" w:cs="Arial" w:eastAsia="Arial" w:hAnsi="Arial"/>
                <w:sz w:val="18"/>
                <w:szCs w:val="18"/>
                <w:color w:val="auto"/>
              </w:rPr>
              <w:t>or outstanding shares at December 31, 2020 and 2019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149,979</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148,602</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Retained earnings (deficit)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(44,553)</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20,647</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Treasury shares, at cost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(40,407)</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(39,737)</w:t>
            </w:r>
          </w:p>
        </w:tc>
      </w:tr>
      <w:tr>
        <w:trPr>
          <w:trHeight w:val="189"/>
        </w:trPr>
        <w:tc>
          <w:tcPr>
            <w:tcW w:w="81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12,502</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5,589</w:t>
            </w:r>
          </w:p>
        </w:tc>
      </w:tr>
      <w:tr>
        <w:trPr>
          <w:trHeight w:val="183"/>
        </w:trPr>
        <w:tc>
          <w:tcPr>
            <w:tcW w:w="8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Reading International, Inc. ("RDI") Stockholders’ Equity</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77,769</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135,349</w:t>
            </w:r>
          </w:p>
        </w:tc>
      </w:tr>
      <w:tr>
        <w:trPr>
          <w:trHeight w:val="189"/>
        </w:trPr>
        <w:tc>
          <w:tcPr>
            <w:tcW w:w="81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3,404</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4,267</w:t>
            </w:r>
          </w:p>
        </w:tc>
      </w:tr>
      <w:tr>
        <w:trPr>
          <w:trHeight w:val="183"/>
        </w:trPr>
        <w:tc>
          <w:tcPr>
            <w:tcW w:w="81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81,173</w:t>
            </w:r>
          </w:p>
        </w:tc>
        <w:tc>
          <w:tcPr>
            <w:tcW w:w="1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139,616</w:t>
            </w:r>
          </w:p>
        </w:tc>
      </w:tr>
      <w:tr>
        <w:trPr>
          <w:trHeight w:val="189"/>
        </w:trPr>
        <w:tc>
          <w:tcPr>
            <w:tcW w:w="81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690,169</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674,989</w:t>
            </w:r>
          </w:p>
        </w:tc>
      </w:tr>
    </w:tbl>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jc w:val="center"/>
        <w:spacing w:after="0" w:line="227" w:lineRule="auto"/>
        <w:rPr>
          <w:sz w:val="20"/>
          <w:szCs w:val="20"/>
          <w:color w:val="auto"/>
        </w:rPr>
      </w:pPr>
      <w:r>
        <w:rPr>
          <w:rFonts w:ascii="Arial" w:cs="Arial" w:eastAsia="Arial" w:hAnsi="Arial"/>
          <w:sz w:val="18"/>
          <w:szCs w:val="18"/>
          <w:b w:val="1"/>
          <w:bCs w:val="1"/>
          <w:color w:val="auto"/>
        </w:rPr>
        <w:t>Consolidated Statements of Operations for the Three Years Ended December 31, 2020</w:t>
      </w:r>
    </w:p>
    <w:p>
      <w:pPr>
        <w:jc w:val="center"/>
        <w:spacing w:after="0"/>
        <w:rPr>
          <w:sz w:val="20"/>
          <w:szCs w:val="20"/>
          <w:color w:val="auto"/>
        </w:rPr>
      </w:pPr>
      <w:r>
        <w:rPr>
          <w:rFonts w:ascii="Arial" w:cs="Arial" w:eastAsia="Arial" w:hAnsi="Arial"/>
          <w:sz w:val="18"/>
          <w:szCs w:val="18"/>
          <w:i w:val="1"/>
          <w:iCs w:val="1"/>
          <w:color w:val="auto"/>
        </w:rPr>
        <w:t>(U.S. dollars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Cinema</w:t>
            </w:r>
          </w:p>
        </w:tc>
        <w:tc>
          <w:tcPr>
            <w:tcW w:w="440" w:type="dxa"/>
            <w:vAlign w:val="bottom"/>
            <w:gridSpan w:val="2"/>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67,014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262,189</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293,723</w:t>
            </w:r>
          </w:p>
        </w:tc>
      </w:tr>
      <w:tr>
        <w:trPr>
          <w:trHeight w:val="189"/>
        </w:trPr>
        <w:tc>
          <w:tcPr>
            <w:tcW w:w="66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10,848</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14,579</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15,208</w:t>
            </w:r>
          </w:p>
        </w:tc>
      </w:tr>
      <w:tr>
        <w:trPr>
          <w:trHeight w:val="183"/>
        </w:trPr>
        <w:tc>
          <w:tcPr>
            <w:tcW w:w="66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revenues</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77,862</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276,768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308,931</w:t>
            </w:r>
          </w:p>
        </w:tc>
      </w:tr>
      <w:tr>
        <w:trPr>
          <w:trHeight w:val="183"/>
        </w:trPr>
        <w:tc>
          <w:tcPr>
            <w:tcW w:w="6640" w:type="dxa"/>
            <w:vAlign w:val="bottom"/>
          </w:tcPr>
          <w:p>
            <w:pPr>
              <w:spacing w:after="0" w:line="182" w:lineRule="exact"/>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Cinema</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(91,065)</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(210,050)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(225,791)</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(8,578)</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(9,453)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(9,904)</w:t>
            </w: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(22,317)</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(22,747)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(22,275)</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(16,998)</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(25,395)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(27,337)</w:t>
            </w: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Impairment of long-lived assets</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(217)</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66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(139,175)</w:t>
            </w:r>
          </w:p>
        </w:tc>
        <w:tc>
          <w:tcPr>
            <w:tcW w:w="1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(267,645)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(285,307)</w:t>
            </w:r>
          </w:p>
        </w:tc>
      </w:tr>
      <w:tr>
        <w:trPr>
          <w:trHeight w:val="183"/>
        </w:trPr>
        <w:tc>
          <w:tcPr>
            <w:tcW w:w="66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(61,313)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9,123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23,624</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(9,354)</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(7,904)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(6,837)</w:t>
            </w: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Gain (loss) on sale of assets</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r>
      <w:tr>
        <w:trPr>
          <w:trHeight w:val="189"/>
        </w:trPr>
        <w:tc>
          <w:tcPr>
            <w:tcW w:w="66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293</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(256)</w:t>
            </w:r>
          </w:p>
        </w:tc>
      </w:tr>
      <w:tr>
        <w:trPr>
          <w:trHeight w:val="151"/>
        </w:trPr>
        <w:tc>
          <w:tcPr>
            <w:tcW w:w="6640" w:type="dxa"/>
            <w:vAlign w:val="bottom"/>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5"/>
              </w:rPr>
              <w:t>Income (loss) before income tax expense and equity earnings of unconsolidated joint</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21"/>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ventures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(70,375)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16,490</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Equity earnings of unconsolidated joint ventures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(449)</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792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974</w:t>
            </w:r>
          </w:p>
        </w:tc>
      </w:tr>
      <w:tr>
        <w:trPr>
          <w:trHeight w:val="183"/>
        </w:trPr>
        <w:tc>
          <w:tcPr>
            <w:tcW w:w="66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(70,824)</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2,334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17,464</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4,967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(28,837)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(3,298)</w:t>
            </w:r>
          </w:p>
        </w:tc>
      </w:tr>
      <w:tr>
        <w:trPr>
          <w:trHeight w:val="183"/>
        </w:trPr>
        <w:tc>
          <w:tcPr>
            <w:tcW w:w="66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(65,857)</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(26,503)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14,166</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(657)</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132</w:t>
            </w:r>
          </w:p>
        </w:tc>
      </w:tr>
      <w:tr>
        <w:trPr>
          <w:trHeight w:val="190"/>
        </w:trPr>
        <w:tc>
          <w:tcPr>
            <w:tcW w:w="66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4"/>
              </w:rPr>
              <w:t>Net income (loss) attributable to Reading International, Inc. common shareholders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(65,200)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(26,429)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14,034</w:t>
            </w:r>
          </w:p>
        </w:tc>
      </w:tr>
      <w:tr>
        <w:trPr>
          <w:trHeight w:val="157"/>
        </w:trPr>
        <w:tc>
          <w:tcPr>
            <w:tcW w:w="6640" w:type="dxa"/>
            <w:vAlign w:val="bottom"/>
          </w:tcPr>
          <w:p>
            <w:pPr>
              <w:spacing w:after="0" w:line="157" w:lineRule="exact"/>
              <w:rPr>
                <w:sz w:val="20"/>
                <w:szCs w:val="20"/>
                <w:color w:val="auto"/>
              </w:rPr>
            </w:pPr>
            <w:r>
              <w:rPr>
                <w:rFonts w:ascii="Arial" w:cs="Arial" w:eastAsia="Arial" w:hAnsi="Arial"/>
                <w:sz w:val="18"/>
                <w:szCs w:val="18"/>
                <w:b w:val="1"/>
                <w:bCs w:val="1"/>
                <w:color w:val="auto"/>
              </w:rPr>
              <w:t>Basic earnings (loss) per share attributable to Reading International, Inc.</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8"/>
        </w:trPr>
        <w:tc>
          <w:tcPr>
            <w:tcW w:w="664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(3.00)</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0.61</w:t>
            </w:r>
          </w:p>
        </w:tc>
      </w:tr>
      <w:tr>
        <w:trPr>
          <w:trHeight w:val="157"/>
        </w:trPr>
        <w:tc>
          <w:tcPr>
            <w:tcW w:w="664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Diluted earnings (loss) per share attributable to Reading International, Inc.</w:t>
            </w: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228"/>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w:t>
            </w:r>
          </w:p>
        </w:tc>
        <w:tc>
          <w:tcPr>
            <w:tcW w:w="4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r>
      <w:tr>
        <w:trPr>
          <w:trHeight w:val="189"/>
        </w:trPr>
        <w:tc>
          <w:tcPr>
            <w:tcW w:w="6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Weighted average number of shares outstanding–basic</w:t>
            </w: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21,749,155</w:t>
            </w: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22,631,754</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22,991,277</w:t>
            </w:r>
          </w:p>
        </w:tc>
      </w:tr>
      <w:tr>
        <w:trPr>
          <w:trHeight w:val="196"/>
        </w:trPr>
        <w:tc>
          <w:tcPr>
            <w:tcW w:w="66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Weighted average number of shares outstanding–diluted</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22,215,511</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22,784,122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23,208,991</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jc w:val="center"/>
        <w:spacing w:after="0" w:line="227" w:lineRule="auto"/>
        <w:rPr>
          <w:sz w:val="20"/>
          <w:szCs w:val="20"/>
          <w:color w:val="auto"/>
        </w:rPr>
      </w:pPr>
      <w:r>
        <w:rPr>
          <w:rFonts w:ascii="Arial" w:cs="Arial" w:eastAsia="Arial" w:hAnsi="Arial"/>
          <w:sz w:val="18"/>
          <w:szCs w:val="18"/>
          <w:b w:val="1"/>
          <w:bCs w:val="1"/>
          <w:color w:val="auto"/>
        </w:rPr>
        <w:t>Consolidated Statements of Comprehensive Income for the Three Years Ended December 31, 2020</w:t>
      </w:r>
    </w:p>
    <w:p>
      <w:pPr>
        <w:jc w:val="center"/>
        <w:spacing w:after="0"/>
        <w:rPr>
          <w:sz w:val="20"/>
          <w:szCs w:val="20"/>
          <w:color w:val="auto"/>
        </w:rPr>
      </w:pPr>
      <w:r>
        <w:rPr>
          <w:rFonts w:ascii="Arial" w:cs="Arial" w:eastAsia="Arial" w:hAnsi="Arial"/>
          <w:sz w:val="18"/>
          <w:szCs w:val="18"/>
          <w:i w:val="1"/>
          <w:iCs w:val="1"/>
          <w:color w:val="auto"/>
        </w:rPr>
        <w:t>(U.S. 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6,837</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(14,903)</w:t>
            </w:r>
          </w:p>
        </w:tc>
      </w:tr>
      <w:tr>
        <w:trPr>
          <w:trHeight w:val="22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cash flow hedges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Others</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(58,955)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3"/>
        </w:trPr>
        <w:tc>
          <w:tcPr>
            <w:tcW w:w="66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Comprehensive income (loss) attributable to Reading International, Inc.</w:t>
            </w: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(58,287)</w:t>
            </w: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(26,955)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(842)</w:t>
            </w:r>
          </w:p>
        </w:tc>
      </w:tr>
    </w:tbl>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jc w:val="center"/>
        <w:spacing w:after="0" w:line="227" w:lineRule="auto"/>
        <w:rPr>
          <w:sz w:val="20"/>
          <w:szCs w:val="20"/>
          <w:color w:val="auto"/>
        </w:rPr>
      </w:pPr>
      <w:r>
        <w:rPr>
          <w:rFonts w:ascii="Arial" w:cs="Arial" w:eastAsia="Arial" w:hAnsi="Arial"/>
          <w:sz w:val="18"/>
          <w:szCs w:val="18"/>
          <w:b w:val="1"/>
          <w:bCs w:val="1"/>
          <w:color w:val="auto"/>
        </w:rPr>
        <w:t>Consolidated Statements of Stockholders’ Equity for the Three Years Ended December 31, 2020</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3"/>
                <w:szCs w:val="13"/>
                <w:b w:val="1"/>
                <w:bCs w:val="1"/>
                <w:color w:val="auto"/>
                <w:w w:val="94"/>
              </w:rPr>
              <w:t>Common Shares</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137"/>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97"/>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920" w:type="dxa"/>
            <w:vAlign w:val="bottom"/>
          </w:tcPr>
          <w:p>
            <w:pPr>
              <w:jc w:val="center"/>
              <w:ind w:right="97"/>
              <w:spacing w:after="0"/>
              <w:rPr>
                <w:sz w:val="20"/>
                <w:szCs w:val="20"/>
                <w:color w:val="auto"/>
              </w:rPr>
            </w:pPr>
            <w:r>
              <w:rPr>
                <w:rFonts w:ascii="Arial" w:cs="Arial" w:eastAsia="Arial" w:hAnsi="Arial"/>
                <w:sz w:val="13"/>
                <w:szCs w:val="13"/>
                <w:b w:val="1"/>
                <w:bCs w:val="1"/>
                <w:color w:val="auto"/>
                <w:w w:val="85"/>
              </w:rPr>
              <w:t>Reading</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10"/>
        </w:trPr>
        <w:tc>
          <w:tcPr>
            <w:tcW w:w="224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Class A</w:t>
            </w:r>
          </w:p>
        </w:tc>
        <w:tc>
          <w:tcPr>
            <w:tcW w:w="66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0"/>
              </w:rPr>
              <w:t>Class A</w:t>
            </w:r>
          </w:p>
        </w:tc>
        <w:tc>
          <w:tcPr>
            <w:tcW w:w="7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Class B</w:t>
            </w:r>
          </w:p>
        </w:tc>
        <w:tc>
          <w:tcPr>
            <w:tcW w:w="680" w:type="dxa"/>
            <w:vAlign w:val="bottom"/>
            <w:tcBorders>
              <w:right w:val="single" w:sz="8" w:color="auto"/>
            </w:tcBorders>
            <w:gridSpan w:val="2"/>
          </w:tcPr>
          <w:p>
            <w:pPr>
              <w:jc w:val="right"/>
              <w:ind w:right="97"/>
              <w:spacing w:after="0" w:line="110" w:lineRule="exact"/>
              <w:rPr>
                <w:sz w:val="20"/>
                <w:szCs w:val="20"/>
                <w:color w:val="auto"/>
              </w:rPr>
            </w:pPr>
            <w:r>
              <w:rPr>
                <w:rFonts w:ascii="Arial" w:cs="Arial" w:eastAsia="Arial" w:hAnsi="Arial"/>
                <w:sz w:val="12"/>
                <w:szCs w:val="12"/>
                <w:b w:val="1"/>
                <w:bCs w:val="1"/>
                <w:color w:val="auto"/>
              </w:rPr>
              <w:t>Class B</w:t>
            </w:r>
          </w:p>
        </w:tc>
        <w:tc>
          <w:tcPr>
            <w:tcW w:w="8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9"/>
                <w:szCs w:val="9"/>
                <w:color w:val="auto"/>
              </w:rPr>
            </w:pPr>
          </w:p>
        </w:tc>
        <w:tc>
          <w:tcPr>
            <w:tcW w:w="760" w:type="dxa"/>
            <w:vAlign w:val="bottom"/>
          </w:tcPr>
          <w:p>
            <w:pPr>
              <w:jc w:val="center"/>
              <w:ind w:right="137"/>
              <w:spacing w:after="0" w:line="110" w:lineRule="exact"/>
              <w:rPr>
                <w:sz w:val="20"/>
                <w:szCs w:val="20"/>
                <w:color w:val="auto"/>
              </w:rPr>
            </w:pPr>
            <w:r>
              <w:rPr>
                <w:rFonts w:ascii="Arial" w:cs="Arial" w:eastAsia="Arial" w:hAnsi="Arial"/>
                <w:sz w:val="12"/>
                <w:szCs w:val="12"/>
                <w:b w:val="1"/>
                <w:bCs w:val="1"/>
                <w:color w:val="auto"/>
                <w:w w:val="93"/>
              </w:rPr>
              <w:t>Earnings</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57"/>
              <w:spacing w:after="0" w:line="110" w:lineRule="exact"/>
              <w:rPr>
                <w:sz w:val="20"/>
                <w:szCs w:val="20"/>
                <w:color w:val="auto"/>
              </w:rPr>
            </w:pPr>
            <w:r>
              <w:rPr>
                <w:rFonts w:ascii="Arial" w:cs="Arial" w:eastAsia="Arial" w:hAnsi="Arial"/>
                <w:sz w:val="12"/>
                <w:szCs w:val="12"/>
                <w:b w:val="1"/>
                <w:bCs w:val="1"/>
                <w:color w:val="auto"/>
                <w:w w:val="99"/>
              </w:rPr>
              <w:t>Other</w:t>
            </w:r>
          </w:p>
        </w:tc>
        <w:tc>
          <w:tcPr>
            <w:tcW w:w="1040" w:type="dxa"/>
            <w:vAlign w:val="bottom"/>
            <w:gridSpan w:val="2"/>
          </w:tcPr>
          <w:p>
            <w:pPr>
              <w:jc w:val="center"/>
              <w:ind w:right="17"/>
              <w:spacing w:after="0" w:line="110" w:lineRule="exact"/>
              <w:rPr>
                <w:sz w:val="20"/>
                <w:szCs w:val="20"/>
                <w:color w:val="auto"/>
              </w:rPr>
            </w:pPr>
            <w:r>
              <w:rPr>
                <w:rFonts w:ascii="Arial" w:cs="Arial" w:eastAsia="Arial" w:hAnsi="Arial"/>
                <w:sz w:val="12"/>
                <w:szCs w:val="12"/>
                <w:b w:val="1"/>
                <w:bCs w:val="1"/>
                <w:color w:val="auto"/>
                <w:w w:val="99"/>
              </w:rPr>
              <w:t>International Inc.</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217"/>
              <w:spacing w:after="0" w:line="110" w:lineRule="exact"/>
              <w:rPr>
                <w:sz w:val="20"/>
                <w:szCs w:val="20"/>
                <w:color w:val="auto"/>
              </w:rPr>
            </w:pPr>
            <w:r>
              <w:rPr>
                <w:rFonts w:ascii="Arial" w:cs="Arial" w:eastAsia="Arial" w:hAnsi="Arial"/>
                <w:sz w:val="12"/>
                <w:szCs w:val="12"/>
                <w:b w:val="1"/>
                <w:bCs w:val="1"/>
                <w:color w:val="auto"/>
              </w:rPr>
              <w:t>Total</w:t>
            </w:r>
          </w:p>
        </w:tc>
      </w:tr>
      <w:tr>
        <w:trPr>
          <w:trHeight w:val="135"/>
        </w:trPr>
        <w:tc>
          <w:tcPr>
            <w:tcW w:w="22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2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Voting</w:t>
            </w:r>
          </w:p>
        </w:tc>
        <w:tc>
          <w:tcPr>
            <w:tcW w:w="160" w:type="dxa"/>
            <w:vAlign w:val="bottom"/>
          </w:tcPr>
          <w:p>
            <w:pPr>
              <w:spacing w:after="0"/>
              <w:rPr>
                <w:sz w:val="11"/>
                <w:szCs w:val="11"/>
                <w:color w:val="auto"/>
              </w:rPr>
            </w:pPr>
          </w:p>
        </w:tc>
        <w:tc>
          <w:tcPr>
            <w:tcW w:w="500" w:type="dxa"/>
            <w:vAlign w:val="bottom"/>
            <w:tcBorders>
              <w:right w:val="single" w:sz="8" w:color="auto"/>
            </w:tcBorders>
          </w:tcPr>
          <w:p>
            <w:pPr>
              <w:jc w:val="center"/>
              <w:ind w:right="117"/>
              <w:spacing w:after="0" w:line="135" w:lineRule="exact"/>
              <w:rPr>
                <w:sz w:val="20"/>
                <w:szCs w:val="20"/>
                <w:color w:val="auto"/>
              </w:rPr>
            </w:pPr>
            <w:r>
              <w:rPr>
                <w:rFonts w:ascii="Arial" w:cs="Arial" w:eastAsia="Arial" w:hAnsi="Arial"/>
                <w:sz w:val="13"/>
                <w:szCs w:val="13"/>
                <w:b w:val="1"/>
                <w:bCs w:val="1"/>
                <w:color w:val="auto"/>
                <w:w w:val="95"/>
              </w:rPr>
              <w:t>Par</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Voting</w:t>
            </w:r>
          </w:p>
        </w:tc>
        <w:tc>
          <w:tcPr>
            <w:tcW w:w="160" w:type="dxa"/>
            <w:vAlign w:val="bottom"/>
          </w:tcPr>
          <w:p>
            <w:pPr>
              <w:spacing w:after="0"/>
              <w:rPr>
                <w:sz w:val="11"/>
                <w:szCs w:val="11"/>
                <w:color w:val="auto"/>
              </w:rPr>
            </w:pPr>
          </w:p>
        </w:tc>
        <w:tc>
          <w:tcPr>
            <w:tcW w:w="520" w:type="dxa"/>
            <w:vAlign w:val="bottom"/>
            <w:tcBorders>
              <w:right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Par</w:t>
            </w:r>
          </w:p>
        </w:tc>
        <w:tc>
          <w:tcPr>
            <w:tcW w:w="200" w:type="dxa"/>
            <w:vAlign w:val="bottom"/>
          </w:tcPr>
          <w:p>
            <w:pPr>
              <w:spacing w:after="0"/>
              <w:rPr>
                <w:sz w:val="11"/>
                <w:szCs w:val="11"/>
                <w:color w:val="auto"/>
              </w:rPr>
            </w:pPr>
          </w:p>
        </w:tc>
        <w:tc>
          <w:tcPr>
            <w:tcW w:w="6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Paid-In</w:t>
            </w:r>
          </w:p>
        </w:tc>
        <w:tc>
          <w:tcPr>
            <w:tcW w:w="9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9"/>
              </w:rPr>
              <w:t>(Accumulated</w:t>
            </w:r>
          </w:p>
        </w:tc>
        <w:tc>
          <w:tcPr>
            <w:tcW w:w="100" w:type="dxa"/>
            <w:vAlign w:val="bottom"/>
          </w:tcPr>
          <w:p>
            <w:pPr>
              <w:spacing w:after="0"/>
              <w:rPr>
                <w:sz w:val="11"/>
                <w:szCs w:val="11"/>
                <w:color w:val="auto"/>
              </w:rPr>
            </w:pPr>
          </w:p>
        </w:tc>
        <w:tc>
          <w:tcPr>
            <w:tcW w:w="6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87"/>
              </w:rPr>
              <w:t>Treasury</w:t>
            </w:r>
          </w:p>
        </w:tc>
        <w:tc>
          <w:tcPr>
            <w:tcW w:w="9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4"/>
              </w:rPr>
              <w:t>Comprehensive</w:t>
            </w:r>
          </w:p>
        </w:tc>
        <w:tc>
          <w:tcPr>
            <w:tcW w:w="12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5"/>
              </w:rPr>
              <w:t>Noncontrolling</w:t>
            </w:r>
          </w:p>
        </w:tc>
        <w:tc>
          <w:tcPr>
            <w:tcW w:w="8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0"/>
              </w:rPr>
              <w:t>Stockholders’</w:t>
            </w:r>
          </w:p>
        </w:tc>
      </w:tr>
      <w:tr>
        <w:trPr>
          <w:trHeight w:val="153"/>
        </w:trPr>
        <w:tc>
          <w:tcPr>
            <w:tcW w:w="22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6"/>
              </w:rPr>
              <w:t>Value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2"/>
              </w:rPr>
              <w:t>Value</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Income/(Loss)</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2"/>
              </w:rPr>
              <w:t>Interests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Equity</w:t>
            </w:r>
          </w:p>
        </w:tc>
      </w:tr>
      <w:tr>
        <w:trPr>
          <w:trHeight w:val="136"/>
        </w:trPr>
        <w:tc>
          <w:tcPr>
            <w:tcW w:w="22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At January 1, 2018</w:t>
            </w:r>
          </w:p>
        </w:tc>
        <w:tc>
          <w:tcPr>
            <w:tcW w:w="6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21,251</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231</w:t>
            </w:r>
          </w:p>
        </w:tc>
        <w:tc>
          <w:tcPr>
            <w:tcW w:w="78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1,680</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17</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145,898</w:t>
            </w:r>
          </w:p>
        </w:tc>
        <w:tc>
          <w:tcPr>
            <w:tcW w:w="14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32,820</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(22,906)</w:t>
            </w: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20,991</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177,051</w:t>
            </w:r>
          </w:p>
        </w:tc>
        <w:tc>
          <w:tcPr>
            <w:tcW w:w="140" w:type="dxa"/>
            <w:vAlign w:val="bottom"/>
            <w:tcBorders>
              <w:bottom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4,331</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181,382</w:t>
            </w:r>
          </w:p>
        </w:tc>
      </w:tr>
      <w:tr>
        <w:trPr>
          <w:trHeight w:val="135"/>
        </w:trPr>
        <w:tc>
          <w:tcPr>
            <w:tcW w:w="22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Net income (loss)</w:t>
            </w:r>
          </w:p>
        </w:tc>
        <w:tc>
          <w:tcPr>
            <w:tcW w:w="6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14,034</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14,034</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14,166</w:t>
            </w:r>
          </w:p>
        </w:tc>
      </w:tr>
      <w:tr>
        <w:trPr>
          <w:trHeight w:val="121"/>
        </w:trPr>
        <w:tc>
          <w:tcPr>
            <w:tcW w:w="224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91"/>
              </w:rPr>
              <w:t>Adjustments to opening retained earnings</w:t>
            </w:r>
          </w:p>
        </w:tc>
        <w:tc>
          <w:tcPr>
            <w:tcW w:w="6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2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on adoption of ASC 606</w:t>
            </w:r>
          </w:p>
        </w:tc>
        <w:tc>
          <w:tcPr>
            <w:tcW w:w="66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r>
      <w:tr>
        <w:trPr>
          <w:trHeight w:val="135"/>
        </w:trPr>
        <w:tc>
          <w:tcPr>
            <w:tcW w:w="22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Other comprehensive income, net</w:t>
            </w:r>
          </w:p>
        </w:tc>
        <w:tc>
          <w:tcPr>
            <w:tcW w:w="6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(14,876)</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(14,876)</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(14,891)</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1,458</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1,458</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1,458</w:t>
            </w:r>
          </w:p>
        </w:tc>
      </w:tr>
      <w:tr>
        <w:trPr>
          <w:trHeight w:val="135"/>
        </w:trPr>
        <w:tc>
          <w:tcPr>
            <w:tcW w:w="22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Share repurchase plan</w:t>
            </w:r>
          </w:p>
        </w:tc>
        <w:tc>
          <w:tcPr>
            <w:tcW w:w="6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(149)</w:t>
            </w:r>
          </w:p>
        </w:tc>
        <w:tc>
          <w:tcPr>
            <w:tcW w:w="160" w:type="dxa"/>
            <w:vAlign w:val="bottom"/>
          </w:tcPr>
          <w:p>
            <w:pPr>
              <w:spacing w:after="0"/>
              <w:rPr>
                <w:sz w:val="11"/>
                <w:szCs w:val="11"/>
                <w:color w:val="auto"/>
              </w:rPr>
            </w:pPr>
          </w:p>
        </w:tc>
        <w:tc>
          <w:tcPr>
            <w:tcW w:w="5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(2,316)</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(2,316)</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(2,316)</w:t>
            </w:r>
          </w:p>
        </w:tc>
      </w:tr>
      <w:tr>
        <w:trPr>
          <w:trHeight w:val="121"/>
        </w:trPr>
        <w:tc>
          <w:tcPr>
            <w:tcW w:w="224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w w:val="94"/>
              </w:rPr>
              <w:t>Class A common stock issued for share-</w:t>
            </w:r>
          </w:p>
        </w:tc>
        <w:tc>
          <w:tcPr>
            <w:tcW w:w="6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2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based bonuses and options exercised</w:t>
            </w:r>
          </w:p>
        </w:tc>
        <w:tc>
          <w:tcPr>
            <w:tcW w:w="66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r>
      <w:tr>
        <w:trPr>
          <w:trHeight w:val="121"/>
        </w:trPr>
        <w:tc>
          <w:tcPr>
            <w:tcW w:w="224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In-kind exchange of share for the</w:t>
            </w: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exercise of options, net issued</w:t>
            </w:r>
          </w:p>
        </w:tc>
        <w:tc>
          <w:tcPr>
            <w:tcW w:w="6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2"/>
                <w:szCs w:val="12"/>
                <w:color w:val="auto"/>
              </w:rPr>
            </w:pPr>
          </w:p>
        </w:tc>
        <w:tc>
          <w:tcPr>
            <w:tcW w:w="5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2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Restricted Stock Units</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45</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r>
      <w:tr>
        <w:trPr>
          <w:trHeight w:val="121"/>
        </w:trPr>
        <w:tc>
          <w:tcPr>
            <w:tcW w:w="224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shareholders</w:t>
            </w:r>
          </w:p>
        </w:tc>
        <w:tc>
          <w:tcPr>
            <w:tcW w:w="6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2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21"/>
        </w:trPr>
        <w:tc>
          <w:tcPr>
            <w:tcW w:w="224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6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shareholders</w:t>
            </w:r>
          </w:p>
        </w:tc>
        <w:tc>
          <w:tcPr>
            <w:tcW w:w="66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r>
      <w:tr>
        <w:trPr>
          <w:trHeight w:val="136"/>
        </w:trPr>
        <w:tc>
          <w:tcPr>
            <w:tcW w:w="22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At December 31, 2018</w:t>
            </w:r>
          </w:p>
        </w:tc>
        <w:tc>
          <w:tcPr>
            <w:tcW w:w="6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21,195</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232</w:t>
            </w:r>
          </w:p>
        </w:tc>
        <w:tc>
          <w:tcPr>
            <w:tcW w:w="78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1,680</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17</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147,452</w:t>
            </w:r>
          </w:p>
        </w:tc>
        <w:tc>
          <w:tcPr>
            <w:tcW w:w="14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47,048</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(25,222)</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6,115</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175,642</w:t>
            </w:r>
          </w:p>
        </w:tc>
        <w:tc>
          <w:tcPr>
            <w:tcW w:w="1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4,337</w:t>
            </w:r>
          </w:p>
        </w:tc>
        <w:tc>
          <w:tcPr>
            <w:tcW w:w="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179,979</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Net income (loss)</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(26,429)</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(26,429)</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(26,503)</w:t>
            </w:r>
          </w:p>
        </w:tc>
      </w:tr>
      <w:tr>
        <w:trPr>
          <w:trHeight w:val="121"/>
        </w:trPr>
        <w:tc>
          <w:tcPr>
            <w:tcW w:w="224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w w:val="91"/>
              </w:rPr>
              <w:t>Adjustments to opening retained earnings</w:t>
            </w: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on adoption of ASC 842</w:t>
            </w:r>
          </w:p>
        </w:tc>
        <w:tc>
          <w:tcPr>
            <w:tcW w:w="6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2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net</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(526)</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(526)</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w:t>
            </w:r>
          </w:p>
        </w:tc>
      </w:tr>
      <w:tr>
        <w:trPr>
          <w:trHeight w:val="135"/>
        </w:trPr>
        <w:tc>
          <w:tcPr>
            <w:tcW w:w="22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6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1,463</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1,463</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1,463</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Share repurchase plan</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(1,159)</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(14,518)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(14,518)</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(14,518)</w:t>
            </w:r>
          </w:p>
        </w:tc>
      </w:tr>
      <w:tr>
        <w:trPr>
          <w:trHeight w:val="121"/>
        </w:trPr>
        <w:tc>
          <w:tcPr>
            <w:tcW w:w="224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w w:val="94"/>
              </w:rPr>
              <w:t>Class A common stock issued for share-</w:t>
            </w: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based bonuses and options exercised</w:t>
            </w:r>
          </w:p>
        </w:tc>
        <w:tc>
          <w:tcPr>
            <w:tcW w:w="6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2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(185)</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(185)</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(185)</w:t>
            </w:r>
          </w:p>
        </w:tc>
      </w:tr>
      <w:tr>
        <w:trPr>
          <w:trHeight w:val="121"/>
        </w:trPr>
        <w:tc>
          <w:tcPr>
            <w:tcW w:w="224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In-kind exchange of share for the</w:t>
            </w:r>
          </w:p>
        </w:tc>
        <w:tc>
          <w:tcPr>
            <w:tcW w:w="6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2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exercise of options, net issued</w:t>
            </w:r>
          </w:p>
        </w:tc>
        <w:tc>
          <w:tcPr>
            <w:tcW w:w="66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2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Restricted Stock Units</w:t>
            </w:r>
          </w:p>
        </w:tc>
        <w:tc>
          <w:tcPr>
            <w:tcW w:w="6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66</w:t>
            </w:r>
          </w:p>
        </w:tc>
        <w:tc>
          <w:tcPr>
            <w:tcW w:w="160" w:type="dxa"/>
            <w:vAlign w:val="bottom"/>
          </w:tcPr>
          <w:p>
            <w:pPr>
              <w:spacing w:after="0"/>
              <w:rPr>
                <w:sz w:val="11"/>
                <w:szCs w:val="11"/>
                <w:color w:val="auto"/>
              </w:rPr>
            </w:pPr>
          </w:p>
        </w:tc>
        <w:tc>
          <w:tcPr>
            <w:tcW w:w="5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Retirements</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1"/>
        </w:trPr>
        <w:tc>
          <w:tcPr>
            <w:tcW w:w="224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shareholders</w:t>
            </w:r>
          </w:p>
        </w:tc>
        <w:tc>
          <w:tcPr>
            <w:tcW w:w="6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2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21"/>
        </w:trPr>
        <w:tc>
          <w:tcPr>
            <w:tcW w:w="224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6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shareholders</w:t>
            </w:r>
          </w:p>
        </w:tc>
        <w:tc>
          <w:tcPr>
            <w:tcW w:w="66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36"/>
        </w:trPr>
        <w:tc>
          <w:tcPr>
            <w:tcW w:w="22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At December 31, 2019</w:t>
            </w:r>
          </w:p>
        </w:tc>
        <w:tc>
          <w:tcPr>
            <w:tcW w:w="6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20,103</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231</w:t>
            </w:r>
          </w:p>
        </w:tc>
        <w:tc>
          <w:tcPr>
            <w:tcW w:w="78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1,680</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17</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148,602</w:t>
            </w:r>
          </w:p>
        </w:tc>
        <w:tc>
          <w:tcPr>
            <w:tcW w:w="14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20,647</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(39,737)</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5,589</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135,349</w:t>
            </w:r>
          </w:p>
        </w:tc>
        <w:tc>
          <w:tcPr>
            <w:tcW w:w="1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4,267</w:t>
            </w:r>
          </w:p>
        </w:tc>
        <w:tc>
          <w:tcPr>
            <w:tcW w:w="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139,616</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Net income (loss)</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(65,200)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(65,200)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(657)</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(65,857)</w:t>
            </w:r>
          </w:p>
        </w:tc>
      </w:tr>
      <w:tr>
        <w:trPr>
          <w:trHeight w:val="135"/>
        </w:trPr>
        <w:tc>
          <w:tcPr>
            <w:tcW w:w="22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Other comprehensive income, net</w:t>
            </w:r>
          </w:p>
        </w:tc>
        <w:tc>
          <w:tcPr>
            <w:tcW w:w="6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6,913</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6,913</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6,902</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1,421</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1,421</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1,421</w:t>
            </w:r>
          </w:p>
        </w:tc>
      </w:tr>
      <w:tr>
        <w:trPr>
          <w:trHeight w:val="135"/>
        </w:trPr>
        <w:tc>
          <w:tcPr>
            <w:tcW w:w="224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Share repurchase plan</w:t>
            </w:r>
          </w:p>
        </w:tc>
        <w:tc>
          <w:tcPr>
            <w:tcW w:w="6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(75)</w:t>
            </w:r>
          </w:p>
        </w:tc>
        <w:tc>
          <w:tcPr>
            <w:tcW w:w="160" w:type="dxa"/>
            <w:vAlign w:val="bottom"/>
          </w:tcPr>
          <w:p>
            <w:pPr>
              <w:spacing w:after="0"/>
              <w:rPr>
                <w:sz w:val="11"/>
                <w:szCs w:val="11"/>
                <w:color w:val="auto"/>
              </w:rPr>
            </w:pPr>
          </w:p>
        </w:tc>
        <w:tc>
          <w:tcPr>
            <w:tcW w:w="500" w:type="dxa"/>
            <w:vAlign w:val="bottom"/>
            <w:tcBorders>
              <w:right w:val="single" w:sz="8" w:color="auto"/>
            </w:tcBorders>
          </w:tcPr>
          <w:p>
            <w:pPr>
              <w:jc w:val="right"/>
              <w:ind w:right="297"/>
              <w:spacing w:after="0" w:line="135" w:lineRule="exact"/>
              <w:rPr>
                <w:sz w:val="20"/>
                <w:szCs w:val="20"/>
                <w:color w:val="auto"/>
              </w:rPr>
            </w:pPr>
            <w:r>
              <w:rPr>
                <w:rFonts w:ascii="Arial" w:cs="Arial" w:eastAsia="Arial" w:hAnsi="Arial"/>
                <w:sz w:val="13"/>
                <w:szCs w:val="13"/>
                <w:color w:val="auto"/>
                <w:w w:val="91"/>
              </w:rPr>
              <w:t>—</w:t>
            </w:r>
          </w:p>
        </w:tc>
        <w:tc>
          <w:tcPr>
            <w:tcW w:w="7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(670)</w:t>
            </w: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(670)</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(670)</w:t>
            </w:r>
          </w:p>
        </w:tc>
      </w:tr>
      <w:tr>
        <w:trPr>
          <w:trHeight w:val="135"/>
        </w:trPr>
        <w:tc>
          <w:tcPr>
            <w:tcW w:w="224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Restricted Stock Units</w:t>
            </w:r>
          </w:p>
        </w:tc>
        <w:tc>
          <w:tcPr>
            <w:tcW w:w="6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41</w:t>
            </w:r>
          </w:p>
        </w:tc>
        <w:tc>
          <w:tcPr>
            <w:tcW w:w="1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r>
      <w:tr>
        <w:trPr>
          <w:trHeight w:val="121"/>
        </w:trPr>
        <w:tc>
          <w:tcPr>
            <w:tcW w:w="2240" w:type="dxa"/>
            <w:vAlign w:val="bottom"/>
            <w:tcBorders>
              <w:right w:val="single" w:sz="8" w:color="auto"/>
            </w:tcBorders>
          </w:tcPr>
          <w:p>
            <w:pPr>
              <w:spacing w:after="0" w:line="121" w:lineRule="exact"/>
              <w:rPr>
                <w:sz w:val="20"/>
                <w:szCs w:val="20"/>
                <w:color w:val="auto"/>
              </w:rPr>
            </w:pPr>
            <w:r>
              <w:rPr>
                <w:rFonts w:ascii="Arial" w:cs="Arial" w:eastAsia="Arial" w:hAnsi="Arial"/>
                <w:sz w:val="13"/>
                <w:szCs w:val="13"/>
                <w:color w:val="auto"/>
              </w:rPr>
              <w:t>Contributions from noncontrolling</w:t>
            </w: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stockholders</w:t>
            </w:r>
          </w:p>
        </w:tc>
        <w:tc>
          <w:tcPr>
            <w:tcW w:w="6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2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21"/>
        </w:trPr>
        <w:tc>
          <w:tcPr>
            <w:tcW w:w="2240" w:type="dxa"/>
            <w:vAlign w:val="bottom"/>
            <w:tcBorders>
              <w:right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Distributions to noncontrolling</w:t>
            </w:r>
          </w:p>
        </w:tc>
        <w:tc>
          <w:tcPr>
            <w:tcW w:w="6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stockholders</w:t>
            </w:r>
          </w:p>
        </w:tc>
        <w:tc>
          <w:tcPr>
            <w:tcW w:w="66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35"/>
        </w:trPr>
        <w:tc>
          <w:tcPr>
            <w:tcW w:w="22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At December 31, 2020</w:t>
            </w:r>
          </w:p>
        </w:tc>
        <w:tc>
          <w:tcPr>
            <w:tcW w:w="6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20,069</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231</w:t>
            </w:r>
          </w:p>
        </w:tc>
        <w:tc>
          <w:tcPr>
            <w:tcW w:w="78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1,680</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17</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149,979</w:t>
            </w:r>
          </w:p>
        </w:tc>
        <w:tc>
          <w:tcPr>
            <w:tcW w:w="14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(44,553)</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(40,407)</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12,502</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77,769</w:t>
            </w:r>
          </w:p>
        </w:tc>
        <w:tc>
          <w:tcPr>
            <w:tcW w:w="1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3,404</w:t>
            </w:r>
          </w:p>
        </w:tc>
        <w:tc>
          <w:tcPr>
            <w:tcW w:w="1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81,173</w:t>
            </w:r>
          </w:p>
        </w:tc>
      </w:tr>
    </w:tbl>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jc w:val="center"/>
        <w:spacing w:after="0" w:line="227" w:lineRule="auto"/>
        <w:rPr>
          <w:sz w:val="20"/>
          <w:szCs w:val="20"/>
          <w:color w:val="auto"/>
        </w:rPr>
      </w:pPr>
      <w:r>
        <w:rPr>
          <w:rFonts w:ascii="Arial" w:cs="Arial" w:eastAsia="Arial" w:hAnsi="Arial"/>
          <w:sz w:val="18"/>
          <w:szCs w:val="18"/>
          <w:b w:val="1"/>
          <w:bCs w:val="1"/>
          <w:color w:val="auto"/>
        </w:rPr>
        <w:t>Consolidated Statements of Cash Flows for the Three Years Ended December 31, 2020</w:t>
      </w:r>
    </w:p>
    <w:p>
      <w:pPr>
        <w:jc w:val="center"/>
        <w:spacing w:after="0"/>
        <w:rPr>
          <w:sz w:val="20"/>
          <w:szCs w:val="20"/>
          <w:color w:val="auto"/>
        </w:rPr>
      </w:pPr>
      <w:r>
        <w:rPr>
          <w:rFonts w:ascii="Arial" w:cs="Arial" w:eastAsia="Arial" w:hAnsi="Arial"/>
          <w:sz w:val="18"/>
          <w:szCs w:val="18"/>
          <w:i w:val="1"/>
          <w:iCs w:val="1"/>
          <w:color w:val="auto"/>
        </w:rPr>
        <w:t>(U.S.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r>
      <w:tr>
        <w:trPr>
          <w:trHeight w:val="189"/>
        </w:trPr>
        <w:tc>
          <w:tcPr>
            <w:tcW w:w="6600" w:type="dxa"/>
            <w:vAlign w:val="bottom"/>
          </w:tcPr>
          <w:p>
            <w:pPr>
              <w:spacing w:after="0" w:line="189" w:lineRule="exact"/>
              <w:rPr>
                <w:sz w:val="20"/>
                <w:szCs w:val="20"/>
                <w:color w:val="auto"/>
              </w:rPr>
            </w:pPr>
            <w:r>
              <w:rPr>
                <w:rFonts w:ascii="Arial" w:cs="Arial" w:eastAsia="Arial" w:hAnsi="Arial"/>
                <w:sz w:val="18"/>
                <w:szCs w:val="18"/>
                <w:b w:val="1"/>
                <w:bCs w:val="1"/>
                <w:color w:val="auto"/>
              </w:rPr>
              <w:t>Operating Activities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6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(65,857)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(26,503)</w:t>
            </w:r>
          </w:p>
        </w:tc>
        <w:tc>
          <w:tcPr>
            <w:tcW w:w="40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14,166</w:t>
            </w:r>
          </w:p>
        </w:tc>
      </w:tr>
      <w:tr>
        <w:trPr>
          <w:trHeight w:val="189"/>
        </w:trPr>
        <w:tc>
          <w:tcPr>
            <w:tcW w:w="6600" w:type="dxa"/>
            <w:vAlign w:val="bottom"/>
          </w:tcPr>
          <w:p>
            <w:pPr>
              <w:ind w:left="120"/>
              <w:spacing w:after="0" w:line="189" w:lineRule="exact"/>
              <w:rPr>
                <w:sz w:val="20"/>
                <w:szCs w:val="20"/>
                <w:color w:val="auto"/>
              </w:rPr>
            </w:pPr>
            <w:r>
              <w:rPr>
                <w:rFonts w:ascii="Arial" w:cs="Arial" w:eastAsia="Arial" w:hAnsi="Arial"/>
                <w:sz w:val="18"/>
                <w:szCs w:val="18"/>
                <w:i w:val="1"/>
                <w:iCs w:val="1"/>
                <w:color w:val="auto"/>
              </w:rPr>
              <w:t>Adjustments to reconcile net income to net cash flows from operating activities: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6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Equity earnings of unconsolidated joint ventures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(974)</w:t>
            </w:r>
          </w:p>
        </w:tc>
      </w:tr>
      <w:tr>
        <w:trPr>
          <w:trHeight w:val="189"/>
        </w:trPr>
        <w:tc>
          <w:tcPr>
            <w:tcW w:w="6600" w:type="dxa"/>
            <w:vAlign w:val="bottom"/>
          </w:tcPr>
          <w:p>
            <w:pPr>
              <w:ind w:left="120"/>
              <w:spacing w:after="0" w:line="189" w:lineRule="exact"/>
              <w:rPr>
                <w:sz w:val="20"/>
                <w:szCs w:val="20"/>
                <w:color w:val="auto"/>
              </w:rPr>
            </w:pPr>
            <w:r>
              <w:rPr>
                <w:rFonts w:ascii="Arial" w:cs="Arial" w:eastAsia="Arial" w:hAnsi="Arial"/>
                <w:sz w:val="18"/>
                <w:szCs w:val="18"/>
                <w:color w:val="auto"/>
              </w:rPr>
              <w:t>Distributions of earnings from unconsolidated joint ventures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240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864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670</w:t>
            </w:r>
          </w:p>
        </w:tc>
      </w:tr>
      <w:tr>
        <w:trPr>
          <w:trHeight w:val="189"/>
        </w:trPr>
        <w:tc>
          <w:tcPr>
            <w:tcW w:w="6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Net loss (gain) on sale of assets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r>
      <w:tr>
        <w:trPr>
          <w:trHeight w:val="189"/>
        </w:trPr>
        <w:tc>
          <w:tcPr>
            <w:tcW w:w="6600" w:type="dxa"/>
            <w:vAlign w:val="bottom"/>
          </w:tcPr>
          <w:p>
            <w:pPr>
              <w:ind w:left="120"/>
              <w:spacing w:after="0" w:line="189" w:lineRule="exact"/>
              <w:rPr>
                <w:sz w:val="20"/>
                <w:szCs w:val="20"/>
                <w:color w:val="auto"/>
              </w:rPr>
            </w:pPr>
            <w:r>
              <w:rPr>
                <w:rFonts w:ascii="Arial" w:cs="Arial" w:eastAsia="Arial" w:hAnsi="Arial"/>
                <w:sz w:val="18"/>
                <w:szCs w:val="18"/>
                <w:color w:val="auto"/>
              </w:rPr>
              <w:t>Amortization of operating leases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21,458</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20,765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finance leases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00" w:type="dxa"/>
            <w:vAlign w:val="bottom"/>
          </w:tcPr>
          <w:p>
            <w:pPr>
              <w:ind w:left="120"/>
              <w:spacing w:after="0" w:line="189" w:lineRule="exact"/>
              <w:rPr>
                <w:sz w:val="20"/>
                <w:szCs w:val="20"/>
                <w:color w:val="auto"/>
              </w:rPr>
            </w:pPr>
            <w:r>
              <w:rPr>
                <w:rFonts w:ascii="Arial" w:cs="Arial" w:eastAsia="Arial" w:hAnsi="Arial"/>
                <w:sz w:val="18"/>
                <w:szCs w:val="18"/>
                <w:color w:val="auto"/>
              </w:rPr>
              <w:t>Change in operating lease liabilities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(20,400)</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(20,137)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Interest on hedged derivatives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r>
      <w:tr>
        <w:trPr>
          <w:trHeight w:val="189"/>
        </w:trPr>
        <w:tc>
          <w:tcPr>
            <w:tcW w:w="6600" w:type="dxa"/>
            <w:vAlign w:val="bottom"/>
          </w:tcPr>
          <w:p>
            <w:pPr>
              <w:ind w:left="120"/>
              <w:spacing w:after="0" w:line="189" w:lineRule="exact"/>
              <w:rPr>
                <w:sz w:val="20"/>
                <w:szCs w:val="20"/>
                <w:color w:val="auto"/>
              </w:rPr>
            </w:pPr>
            <w:r>
              <w:rPr>
                <w:rFonts w:ascii="Arial" w:cs="Arial" w:eastAsia="Arial" w:hAnsi="Arial"/>
                <w:sz w:val="18"/>
                <w:szCs w:val="18"/>
                <w:color w:val="auto"/>
              </w:rPr>
              <w:t>Change in net deferred tax assets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401</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23,115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(1,841)</w:t>
            </w:r>
          </w:p>
        </w:tc>
      </w:tr>
      <w:tr>
        <w:trPr>
          <w:trHeight w:val="189"/>
        </w:trPr>
        <w:tc>
          <w:tcPr>
            <w:tcW w:w="6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22,317</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22,747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22,275</w:t>
            </w:r>
          </w:p>
        </w:tc>
      </w:tr>
      <w:tr>
        <w:trPr>
          <w:trHeight w:val="189"/>
        </w:trPr>
        <w:tc>
          <w:tcPr>
            <w:tcW w:w="6600" w:type="dxa"/>
            <w:vAlign w:val="bottom"/>
          </w:tcPr>
          <w:p>
            <w:pPr>
              <w:ind w:left="120"/>
              <w:spacing w:after="0" w:line="189" w:lineRule="exact"/>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217</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640"/>
              <w:spacing w:after="0" w:line="189" w:lineRule="exact"/>
              <w:rPr>
                <w:sz w:val="20"/>
                <w:szCs w:val="20"/>
                <w:color w:val="auto"/>
              </w:rPr>
            </w:pPr>
            <w:r>
              <w:rPr>
                <w:rFonts w:ascii="Arial" w:cs="Arial" w:eastAsia="Arial" w:hAnsi="Arial"/>
                <w:sz w:val="18"/>
                <w:szCs w:val="18"/>
                <w:color w:val="auto"/>
              </w:rPr>
              <w:t>—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 —</w:t>
            </w:r>
          </w:p>
        </w:tc>
      </w:tr>
      <w:tr>
        <w:trPr>
          <w:trHeight w:val="189"/>
        </w:trPr>
        <w:tc>
          <w:tcPr>
            <w:tcW w:w="6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amortization</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1,046</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1,161</w:t>
            </w:r>
          </w:p>
        </w:tc>
      </w:tr>
      <w:tr>
        <w:trPr>
          <w:trHeight w:val="189"/>
        </w:trPr>
        <w:tc>
          <w:tcPr>
            <w:tcW w:w="6600" w:type="dxa"/>
            <w:vAlign w:val="bottom"/>
          </w:tcPr>
          <w:p>
            <w:pPr>
              <w:ind w:left="120"/>
              <w:spacing w:after="0" w:line="189" w:lineRule="exact"/>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1,421</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1,463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1,458</w:t>
            </w:r>
          </w:p>
        </w:tc>
      </w:tr>
      <w:tr>
        <w:trPr>
          <w:trHeight w:val="189"/>
        </w:trPr>
        <w:tc>
          <w:tcPr>
            <w:tcW w:w="6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i w:val="1"/>
                <w:iCs w:val="1"/>
                <w:color w:val="auto"/>
              </w:rPr>
              <w:t>Net changes in operating assets and liabilities: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6600" w:type="dxa"/>
            <w:vAlign w:val="bottom"/>
          </w:tcPr>
          <w:p>
            <w:pPr>
              <w:ind w:left="340"/>
              <w:spacing w:after="0" w:line="189" w:lineRule="exact"/>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4,805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704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2,868</w:t>
            </w:r>
          </w:p>
        </w:tc>
      </w:tr>
      <w:tr>
        <w:trPr>
          <w:trHeight w:val="189"/>
        </w:trPr>
        <w:tc>
          <w:tcPr>
            <w:tcW w:w="660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Prepaid and other assets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(1,307)</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(2,761)</w:t>
            </w:r>
          </w:p>
        </w:tc>
      </w:tr>
      <w:tr>
        <w:trPr>
          <w:trHeight w:val="189"/>
        </w:trPr>
        <w:tc>
          <w:tcPr>
            <w:tcW w:w="6600" w:type="dxa"/>
            <w:vAlign w:val="bottom"/>
          </w:tcPr>
          <w:p>
            <w:pPr>
              <w:ind w:left="340"/>
              <w:spacing w:after="0" w:line="189" w:lineRule="exact"/>
              <w:rPr>
                <w:sz w:val="20"/>
                <w:szCs w:val="20"/>
                <w:color w:val="auto"/>
              </w:rPr>
            </w:pPr>
            <w:r>
              <w:rPr>
                <w:rFonts w:ascii="Arial" w:cs="Arial" w:eastAsia="Arial" w:hAnsi="Arial"/>
                <w:sz w:val="18"/>
                <w:szCs w:val="18"/>
                <w:color w:val="auto"/>
              </w:rPr>
              <w:t>Payments for accrued pension</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(683)</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(683)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(2,961)</w:t>
            </w:r>
          </w:p>
        </w:tc>
      </w:tr>
      <w:tr>
        <w:trPr>
          <w:trHeight w:val="189"/>
        </w:trPr>
        <w:tc>
          <w:tcPr>
            <w:tcW w:w="660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9,330</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2,562</w:t>
            </w:r>
          </w:p>
        </w:tc>
      </w:tr>
      <w:tr>
        <w:trPr>
          <w:trHeight w:val="189"/>
        </w:trPr>
        <w:tc>
          <w:tcPr>
            <w:tcW w:w="6600" w:type="dxa"/>
            <w:vAlign w:val="bottom"/>
          </w:tcPr>
          <w:p>
            <w:pPr>
              <w:ind w:left="340"/>
              <w:spacing w:after="0" w:line="189" w:lineRule="exact"/>
              <w:rPr>
                <w:sz w:val="20"/>
                <w:szCs w:val="20"/>
                <w:color w:val="auto"/>
              </w:rPr>
            </w:pPr>
            <w:r>
              <w:rPr>
                <w:rFonts w:ascii="Arial" w:cs="Arial" w:eastAsia="Arial" w:hAnsi="Arial"/>
                <w:sz w:val="18"/>
                <w:szCs w:val="18"/>
                <w:color w:val="auto"/>
              </w:rPr>
              <w:t>Film rent payable</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(6,323)</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(4,525)</w:t>
            </w:r>
          </w:p>
        </w:tc>
      </w:tr>
      <w:tr>
        <w:trPr>
          <w:trHeight w:val="189"/>
        </w:trPr>
        <w:tc>
          <w:tcPr>
            <w:tcW w:w="660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Taxes payable</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(994)</w:t>
            </w:r>
          </w:p>
        </w:tc>
      </w:tr>
      <w:tr>
        <w:trPr>
          <w:trHeight w:val="189"/>
        </w:trPr>
        <w:tc>
          <w:tcPr>
            <w:tcW w:w="6600" w:type="dxa"/>
            <w:vAlign w:val="bottom"/>
            <w:tcBorders>
              <w:bottom w:val="single" w:sz="8" w:color="auto"/>
            </w:tcBorders>
          </w:tcPr>
          <w:p>
            <w:pPr>
              <w:ind w:left="340"/>
              <w:spacing w:after="0" w:line="189" w:lineRule="exact"/>
              <w:rPr>
                <w:sz w:val="20"/>
                <w:szCs w:val="20"/>
                <w:color w:val="auto"/>
              </w:rPr>
            </w:pPr>
            <w:r>
              <w:rPr>
                <w:rFonts w:ascii="Arial" w:cs="Arial" w:eastAsia="Arial" w:hAnsi="Arial"/>
                <w:sz w:val="18"/>
                <w:szCs w:val="18"/>
                <w:color w:val="auto"/>
              </w:rPr>
              <w:t>Deferred revenue and other liabilities</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2,625</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3,129</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1,495</w:t>
            </w:r>
          </w:p>
        </w:tc>
      </w:tr>
      <w:tr>
        <w:trPr>
          <w:trHeight w:val="183"/>
        </w:trPr>
        <w:tc>
          <w:tcPr>
            <w:tcW w:w="66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(30,201)</w:t>
            </w:r>
          </w:p>
        </w:tc>
        <w:tc>
          <w:tcPr>
            <w:tcW w:w="1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24,607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32,645</w:t>
            </w:r>
          </w:p>
        </w:tc>
      </w:tr>
      <w:tr>
        <w:trPr>
          <w:trHeight w:val="183"/>
        </w:trPr>
        <w:tc>
          <w:tcPr>
            <w:tcW w:w="6600" w:type="dxa"/>
            <w:vAlign w:val="bottom"/>
          </w:tcPr>
          <w:p>
            <w:pPr>
              <w:spacing w:after="0" w:line="182"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Purchases of and additions to operating and investment properties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(18,526)</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(45,709)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(63,529)</w:t>
            </w: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Acquisition of business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(7,877)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Change in restricted cash</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(1,326)</w:t>
            </w: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Cash settlement on insurance claim</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Contributions to unconsolidated joint ventures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660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2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(18,771)</w:t>
            </w:r>
          </w:p>
        </w:tc>
        <w:tc>
          <w:tcPr>
            <w:tcW w:w="1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(51,929)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(64,855)</w:t>
            </w:r>
          </w:p>
        </w:tc>
      </w:tr>
      <w:tr>
        <w:trPr>
          <w:trHeight w:val="183"/>
        </w:trPr>
        <w:tc>
          <w:tcPr>
            <w:tcW w:w="6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Repayment of long-term borrowings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(29,896)</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(52,394)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(54,374)</w:t>
            </w: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Repayment of finance lease principal</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90,323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90,507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90,895</w:t>
            </w: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Capitalized borrowing costs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(1,230)</w:t>
            </w: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Repurchase of Class A nonvoting common stock</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(670)</w:t>
            </w: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(11,152)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(2,316)</w:t>
            </w: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Proceeds (payments) from stock option exercises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344</w:t>
            </w: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Noncontrolling interest contributions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90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82</w:t>
            </w: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Noncontrolling interest distributions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(191)</w:t>
            </w:r>
          </w:p>
        </w:tc>
      </w:tr>
      <w:tr>
        <w:trPr>
          <w:trHeight w:val="183"/>
        </w:trPr>
        <w:tc>
          <w:tcPr>
            <w:tcW w:w="660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59,330</w:t>
            </w:r>
          </w:p>
        </w:tc>
        <w:tc>
          <w:tcPr>
            <w:tcW w:w="1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26,008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33,210</w:t>
            </w:r>
          </w:p>
        </w:tc>
      </w:tr>
      <w:tr>
        <w:trPr>
          <w:trHeight w:val="183"/>
        </w:trPr>
        <w:tc>
          <w:tcPr>
            <w:tcW w:w="6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Effect of exchange rate on cash</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4,333</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(1,541)</w:t>
            </w:r>
          </w:p>
        </w:tc>
      </w:tr>
      <w:tr>
        <w:trPr>
          <w:trHeight w:val="189"/>
        </w:trPr>
        <w:tc>
          <w:tcPr>
            <w:tcW w:w="6600" w:type="dxa"/>
            <w:vAlign w:val="bottom"/>
          </w:tcPr>
          <w:p>
            <w:pPr>
              <w:spacing w:after="0" w:line="189"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14,691</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(992)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(541)</w:t>
            </w:r>
          </w:p>
        </w:tc>
      </w:tr>
      <w:tr>
        <w:trPr>
          <w:trHeight w:val="189"/>
        </w:trPr>
        <w:tc>
          <w:tcPr>
            <w:tcW w:w="66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and cash equivalents at the beginning of the year</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12,135</w:t>
            </w: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13,127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13,668</w:t>
            </w:r>
          </w:p>
        </w:tc>
      </w:tr>
      <w:tr>
        <w:trPr>
          <w:trHeight w:val="190"/>
        </w:trPr>
        <w:tc>
          <w:tcPr>
            <w:tcW w:w="6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Cash and cash equivalents at the end of the year</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26,826</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12,135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13,127</w:t>
            </w:r>
          </w:p>
        </w:tc>
      </w:tr>
      <w:tr>
        <w:trPr>
          <w:trHeight w:val="189"/>
        </w:trPr>
        <w:tc>
          <w:tcPr>
            <w:tcW w:w="66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Disclosures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Interest paid</w:t>
            </w:r>
          </w:p>
        </w:tc>
        <w:tc>
          <w:tcPr>
            <w:tcW w:w="540" w:type="dxa"/>
            <w:vAlign w:val="bottom"/>
            <w:gridSpan w:val="2"/>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10,240</w:t>
            </w:r>
          </w:p>
        </w:tc>
        <w:tc>
          <w:tcPr>
            <w:tcW w:w="18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10,650</w:t>
            </w:r>
          </w:p>
        </w:tc>
        <w:tc>
          <w:tcPr>
            <w:tcW w:w="80" w:type="dxa"/>
            <w:vAlign w:val="bottom"/>
          </w:tcPr>
          <w:p>
            <w:pPr>
              <w:spacing w:after="0"/>
              <w:rPr>
                <w:sz w:val="16"/>
                <w:szCs w:val="16"/>
                <w:color w:val="auto"/>
              </w:rPr>
            </w:pPr>
          </w:p>
        </w:tc>
        <w:tc>
          <w:tcPr>
            <w:tcW w:w="400" w:type="dxa"/>
            <w:vAlign w:val="bottom"/>
            <w:gridSpan w:val="2"/>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8,035</w:t>
            </w: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Income taxes paid (refunded), net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(2,333)</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8,941</w:t>
            </w:r>
          </w:p>
        </w:tc>
      </w:tr>
      <w:tr>
        <w:trPr>
          <w:trHeight w:val="189"/>
        </w:trPr>
        <w:tc>
          <w:tcPr>
            <w:tcW w:w="6600" w:type="dxa"/>
            <w:vAlign w:val="bottom"/>
          </w:tcPr>
          <w:p>
            <w:pPr>
              <w:spacing w:after="0" w:line="189" w:lineRule="exact"/>
              <w:rPr>
                <w:sz w:val="20"/>
                <w:szCs w:val="20"/>
                <w:color w:val="auto"/>
              </w:rPr>
            </w:pPr>
            <w:r>
              <w:rPr>
                <w:rFonts w:ascii="Arial" w:cs="Arial" w:eastAsia="Arial" w:hAnsi="Arial"/>
                <w:sz w:val="18"/>
                <w:szCs w:val="18"/>
                <w:b w:val="1"/>
                <w:bCs w:val="1"/>
                <w:color w:val="auto"/>
              </w:rPr>
              <w:t>Non-Cash Transactions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Lease make-good accrual</w:t>
            </w:r>
          </w:p>
        </w:tc>
        <w:tc>
          <w:tcPr>
            <w:tcW w:w="540" w:type="dxa"/>
            <w:vAlign w:val="bottom"/>
            <w:gridSpan w:val="2"/>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00" w:type="dxa"/>
            <w:vAlign w:val="bottom"/>
          </w:tcPr>
          <w:p>
            <w:pPr>
              <w:ind w:left="220"/>
              <w:spacing w:after="0" w:line="189" w:lineRule="exact"/>
              <w:rPr>
                <w:sz w:val="20"/>
                <w:szCs w:val="20"/>
                <w:color w:val="auto"/>
              </w:rPr>
            </w:pPr>
            <w:r>
              <w:rPr>
                <w:rFonts w:ascii="Arial" w:cs="Arial" w:eastAsia="Arial" w:hAnsi="Arial"/>
                <w:sz w:val="18"/>
                <w:szCs w:val="18"/>
                <w:color w:val="auto"/>
              </w:rPr>
              <w:t>Additions to long-term borrowings</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3,519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Additions to operating and investing properties through accrued expenses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4,346</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6,003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3,969</w:t>
            </w:r>
          </w:p>
        </w:tc>
      </w:tr>
    </w:tbl>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r>
        <w:rPr>
          <w:rFonts w:ascii="Arial" w:cs="Arial" w:eastAsia="Arial" w:hAnsi="Arial"/>
          <w:sz w:val="14"/>
          <w:szCs w:val="14"/>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5"/>
          <w:szCs w:val="25"/>
          <w:b w:val="1"/>
          <w:bCs w:val="1"/>
          <w:u w:val="single" w:color="auto"/>
          <w:color w:val="auto"/>
        </w:rPr>
        <w:t>READING INTERNATIONAL, INC. and SUBSIDIARIES</w:t>
      </w:r>
    </w:p>
    <w:p>
      <w:pPr>
        <w:jc w:val="center"/>
        <w:spacing w:after="0" w:line="227"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19" w:lineRule="auto"/>
        <w:rPr>
          <w:sz w:val="20"/>
          <w:szCs w:val="20"/>
          <w:color w:val="auto"/>
        </w:rPr>
      </w:pPr>
      <w:r>
        <w:rPr>
          <w:rFonts w:ascii="Arial" w:cs="Arial" w:eastAsia="Arial" w:hAnsi="Arial"/>
          <w:sz w:val="18"/>
          <w:szCs w:val="18"/>
          <w:b w:val="1"/>
          <w:bCs w:val="1"/>
          <w:color w:val="auto"/>
        </w:rPr>
        <w:t>As of and for Three Years Ended December 31, 2020</w:t>
      </w:r>
    </w:p>
    <w:p>
      <w:pPr>
        <w:ind w:left="94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w:t>
      </w:r>
    </w:p>
    <w:p>
      <w:pPr>
        <w:spacing w:after="0" w:line="163" w:lineRule="exact"/>
        <w:rPr>
          <w:sz w:val="20"/>
          <w:szCs w:val="20"/>
          <w:color w:val="auto"/>
        </w:rPr>
      </w:pPr>
    </w:p>
    <w:p>
      <w:pPr>
        <w:ind w:right="5440"/>
        <w:spacing w:after="0" w:line="440" w:lineRule="auto"/>
        <w:rPr>
          <w:sz w:val="20"/>
          <w:szCs w:val="20"/>
          <w:color w:val="auto"/>
        </w:rPr>
      </w:pPr>
      <w:r>
        <w:rPr>
          <w:rFonts w:ascii="Arial" w:cs="Arial" w:eastAsia="Arial" w:hAnsi="Arial"/>
          <w:sz w:val="18"/>
          <w:szCs w:val="18"/>
          <w:b w:val="1"/>
          <w:bCs w:val="1"/>
          <w:u w:val="single" w:color="auto"/>
          <w:color w:val="auto"/>
        </w:rPr>
        <w:t xml:space="preserve">NOTE 1 – DESCRIPTION OF BUSINESS AND SEGMENT REPORTING </w:t>
      </w:r>
      <w:r>
        <w:rPr>
          <w:rFonts w:ascii="Arial" w:cs="Arial" w:eastAsia="Arial" w:hAnsi="Arial"/>
          <w:sz w:val="18"/>
          <w:szCs w:val="18"/>
          <w:b w:val="1"/>
          <w:bCs w:val="1"/>
          <w:i w:val="1"/>
          <w:iCs w:val="1"/>
          <w:color w:val="auto"/>
        </w:rPr>
        <w:t>The Company</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Reading International, Inc., a Nevada corporation (“RDI” and collectively with our consolidated subsidiaries and corporate predecessors, the “Company,” “Reading,” and “we,” “us,” or “our”), was incorporated in 1999. Our businesses consist primarily of:</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development, ownership, and operation, of cinemas in the United States, Australia, and New Zealand; and,</w:t>
      </w:r>
    </w:p>
    <w:p>
      <w:pPr>
        <w:spacing w:after="0" w:line="63" w:lineRule="exact"/>
        <w:rPr>
          <w:sz w:val="20"/>
          <w:szCs w:val="20"/>
          <w:color w:val="auto"/>
        </w:rPr>
      </w:pPr>
    </w:p>
    <w:p>
      <w:pPr>
        <w:ind w:left="660" w:right="380"/>
        <w:spacing w:after="0" w:line="246" w:lineRule="auto"/>
        <w:rPr>
          <w:sz w:val="20"/>
          <w:szCs w:val="20"/>
          <w:color w:val="auto"/>
        </w:rPr>
      </w:pPr>
      <w:r>
        <w:rPr>
          <w:rFonts w:ascii="Arial" w:cs="Arial" w:eastAsia="Arial" w:hAnsi="Arial"/>
          <w:sz w:val="18"/>
          <w:szCs w:val="18"/>
          <w:color w:val="auto"/>
        </w:rPr>
        <w:t>the development, ownership, operation and/or rental of retail, commercial and live venue real estate assets in Australia, New Zealand, and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7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Our business is comprised of two operating segments, as follows: (i) cinema exhibition and (ii) real estate. Each of these segments has discrete and separate financial information and for which operating results are evaluated regularly by our Chief Executive Officer, the chief operating decision-maker of the Company. As part of our real estate segment, we acquired, and held, raw land in urban and suburban centers in New Zealand, Australia and the United States as of December 31, 2020.</w:t>
      </w:r>
    </w:p>
    <w:p>
      <w:pPr>
        <w:spacing w:after="0" w:line="14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tables below summarize the results of operations for each of our business segments. Operating expense includes costs associated with the day-to-day operations of the cinemas and the management of rental properties, including our live theatre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2018</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17"/>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360"/>
              <w:spacing w:after="0" w:line="117" w:lineRule="exact"/>
              <w:rPr>
                <w:sz w:val="20"/>
                <w:szCs w:val="20"/>
                <w:color w:val="auto"/>
              </w:rPr>
            </w:pPr>
            <w:r>
              <w:rPr>
                <w:rFonts w:ascii="Arial" w:cs="Arial" w:eastAsia="Arial" w:hAnsi="Arial"/>
                <w:sz w:val="13"/>
                <w:szCs w:val="13"/>
                <w:b w:val="1"/>
                <w:bCs w:val="1"/>
                <w:color w:val="auto"/>
              </w:rPr>
              <w:t>Real</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4"/>
              </w:rPr>
              <w:t>Real</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w w:val="87"/>
              </w:rPr>
              <w:t>Real</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60"/>
        </w:trPr>
        <w:tc>
          <w:tcPr>
            <w:tcW w:w="2400" w:type="dxa"/>
            <w:vAlign w:val="bottom"/>
          </w:tcPr>
          <w:p>
            <w:pPr>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Cinema</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Estate</w:t>
            </w:r>
          </w:p>
        </w:tc>
        <w:tc>
          <w:tcPr>
            <w:tcW w:w="20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Cinema</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Estate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Cinema</w:t>
            </w:r>
          </w:p>
        </w:tc>
        <w:tc>
          <w:tcPr>
            <w:tcW w:w="16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Estate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57"/>
              <w:spacing w:after="0"/>
              <w:rPr>
                <w:sz w:val="20"/>
                <w:szCs w:val="20"/>
                <w:color w:val="auto"/>
              </w:rPr>
            </w:pPr>
            <w:r>
              <w:rPr>
                <w:rFonts w:ascii="Arial" w:cs="Arial" w:eastAsia="Arial" w:hAnsi="Arial"/>
                <w:sz w:val="13"/>
                <w:szCs w:val="13"/>
                <w:b w:val="1"/>
                <w:bCs w:val="1"/>
                <w:color w:val="auto"/>
              </w:rPr>
              <w:t>Total</w:t>
            </w:r>
          </w:p>
        </w:tc>
      </w:tr>
      <w:tr>
        <w:trPr>
          <w:trHeight w:val="135"/>
        </w:trPr>
        <w:tc>
          <w:tcPr>
            <w:tcW w:w="24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Revenue - third party</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67,014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10,848</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77,862</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262,189</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14,579</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276,768</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293,723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15,208</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308,931</w:t>
            </w:r>
          </w:p>
        </w:tc>
      </w:tr>
      <w:tr>
        <w:trPr>
          <w:trHeight w:val="175"/>
        </w:trPr>
        <w:tc>
          <w:tcPr>
            <w:tcW w:w="2400" w:type="dxa"/>
            <w:vAlign w:val="bottom"/>
          </w:tcPr>
          <w:p>
            <w:pPr>
              <w:ind w:left="120"/>
              <w:spacing w:after="0" w:line="176" w:lineRule="exact"/>
              <w:rPr>
                <w:sz w:val="20"/>
                <w:szCs w:val="20"/>
                <w:color w:val="auto"/>
              </w:rPr>
            </w:pPr>
            <w:r>
              <w:rPr>
                <w:rFonts w:ascii="Arial" w:cs="Arial" w:eastAsia="Arial" w:hAnsi="Arial"/>
                <w:sz w:val="13"/>
                <w:szCs w:val="13"/>
                <w:color w:val="auto"/>
              </w:rPr>
              <w:t xml:space="preserve">Inter-segment revenue </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2,115</w:t>
            </w:r>
          </w:p>
        </w:tc>
        <w:tc>
          <w:tcPr>
            <w:tcW w:w="2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2,115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7,326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7,326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9,027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9,027</w:t>
            </w:r>
          </w:p>
        </w:tc>
      </w:tr>
      <w:tr>
        <w:trPr>
          <w:trHeight w:val="128"/>
        </w:trPr>
        <w:tc>
          <w:tcPr>
            <w:tcW w:w="24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segment revenue</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67,014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12,963</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79,977</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262,189</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21,905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284,094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293,723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24,235</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317,958</w:t>
            </w:r>
          </w:p>
        </w:tc>
      </w:tr>
      <w:tr>
        <w:trPr>
          <w:trHeight w:val="135"/>
        </w:trPr>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expense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Operating Expense - Third Party</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(91,065)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(8,578)</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(99,643)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(210,050)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(9,453)</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(219,503)</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(225,791)</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(9,904)</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(235,695)</w:t>
            </w:r>
          </w:p>
        </w:tc>
      </w:tr>
      <w:tr>
        <w:trPr>
          <w:trHeight w:val="175"/>
        </w:trPr>
        <w:tc>
          <w:tcPr>
            <w:tcW w:w="2400" w:type="dxa"/>
            <w:vAlign w:val="bottom"/>
          </w:tcPr>
          <w:p>
            <w:pPr>
              <w:ind w:left="120"/>
              <w:spacing w:after="0" w:line="176" w:lineRule="exact"/>
              <w:rPr>
                <w:sz w:val="20"/>
                <w:szCs w:val="20"/>
                <w:color w:val="auto"/>
              </w:rPr>
            </w:pPr>
            <w:r>
              <w:rPr>
                <w:rFonts w:ascii="Arial" w:cs="Arial" w:eastAsia="Arial" w:hAnsi="Arial"/>
                <w:sz w:val="13"/>
                <w:szCs w:val="13"/>
                <w:color w:val="auto"/>
              </w:rPr>
              <w:t xml:space="preserve">Inter-Segment Operating Expenses </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(2,115)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(2,115)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(7,326)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(7,326)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(9,027)</w:t>
            </w: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(9,027)</w:t>
            </w:r>
          </w:p>
        </w:tc>
      </w:tr>
      <w:tr>
        <w:trPr>
          <w:trHeight w:val="101"/>
        </w:trPr>
        <w:tc>
          <w:tcPr>
            <w:tcW w:w="2400" w:type="dxa"/>
            <w:vAlign w:val="bottom"/>
            <w:tcBorders>
              <w:top w:val="single" w:sz="8" w:color="CCEEFF"/>
            </w:tcBorders>
            <w:shd w:val="clear" w:color="auto" w:fill="CCEEFF"/>
          </w:tcPr>
          <w:p>
            <w:pPr>
              <w:ind w:left="120"/>
              <w:spacing w:after="0" w:line="101" w:lineRule="exact"/>
              <w:rPr>
                <w:sz w:val="20"/>
                <w:szCs w:val="20"/>
                <w:color w:val="auto"/>
              </w:rPr>
            </w:pPr>
            <w:r>
              <w:rPr>
                <w:rFonts w:ascii="Arial" w:cs="Arial" w:eastAsia="Arial" w:hAnsi="Arial"/>
                <w:sz w:val="10"/>
                <w:szCs w:val="10"/>
                <w:color w:val="auto"/>
              </w:rPr>
              <w:t>Total of services and products (excluding</w:t>
            </w: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r>
      <w:tr>
        <w:trPr>
          <w:trHeight w:val="149"/>
        </w:trPr>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(93,180)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(8,578)</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(101,758)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(217,376)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(9,453)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(226,829)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(234,818)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(9,904)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(244,722)</w:t>
            </w:r>
          </w:p>
        </w:tc>
      </w:tr>
      <w:tr>
        <w:trPr>
          <w:trHeight w:val="135"/>
        </w:trPr>
        <w:tc>
          <w:tcPr>
            <w:tcW w:w="2400" w:type="dxa"/>
            <w:vAlign w:val="bottom"/>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(15,246)</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(6,101)</w:t>
            </w:r>
          </w:p>
        </w:tc>
        <w:tc>
          <w:tcPr>
            <w:tcW w:w="20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(21,347)</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(16,940)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(5,393)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(22,333)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(16,314)</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(5,567)</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(21,881)</w:t>
            </w:r>
          </w:p>
        </w:tc>
      </w:tr>
      <w:tr>
        <w:trPr>
          <w:trHeight w:val="135"/>
        </w:trPr>
        <w:tc>
          <w:tcPr>
            <w:tcW w:w="2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 of long-lived assets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(217)</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400" w:type="dxa"/>
            <w:vAlign w:val="bottom"/>
          </w:tcPr>
          <w:p>
            <w:pPr>
              <w:ind w:left="120"/>
              <w:spacing w:after="0" w:line="135" w:lineRule="exact"/>
              <w:rPr>
                <w:sz w:val="20"/>
                <w:szCs w:val="20"/>
                <w:color w:val="auto"/>
              </w:rPr>
            </w:pPr>
            <w:r>
              <w:rPr>
                <w:rFonts w:ascii="Arial" w:cs="Arial" w:eastAsia="Arial" w:hAnsi="Arial"/>
                <w:sz w:val="13"/>
                <w:szCs w:val="13"/>
                <w:color w:val="auto"/>
              </w:rPr>
              <w:t>General and administrative expense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(3,427)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(747)</w:t>
            </w:r>
          </w:p>
        </w:tc>
        <w:tc>
          <w:tcPr>
            <w:tcW w:w="20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(4,174)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(4,544)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(1,918)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(6,462)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(3,724)</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(2,326)</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(6,050)</w:t>
            </w:r>
          </w:p>
        </w:tc>
      </w:tr>
      <w:tr>
        <w:trPr>
          <w:trHeight w:val="128"/>
        </w:trPr>
        <w:tc>
          <w:tcPr>
            <w:tcW w:w="24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operating expense</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(112,070)</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(15,426)</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(127,496)</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(238,860)</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(16,764)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(255,624)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(254,856)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(17,797)</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(272,653)</w:t>
            </w:r>
          </w:p>
        </w:tc>
      </w:tr>
      <w:tr>
        <w:trPr>
          <w:trHeight w:val="135"/>
        </w:trPr>
        <w:tc>
          <w:tcPr>
            <w:tcW w:w="2400" w:type="dxa"/>
            <w:vAlign w:val="bottom"/>
          </w:tcPr>
          <w:p>
            <w:pPr>
              <w:spacing w:after="0" w:line="129" w:lineRule="exact"/>
              <w:rPr>
                <w:sz w:val="20"/>
                <w:szCs w:val="20"/>
                <w:color w:val="auto"/>
              </w:rPr>
            </w:pPr>
            <w:r>
              <w:rPr>
                <w:rFonts w:ascii="Arial" w:cs="Arial" w:eastAsia="Arial" w:hAnsi="Arial"/>
                <w:sz w:val="13"/>
                <w:szCs w:val="13"/>
                <w:b w:val="1"/>
                <w:bCs w:val="1"/>
                <w:color w:val="auto"/>
              </w:rPr>
              <w:t>Segment operating income (loss)</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(45,056)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(2,463)</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(47,519)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23,329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5,141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28,470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38,867</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6,438</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45,305</w:t>
            </w:r>
          </w:p>
        </w:tc>
      </w:tr>
    </w:tbl>
    <w:p>
      <w:pPr>
        <w:spacing w:after="0" w:line="13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Inter-segment Revenues and Operating Expense relates to the internal charge between the two segments where the cinema operates within real estate owned within the group.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operating income to income before income taxes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9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45,305</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Unallocated corporate expense:</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expense</w:t>
            </w: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468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(12,824)</w:t>
            </w:r>
          </w:p>
        </w:tc>
        <w:tc>
          <w:tcPr>
            <w:tcW w:w="3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(18,933)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(21,287)</w:t>
            </w:r>
          </w:p>
        </w:tc>
      </w:tr>
      <w:tr>
        <w:trPr>
          <w:trHeight w:val="230"/>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(9,354)</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Equity earnings (loss) of unconsolidated joint ventures</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w:t>
            </w:r>
          </w:p>
        </w:tc>
        <w:tc>
          <w:tcPr>
            <w:tcW w:w="19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4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(loss) before income taxes</w:t>
            </w:r>
          </w:p>
        </w:tc>
        <w:tc>
          <w:tcPr>
            <w:tcW w:w="1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(70,824)</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17,464</w:t>
            </w:r>
          </w:p>
        </w:tc>
      </w:tr>
      <w:tr>
        <w:trPr>
          <w:trHeight w:val="379"/>
        </w:trPr>
        <w:tc>
          <w:tcPr>
            <w:tcW w:w="4680" w:type="dxa"/>
            <w:vAlign w:val="bottom"/>
          </w:tcPr>
          <w:p>
            <w:pPr>
              <w:spacing w:after="0"/>
              <w:rPr>
                <w:sz w:val="24"/>
                <w:szCs w:val="24"/>
                <w:color w:val="auto"/>
              </w:rPr>
            </w:pP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- 78 -</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7"/>
        </w:trPr>
        <w:tc>
          <w:tcPr>
            <w:tcW w:w="46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Assuming cash and cash equivalents are accounted for as corporate assets, total assets by business segment and by country are presented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2"/>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b w:val="1"/>
                <w:bCs w:val="1"/>
                <w:color w:val="auto"/>
              </w:rPr>
              <w:t>By segment: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Cinema</w:t>
            </w:r>
          </w:p>
        </w:tc>
        <w:tc>
          <w:tcPr>
            <w:tcW w:w="48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357,196</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364,905</w:t>
            </w:r>
          </w:p>
        </w:tc>
        <w:tc>
          <w:tcPr>
            <w:tcW w:w="0" w:type="dxa"/>
            <w:vAlign w:val="bottom"/>
          </w:tcPr>
          <w:p>
            <w:pPr>
              <w:spacing w:after="0"/>
              <w:rPr>
                <w:sz w:val="1"/>
                <w:szCs w:val="1"/>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312,832</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295,213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1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120"/>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690,169</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674,989</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By country:</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United States</w:t>
            </w:r>
          </w:p>
        </w:tc>
        <w:tc>
          <w:tcPr>
            <w:tcW w:w="480" w:type="dxa"/>
            <w:vAlign w:val="bottom"/>
            <w:gridSpan w:val="2"/>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340,836</w:t>
            </w:r>
          </w:p>
        </w:tc>
        <w:tc>
          <w:tcPr>
            <w:tcW w:w="160" w:type="dxa"/>
            <w:vAlign w:val="bottom"/>
          </w:tcPr>
          <w:p>
            <w:pPr>
              <w:spacing w:after="0"/>
              <w:rPr>
                <w:sz w:val="16"/>
                <w:szCs w:val="16"/>
                <w:color w:val="auto"/>
              </w:rPr>
            </w:pPr>
          </w:p>
        </w:tc>
        <w:tc>
          <w:tcPr>
            <w:tcW w:w="44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356,191</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267,153</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248,031</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New Zealand</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82,180</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70,767</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690,169</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674,989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Corporate Assets includes cash and cash equivalents of $26.8 million and $12.1 million as of December 31, 2020 and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properties by country: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5"/>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4"/>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182,416</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91,704</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144,573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137,677</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Zealand</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26,136</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28,757</w:t>
            </w:r>
          </w:p>
        </w:tc>
        <w:tc>
          <w:tcPr>
            <w:tcW w:w="0" w:type="dxa"/>
            <w:vAlign w:val="bottom"/>
          </w:tcPr>
          <w:p>
            <w:pPr>
              <w:spacing w:after="0"/>
              <w:rPr>
                <w:sz w:val="1"/>
                <w:szCs w:val="1"/>
                <w:color w:val="auto"/>
              </w:rPr>
            </w:pPr>
          </w:p>
        </w:tc>
      </w:tr>
      <w:tr>
        <w:trPr>
          <w:trHeight w:val="190"/>
        </w:trPr>
        <w:tc>
          <w:tcPr>
            <w:tcW w:w="6640" w:type="dxa"/>
            <w:vAlign w:val="bottom"/>
          </w:tcPr>
          <w:p>
            <w:pPr>
              <w:spacing w:after="0" w:line="182" w:lineRule="exact"/>
              <w:rPr>
                <w:sz w:val="20"/>
                <w:szCs w:val="20"/>
                <w:color w:val="auto"/>
              </w:rPr>
            </w:pPr>
            <w:r>
              <w:rPr>
                <w:rFonts w:ascii="Arial" w:cs="Arial" w:eastAsia="Arial" w:hAnsi="Arial"/>
                <w:sz w:val="18"/>
                <w:szCs w:val="18"/>
                <w:b w:val="1"/>
                <w:bCs w:val="1"/>
                <w:color w:val="auto"/>
              </w:rPr>
              <w:t>Total operating property</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353,125</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258,138</w:t>
            </w:r>
          </w:p>
        </w:tc>
        <w:tc>
          <w:tcPr>
            <w:tcW w:w="0" w:type="dxa"/>
            <w:vAlign w:val="bottom"/>
          </w:tcPr>
          <w:p>
            <w:pPr>
              <w:spacing w:after="0"/>
              <w:rPr>
                <w:sz w:val="1"/>
                <w:szCs w:val="1"/>
                <w:color w:val="auto"/>
              </w:rPr>
            </w:pPr>
          </w:p>
        </w:tc>
      </w:tr>
      <w:tr>
        <w:trPr>
          <w:trHeight w:val="392"/>
        </w:trPr>
        <w:tc>
          <w:tcPr>
            <w:tcW w:w="7120" w:type="dxa"/>
            <w:vAlign w:val="bottom"/>
            <w:gridSpan w:val="3"/>
          </w:tcPr>
          <w:p>
            <w:pPr>
              <w:spacing w:after="0"/>
              <w:rPr>
                <w:sz w:val="20"/>
                <w:szCs w:val="20"/>
                <w:color w:val="auto"/>
              </w:rPr>
            </w:pPr>
            <w:r>
              <w:rPr>
                <w:rFonts w:ascii="Arial" w:cs="Arial" w:eastAsia="Arial" w:hAnsi="Arial"/>
                <w:sz w:val="18"/>
                <w:szCs w:val="18"/>
                <w:color w:val="auto"/>
                <w:w w:val="92"/>
              </w:rPr>
              <w:t>The table below summarizes capital expenditures for the three years ended December 31, 2020: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Segment capital expenditures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16,686</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47,555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56,795</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Corporate capital expenditures</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0"/>
        </w:trPr>
        <w:tc>
          <w:tcPr>
            <w:tcW w:w="664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b w:val="1"/>
                <w:bCs w:val="1"/>
                <w:color w:val="auto"/>
              </w:rPr>
              <w:t>Total capital expenditures</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16,759</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47"/>
              <w:spacing w:after="0" w:line="182"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47,722</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27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56,827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Consolidation</w:t>
      </w:r>
    </w:p>
    <w:p>
      <w:pPr>
        <w:spacing w:after="0" w:line="17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(“U.S. GAAP”). These consolidated financial statements include the accounts of our wholly owned subsidiaries, which are RDGE, CRG, and CDL. We have also consolidated the following entities that are not wholly owned for which we have control:</w:t>
      </w:r>
    </w:p>
    <w:p>
      <w:pPr>
        <w:spacing w:after="0" w:line="53" w:lineRule="exact"/>
        <w:rPr>
          <w:sz w:val="20"/>
          <w:szCs w:val="20"/>
          <w:color w:val="auto"/>
        </w:rPr>
      </w:pPr>
    </w:p>
    <w:p>
      <w:pPr>
        <w:ind w:left="660" w:right="220"/>
        <w:spacing w:after="0" w:line="261" w:lineRule="auto"/>
        <w:rPr>
          <w:sz w:val="20"/>
          <w:szCs w:val="20"/>
          <w:color w:val="auto"/>
        </w:rPr>
      </w:pPr>
      <w:r>
        <w:rPr>
          <w:rFonts w:ascii="Arial" w:cs="Arial" w:eastAsia="Arial" w:hAnsi="Arial"/>
          <w:sz w:val="18"/>
          <w:szCs w:val="18"/>
          <w:color w:val="auto"/>
        </w:rPr>
        <w:t>Australia Country Cinemas Pty, Limited, a company in which we own a 75% interest and whose only assets are our leasehold cinema at Dubbo, Australia and our owned cinema at Townsville, Australia;</w:t>
      </w:r>
    </w:p>
    <w:p>
      <w:pPr>
        <w:spacing w:after="0" w:line="22" w:lineRule="exact"/>
        <w:rPr>
          <w:sz w:val="20"/>
          <w:szCs w:val="20"/>
          <w:color w:val="auto"/>
        </w:rPr>
      </w:pPr>
    </w:p>
    <w:p>
      <w:pPr>
        <w:ind w:left="660" w:right="260"/>
        <w:spacing w:after="0" w:line="261" w:lineRule="auto"/>
        <w:rPr>
          <w:sz w:val="20"/>
          <w:szCs w:val="20"/>
          <w:color w:val="auto"/>
        </w:rPr>
      </w:pPr>
      <w:r>
        <w:rPr>
          <w:rFonts w:ascii="Arial" w:cs="Arial" w:eastAsia="Arial" w:hAnsi="Arial"/>
          <w:sz w:val="18"/>
          <w:szCs w:val="18"/>
          <w:color w:val="auto"/>
        </w:rPr>
        <w:t>Sutton Hill Properties, LLC (“SHP”), a company based in New York in which we own a 75% interest and whose only asset is the fee interest in the Cinemas 1,2,3; and,</w:t>
      </w:r>
    </w:p>
    <w:p>
      <w:pPr>
        <w:spacing w:after="0" w:line="36" w:lineRule="exact"/>
        <w:rPr>
          <w:sz w:val="20"/>
          <w:szCs w:val="20"/>
          <w:color w:val="auto"/>
        </w:rPr>
      </w:pPr>
    </w:p>
    <w:p>
      <w:pPr>
        <w:ind w:left="660" w:right="100"/>
        <w:spacing w:after="0" w:line="261" w:lineRule="auto"/>
        <w:rPr>
          <w:sz w:val="20"/>
          <w:szCs w:val="20"/>
          <w:color w:val="auto"/>
        </w:rPr>
      </w:pPr>
      <w:r>
        <w:rPr>
          <w:rFonts w:ascii="Arial" w:cs="Arial" w:eastAsia="Arial" w:hAnsi="Arial"/>
          <w:sz w:val="18"/>
          <w:szCs w:val="18"/>
          <w:color w:val="auto"/>
        </w:rPr>
        <w:t>Shadow View Land and Farming, LLC in which we own a 50% controlling membership interest and whose only asset is a 202-acre land parcel in Coachella, California as of December 31, 2020.</w:t>
      </w:r>
    </w:p>
    <w:p>
      <w:pPr>
        <w:spacing w:after="0" w:line="13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undivided interest in the unincorporated joint venture that owns the Mt. Gravatt cinema in a suburb of Brisbane, Australia;</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 undivided interest in the unincorporated joint venture that owns Rialto Cinemas in New Zealand.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We consider that we have control over our partially owned subsidiaries and joint venture interests (collectively “investee”) when these conditions exist:</w:t>
      </w:r>
    </w:p>
    <w:p>
      <w:pPr>
        <w:spacing w:after="0" w:line="19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own a majority of the voting rights or interests of the investee (typically above 50%), or</w:t>
      </w:r>
    </w:p>
    <w:p>
      <w:pPr>
        <w:ind w:left="660" w:right="180" w:hanging="328"/>
        <w:spacing w:after="0" w:line="23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when we own less than the majority voting rights or interests, we have the power over the investee when the voting rights or interests are sufficient to give it the practical ability to direct the relevant activities of the investee unilaterally.</w:t>
      </w:r>
    </w:p>
    <w:p>
      <w:pPr>
        <w:spacing w:after="0" w:line="14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Company considers all relevant facts and circumstances in assessing whether or not our voting rights in the investee are sufficient to give it power, including:</w:t>
      </w:r>
    </w:p>
    <w:p>
      <w:pPr>
        <w:spacing w:after="0" w:line="14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our voting rights and interests relative to the size and dispersion of holdings of other vote holders;</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voting rights and interests held by us;</w:t>
      </w:r>
    </w:p>
    <w:p>
      <w:pPr>
        <w:ind w:left="660" w:hanging="328"/>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rights and interests arising from other contractual arrangements;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additional other relevant facts.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the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71"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 but are not limited to:</w:t>
      </w:r>
    </w:p>
    <w:p>
      <w:pPr>
        <w:spacing w:after="0" w:line="14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we make regarding the recoverability and impairment of our assets (including goodwill and intangibles);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valuations of our derivative instruments;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allocation of insurance proceeds to various recoverable components;</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recoverability of our deferred tax;</w:t>
      </w:r>
    </w:p>
    <w:p>
      <w:pPr>
        <w:ind w:left="660" w:hanging="328"/>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estimation of our Incremental Borrowing Rate (“IBR”) as relates to the valuation of our right-of-use assets and lease liabilities;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estimation of gift card and gift certificate breakage where we have concluded that the likelihood of redemption is remote.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Cinema Exhibition Segment (all net of related taxes):</w:t>
      </w:r>
    </w:p>
    <w:p>
      <w:pPr>
        <w:spacing w:after="0" w:line="76" w:lineRule="exact"/>
        <w:rPr>
          <w:rFonts w:ascii="Arial" w:cs="Arial" w:eastAsia="Arial" w:hAnsi="Arial"/>
          <w:sz w:val="18"/>
          <w:szCs w:val="18"/>
          <w:color w:val="auto"/>
        </w:rPr>
      </w:pPr>
    </w:p>
    <w:p>
      <w:pPr>
        <w:ind w:left="660" w:right="180"/>
        <w:spacing w:after="0" w:line="261"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Sales of Cinema tickets (excluding bulk and advanced ticket sales) and food and beverage (“F&amp;B”) sales</w:t>
      </w:r>
      <w:r>
        <w:rPr>
          <w:rFonts w:ascii="Arial" w:cs="Arial" w:eastAsia="Arial" w:hAnsi="Arial"/>
          <w:sz w:val="18"/>
          <w:szCs w:val="18"/>
          <w:i w:val="1"/>
          <w:iCs w:val="1"/>
          <w:color w:val="auto"/>
        </w:rPr>
        <w:t xml:space="preserve"> </w:t>
      </w:r>
      <w:r>
        <w:rPr>
          <w:rFonts w:ascii="Arial" w:cs="Arial" w:eastAsia="Arial" w:hAnsi="Arial"/>
          <w:sz w:val="18"/>
          <w:szCs w:val="18"/>
          <w:color w:val="auto"/>
        </w:rPr>
        <w:t>– recognized when sold and collected,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cash or credit card at our theatre locations and through our online selling channels;</w:t>
      </w:r>
    </w:p>
    <w:p>
      <w:pPr>
        <w:spacing w:after="0" w:line="22" w:lineRule="exact"/>
        <w:rPr>
          <w:rFonts w:ascii="Arial" w:cs="Arial" w:eastAsia="Arial" w:hAnsi="Arial"/>
          <w:sz w:val="18"/>
          <w:szCs w:val="18"/>
          <w:color w:val="auto"/>
        </w:rPr>
      </w:pPr>
    </w:p>
    <w:p>
      <w:pPr>
        <w:ind w:left="660" w:right="260"/>
        <w:spacing w:after="0" w:line="261"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Sales of Bulk and Advanced Cinema Ticket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 deferred and recognized as revenue when the promised performance or movie that the ticket</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purchased for is shown;</w:t>
      </w:r>
    </w:p>
    <w:p>
      <w:pPr>
        <w:spacing w:after="0" w:line="3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i w:val="1"/>
          <w:iCs w:val="1"/>
          <w:u w:val="single" w:color="auto"/>
          <w:color w:val="auto"/>
        </w:rPr>
        <w:t>Gift Cards and Gift Certificate Sales</w:t>
      </w:r>
      <w:r>
        <w:rPr>
          <w:rFonts w:ascii="Arial" w:cs="Arial" w:eastAsia="Arial" w:hAnsi="Arial"/>
          <w:sz w:val="16"/>
          <w:szCs w:val="16"/>
          <w:i w:val="1"/>
          <w:iCs w:val="1"/>
          <w:color w:val="auto"/>
        </w:rPr>
        <w:t xml:space="preserve"> </w:t>
      </w:r>
      <w:r>
        <w:rPr>
          <w:rFonts w:ascii="Arial" w:cs="Arial" w:eastAsia="Arial" w:hAnsi="Arial"/>
          <w:sz w:val="16"/>
          <w:szCs w:val="16"/>
          <w:color w:val="auto"/>
        </w:rPr>
        <w:t>– deferred and recognized as revenue when redeemed, except for the breakage portion, as described below;</w:t>
      </w:r>
    </w:p>
    <w:p>
      <w:pPr>
        <w:spacing w:after="0" w:line="113" w:lineRule="exact"/>
        <w:rPr>
          <w:rFonts w:ascii="Arial" w:cs="Arial" w:eastAsia="Arial" w:hAnsi="Arial"/>
          <w:sz w:val="18"/>
          <w:szCs w:val="18"/>
          <w:color w:val="auto"/>
        </w:rPr>
      </w:pPr>
    </w:p>
    <w:p>
      <w:pPr>
        <w:ind w:left="660" w:right="140"/>
        <w:spacing w:after="0" w:line="235"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Breakage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recognized for unredeemed cards and certificates using the proportional method, whereby breakage revenue is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the pattern of rights exercised by the customer when the Company expects that it is probable that a significant revenue reversal would not occur for any estimated breakage amounts. This is based on a breakage ‘experience rate’ which is determined by historical redemption data;</w:t>
      </w:r>
    </w:p>
    <w:p>
      <w:pPr>
        <w:spacing w:after="0" w:line="39" w:lineRule="exact"/>
        <w:rPr>
          <w:rFonts w:ascii="Arial" w:cs="Arial" w:eastAsia="Arial" w:hAnsi="Arial"/>
          <w:sz w:val="18"/>
          <w:szCs w:val="18"/>
          <w:color w:val="auto"/>
        </w:rPr>
      </w:pPr>
    </w:p>
    <w:p>
      <w:pPr>
        <w:jc w:val="both"/>
        <w:ind w:left="660"/>
        <w:spacing w:after="0" w:line="285" w:lineRule="auto"/>
        <w:rPr>
          <w:rFonts w:ascii="Arial" w:cs="Arial" w:eastAsia="Arial" w:hAnsi="Arial"/>
          <w:sz w:val="18"/>
          <w:szCs w:val="18"/>
          <w:color w:val="auto"/>
        </w:rPr>
      </w:pPr>
      <w:r>
        <w:rPr>
          <w:rFonts w:ascii="Arial" w:cs="Arial" w:eastAsia="Arial" w:hAnsi="Arial"/>
          <w:sz w:val="16"/>
          <w:szCs w:val="16"/>
          <w:i w:val="1"/>
          <w:iCs w:val="1"/>
          <w:u w:val="single" w:color="auto"/>
          <w:color w:val="auto"/>
        </w:rPr>
        <w:t>Loyalty Income</w:t>
      </w:r>
      <w:r>
        <w:rPr>
          <w:rFonts w:ascii="Arial" w:cs="Arial" w:eastAsia="Arial" w:hAnsi="Arial"/>
          <w:sz w:val="16"/>
          <w:szCs w:val="16"/>
          <w:i w:val="1"/>
          <w:iCs w:val="1"/>
          <w:color w:val="auto"/>
        </w:rPr>
        <w:t xml:space="preserve"> </w:t>
      </w:r>
      <w:r>
        <w:rPr>
          <w:rFonts w:ascii="Arial" w:cs="Arial" w:eastAsia="Arial" w:hAnsi="Arial"/>
          <w:sz w:val="16"/>
          <w:szCs w:val="16"/>
          <w:color w:val="auto"/>
        </w:rPr>
        <w:t>- a component of revenue from members of our loyalty programs relating to the earning of loyalty rewards is deferred until such a</w:t>
      </w:r>
      <w:r>
        <w:rPr>
          <w:rFonts w:ascii="Arial" w:cs="Arial" w:eastAsia="Arial" w:hAnsi="Arial"/>
          <w:sz w:val="16"/>
          <w:szCs w:val="16"/>
          <w:i w:val="1"/>
          <w:iCs w:val="1"/>
          <w:color w:val="auto"/>
        </w:rPr>
        <w:t xml:space="preserve"> </w:t>
      </w:r>
      <w:r>
        <w:rPr>
          <w:rFonts w:ascii="Arial" w:cs="Arial" w:eastAsia="Arial" w:hAnsi="Arial"/>
          <w:sz w:val="16"/>
          <w:szCs w:val="16"/>
          <w:color w:val="auto"/>
        </w:rPr>
        <w:t>time as members redeem rewards, or until we believe the likelihood of redemption by the member is remote. Deferral is based on the progress made toward the next reward, the fair value of that reward, and the likelihood of redemption, determined by historical redemption data, and;</w:t>
      </w:r>
    </w:p>
    <w:p>
      <w:pPr>
        <w:spacing w:after="0" w:line="19" w:lineRule="exact"/>
        <w:rPr>
          <w:rFonts w:ascii="Arial" w:cs="Arial" w:eastAsia="Arial" w:hAnsi="Arial"/>
          <w:sz w:val="18"/>
          <w:szCs w:val="18"/>
          <w:color w:val="auto"/>
        </w:rPr>
      </w:pPr>
    </w:p>
    <w:p>
      <w:pPr>
        <w:ind w:left="660" w:right="580"/>
        <w:spacing w:after="0" w:line="261"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Advertising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recognized based on contractual arrangements or relevant admissions information, as appropriate, when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is satisfied.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Real Estate Segment:</w:t>
      </w:r>
    </w:p>
    <w:p>
      <w:pPr>
        <w:spacing w:after="0" w:line="76" w:lineRule="exact"/>
        <w:rPr>
          <w:rFonts w:ascii="Arial" w:cs="Arial" w:eastAsia="Arial" w:hAnsi="Arial"/>
          <w:sz w:val="18"/>
          <w:szCs w:val="18"/>
          <w:color w:val="auto"/>
        </w:rPr>
      </w:pPr>
    </w:p>
    <w:p>
      <w:pPr>
        <w:ind w:left="660" w:right="340"/>
        <w:spacing w:after="0" w:line="308" w:lineRule="auto"/>
        <w:rPr>
          <w:rFonts w:ascii="Arial" w:cs="Arial" w:eastAsia="Arial" w:hAnsi="Arial"/>
          <w:sz w:val="18"/>
          <w:szCs w:val="18"/>
          <w:color w:val="auto"/>
        </w:rPr>
      </w:pPr>
      <w:r>
        <w:rPr>
          <w:rFonts w:ascii="Arial" w:cs="Arial" w:eastAsia="Arial" w:hAnsi="Arial"/>
          <w:sz w:val="16"/>
          <w:szCs w:val="16"/>
          <w:i w:val="1"/>
          <w:iCs w:val="1"/>
          <w:u w:val="single" w:color="auto"/>
          <w:color w:val="auto"/>
        </w:rPr>
        <w:t>Property Rentals</w:t>
      </w:r>
      <w:r>
        <w:rPr>
          <w:rFonts w:ascii="Arial" w:cs="Arial" w:eastAsia="Arial" w:hAnsi="Arial"/>
          <w:sz w:val="16"/>
          <w:szCs w:val="16"/>
          <w:i w:val="1"/>
          <w:iCs w:val="1"/>
          <w:color w:val="auto"/>
        </w:rPr>
        <w:t xml:space="preserve"> </w:t>
      </w:r>
      <w:r>
        <w:rPr>
          <w:rFonts w:ascii="Arial" w:cs="Arial" w:eastAsia="Arial" w:hAnsi="Arial"/>
          <w:sz w:val="16"/>
          <w:szCs w:val="16"/>
          <w:color w:val="auto"/>
        </w:rPr>
        <w:t>–we contractually retain substantially all of the risks and benefits of ownership of our real estate properties and therefore, we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for our tenant leases as operating leases. Accordingly, rental revenue is recognized on a straight-line basis over the lease term; and,</w:t>
      </w:r>
    </w:p>
    <w:p>
      <w:pPr>
        <w:ind w:left="660" w:right="40"/>
        <w:spacing w:after="0" w:line="230"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Live Theatre License Fees</w:t>
      </w:r>
      <w:r>
        <w:rPr>
          <w:rFonts w:ascii="Arial" w:cs="Arial" w:eastAsia="Arial" w:hAnsi="Arial"/>
          <w:sz w:val="18"/>
          <w:szCs w:val="18"/>
          <w:i w:val="1"/>
          <w:iCs w:val="1"/>
          <w:color w:val="auto"/>
        </w:rPr>
        <w:t xml:space="preserve"> </w:t>
      </w:r>
      <w:r>
        <w:rPr>
          <w:rFonts w:ascii="Arial" w:cs="Arial" w:eastAsia="Arial" w:hAnsi="Arial"/>
          <w:sz w:val="18"/>
          <w:szCs w:val="18"/>
          <w:color w:val="auto"/>
        </w:rPr>
        <w:t>– we have real property interest in and license theatre space to third parties for the presentation of theatrical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productions. Revenue is recognized in accordance with the license agreement, and is typically recorded on a weekly basis after the performance of a show has occurred.</w:t>
      </w:r>
    </w:p>
    <w:p>
      <w:pPr>
        <w:spacing w:after="0" w:line="1" w:lineRule="exact"/>
        <w:rPr>
          <w:rFonts w:ascii="Arial" w:cs="Arial" w:eastAsia="Arial" w:hAnsi="Arial"/>
          <w:sz w:val="18"/>
          <w:szCs w:val="18"/>
          <w:color w:val="auto"/>
        </w:rPr>
      </w:pPr>
    </w:p>
    <w:p>
      <w:pPr>
        <w:ind w:left="5540" w:hanging="111"/>
        <w:spacing w:after="0"/>
        <w:tabs>
          <w:tab w:leader="none" w:pos="5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71"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We consider all highly liquid investments with original maturities of three months or less at the time of purchase as cash equivalents for which cost approximates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receivables balance is composed primarily of credit card and booking agent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sales tax refund receivable from our Australian taxing authorities, rents receivable from our third-party tenants, and the management fee receivable from the managed cinemas and property damage insurance recovery proceeds. We have no history of significant bad debt losses and we have established an allowance for accounts that we deem uncollectible.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7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Inventory is composed of food and beverage items in our theater operations and books and associated stationery items at our State Cinema bookstore, and is stated at the lower of cost (first-in, first-out method) or net realizable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17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Restricted cash includes those cash accounts for which the use of funds is restricted by any contract or bank covenant. At December 31, 2020 and 2019, our restricted cash balance, included as part of prepaid and other current assets, was $8,000 and $7,000,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 Financial Instruments</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From time to time, we purchase interest rate derivative instruments to hedge the interest rate risk that results from the variability of our floating-rate borrowings. Our use of derivative transactions is intended to reduce long-term fluctuations in cash flows caused by market movements. Derivative instruments are recorded on the balance sheet at fair value with changes in fair value through interest expense in the Consolidated Statements of Operations or, in the case of accounting hedges, in Other Comprehensive Income and then reclassified into interest expense in the same period(s) during which the hedged transactions affect earnings. The cash flows from interest rate derivatives are classified as cashflows provided by operating activities in the Consolidated Cashflow Statement, as are the hedged transactions. As of December 31, 2020 and 2019 we have unfavorable derivative positions designated as accounting hedges of $430,000 and $342,000, respectively.</w:t>
      </w:r>
    </w:p>
    <w:p>
      <w:pPr>
        <w:spacing w:after="0" w:line="149"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 xml:space="preserve">With regards to accounting hedges, the Company has elected, by reference to certain practical expedients contained within ASC 848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w:t>
      </w:r>
      <w:r>
        <w:rPr>
          <w:rFonts w:ascii="Arial" w:cs="Arial" w:eastAsia="Arial" w:hAnsi="Arial"/>
          <w:sz w:val="17"/>
          <w:szCs w:val="17"/>
          <w:color w:val="auto"/>
        </w:rPr>
        <w:t>, to continue the method of assessing effectiveness as document in the original hedge, so that the reference rate on the hypothetical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matches the reference rate on the hedging instrument. In addition, the Company has elected the expedient permitting the assertion of probability of the hedged interest payments regardless of any expected modification in the terms related to reference rate reform.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Properties, net</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Operating Properties consist of land, buildings and improvements, leasehold improvements, fixtures and equipment, which we use to derive operating income associated with our two 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they improve or extend the lives of the respective assets and/or provide long-term future net cash inflows, including the potential for cost savings.</w:t>
      </w:r>
    </w:p>
    <w:p>
      <w:pPr>
        <w:spacing w:after="0" w:line="14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Depreciation and amortization are provided using the straight-line method over the estimated useful lives of the assets. The estimated useful lives are generally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 and improvements</w:t>
            </w:r>
          </w:p>
        </w:tc>
        <w:tc>
          <w:tcPr>
            <w:tcW w:w="84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15 – 60 years</w:t>
            </w:r>
          </w:p>
        </w:tc>
      </w:tr>
      <w:tr>
        <w:trPr>
          <w:trHeight w:val="148"/>
        </w:trPr>
        <w:tc>
          <w:tcPr>
            <w:tcW w:w="2760" w:type="dxa"/>
            <w:vAlign w:val="bottom"/>
          </w:tcPr>
          <w:p>
            <w:pPr>
              <w:ind w:left="20"/>
              <w:spacing w:after="0" w:line="149" w:lineRule="exact"/>
              <w:rPr>
                <w:sz w:val="20"/>
                <w:szCs w:val="20"/>
                <w:color w:val="auto"/>
              </w:rPr>
            </w:pPr>
            <w:r>
              <w:rPr>
                <w:rFonts w:ascii="Arial" w:cs="Arial" w:eastAsia="Arial" w:hAnsi="Arial"/>
                <w:sz w:val="14"/>
                <w:szCs w:val="14"/>
                <w:color w:val="auto"/>
              </w:rPr>
              <w:t>Leasehold improvements</w:t>
            </w:r>
          </w:p>
        </w:tc>
        <w:tc>
          <w:tcPr>
            <w:tcW w:w="8480" w:type="dxa"/>
            <w:vAlign w:val="bottom"/>
          </w:tcPr>
          <w:p>
            <w:pPr>
              <w:ind w:left="1140"/>
              <w:spacing w:after="0" w:line="149" w:lineRule="exact"/>
              <w:rPr>
                <w:sz w:val="20"/>
                <w:szCs w:val="20"/>
                <w:color w:val="auto"/>
              </w:rPr>
            </w:pPr>
            <w:r>
              <w:rPr>
                <w:rFonts w:ascii="Arial" w:cs="Arial" w:eastAsia="Arial" w:hAnsi="Arial"/>
                <w:sz w:val="14"/>
                <w:szCs w:val="14"/>
                <w:color w:val="auto"/>
              </w:rPr>
              <w:t>Shorter of the lease term or useful life of the improvement</w:t>
            </w:r>
          </w:p>
        </w:tc>
      </w:tr>
      <w:tr>
        <w:trPr>
          <w:trHeight w:val="149"/>
        </w:trPr>
        <w:tc>
          <w:tcPr>
            <w:tcW w:w="27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Theater equipment</w:t>
            </w:r>
          </w:p>
        </w:tc>
        <w:tc>
          <w:tcPr>
            <w:tcW w:w="84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7 years</w:t>
            </w:r>
          </w:p>
        </w:tc>
      </w:tr>
      <w:tr>
        <w:trPr>
          <w:trHeight w:val="182"/>
        </w:trPr>
        <w:tc>
          <w:tcPr>
            <w:tcW w:w="27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8480" w:type="dxa"/>
            <w:vAlign w:val="bottom"/>
          </w:tcPr>
          <w:p>
            <w:pPr>
              <w:ind w:left="1140"/>
              <w:spacing w:after="0"/>
              <w:rPr>
                <w:sz w:val="20"/>
                <w:szCs w:val="20"/>
                <w:color w:val="auto"/>
              </w:rPr>
            </w:pPr>
            <w:r>
              <w:rPr>
                <w:rFonts w:ascii="Arial" w:cs="Arial" w:eastAsia="Arial" w:hAnsi="Arial"/>
                <w:sz w:val="14"/>
                <w:szCs w:val="14"/>
                <w:color w:val="auto"/>
              </w:rPr>
              <w:t>3 – 10 years</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and Development Properties, net</w:t>
      </w:r>
    </w:p>
    <w:p>
      <w:pPr>
        <w:spacing w:after="0" w:line="17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Investment and Development Properties consist of land, buildings and improvements under development, and their associated capitalized interest and other development costs that we are either holding for development, currently developing, or holding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spacing w:after="0" w:line="225" w:lineRule="auto"/>
        <w:rPr>
          <w:sz w:val="20"/>
          <w:szCs w:val="20"/>
          <w:color w:val="auto"/>
        </w:rPr>
      </w:pPr>
      <w:r>
        <w:rPr>
          <w:rFonts w:ascii="Arial" w:cs="Arial" w:eastAsia="Arial" w:hAnsi="Arial"/>
          <w:sz w:val="18"/>
          <w:szCs w:val="18"/>
          <w:color w:val="auto"/>
        </w:rPr>
        <w:t>investment appreciation purposes. These properties are initially recorded at the lower of cost or fair market value. Within this category are building and improvement costs directly associated with the development of potential cinemas (whether for sale or lease), the development of entertainment-themed centers (“ETCs”), or other improvements to real property.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 curtailed. However, we do not suspend cost capitalization for brief interruptions and interruptions that are externally imposed, such as mandates from governmental authorities.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Long-Lived Assets</w:t>
      </w:r>
    </w:p>
    <w:p>
      <w:pPr>
        <w:spacing w:after="0" w:line="171"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In 2020, due to the impacts of COVID-19, we have reviewed our long-lived assets, including goodwill and intangibles, for impairment at the end of each reporting quarter.</w:t>
      </w:r>
    </w:p>
    <w:p>
      <w:pPr>
        <w:spacing w:after="0" w:line="12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review internal management reports on a monthly basis as well as monitor current and potential future competition in film markets for indications of potential impairment.</w:t>
      </w:r>
    </w:p>
    <w:p>
      <w:pPr>
        <w:spacing w:after="0" w:line="143" w:lineRule="exact"/>
        <w:rPr>
          <w:sz w:val="20"/>
          <w:szCs w:val="20"/>
          <w:color w:val="auto"/>
        </w:rPr>
      </w:pPr>
    </w:p>
    <w:p>
      <w:pPr>
        <w:ind w:left="660" w:hanging="328"/>
        <w:spacing w:after="0" w:line="225"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Impairment of Long-lived Assets (other than Goodwill and Intangible Assets with indefinite lives) – </w:t>
      </w:r>
      <w:r>
        <w:rPr>
          <w:rFonts w:ascii="Arial" w:cs="Arial" w:eastAsia="Arial" w:hAnsi="Arial"/>
          <w:sz w:val="18"/>
          <w:szCs w:val="18"/>
          <w:color w:val="auto"/>
        </w:rPr>
        <w:t xml:space="preserve">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Following the adoption of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we include all relevant right-of-use assets in our impairment assessments and exclude the related lease liabilities and payments. For certain non-income producing properties or for those assets with no consistent historical or projected cash flows, we obtain appraisals or other evidence to evaluate whether there are impairment indicators for these assets.</w:t>
      </w:r>
    </w:p>
    <w:p>
      <w:pPr>
        <w:spacing w:after="0" w:line="148" w:lineRule="exact"/>
        <w:rPr>
          <w:rFonts w:ascii="Arial" w:cs="Arial" w:eastAsia="Arial" w:hAnsi="Arial"/>
          <w:sz w:val="18"/>
          <w:szCs w:val="18"/>
          <w:i w:val="1"/>
          <w:iCs w:val="1"/>
          <w:color w:val="auto"/>
        </w:rPr>
      </w:pPr>
    </w:p>
    <w:p>
      <w:pPr>
        <w:ind w:left="660" w:right="320"/>
        <w:spacing w:after="0" w:line="235" w:lineRule="auto"/>
        <w:rPr>
          <w:rFonts w:ascii="Arial" w:cs="Arial" w:eastAsia="Arial" w:hAnsi="Arial"/>
          <w:sz w:val="18"/>
          <w:szCs w:val="18"/>
          <w:i w:val="1"/>
          <w:iCs w:val="1"/>
          <w:color w:val="auto"/>
        </w:rPr>
      </w:pPr>
      <w:r>
        <w:rPr>
          <w:rFonts w:ascii="Arial" w:cs="Arial" w:eastAsia="Arial" w:hAnsi="Arial"/>
          <w:sz w:val="18"/>
          <w:szCs w:val="18"/>
          <w:color w:val="auto"/>
        </w:rPr>
        <w:t>$217,000 of impairment losses were recorded for long-lived and finite-lived intangible assets for the year ended December 31, 2020, based on historical information and projected cash flow. No impairment losses were recorded for the years ended December 31, 2019 or December 31, 2018.</w:t>
      </w:r>
    </w:p>
    <w:p>
      <w:pPr>
        <w:spacing w:after="0" w:line="147" w:lineRule="exact"/>
        <w:rPr>
          <w:rFonts w:ascii="Arial" w:cs="Arial" w:eastAsia="Arial" w:hAnsi="Arial"/>
          <w:sz w:val="18"/>
          <w:szCs w:val="18"/>
          <w:i w:val="1"/>
          <w:iCs w:val="1"/>
          <w:color w:val="auto"/>
        </w:rPr>
      </w:pPr>
    </w:p>
    <w:p>
      <w:pPr>
        <w:ind w:left="660" w:right="20" w:hanging="328"/>
        <w:spacing w:after="0" w:line="261" w:lineRule="auto"/>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Impairment of Goodwill and Intangible Assets with indefinite lives – </w:t>
      </w:r>
      <w:r>
        <w:rPr>
          <w:rFonts w:ascii="Arial" w:cs="Arial" w:eastAsia="Arial" w:hAnsi="Arial"/>
          <w:sz w:val="16"/>
          <w:szCs w:val="16"/>
          <w:color w:val="auto"/>
        </w:rPr>
        <w:t>goodwill and intangible assets with indefinite useful lives are not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but instead, tested for impairment at least annually on a reporting unit basis. The impairment evaluation is based on the present value of estimated future cash flows of the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33"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7"/>
          <w:szCs w:val="17"/>
          <w:color w:val="auto"/>
        </w:rPr>
        <w:t>No impairment losses were recorded for goodwill and indefinite-lived intangible assets for the three years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detailed discussion of our impairment assessments, refer to </w:t>
      </w:r>
      <w:r>
        <w:rPr>
          <w:rFonts w:ascii="Arial" w:cs="Arial" w:eastAsia="Arial" w:hAnsi="Arial"/>
          <w:sz w:val="18"/>
          <w:szCs w:val="18"/>
          <w:i w:val="1"/>
          <w:iCs w:val="1"/>
          <w:color w:val="auto"/>
        </w:rPr>
        <w:t>Note 3 – Impact of COVID-19 Pandemic on Liquidity</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Variable Interest Entity</w:t>
      </w:r>
    </w:p>
    <w:p>
      <w:pPr>
        <w:spacing w:after="0" w:line="144"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spacing w:after="0" w:line="138"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Reading International Trust I is a VIE. It is not consolidated in our financial statements because we are not the primary beneficiary. We carry our investment in the Reading International Trust I, recorded under “</w:t>
      </w:r>
      <w:r>
        <w:rPr>
          <w:rFonts w:ascii="Arial" w:cs="Arial" w:eastAsia="Arial" w:hAnsi="Arial"/>
          <w:sz w:val="17"/>
          <w:szCs w:val="17"/>
          <w:i w:val="1"/>
          <w:iCs w:val="1"/>
          <w:color w:val="auto"/>
        </w:rPr>
        <w:t>Other Assets”</w:t>
      </w:r>
      <w:r>
        <w:rPr>
          <w:rFonts w:ascii="Arial" w:cs="Arial" w:eastAsia="Arial" w:hAnsi="Arial"/>
          <w:sz w:val="17"/>
          <w:szCs w:val="17"/>
          <w:color w:val="auto"/>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u w:val="single" w:color="auto"/>
          <w:color w:val="auto"/>
        </w:rPr>
        <w:t>Land and Property Held for Sale</w:t>
      </w:r>
    </w:p>
    <w:p>
      <w:pPr>
        <w:spacing w:after="0" w:line="17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As of December 31, 2020, we classified our landholding at Coachella, California and Manukau, New Zealand, as held for sale. There were no adjustments necessary to reduce the carrying value of these assets on transfer to held for sale – accordingly, these assets are held at historical cost on the consolidated balance sheet. Refer to </w:t>
      </w:r>
      <w:r>
        <w:rPr>
          <w:rFonts w:ascii="Arial" w:cs="Arial" w:eastAsia="Arial" w:hAnsi="Arial"/>
          <w:sz w:val="17"/>
          <w:szCs w:val="17"/>
          <w:i w:val="1"/>
          <w:iCs w:val="1"/>
          <w:color w:val="auto"/>
        </w:rPr>
        <w:t>Note 5 – Real Estate Transactions</w:t>
      </w:r>
      <w:r>
        <w:rPr>
          <w:rFonts w:ascii="Arial" w:cs="Arial" w:eastAsia="Arial" w:hAnsi="Arial"/>
          <w:sz w:val="17"/>
          <w:szCs w:val="17"/>
          <w:color w:val="auto"/>
        </w:rPr>
        <w:t xml:space="preserve"> for details.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Deferred Leasing/Financing Costs</w:t>
      </w:r>
    </w:p>
    <w:p>
      <w:pPr>
        <w:spacing w:after="0" w:line="17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 Net deferred financing costs are presented as a reduction in the associated debt account (see </w:t>
      </w:r>
      <w:r>
        <w:rPr>
          <w:rFonts w:ascii="Arial" w:cs="Arial" w:eastAsia="Arial" w:hAnsi="Arial"/>
          <w:sz w:val="18"/>
          <w:szCs w:val="18"/>
          <w:i w:val="1"/>
          <w:iCs w:val="1"/>
          <w:color w:val="auto"/>
        </w:rPr>
        <w:t>Note 11 – Borrowings</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Film Rental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Film rental costs are accrued based on the applicable box office receipts and estimates of the final settlement to the film licensors.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Advertising Expense</w:t>
      </w:r>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expense our advertising as incurred. The amount of our advertising expense was $0.7 million, $1.8 million, and $2.4 million in 2020,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Lessee</w:t>
      </w:r>
    </w:p>
    <w:p>
      <w:pPr>
        <w:ind w:right="260"/>
        <w:spacing w:after="0" w:line="228" w:lineRule="auto"/>
        <w:rPr>
          <w:sz w:val="20"/>
          <w:szCs w:val="20"/>
          <w:color w:val="auto"/>
        </w:rPr>
      </w:pPr>
      <w:r>
        <w:rPr>
          <w:rFonts w:ascii="Arial" w:cs="Arial" w:eastAsia="Arial" w:hAnsi="Arial"/>
          <w:sz w:val="18"/>
          <w:szCs w:val="18"/>
          <w:color w:val="auto"/>
        </w:rPr>
        <w:t xml:space="preserve">The majority of our cinema operations are conducted in premises under non-cancellable lease arrangements. Prior to January 1, 2019, under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such lease arrangements were classified as operating leases, and the related lease expenses recorded on a straight-line basis over the initial base terms, taking into account any rate change clauses.</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Following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effective January 1, 2019, we determine if an arrangement is a lease at inception. Operating leases are included in operating lease right-of-use (“ROU”) assets and operating lease liabilities, current and non-current, in our consolidated balance sheets. Finance leases are included in operating properties, other current liabilities, and other long-term liabilities in our consolidated balance sheets.</w:t>
      </w:r>
    </w:p>
    <w:p>
      <w:pPr>
        <w:spacing w:after="0" w:line="30"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received. Our lease terms may include options to extend or not to terminate the lease when it is reasonably certain that we will exercise that option. Lease expense for lease payments is recognized on a straight-line basis over the lease term.</w:t>
      </w:r>
    </w:p>
    <w:p>
      <w:pPr>
        <w:spacing w:after="0" w:line="5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have lease agreements with lease and non-lease components, which we do not separate. For certain equipment leases, such as cinema equipment, we account for the lease and non-lease components as a single lease component.</w:t>
      </w:r>
    </w:p>
    <w:p>
      <w:pPr>
        <w:spacing w:after="0" w:line="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As a result of the impacts of COVID-19, we have obtained certain concessions from our landlords. We have elected to account for these concessions as if there have been no changes to the underlying contracts, thereby recognizing abatements secured as variable lease expenses, and increasing payables for lease payment deferrals.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Lessor</w:t>
      </w:r>
    </w:p>
    <w:p>
      <w:pPr>
        <w:ind w:right="20"/>
        <w:spacing w:after="0" w:line="226" w:lineRule="auto"/>
        <w:rPr>
          <w:sz w:val="20"/>
          <w:szCs w:val="20"/>
          <w:color w:val="auto"/>
        </w:rPr>
      </w:pPr>
      <w:r>
        <w:rPr>
          <w:rFonts w:ascii="Arial" w:cs="Arial" w:eastAsia="Arial" w:hAnsi="Arial"/>
          <w:sz w:val="18"/>
          <w:szCs w:val="18"/>
          <w:color w:val="auto"/>
        </w:rPr>
        <w:t>As part of our real estate operations, we own certain real estate property in the U.S., Australia and New Zealand which we lease to third parties. We recognize lease payments for operating leases as property revenue on a straight-line basis over the lease term. Lease incentive payments we make to lessees are amortized as a reduction in property revenue over the lease term. The lease term includes all non-cancellable periods contracted for within the lease and excludes any option periods which a tenant may hold.</w:t>
      </w:r>
    </w:p>
    <w:p>
      <w:pPr>
        <w:spacing w:after="0" w:line="14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As a result of the impacts of COVID-19, we have provided certain concessions to specific tenants. We have elected to account for these concessions as if there have been no changes to the underlying contracts, thereby recognizing abatements granted as variable lease payments through revenue and increasing receivables for lease payment deferrals.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7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Arial" w:cs="Arial" w:eastAsia="Arial" w:hAnsi="Arial"/>
          <w:sz w:val="18"/>
          <w:szCs w:val="18"/>
          <w:i w:val="1"/>
          <w:iCs w:val="1"/>
          <w:color w:val="auto"/>
        </w:rPr>
        <w:t xml:space="preserve">Note 15 – Share-based Compensation and Repurchase Plans </w:t>
      </w:r>
      <w:r>
        <w:rPr>
          <w:rFonts w:ascii="Arial" w:cs="Arial" w:eastAsia="Arial" w:hAnsi="Arial"/>
          <w:sz w:val="18"/>
          <w:szCs w:val="18"/>
          <w:color w:val="auto"/>
        </w:rPr>
        <w:t>for further details.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Treasury Shares</w:t>
      </w:r>
    </w:p>
    <w:p>
      <w:pPr>
        <w:spacing w:after="0" w:line="17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 xml:space="preserve">In recent years, we repurchased our own Class A common shares as part of a publicly announced stock repurchase plan. We account for these repurchases using the cost method and present these as a separate line within the Stockholders’ Equity section in our consolidated balance sheets. Refer to </w:t>
      </w:r>
      <w:r>
        <w:rPr>
          <w:rFonts w:ascii="Arial" w:cs="Arial" w:eastAsia="Arial" w:hAnsi="Arial"/>
          <w:sz w:val="18"/>
          <w:szCs w:val="18"/>
          <w:i w:val="1"/>
          <w:iCs w:val="1"/>
          <w:color w:val="auto"/>
        </w:rPr>
        <w:t>Note 15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Compensation and Repurchase Plans </w:t>
      </w:r>
      <w:r>
        <w:rPr>
          <w:rFonts w:ascii="Arial" w:cs="Arial" w:eastAsia="Arial" w:hAnsi="Arial"/>
          <w:sz w:val="18"/>
          <w:szCs w:val="18"/>
          <w:color w:val="auto"/>
        </w:rPr>
        <w:t>for further details of our stock repurchase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Insurance Recoveries and Other Contingency Matters</w:t>
      </w:r>
    </w:p>
    <w:p>
      <w:pPr>
        <w:spacing w:after="0" w:line="171" w:lineRule="exact"/>
        <w:rPr>
          <w:sz w:val="20"/>
          <w:szCs w:val="20"/>
          <w:color w:val="auto"/>
        </w:rPr>
      </w:pPr>
    </w:p>
    <w:p>
      <w:pPr>
        <w:ind w:left="660" w:right="20" w:hanging="328"/>
        <w:spacing w:after="0" w:line="246" w:lineRule="auto"/>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 we record any loss contingencies if there is a “probable” likelihood that the liability had been incurred, and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loss can be reasonably estimated.</w:t>
      </w:r>
    </w:p>
    <w:p>
      <w:pPr>
        <w:spacing w:after="0" w:line="142" w:lineRule="exact"/>
        <w:rPr>
          <w:rFonts w:ascii="Arial" w:cs="Arial" w:eastAsia="Arial" w:hAnsi="Arial"/>
          <w:sz w:val="18"/>
          <w:szCs w:val="18"/>
          <w:i w:val="1"/>
          <w:iCs w:val="1"/>
          <w:color w:val="auto"/>
        </w:rPr>
      </w:pPr>
    </w:p>
    <w:p>
      <w:pPr>
        <w:ind w:left="660" w:hanging="328"/>
        <w:spacing w:after="0"/>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Gain contingencies:</w:t>
      </w:r>
    </w:p>
    <w:p>
      <w:pPr>
        <w:spacing w:after="0" w:line="76" w:lineRule="exact"/>
        <w:rPr>
          <w:rFonts w:ascii="Arial" w:cs="Arial" w:eastAsia="Arial" w:hAnsi="Arial"/>
          <w:sz w:val="18"/>
          <w:szCs w:val="18"/>
          <w:i w:val="1"/>
          <w:iCs w:val="1"/>
          <w:color w:val="auto"/>
        </w:rPr>
      </w:pPr>
    </w:p>
    <w:p>
      <w:pPr>
        <w:ind w:left="660" w:right="20"/>
        <w:spacing w:after="0" w:line="235"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Insurance recoveries</w:t>
      </w:r>
      <w:r>
        <w:rPr>
          <w:rFonts w:ascii="Arial" w:cs="Arial" w:eastAsia="Arial" w:hAnsi="Arial"/>
          <w:sz w:val="18"/>
          <w:szCs w:val="18"/>
          <w:color w:val="auto"/>
        </w:rPr>
        <w:t xml:space="preserve"> – 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w:t>
      </w:r>
    </w:p>
    <w:p>
      <w:pPr>
        <w:spacing w:after="0" w:line="39" w:lineRule="exact"/>
        <w:rPr>
          <w:rFonts w:ascii="Arial" w:cs="Arial" w:eastAsia="Arial" w:hAnsi="Arial"/>
          <w:sz w:val="18"/>
          <w:szCs w:val="18"/>
          <w:i w:val="1"/>
          <w:iCs w:val="1"/>
          <w:color w:val="auto"/>
        </w:rPr>
      </w:pPr>
    </w:p>
    <w:p>
      <w:pPr>
        <w:ind w:left="660" w:right="240"/>
        <w:spacing w:after="0" w:line="261"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Others</w:t>
      </w:r>
      <w:r>
        <w:rPr>
          <w:rFonts w:ascii="Arial" w:cs="Arial" w:eastAsia="Arial" w:hAnsi="Arial"/>
          <w:sz w:val="18"/>
          <w:szCs w:val="18"/>
          <w:color w:val="auto"/>
        </w:rPr>
        <w:t xml:space="preserve"> – other gain contingencies typically result from legal settlements and we record those settlements in income when cash or other forms of payments are received.</w:t>
      </w:r>
    </w:p>
    <w:p>
      <w:pPr>
        <w:spacing w:after="0" w:line="13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Legal costs relating to our litigation matters, whether we are the plaintiff or the defendant, are recorded when incurred. For the years ended December 31, 2020, 2019, and 2018, we recorded gains/(losses) relating to litigation settlement of $3,000, ($67,000), and $nil,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Currency Translation Policy</w:t>
      </w:r>
    </w:p>
    <w:p>
      <w:pPr>
        <w:spacing w:after="0" w:line="17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15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of and</w:t>
            </w: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 of and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As of and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1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78"/>
        </w:trPr>
        <w:tc>
          <w:tcPr>
            <w:tcW w:w="5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Spot Rate</w:t>
            </w: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2019</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48"/>
        </w:trPr>
        <w:tc>
          <w:tcPr>
            <w:tcW w:w="5480" w:type="dxa"/>
            <w:vAlign w:val="bottom"/>
            <w:gridSpan w:val="3"/>
            <w:vMerge w:val="continue"/>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8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8"/>
                <w:szCs w:val="18"/>
                <w:color w:val="auto"/>
              </w:rPr>
              <w:t>Australian Dollar</w:t>
            </w:r>
          </w:p>
        </w:tc>
        <w:tc>
          <w:tcPr>
            <w:tcW w:w="1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0.7709</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0.7030</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0.7046</w:t>
            </w:r>
          </w:p>
        </w:tc>
        <w:tc>
          <w:tcPr>
            <w:tcW w:w="0" w:type="dxa"/>
            <w:vAlign w:val="bottom"/>
          </w:tcPr>
          <w:p>
            <w:pPr>
              <w:spacing w:after="0"/>
              <w:rPr>
                <w:sz w:val="1"/>
                <w:szCs w:val="1"/>
                <w:color w:val="auto"/>
              </w:rPr>
            </w:pPr>
          </w:p>
        </w:tc>
      </w:tr>
      <w:tr>
        <w:trPr>
          <w:trHeight w:val="189"/>
        </w:trPr>
        <w:tc>
          <w:tcPr>
            <w:tcW w:w="5480" w:type="dxa"/>
            <w:vAlign w:val="bottom"/>
            <w:gridSpan w:val="3"/>
          </w:tcPr>
          <w:p>
            <w:pPr>
              <w:ind w:left="220"/>
              <w:spacing w:after="0" w:line="189" w:lineRule="exact"/>
              <w:rPr>
                <w:sz w:val="20"/>
                <w:szCs w:val="20"/>
                <w:color w:val="auto"/>
              </w:rPr>
            </w:pPr>
            <w:r>
              <w:rPr>
                <w:rFonts w:ascii="Arial" w:cs="Arial" w:eastAsia="Arial" w:hAnsi="Arial"/>
                <w:sz w:val="18"/>
                <w:szCs w:val="18"/>
                <w:color w:val="auto"/>
              </w:rPr>
              <w:t>New Zealand Dollar</w:t>
            </w:r>
          </w:p>
        </w:tc>
        <w:tc>
          <w:tcPr>
            <w:tcW w:w="1820" w:type="dxa"/>
            <w:vAlign w:val="bottom"/>
          </w:tcPr>
          <w:p>
            <w:pPr>
              <w:jc w:val="center"/>
              <w:spacing w:after="0" w:line="189" w:lineRule="exact"/>
              <w:rPr>
                <w:sz w:val="20"/>
                <w:szCs w:val="20"/>
                <w:color w:val="auto"/>
              </w:rPr>
            </w:pPr>
            <w:r>
              <w:rPr>
                <w:rFonts w:ascii="Arial" w:cs="Arial" w:eastAsia="Arial" w:hAnsi="Arial"/>
                <w:sz w:val="18"/>
                <w:szCs w:val="18"/>
                <w:color w:val="auto"/>
                <w:w w:val="90"/>
              </w:rPr>
              <w:t>0.7194</w:t>
            </w:r>
          </w:p>
        </w:tc>
        <w:tc>
          <w:tcPr>
            <w:tcW w:w="160" w:type="dxa"/>
            <w:vAlign w:val="bottom"/>
          </w:tcPr>
          <w:p>
            <w:pPr>
              <w:spacing w:after="0"/>
              <w:rPr>
                <w:sz w:val="16"/>
                <w:szCs w:val="16"/>
                <w:color w:val="auto"/>
              </w:rPr>
            </w:pPr>
          </w:p>
        </w:tc>
        <w:tc>
          <w:tcPr>
            <w:tcW w:w="1800" w:type="dxa"/>
            <w:vAlign w:val="bottom"/>
          </w:tcPr>
          <w:p>
            <w:pPr>
              <w:jc w:val="center"/>
              <w:spacing w:after="0" w:line="189" w:lineRule="exact"/>
              <w:rPr>
                <w:sz w:val="20"/>
                <w:szCs w:val="20"/>
                <w:color w:val="auto"/>
              </w:rPr>
            </w:pPr>
            <w:r>
              <w:rPr>
                <w:rFonts w:ascii="Arial" w:cs="Arial" w:eastAsia="Arial" w:hAnsi="Arial"/>
                <w:sz w:val="18"/>
                <w:szCs w:val="18"/>
                <w:color w:val="auto"/>
                <w:w w:val="90"/>
              </w:rPr>
              <w:t>0.6745</w:t>
            </w:r>
          </w:p>
        </w:tc>
        <w:tc>
          <w:tcPr>
            <w:tcW w:w="180" w:type="dxa"/>
            <w:vAlign w:val="bottom"/>
          </w:tcPr>
          <w:p>
            <w:pPr>
              <w:spacing w:after="0"/>
              <w:rPr>
                <w:sz w:val="16"/>
                <w:szCs w:val="16"/>
                <w:color w:val="auto"/>
              </w:rPr>
            </w:pPr>
          </w:p>
        </w:tc>
        <w:tc>
          <w:tcPr>
            <w:tcW w:w="1800" w:type="dxa"/>
            <w:vAlign w:val="bottom"/>
          </w:tcPr>
          <w:p>
            <w:pPr>
              <w:jc w:val="center"/>
              <w:spacing w:after="0" w:line="189" w:lineRule="exact"/>
              <w:rPr>
                <w:sz w:val="20"/>
                <w:szCs w:val="20"/>
                <w:color w:val="auto"/>
              </w:rPr>
            </w:pPr>
            <w:r>
              <w:rPr>
                <w:rFonts w:ascii="Arial" w:cs="Arial" w:eastAsia="Arial" w:hAnsi="Arial"/>
                <w:sz w:val="18"/>
                <w:szCs w:val="18"/>
                <w:color w:val="auto"/>
                <w:w w:val="87"/>
              </w:rPr>
              <w:t>0.6711</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88"/>
              </w:rPr>
              <w:t>Average Rate</w:t>
            </w:r>
          </w:p>
        </w:tc>
        <w:tc>
          <w:tcPr>
            <w:tcW w:w="444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gridSpan w:val="3"/>
          </w:tcPr>
          <w:p>
            <w:pPr>
              <w:ind w:left="220"/>
              <w:spacing w:after="0" w:line="189" w:lineRule="exact"/>
              <w:rPr>
                <w:sz w:val="20"/>
                <w:szCs w:val="20"/>
                <w:color w:val="auto"/>
              </w:rPr>
            </w:pPr>
            <w:r>
              <w:rPr>
                <w:rFonts w:ascii="Arial" w:cs="Arial" w:eastAsia="Arial" w:hAnsi="Arial"/>
                <w:sz w:val="18"/>
                <w:szCs w:val="18"/>
                <w:color w:val="auto"/>
              </w:rPr>
              <w:t>Australian Dollar</w:t>
            </w:r>
          </w:p>
        </w:tc>
        <w:tc>
          <w:tcPr>
            <w:tcW w:w="1820" w:type="dxa"/>
            <w:vAlign w:val="bottom"/>
          </w:tcPr>
          <w:p>
            <w:pPr>
              <w:jc w:val="center"/>
              <w:spacing w:after="0" w:line="189" w:lineRule="exact"/>
              <w:rPr>
                <w:sz w:val="20"/>
                <w:szCs w:val="20"/>
                <w:color w:val="auto"/>
              </w:rPr>
            </w:pPr>
            <w:r>
              <w:rPr>
                <w:rFonts w:ascii="Arial" w:cs="Arial" w:eastAsia="Arial" w:hAnsi="Arial"/>
                <w:sz w:val="18"/>
                <w:szCs w:val="18"/>
                <w:color w:val="auto"/>
                <w:w w:val="90"/>
              </w:rPr>
              <w:t>0.6904</w:t>
            </w:r>
          </w:p>
        </w:tc>
        <w:tc>
          <w:tcPr>
            <w:tcW w:w="160" w:type="dxa"/>
            <w:vAlign w:val="bottom"/>
          </w:tcPr>
          <w:p>
            <w:pPr>
              <w:spacing w:after="0"/>
              <w:rPr>
                <w:sz w:val="16"/>
                <w:szCs w:val="16"/>
                <w:color w:val="auto"/>
              </w:rPr>
            </w:pPr>
          </w:p>
        </w:tc>
        <w:tc>
          <w:tcPr>
            <w:tcW w:w="1800" w:type="dxa"/>
            <w:vAlign w:val="bottom"/>
          </w:tcPr>
          <w:p>
            <w:pPr>
              <w:jc w:val="center"/>
              <w:spacing w:after="0" w:line="189" w:lineRule="exact"/>
              <w:rPr>
                <w:sz w:val="20"/>
                <w:szCs w:val="20"/>
                <w:color w:val="auto"/>
              </w:rPr>
            </w:pPr>
            <w:r>
              <w:rPr>
                <w:rFonts w:ascii="Arial" w:cs="Arial" w:eastAsia="Arial" w:hAnsi="Arial"/>
                <w:sz w:val="18"/>
                <w:szCs w:val="18"/>
                <w:color w:val="auto"/>
                <w:w w:val="90"/>
              </w:rPr>
              <w:t>0.6954</w:t>
            </w:r>
          </w:p>
        </w:tc>
        <w:tc>
          <w:tcPr>
            <w:tcW w:w="180" w:type="dxa"/>
            <w:vAlign w:val="bottom"/>
          </w:tcPr>
          <w:p>
            <w:pPr>
              <w:spacing w:after="0"/>
              <w:rPr>
                <w:sz w:val="16"/>
                <w:szCs w:val="16"/>
                <w:color w:val="auto"/>
              </w:rPr>
            </w:pPr>
          </w:p>
        </w:tc>
        <w:tc>
          <w:tcPr>
            <w:tcW w:w="1800" w:type="dxa"/>
            <w:vAlign w:val="bottom"/>
          </w:tcPr>
          <w:p>
            <w:pPr>
              <w:jc w:val="center"/>
              <w:spacing w:after="0" w:line="189" w:lineRule="exact"/>
              <w:rPr>
                <w:sz w:val="20"/>
                <w:szCs w:val="20"/>
                <w:color w:val="auto"/>
              </w:rPr>
            </w:pPr>
            <w:r>
              <w:rPr>
                <w:rFonts w:ascii="Arial" w:cs="Arial" w:eastAsia="Arial" w:hAnsi="Arial"/>
                <w:sz w:val="18"/>
                <w:szCs w:val="18"/>
                <w:color w:val="auto"/>
                <w:w w:val="90"/>
              </w:rPr>
              <w:t>0.7479</w:t>
            </w:r>
          </w:p>
        </w:tc>
        <w:tc>
          <w:tcPr>
            <w:tcW w:w="0" w:type="dxa"/>
            <w:vAlign w:val="bottom"/>
          </w:tcPr>
          <w:p>
            <w:pPr>
              <w:spacing w:after="0"/>
              <w:rPr>
                <w:sz w:val="1"/>
                <w:szCs w:val="1"/>
                <w:color w:val="auto"/>
              </w:rPr>
            </w:pPr>
          </w:p>
        </w:tc>
      </w:tr>
      <w:tr>
        <w:trPr>
          <w:trHeight w:val="189"/>
        </w:trPr>
        <w:tc>
          <w:tcPr>
            <w:tcW w:w="548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8"/>
                <w:szCs w:val="18"/>
                <w:color w:val="auto"/>
              </w:rPr>
              <w:t>New Zealand Dollar</w:t>
            </w:r>
          </w:p>
        </w:tc>
        <w:tc>
          <w:tcPr>
            <w:tcW w:w="1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0.6504</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0.6593</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0.6930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71"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We account for income taxes under an asset and liability approach. Under the asset and liability method, deferred tax assets and liabilities are recognized for the expected future tax consequences attributable to differences between the financial statement carrying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4" w:name="page85"/>
    <w:bookmarkEnd w:id="84"/>
    <w:p>
      <w:pPr>
        <w:ind w:right="160"/>
        <w:spacing w:after="0" w:line="227" w:lineRule="auto"/>
        <w:rPr>
          <w:sz w:val="20"/>
          <w:szCs w:val="20"/>
          <w:color w:val="auto"/>
        </w:rPr>
      </w:pPr>
      <w:r>
        <w:rPr>
          <w:rFonts w:ascii="Arial" w:cs="Arial" w:eastAsia="Arial" w:hAnsi="Arial"/>
          <w:sz w:val="18"/>
          <w:szCs w:val="18"/>
          <w:color w:val="auto"/>
        </w:rPr>
        <w:t>amounts of existing assets and liabilities and the respective tax bases. Deferred tax assets and liabilities are measured using enacted tax rates expected to apply to taxable income in the years in which those temporary differences are expected to be recovered or settled 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recognize deferred tax assets to the extent that we believe that these assets are more likely than not to be realized.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w:t>
      </w:r>
    </w:p>
    <w:p>
      <w:pPr>
        <w:spacing w:after="0" w:line="138"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143"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We recognize tax liabilities for uncertain tax positions and adjust these liabilities when our judgment changes as a result of the evaluation of new information not previously available. We record interest and penalties related to income tax matters as part of income tax expense and record the related liabilities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spacing w:after="0" w:line="148"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Tax Act creates a new requirement for U.S. corporations to include in U.S. taxable income certain earnings of their foreign subsidiaries, effective beginning tax year 2018. The Global Intangible Low Taxed Income (“GILTI”) framework introduces a new tax on foreign earnings of U.S. based consolidated groups. We record taxes related to GILTI as a current-period expense when incurred.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(Loss) Per Share</w:t>
      </w:r>
    </w:p>
    <w:p>
      <w:pPr>
        <w:spacing w:after="0" w:line="17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presents both basic and diluted earnings (loss) per share amounts. Basic earnings (loss) per share is calculated by dividing net income (loss) attributable to the Company by the weighted average number of common shares outstanding during the year. Diluted earnings (loss) per share is based upon the weighted average number of common and common equivalent shares outstanding during the year, which is calculated using the treasury-stock method for equity-based awards. Common equivalent shares are excluded from the computation of diluted earnings (loss) per share in periods for which they have an anti-dilutive effect. Stock options for which the exercise price exceeds the average market price over the period are anti-dilutive and, accordingly, are excluded from the calculation.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Government Grants</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 xml:space="preserve">In the second quarter of 2020, in order to account for certain wage subsidies received from the Australian and New Zealand governments, we adopted </w:t>
      </w:r>
      <w:r>
        <w:rPr>
          <w:rFonts w:ascii="Arial" w:cs="Arial" w:eastAsia="Arial" w:hAnsi="Arial"/>
          <w:sz w:val="16"/>
          <w:szCs w:val="16"/>
          <w:i w:val="1"/>
          <w:iCs w:val="1"/>
          <w:color w:val="auto"/>
        </w:rPr>
        <w:t xml:space="preserve">International Accounting Standard 20 - Accounting for Government Grants and Disclosure of Government Assistance (“IAS 20”). </w:t>
      </w:r>
      <w:r>
        <w:rPr>
          <w:rFonts w:ascii="Arial" w:cs="Arial" w:eastAsia="Arial" w:hAnsi="Arial"/>
          <w:sz w:val="16"/>
          <w:szCs w:val="16"/>
          <w:color w:val="auto"/>
        </w:rPr>
        <w:t>The aim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Australian and New Zealand government subsidies is to protect as many jobs as possible during the COVID-19 pandemic by subsidizing the wages of employees, using the administrative capabilities of employers to forward such subsidies to their employees. The subsidies are not loans to employees or employers. U.S. GAAP has no codified accounting guidance concerning the measurement and presentation of such government grants for for-profit entities, and in lieu of such guidance, common practice is to refer to IAS 20. IAS 20 permits entities to account for government grants on a gross basis, showing grants receivable as income and the associated expense as costs, or on a net basis, by deducting the grant from the related expense. The nature of the wage subsidies is such that, without them, our Company would likely have reduced its wages and salaries expense through the termination of certain employees. In order to faithfully present the transaction, our Company has therefore elected to present wages and salaries expense net of government grants. The impacted wages and salaries costs are contained within ‘other operating expenses’ and ‘general and administrative expenses’ in our cinema and real estate segments. As of December 31, 2020, we have received subsidies totaling $9.5 million (AU$12.3 million) and $1.4 million (NZ$1.9 million) in Australia and New Zealand, respectively. There are no unfulfilled conditions or contingencies relating to these subsidies as of December 31, 2020.</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u w:val="single" w:color="auto"/>
          <w:color w:val="auto"/>
        </w:rPr>
        <w:t>Business Acquisition Valuation and Purchase Price Allocation</w:t>
      </w:r>
    </w:p>
    <w:p>
      <w:pPr>
        <w:spacing w:after="0" w:line="17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 xml:space="preserve">In recent years, our business acquisition efforts have been focused on our real estate segment however, in 2019 we completed two acquisitions of established cinemas in Tasmania, Australia. For acquisitions meeting the definition of a “business”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assets acquired, and the liabilities assumed are recorded at their fair values as of the acquisition date. To accomplish this, we typically obtain third-party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described as follows:</w:t>
      </w:r>
    </w:p>
    <w:p>
      <w:pPr>
        <w:spacing w:after="0" w:line="150" w:lineRule="exact"/>
        <w:rPr>
          <w:sz w:val="20"/>
          <w:szCs w:val="20"/>
          <w:color w:val="auto"/>
        </w:rPr>
      </w:pPr>
    </w:p>
    <w:p>
      <w:pPr>
        <w:ind w:left="660" w:hanging="328"/>
        <w:spacing w:after="0" w:line="255" w:lineRule="auto"/>
        <w:tabs>
          <w:tab w:leader="none" w:pos="66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Tangible assets – </w:t>
      </w:r>
      <w:r>
        <w:rPr>
          <w:rFonts w:ascii="Arial" w:cs="Arial" w:eastAsia="Arial" w:hAnsi="Arial"/>
          <w:sz w:val="16"/>
          <w:szCs w:val="16"/>
          <w:color w:val="auto"/>
        </w:rPr>
        <w:t>we allocate the purchase price to the tangible assets of an acquired property (which typically includes land, building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site/tenant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site/tenant improvements are based on present values determined based upon the application of hypothetical leases with market rates and terms. Estimates of plant and equipment, leasehold improvements and any cinema related equipment are based on their current market values with relation to their age and condition. Building and site improvements are depreciated over their remaining economic lives, while tenant improvements are depreciated over the remaining non-cancelable terms of the respective leases. Plant and equipment, leasehold improvements and any cinema related equipment are depreciated over the shorter of their useful economic lives and the underlying cinema lease.</w:t>
      </w:r>
    </w:p>
    <w:p>
      <w:pPr>
        <w:spacing w:after="0" w:line="137" w:lineRule="exact"/>
        <w:rPr>
          <w:rFonts w:ascii="Arial" w:cs="Arial" w:eastAsia="Arial" w:hAnsi="Arial"/>
          <w:sz w:val="16"/>
          <w:szCs w:val="16"/>
          <w:i w:val="1"/>
          <w:iCs w:val="1"/>
          <w:color w:val="auto"/>
        </w:rPr>
      </w:pPr>
    </w:p>
    <w:p>
      <w:pPr>
        <w:ind w:left="660" w:hanging="328"/>
        <w:spacing w:after="0"/>
        <w:tabs>
          <w:tab w:leader="none" w:pos="66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Intangible assets and liabilities – </w:t>
      </w:r>
      <w:r>
        <w:rPr>
          <w:rFonts w:ascii="Arial" w:cs="Arial" w:eastAsia="Arial" w:hAnsi="Arial"/>
          <w:sz w:val="17"/>
          <w:szCs w:val="17"/>
          <w:color w:val="auto"/>
        </w:rPr>
        <w:t>the valuation of the intangible assets and liabilities in a typical real estate acquisition is described below:</w:t>
      </w:r>
    </w:p>
    <w:p>
      <w:pPr>
        <w:spacing w:after="0" w:line="88" w:lineRule="exact"/>
        <w:rPr>
          <w:rFonts w:ascii="Arial" w:cs="Arial" w:eastAsia="Arial" w:hAnsi="Arial"/>
          <w:sz w:val="17"/>
          <w:szCs w:val="17"/>
          <w:i w:val="1"/>
          <w:iCs w:val="1"/>
          <w:color w:val="auto"/>
        </w:rPr>
      </w:pPr>
    </w:p>
    <w:p>
      <w:pPr>
        <w:ind w:left="660" w:right="100"/>
        <w:spacing w:after="0" w:line="265" w:lineRule="auto"/>
        <w:rPr>
          <w:rFonts w:ascii="Arial" w:cs="Arial" w:eastAsia="Arial" w:hAnsi="Arial"/>
          <w:sz w:val="17"/>
          <w:szCs w:val="17"/>
          <w:i w:val="1"/>
          <w:iCs w:val="1"/>
          <w:color w:val="auto"/>
        </w:rPr>
      </w:pPr>
      <w:r>
        <w:rPr>
          <w:rFonts w:ascii="Arial" w:cs="Arial" w:eastAsia="Arial" w:hAnsi="Arial"/>
          <w:sz w:val="16"/>
          <w:szCs w:val="16"/>
          <w:i w:val="1"/>
          <w:iCs w:val="1"/>
          <w:color w:val="auto"/>
        </w:rPr>
        <w:t xml:space="preserve">Above-market and below-market leases </w:t>
      </w:r>
      <w:r>
        <w:rPr>
          <w:rFonts w:ascii="Arial" w:cs="Arial" w:eastAsia="Arial" w:hAnsi="Arial"/>
          <w:sz w:val="16"/>
          <w:szCs w:val="16"/>
          <w:color w:val="auto"/>
        </w:rPr>
        <w:t>– where we are the lessor, we record above-market and below-market in-place lease values for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based on the present value (using an interest rate which reflects the risks associated with the leases acquired) of the difference between</w:t>
      </w:r>
    </w:p>
    <w:p>
      <w:pPr>
        <w:spacing w:after="0" w:line="1" w:lineRule="exact"/>
        <w:rPr>
          <w:rFonts w:ascii="Arial" w:cs="Arial" w:eastAsia="Arial" w:hAnsi="Arial"/>
          <w:sz w:val="17"/>
          <w:szCs w:val="17"/>
          <w:i w:val="1"/>
          <w:iCs w:val="1"/>
          <w:color w:val="auto"/>
        </w:rPr>
      </w:pPr>
    </w:p>
    <w:p>
      <w:pPr>
        <w:ind w:left="660" w:right="500"/>
        <w:spacing w:after="0" w:line="259" w:lineRule="auto"/>
        <w:rPr>
          <w:rFonts w:ascii="Arial" w:cs="Arial" w:eastAsia="Arial" w:hAnsi="Arial"/>
          <w:sz w:val="17"/>
          <w:szCs w:val="17"/>
          <w:i w:val="1"/>
          <w:iCs w:val="1"/>
          <w:color w:val="auto"/>
        </w:rPr>
      </w:pPr>
      <w:r>
        <w:rPr>
          <w:rFonts w:ascii="Arial" w:cs="Arial" w:eastAsia="Arial" w:hAnsi="Arial"/>
          <w:sz w:val="16"/>
          <w:szCs w:val="16"/>
          <w:color w:val="auto"/>
        </w:rPr>
        <w:t xml:space="preserve">(i)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(an intangible asset) and capitalized below-market lease values (an intangible liability) over the remaining non-cancelable terms of the respective leases. Where we are the lessee, lease arrangements entered into are assessed under ASC 842 </w:t>
      </w:r>
      <w:r>
        <w:rPr>
          <w:rFonts w:ascii="Arial" w:cs="Arial" w:eastAsia="Arial" w:hAnsi="Arial"/>
          <w:sz w:val="16"/>
          <w:szCs w:val="16"/>
          <w:i w:val="1"/>
          <w:iCs w:val="1"/>
          <w:color w:val="auto"/>
        </w:rPr>
        <w:t>Leases.</w:t>
      </w:r>
    </w:p>
    <w:p>
      <w:pPr>
        <w:spacing w:after="0" w:line="27" w:lineRule="exact"/>
        <w:rPr>
          <w:sz w:val="20"/>
          <w:szCs w:val="20"/>
          <w:color w:val="auto"/>
        </w:rPr>
      </w:pPr>
    </w:p>
    <w:p>
      <w:pPr>
        <w:ind w:left="660" w:right="100"/>
        <w:spacing w:after="0" w:line="256" w:lineRule="auto"/>
        <w:rPr>
          <w:sz w:val="20"/>
          <w:szCs w:val="20"/>
          <w:color w:val="auto"/>
        </w:rPr>
      </w:pPr>
      <w:r>
        <w:rPr>
          <w:rFonts w:ascii="Arial" w:cs="Arial" w:eastAsia="Arial" w:hAnsi="Arial"/>
          <w:sz w:val="16"/>
          <w:szCs w:val="16"/>
          <w:i w:val="1"/>
          <w:iCs w:val="1"/>
          <w:color w:val="auto"/>
        </w:rPr>
        <w:t xml:space="preserve">Benefit of avoided costs due to existing tenancies </w:t>
      </w:r>
      <w:r>
        <w:rPr>
          <w:rFonts w:ascii="Arial" w:cs="Arial" w:eastAsia="Arial" w:hAnsi="Arial"/>
          <w:sz w:val="16"/>
          <w:szCs w:val="16"/>
          <w:color w:val="auto"/>
        </w:rPr>
        <w:t>– this typically includes (i) in-place leases (the value of avoided lease-up costs) and (ii) leasing</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commissions and legal/marketing costs avoided with the leases in place. We measure the fair values of the in-place leases based on the difference between (i) the property valued with existing in-place leases adjusted to market rental rates and (ii) the property valued as if vacant. Factors considered in the fair value determination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amortize the value of in-place leases and unamortized leasing origination costs to expense over the remaining term of the respective leases.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Should a tenant terminate its lease, the unamortized portion of the in-place lease values and leasing origination costs will be charged to expense.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acquired in cinema business combination typically relate to the brand of the underlying business being acquired.</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These assessments have a direct impact on revenue and net income, particularly on the depreciable base of the allocated assets which will impact the timing of expense allocation. In accordance with our adoption of </w:t>
      </w:r>
      <w:r>
        <w:rPr>
          <w:rFonts w:ascii="Arial" w:cs="Arial" w:eastAsia="Arial" w:hAnsi="Arial"/>
          <w:sz w:val="18"/>
          <w:szCs w:val="18"/>
          <w:i w:val="1"/>
          <w:iCs w:val="1"/>
          <w:color w:val="auto"/>
        </w:rPr>
        <w:t>ASU 2015-16</w:t>
      </w:r>
      <w:r>
        <w:rPr>
          <w:rFonts w:ascii="Arial" w:cs="Arial" w:eastAsia="Arial" w:hAnsi="Arial"/>
          <w:sz w:val="18"/>
          <w:szCs w:val="18"/>
          <w:color w:val="auto"/>
        </w:rPr>
        <w:t>, we record the changes in depreciation and amortization in the period we finalized our purchase price allocation.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New Accounting Standards and Accounting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Adopted: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ASU 2020-04 – </w:t>
      </w:r>
      <w:r>
        <w:rPr>
          <w:rFonts w:ascii="Arial" w:cs="Arial" w:eastAsia="Arial" w:hAnsi="Arial"/>
          <w:sz w:val="18"/>
          <w:szCs w:val="18"/>
          <w:b w:val="1"/>
          <w:bCs w:val="1"/>
          <w:i w:val="1"/>
          <w:iCs w:val="1"/>
          <w:u w:val="single" w:color="auto"/>
          <w:color w:val="auto"/>
        </w:rPr>
        <w:t>Reference Rate Reform</w:t>
      </w:r>
    </w:p>
    <w:p>
      <w:pPr>
        <w:spacing w:after="0" w:line="175"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 xml:space="preserve">In the fourth quarter of 2020, we adopted certain practical expedients provided by </w:t>
      </w:r>
      <w:r>
        <w:rPr>
          <w:rFonts w:ascii="Arial" w:cs="Arial" w:eastAsia="Arial" w:hAnsi="Arial"/>
          <w:sz w:val="17"/>
          <w:szCs w:val="17"/>
          <w:i w:val="1"/>
          <w:iCs w:val="1"/>
          <w:color w:val="auto"/>
        </w:rPr>
        <w:t>ASU 2020-04 Reference Rate Reform (Topic 848)</w:t>
      </w:r>
      <w:r>
        <w:rPr>
          <w:rFonts w:ascii="Arial" w:cs="Arial" w:eastAsia="Arial" w:hAnsi="Arial"/>
          <w:sz w:val="17"/>
          <w:szCs w:val="17"/>
          <w:color w:val="auto"/>
        </w:rPr>
        <w:t>. This new guidance contains optional expedients and exceptions for applying U.S. GAAP to contracts, hedging relationships and other transactions affected by reference rate reform. We have elected certain expedients which permit us to i) continue the method of assessing hedge effectiveness such that the reference rate on the hypothetical derivative matches the reference rate on the hedging instrument and ii) to continue to assert probability of the relevant hedged interest payments regardless of any expected modification in terms related to reference reform.</w:t>
      </w:r>
    </w:p>
    <w:p>
      <w:pPr>
        <w:spacing w:after="0" w:line="14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guidance allows for different expedient elections to be made at different points in time, and to this end the Company intends to reassess its elections of such expedients as and when alternations become necessary.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IAS 20 – </w:t>
      </w:r>
      <w:r>
        <w:rPr>
          <w:rFonts w:ascii="Arial" w:cs="Arial" w:eastAsia="Arial" w:hAnsi="Arial"/>
          <w:sz w:val="18"/>
          <w:szCs w:val="18"/>
          <w:b w:val="1"/>
          <w:bCs w:val="1"/>
          <w:i w:val="1"/>
          <w:iCs w:val="1"/>
          <w:u w:val="single" w:color="auto"/>
          <w:color w:val="auto"/>
        </w:rPr>
        <w:t>Accounting for Government Grants and Disclosure of Government Assistance</w:t>
      </w:r>
    </w:p>
    <w:p>
      <w:pPr>
        <w:spacing w:after="0" w:line="175"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 xml:space="preserve">In the second quarter of 2020, in order to account for certain wage subsidies received from the Australian and New Zealand governments, we adopted </w:t>
      </w:r>
      <w:r>
        <w:rPr>
          <w:rFonts w:ascii="Arial" w:cs="Arial" w:eastAsia="Arial" w:hAnsi="Arial"/>
          <w:sz w:val="17"/>
          <w:szCs w:val="17"/>
          <w:i w:val="1"/>
          <w:iCs w:val="1"/>
          <w:color w:val="auto"/>
        </w:rPr>
        <w:t>International Accounting Standard 20 - Accounting for Government Grants and Disclosure of Government Assistance (“IAS 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ASU 2017-04 </w:t>
      </w:r>
      <w:r>
        <w:rPr>
          <w:rFonts w:ascii="Arial" w:cs="Arial" w:eastAsia="Arial" w:hAnsi="Arial"/>
          <w:sz w:val="18"/>
          <w:szCs w:val="18"/>
          <w:b w:val="1"/>
          <w:bCs w:val="1"/>
          <w:i w:val="1"/>
          <w:iCs w:val="1"/>
          <w:u w:val="single" w:color="auto"/>
          <w:color w:val="auto"/>
        </w:rPr>
        <w:t>Intangibles – Goodwill and Other (Topic 305): Simplifying the Test for Goodwill Impairment</w:t>
      </w:r>
    </w:p>
    <w:p>
      <w:pPr>
        <w:spacing w:after="0" w:line="17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On January 1, 2020, we adopted </w:t>
      </w:r>
      <w:r>
        <w:rPr>
          <w:rFonts w:ascii="Arial" w:cs="Arial" w:eastAsia="Arial" w:hAnsi="Arial"/>
          <w:sz w:val="18"/>
          <w:szCs w:val="18"/>
          <w:i w:val="1"/>
          <w:iCs w:val="1"/>
          <w:color w:val="auto"/>
        </w:rPr>
        <w:t>ASU 2017-04, Intangibles – Goodwill and Other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new guidance removes the second step of the two-step impairment test for measuring goodwill and is to be applied on a prospective basis only. Adoption of this standard has no material effect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ASU 2016-13 </w:t>
      </w:r>
      <w:r>
        <w:rPr>
          <w:rFonts w:ascii="Arial" w:cs="Arial" w:eastAsia="Arial" w:hAnsi="Arial"/>
          <w:sz w:val="18"/>
          <w:szCs w:val="18"/>
          <w:b w:val="1"/>
          <w:bCs w:val="1"/>
          <w:i w:val="1"/>
          <w:iCs w:val="1"/>
          <w:u w:val="single" w:color="auto"/>
          <w:color w:val="auto"/>
        </w:rPr>
        <w:t>Financial Instruments – Credit Losses (Topic 326)</w:t>
      </w:r>
    </w:p>
    <w:p>
      <w:pPr>
        <w:spacing w:after="0" w:line="175" w:lineRule="exact"/>
        <w:rPr>
          <w:sz w:val="20"/>
          <w:szCs w:val="20"/>
          <w:color w:val="auto"/>
        </w:rPr>
      </w:pPr>
    </w:p>
    <w:p>
      <w:pPr>
        <w:ind w:right="500"/>
        <w:spacing w:after="0" w:line="231" w:lineRule="auto"/>
        <w:rPr>
          <w:sz w:val="20"/>
          <w:szCs w:val="20"/>
          <w:color w:val="auto"/>
        </w:rPr>
      </w:pPr>
      <w:r>
        <w:rPr>
          <w:rFonts w:ascii="Arial" w:cs="Arial" w:eastAsia="Arial" w:hAnsi="Arial"/>
          <w:sz w:val="18"/>
          <w:szCs w:val="18"/>
          <w:color w:val="auto"/>
        </w:rPr>
        <w:t xml:space="preserve">On January 1, 2020, we adopted </w:t>
      </w:r>
      <w:r>
        <w:rPr>
          <w:rFonts w:ascii="Arial" w:cs="Arial" w:eastAsia="Arial" w:hAnsi="Arial"/>
          <w:sz w:val="18"/>
          <w:szCs w:val="18"/>
          <w:i w:val="1"/>
          <w:iCs w:val="1"/>
          <w:color w:val="auto"/>
        </w:rPr>
        <w:t>ASU 2016-13, Financial Instruments – Credit Losses (Topic 326)</w:t>
      </w:r>
      <w:r>
        <w:rPr>
          <w:rFonts w:ascii="Arial" w:cs="Arial" w:eastAsia="Arial" w:hAnsi="Arial"/>
          <w:sz w:val="18"/>
          <w:szCs w:val="18"/>
          <w:color w:val="auto"/>
        </w:rPr>
        <w:t>. This new guidance replaces the incurred loss impairment methodology under prior GAAP with a methodology that reflects expected credit losses and requires consideration of a broader range of reasonable and supportable information to inform credit loss estimates. We have no history of significant bad debt losses and as such adoption of this standard has no material effect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ASU 2016-02 </w:t>
      </w:r>
      <w:r>
        <w:rPr>
          <w:rFonts w:ascii="Arial" w:cs="Arial" w:eastAsia="Arial" w:hAnsi="Arial"/>
          <w:sz w:val="18"/>
          <w:szCs w:val="18"/>
          <w:b w:val="1"/>
          <w:bCs w:val="1"/>
          <w:i w:val="1"/>
          <w:iCs w:val="1"/>
          <w:u w:val="single" w:color="auto"/>
          <w:color w:val="auto"/>
        </w:rPr>
        <w:t>Leases</w:t>
      </w:r>
    </w:p>
    <w:p>
      <w:pPr>
        <w:spacing w:after="0" w:line="17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 xml:space="preserve">On January 1, 2019, we adopted the new accounting standard ASU 2016-02 </w:t>
      </w:r>
      <w:r>
        <w:rPr>
          <w:rFonts w:ascii="Arial" w:cs="Arial" w:eastAsia="Arial" w:hAnsi="Arial"/>
          <w:sz w:val="16"/>
          <w:szCs w:val="16"/>
          <w:i w:val="1"/>
          <w:iCs w:val="1"/>
          <w:color w:val="auto"/>
        </w:rPr>
        <w:t>Leases</w:t>
      </w:r>
      <w:r>
        <w:rPr>
          <w:rFonts w:ascii="Arial" w:cs="Arial" w:eastAsia="Arial" w:hAnsi="Arial"/>
          <w:sz w:val="16"/>
          <w:szCs w:val="16"/>
          <w:color w:val="auto"/>
        </w:rPr>
        <w:t>, codified as ASC 842, using the current period adjustment method. We recognized the cumulative effect of initially applying the new leasing standard as an adjustment to the opening balance of retained earnings. The comparative information has not been restated and continues to be reported under the accounting standards in effect for those periods. The standard had a material impact on our consolidated balance sheets, but not on our consolidated statements of operations or statements of cash flow.</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cumulative effect of the changes made to our consolidated January 1, 2019 balance sheet for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were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Balance at</w:t>
            </w:r>
          </w:p>
        </w:tc>
      </w:tr>
      <w:tr>
        <w:trPr>
          <w:trHeight w:val="148"/>
        </w:trPr>
        <w:tc>
          <w:tcPr>
            <w:tcW w:w="40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due to ASC</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5"/>
              </w:rPr>
              <w:t>January 1,</w:t>
            </w:r>
          </w:p>
        </w:tc>
      </w:tr>
      <w:tr>
        <w:trPr>
          <w:trHeight w:val="178"/>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842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2019</w:t>
            </w:r>
          </w:p>
        </w:tc>
      </w:tr>
      <w:tr>
        <w:trPr>
          <w:trHeight w:val="216"/>
        </w:trPr>
        <w:tc>
          <w:tcPr>
            <w:tcW w:w="4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property, net</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257,667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258,037</w:t>
            </w: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232,319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232,319</w:t>
            </w:r>
          </w:p>
        </w:tc>
      </w:tr>
      <w:tr>
        <w:trPr>
          <w:trHeight w:val="229"/>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Deferred tax asset, net</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26,444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26,526</w:t>
            </w: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245,280</w:t>
            </w:r>
          </w:p>
        </w:tc>
        <w:tc>
          <w:tcPr>
            <w:tcW w:w="8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245,280</w:t>
            </w:r>
          </w:p>
        </w:tc>
      </w:tr>
      <w:tr>
        <w:trPr>
          <w:trHeight w:val="229"/>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r>
      <w:tr>
        <w:trPr>
          <w:trHeight w:val="230"/>
        </w:trPr>
        <w:tc>
          <w:tcPr>
            <w:tcW w:w="4020" w:type="dxa"/>
            <w:vAlign w:val="bottom"/>
          </w:tcPr>
          <w:p>
            <w:pPr>
              <w:spacing w:after="0"/>
              <w:rPr>
                <w:sz w:val="20"/>
                <w:szCs w:val="20"/>
                <w:color w:val="auto"/>
              </w:rPr>
            </w:pPr>
          </w:p>
        </w:tc>
        <w:tc>
          <w:tcPr>
            <w:tcW w:w="2620" w:type="dxa"/>
            <w:vAlign w:val="bottom"/>
          </w:tcPr>
          <w:p>
            <w:pPr>
              <w:jc w:val="right"/>
              <w:ind w:right="730"/>
              <w:spacing w:after="0"/>
              <w:rPr>
                <w:sz w:val="20"/>
                <w:szCs w:val="20"/>
                <w:color w:val="auto"/>
              </w:rPr>
            </w:pPr>
            <w:r>
              <w:rPr>
                <w:rFonts w:ascii="Arial" w:cs="Arial" w:eastAsia="Arial" w:hAnsi="Arial"/>
                <w:sz w:val="18"/>
                <w:szCs w:val="18"/>
                <w:color w:val="auto"/>
              </w:rPr>
              <w:t>- 87 -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0"/>
        </w:trPr>
        <w:tc>
          <w:tcPr>
            <w:tcW w:w="40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7" w:name="page88"/>
    <w:bookmarkEnd w:id="87"/>
    <w:tbl>
      <w:tblPr>
        <w:tblLayout w:type="fixed"/>
        <w:tblInd w:w="1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Retained earnings</w:t>
            </w:r>
          </w:p>
        </w:tc>
        <w:tc>
          <w:tcPr>
            <w:tcW w:w="4280" w:type="dxa"/>
            <w:vAlign w:val="bottom"/>
          </w:tcPr>
          <w:p>
            <w:pPr>
              <w:jc w:val="right"/>
              <w:ind w:right="590"/>
              <w:spacing w:after="0"/>
              <w:rPr>
                <w:sz w:val="20"/>
                <w:szCs w:val="20"/>
                <w:color w:val="auto"/>
              </w:rPr>
            </w:pPr>
            <w:r>
              <w:rPr>
                <w:rFonts w:ascii="Arial" w:cs="Arial" w:eastAsia="Arial" w:hAnsi="Arial"/>
                <w:sz w:val="18"/>
                <w:szCs w:val="18"/>
                <w:color w:val="auto"/>
              </w:rPr>
              <w:t>47,048</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28</w:t>
            </w:r>
          </w:p>
        </w:tc>
        <w:tc>
          <w:tcPr>
            <w:tcW w:w="1020" w:type="dxa"/>
            <w:vAlign w:val="bottom"/>
          </w:tcPr>
          <w:p>
            <w:pPr>
              <w:jc w:val="right"/>
              <w:spacing w:after="0"/>
              <w:rPr>
                <w:sz w:val="20"/>
                <w:szCs w:val="20"/>
                <w:color w:val="auto"/>
              </w:rPr>
            </w:pPr>
            <w:r>
              <w:rPr>
                <w:rFonts w:ascii="Arial" w:cs="Arial" w:eastAsia="Arial" w:hAnsi="Arial"/>
                <w:sz w:val="18"/>
                <w:szCs w:val="18"/>
                <w:color w:val="auto"/>
              </w:rPr>
              <w:t>47,076</w:t>
            </w:r>
          </w:p>
        </w:tc>
      </w:tr>
    </w:tbl>
    <w:p>
      <w:pPr>
        <w:spacing w:after="0" w:line="14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 accordance with the new lease accounting standard requirements, the disclosure of the impact of adoption on our consolidated statements of operations and balance sheet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center"/>
              <w:ind w:left="416"/>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87"/>
              </w:rPr>
              <w:t>Balances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left="58"/>
              <w:spacing w:after="0" w:line="126" w:lineRule="exact"/>
              <w:rPr>
                <w:sz w:val="20"/>
                <w:szCs w:val="20"/>
                <w:color w:val="auto"/>
              </w:rPr>
            </w:pPr>
            <w:r>
              <w:rPr>
                <w:rFonts w:ascii="Arial" w:cs="Arial" w:eastAsia="Arial" w:hAnsi="Arial"/>
                <w:sz w:val="14"/>
                <w:szCs w:val="14"/>
                <w:b w:val="1"/>
                <w:bCs w:val="1"/>
                <w:color w:val="auto"/>
                <w:w w:val="92"/>
              </w:rPr>
              <w:t>Effect of</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3"/>
          </w:tcPr>
          <w:p>
            <w:pPr>
              <w:ind w:left="120"/>
              <w:spacing w:after="0" w:line="126" w:lineRule="exact"/>
              <w:rPr>
                <w:sz w:val="20"/>
                <w:szCs w:val="20"/>
                <w:color w:val="auto"/>
              </w:rPr>
            </w:pPr>
            <w:r>
              <w:rPr>
                <w:rFonts w:ascii="Arial" w:cs="Arial" w:eastAsia="Arial" w:hAnsi="Arial"/>
                <w:sz w:val="14"/>
                <w:szCs w:val="14"/>
                <w:b w:val="1"/>
                <w:bCs w:val="1"/>
                <w:color w:val="auto"/>
              </w:rPr>
              <w:t>Balances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34"/>
              <w:spacing w:after="0" w:line="126" w:lineRule="exact"/>
              <w:rPr>
                <w:sz w:val="20"/>
                <w:szCs w:val="20"/>
                <w:color w:val="auto"/>
              </w:rPr>
            </w:pPr>
            <w:r>
              <w:rPr>
                <w:rFonts w:ascii="Arial" w:cs="Arial" w:eastAsia="Arial" w:hAnsi="Arial"/>
                <w:sz w:val="14"/>
                <w:szCs w:val="14"/>
                <w:b w:val="1"/>
                <w:bCs w:val="1"/>
                <w:color w:val="auto"/>
                <w:w w:val="92"/>
              </w:rPr>
              <w:t>Effect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Without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left="58"/>
              <w:spacing w:after="0" w:line="149" w:lineRule="exact"/>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5"/>
            <w:vMerge w:val="restart"/>
          </w:tcPr>
          <w:p>
            <w:pPr>
              <w:jc w:val="right"/>
              <w:ind w:right="53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Without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left="58"/>
              <w:spacing w:after="0" w:line="149" w:lineRule="exact"/>
              <w:rPr>
                <w:sz w:val="20"/>
                <w:szCs w:val="20"/>
                <w:color w:val="auto"/>
              </w:rPr>
            </w:pPr>
            <w:r>
              <w:rPr>
                <w:rFonts w:ascii="Arial" w:cs="Arial" w:eastAsia="Arial" w:hAnsi="Arial"/>
                <w:sz w:val="14"/>
                <w:szCs w:val="14"/>
                <w:b w:val="1"/>
                <w:bCs w:val="1"/>
                <w:color w:val="auto"/>
                <w:w w:val="99"/>
              </w:rPr>
              <w:t>Higher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900" w:type="dxa"/>
            <w:vAlign w:val="bottom"/>
            <w:gridSpan w:val="3"/>
          </w:tcPr>
          <w:p>
            <w:pPr>
              <w:jc w:val="right"/>
              <w:ind w:right="54"/>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Higher /</w:t>
            </w:r>
          </w:p>
        </w:tc>
        <w:tc>
          <w:tcPr>
            <w:tcW w:w="0" w:type="dxa"/>
            <w:vAlign w:val="bottom"/>
          </w:tcPr>
          <w:p>
            <w:pPr>
              <w:spacing w:after="0"/>
              <w:rPr>
                <w:sz w:val="1"/>
                <w:szCs w:val="1"/>
                <w:color w:val="auto"/>
              </w:rPr>
            </w:pPr>
          </w:p>
        </w:tc>
      </w:tr>
      <w:tr>
        <w:trPr>
          <w:trHeight w:val="178"/>
        </w:trPr>
        <w:tc>
          <w:tcPr>
            <w:tcW w:w="32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December 31, 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ASC 842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left="78"/>
              <w:spacing w:after="0"/>
              <w:rPr>
                <w:sz w:val="20"/>
                <w:szCs w:val="20"/>
                <w:color w:val="auto"/>
              </w:rPr>
            </w:pPr>
            <w:r>
              <w:rPr>
                <w:rFonts w:ascii="Arial" w:cs="Arial" w:eastAsia="Arial" w:hAnsi="Arial"/>
                <w:sz w:val="14"/>
                <w:szCs w:val="14"/>
                <w:b w:val="1"/>
                <w:bCs w:val="1"/>
                <w:color w:val="auto"/>
                <w:w w:val="98"/>
              </w:rPr>
              <w:t>(Lower)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5"/>
          </w:tcPr>
          <w:p>
            <w:pPr>
              <w:jc w:val="right"/>
              <w:ind w:right="350"/>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ASC 842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(Lower)</w:t>
            </w:r>
          </w:p>
        </w:tc>
        <w:tc>
          <w:tcPr>
            <w:tcW w:w="0" w:type="dxa"/>
            <w:vAlign w:val="bottom"/>
          </w:tcPr>
          <w:p>
            <w:pPr>
              <w:spacing w:after="0"/>
              <w:rPr>
                <w:sz w:val="1"/>
                <w:szCs w:val="1"/>
                <w:color w:val="auto"/>
              </w:rPr>
            </w:pPr>
          </w:p>
        </w:tc>
      </w:tr>
      <w:tr>
        <w:trPr>
          <w:trHeight w:val="189"/>
        </w:trPr>
        <w:tc>
          <w:tcPr>
            <w:tcW w:w="318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Cinema costs and expenses</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91,065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91,228</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4"/>
            <w:shd w:val="clear" w:color="auto" w:fill="CCEEFF"/>
          </w:tcPr>
          <w:p>
            <w:pPr>
              <w:jc w:val="right"/>
              <w:ind w:right="8"/>
              <w:spacing w:after="0" w:line="189" w:lineRule="exact"/>
              <w:rPr>
                <w:sz w:val="20"/>
                <w:szCs w:val="20"/>
                <w:color w:val="auto"/>
              </w:rPr>
            </w:pPr>
            <w:r>
              <w:rPr>
                <w:rFonts w:ascii="Arial" w:cs="Arial" w:eastAsia="Arial" w:hAnsi="Arial"/>
                <w:sz w:val="18"/>
                <w:szCs w:val="18"/>
                <w:color w:val="auto"/>
              </w:rPr>
              <w:t>(163)</w:t>
            </w: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210,050</w:t>
            </w: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210,110</w:t>
            </w:r>
          </w:p>
        </w:tc>
        <w:tc>
          <w:tcPr>
            <w:tcW w:w="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6"/>
                <w:szCs w:val="16"/>
                <w:color w:val="auto"/>
              </w:rPr>
            </w:pPr>
          </w:p>
        </w:tc>
        <w:tc>
          <w:tcPr>
            <w:tcW w:w="1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22,317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auto"/>
              </w:rPr>
              <w:t>22,224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2"/>
          </w:tcPr>
          <w:p>
            <w:pPr>
              <w:jc w:val="right"/>
              <w:ind w:right="8"/>
              <w:spacing w:after="0" w:line="189"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w w:val="98"/>
              </w:rPr>
              <w:t>22,747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22,582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16,998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17,098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jc w:val="right"/>
              <w:ind w:right="8"/>
              <w:spacing w:after="0" w:line="189" w:lineRule="exact"/>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25,395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25,569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6"/>
                <w:szCs w:val="16"/>
                <w:color w:val="auto"/>
              </w:rPr>
            </w:pPr>
          </w:p>
        </w:tc>
        <w:tc>
          <w:tcPr>
            <w:tcW w:w="1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9,354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auto"/>
              </w:rPr>
              <w:t>9,346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2"/>
          </w:tcPr>
          <w:p>
            <w:pPr>
              <w:jc w:val="right"/>
              <w:ind w:right="8"/>
              <w:spacing w:after="0" w:line="189"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7,904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7,891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(4,967)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(4,914)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28,837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28,819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(65,857)</w:t>
            </w:r>
          </w:p>
        </w:tc>
        <w:tc>
          <w:tcPr>
            <w:tcW w:w="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(65,966)</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109</w:t>
            </w:r>
          </w:p>
        </w:tc>
        <w:tc>
          <w:tcPr>
            <w:tcW w:w="7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(26,503)$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(26,541)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1"/>
          </w:tcPr>
          <w:p>
            <w:pPr>
              <w:jc w:val="center"/>
              <w:ind w:right="24"/>
              <w:spacing w:after="0"/>
              <w:rPr>
                <w:sz w:val="20"/>
                <w:szCs w:val="20"/>
                <w:color w:val="auto"/>
              </w:rPr>
            </w:pPr>
            <w:r>
              <w:rPr>
                <w:rFonts w:ascii="Arial" w:cs="Arial" w:eastAsia="Arial" w:hAnsi="Arial"/>
                <w:sz w:val="14"/>
                <w:szCs w:val="14"/>
                <w:b w:val="1"/>
                <w:bCs w:val="1"/>
                <w:color w:val="auto"/>
                <w:w w:val="92"/>
              </w:rPr>
              <w:t>Year Ended December 31, 2020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514"/>
              <w:spacing w:after="0"/>
              <w:rPr>
                <w:sz w:val="20"/>
                <w:szCs w:val="20"/>
                <w:color w:val="auto"/>
              </w:rPr>
            </w:pPr>
            <w:r>
              <w:rPr>
                <w:rFonts w:ascii="Arial" w:cs="Arial" w:eastAsia="Arial" w:hAnsi="Arial"/>
                <w:sz w:val="14"/>
                <w:szCs w:val="14"/>
                <w:b w:val="1"/>
                <w:bCs w:val="1"/>
                <w:color w:val="auto"/>
              </w:rPr>
              <w:t>Year Ended 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As Reported,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Balances</w:t>
            </w:r>
          </w:p>
        </w:tc>
        <w:tc>
          <w:tcPr>
            <w:tcW w:w="80" w:type="dxa"/>
            <w:vAlign w:val="bottom"/>
          </w:tcPr>
          <w:p>
            <w:pPr>
              <w:spacing w:after="0"/>
              <w:rPr>
                <w:sz w:val="24"/>
                <w:szCs w:val="24"/>
                <w:color w:val="auto"/>
              </w:rPr>
            </w:pP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rPr>
              <w:t>Effect of</w:t>
            </w: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Balances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Without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change</w:t>
            </w: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Without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Higher /</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Higher /</w:t>
            </w:r>
          </w:p>
        </w:tc>
        <w:tc>
          <w:tcPr>
            <w:tcW w:w="0" w:type="dxa"/>
            <w:vAlign w:val="bottom"/>
          </w:tcPr>
          <w:p>
            <w:pPr>
              <w:spacing w:after="0"/>
              <w:rPr>
                <w:sz w:val="1"/>
                <w:szCs w:val="1"/>
                <w:color w:val="auto"/>
              </w:rPr>
            </w:pPr>
          </w:p>
        </w:tc>
      </w:tr>
      <w:tr>
        <w:trPr>
          <w:trHeight w:val="178"/>
        </w:trPr>
        <w:tc>
          <w:tcPr>
            <w:tcW w:w="32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ASC 842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(Lower)</w:t>
            </w:r>
          </w:p>
        </w:tc>
        <w:tc>
          <w:tcPr>
            <w:tcW w:w="100" w:type="dxa"/>
            <w:vAlign w:val="bottom"/>
          </w:tcPr>
          <w:p>
            <w:pPr>
              <w:spacing w:after="0"/>
              <w:rPr>
                <w:sz w:val="15"/>
                <w:szCs w:val="15"/>
                <w:color w:val="auto"/>
              </w:rPr>
            </w:pPr>
          </w:p>
        </w:tc>
        <w:tc>
          <w:tcPr>
            <w:tcW w:w="620" w:type="dxa"/>
            <w:vAlign w:val="bottom"/>
          </w:tcPr>
          <w:p>
            <w:pPr>
              <w:jc w:val="center"/>
              <w:ind w:left="5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ASC 842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(Lower)</w:t>
            </w:r>
          </w:p>
        </w:tc>
        <w:tc>
          <w:tcPr>
            <w:tcW w:w="0" w:type="dxa"/>
            <w:vAlign w:val="bottom"/>
          </w:tcPr>
          <w:p>
            <w:pPr>
              <w:spacing w:after="0"/>
              <w:rPr>
                <w:sz w:val="1"/>
                <w:szCs w:val="1"/>
                <w:color w:val="auto"/>
              </w:rPr>
            </w:pPr>
          </w:p>
        </w:tc>
      </w:tr>
      <w:tr>
        <w:trPr>
          <w:trHeight w:val="216"/>
        </w:trPr>
        <w:tc>
          <w:tcPr>
            <w:tcW w:w="3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property, net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353,125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353,013</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258,138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257,933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4"/>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98"/>
              </w:rPr>
              <w:t>220,503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Deferred tax asset, net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4,006</w:t>
            </w: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3,653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22,699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38,855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4"/>
              <w:spacing w:after="0"/>
              <w:rPr>
                <w:sz w:val="20"/>
                <w:szCs w:val="20"/>
                <w:color w:val="auto"/>
              </w:rPr>
            </w:pPr>
            <w:r>
              <w:rPr>
                <w:rFonts w:ascii="Arial" w:cs="Arial" w:eastAsia="Arial" w:hAnsi="Arial"/>
                <w:sz w:val="18"/>
                <w:szCs w:val="18"/>
                <w:color w:val="auto"/>
                <w:w w:val="95"/>
              </w:rPr>
              <w:t>(16,838)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18,854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212,806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98"/>
              </w:rPr>
              <w:t>212,806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81,008</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139,616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00"/>
        <w:spacing w:after="0" w:line="525" w:lineRule="auto"/>
        <w:rPr>
          <w:sz w:val="20"/>
          <w:szCs w:val="20"/>
          <w:color w:val="auto"/>
        </w:rPr>
      </w:pPr>
      <w:r>
        <w:rPr>
          <w:rFonts w:ascii="Arial" w:cs="Arial" w:eastAsia="Arial" w:hAnsi="Arial"/>
          <w:sz w:val="15"/>
          <w:szCs w:val="15"/>
          <w:color w:val="auto"/>
        </w:rPr>
        <w:t xml:space="preserve">Refer to Note 2 –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xml:space="preserve"> for a description of our new lease accounting recognition policies </w:t>
      </w:r>
      <w:r>
        <w:rPr>
          <w:rFonts w:ascii="Arial" w:cs="Arial" w:eastAsia="Arial" w:hAnsi="Arial"/>
          <w:sz w:val="15"/>
          <w:szCs w:val="15"/>
          <w:b w:val="1"/>
          <w:bCs w:val="1"/>
          <w:u w:val="single" w:color="auto"/>
          <w:color w:val="auto"/>
        </w:rPr>
        <w:t xml:space="preserve">ASU 2016-18 </w:t>
      </w:r>
      <w:r>
        <w:rPr>
          <w:rFonts w:ascii="Arial" w:cs="Arial" w:eastAsia="Arial" w:hAnsi="Arial"/>
          <w:sz w:val="15"/>
          <w:szCs w:val="15"/>
          <w:b w:val="1"/>
          <w:bCs w:val="1"/>
          <w:i w:val="1"/>
          <w:iCs w:val="1"/>
          <w:u w:val="single" w:color="auto"/>
          <w:color w:val="auto"/>
        </w:rPr>
        <w:t>Statement of Cash Flows, Topic 230: Restricted Cash, a consensus of the FASB Emerging Issues Task Force</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 xml:space="preserve">On January 1, 2018, the Company adopted </w:t>
      </w:r>
      <w:r>
        <w:rPr>
          <w:rFonts w:ascii="Arial" w:cs="Arial" w:eastAsia="Arial" w:hAnsi="Arial"/>
          <w:sz w:val="18"/>
          <w:szCs w:val="18"/>
          <w:i w:val="1"/>
          <w:iCs w:val="1"/>
          <w:color w:val="auto"/>
        </w:rPr>
        <w:t>ASU 2016-18, Statement of Cash Flows, Topic 230: Restricted Cash, a consensus of the FASB Emerging Issues</w:t>
      </w:r>
      <w:r>
        <w:rPr>
          <w:rFonts w:ascii="Arial" w:cs="Arial" w:eastAsia="Arial" w:hAnsi="Arial"/>
          <w:sz w:val="18"/>
          <w:szCs w:val="18"/>
          <w:color w:val="auto"/>
        </w:rPr>
        <w:t xml:space="preserve"> </w:t>
      </w:r>
      <w:r>
        <w:rPr>
          <w:rFonts w:ascii="Arial" w:cs="Arial" w:eastAsia="Arial" w:hAnsi="Arial"/>
          <w:sz w:val="18"/>
          <w:szCs w:val="18"/>
          <w:i w:val="1"/>
          <w:iCs w:val="1"/>
          <w:color w:val="auto"/>
        </w:rPr>
        <w:t>Task Force</w:t>
      </w:r>
      <w:r>
        <w:rPr>
          <w:rFonts w:ascii="Arial" w:cs="Arial" w:eastAsia="Arial" w:hAnsi="Arial"/>
          <w:sz w:val="18"/>
          <w:szCs w:val="18"/>
          <w:color w:val="auto"/>
        </w:rPr>
        <w:t>. This standard requires that amounts generally described as restricted cash and cash equivalents should be combined with unrestricted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when reconciling the beginning and end of period balances on the statement of cash flows. Adoption of this standard did not have a material effect on our consolidated statement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ASU 2016-15 </w:t>
      </w:r>
      <w:r>
        <w:rPr>
          <w:rFonts w:ascii="Arial" w:cs="Arial" w:eastAsia="Arial" w:hAnsi="Arial"/>
          <w:sz w:val="18"/>
          <w:szCs w:val="18"/>
          <w:b w:val="1"/>
          <w:bCs w:val="1"/>
          <w:i w:val="1"/>
          <w:iCs w:val="1"/>
          <w:u w:val="single" w:color="auto"/>
          <w:color w:val="auto"/>
        </w:rPr>
        <w:t>Statement of Cash Flows (Topic 230): Classification of Certain Cash Receipts and Cash Payments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On January 1, 2018, the Company adopted </w:t>
      </w:r>
      <w:r>
        <w:rPr>
          <w:rFonts w:ascii="Arial" w:cs="Arial" w:eastAsia="Arial" w:hAnsi="Arial"/>
          <w:sz w:val="17"/>
          <w:szCs w:val="17"/>
          <w:i w:val="1"/>
          <w:iCs w:val="1"/>
          <w:color w:val="auto"/>
        </w:rPr>
        <w:t>ASU 2016-15, 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Payments. </w:t>
      </w:r>
      <w:r>
        <w:rPr>
          <w:rFonts w:ascii="Arial" w:cs="Arial" w:eastAsia="Arial" w:hAnsi="Arial"/>
          <w:sz w:val="17"/>
          <w:szCs w:val="17"/>
          <w:color w:val="auto"/>
        </w:rPr>
        <w:t>The standard applies to eight (8) specific cash flow classification issues, reducing the current and potential future diversity in the presentation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cash flows. Adoption of this standard did not have a material effect on our consolidated statement of cash flows.</w:t>
      </w:r>
    </w:p>
    <w:p>
      <w:pPr>
        <w:spacing w:after="0" w:line="134" w:lineRule="exact"/>
        <w:rPr>
          <w:sz w:val="20"/>
          <w:szCs w:val="20"/>
          <w:color w:val="auto"/>
        </w:rPr>
      </w:pPr>
    </w:p>
    <w:p>
      <w:pPr>
        <w:ind w:right="960"/>
        <w:spacing w:after="0" w:line="250" w:lineRule="auto"/>
        <w:rPr>
          <w:sz w:val="20"/>
          <w:szCs w:val="20"/>
          <w:color w:val="auto"/>
        </w:rPr>
      </w:pPr>
      <w:r>
        <w:rPr>
          <w:rFonts w:ascii="Arial" w:cs="Arial" w:eastAsia="Arial" w:hAnsi="Arial"/>
          <w:sz w:val="18"/>
          <w:szCs w:val="18"/>
          <w:b w:val="1"/>
          <w:bCs w:val="1"/>
          <w:u w:val="single" w:color="auto"/>
          <w:color w:val="auto"/>
        </w:rPr>
        <w:t xml:space="preserve">ASU 2017-07 </w:t>
      </w:r>
      <w:r>
        <w:rPr>
          <w:rFonts w:ascii="Arial" w:cs="Arial" w:eastAsia="Arial" w:hAnsi="Arial"/>
          <w:sz w:val="18"/>
          <w:szCs w:val="18"/>
          <w:b w:val="1"/>
          <w:bCs w:val="1"/>
          <w:i w:val="1"/>
          <w:iCs w:val="1"/>
          <w:u w:val="single" w:color="auto"/>
          <w:color w:val="auto"/>
        </w:rPr>
        <w:t>Compensation—Retirement Benefits (Topic 715): Improving the Presentation of Net Periodic Pension Cost and Net Periodic</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i w:val="1"/>
          <w:iCs w:val="1"/>
          <w:u w:val="single" w:color="auto"/>
          <w:color w:val="auto"/>
        </w:rPr>
        <w:t>Postretirement Benefit Cost</w:t>
      </w:r>
    </w:p>
    <w:p>
      <w:pPr>
        <w:spacing w:after="0" w:line="140"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 xml:space="preserve">On January 1, 2018, the Company adopted </w:t>
      </w:r>
      <w:r>
        <w:rPr>
          <w:rFonts w:ascii="Arial" w:cs="Arial" w:eastAsia="Arial" w:hAnsi="Arial"/>
          <w:sz w:val="18"/>
          <w:szCs w:val="18"/>
          <w:i w:val="1"/>
          <w:iCs w:val="1"/>
          <w:color w:val="auto"/>
        </w:rPr>
        <w:t>ASU 2017-07, Compensation—Retirement Benefits (Topic 715): Improving the Presentation of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Pension Cost and Net Periodic Postretirement Benefit Cost</w:t>
      </w:r>
      <w:r>
        <w:rPr>
          <w:rFonts w:ascii="Arial" w:cs="Arial" w:eastAsia="Arial" w:hAnsi="Arial"/>
          <w:sz w:val="18"/>
          <w:szCs w:val="18"/>
          <w:color w:val="auto"/>
        </w:rPr>
        <w:t>. This standard (i) requires that an employer disaggregate the service cost component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components of net benefit cost, and (ii) specifies how to present the service cost component and the other components of net benefit cost in the income statement and (iii) allows only the service cost component of net benefit cost to be eligible for capitalization. Adoption of this standard did not have a material effect on our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auto"/>
        </w:rPr>
        <w:t xml:space="preserve">ASU 2017-01 </w:t>
      </w:r>
      <w:r>
        <w:rPr>
          <w:rFonts w:ascii="Arial" w:cs="Arial" w:eastAsia="Arial" w:hAnsi="Arial"/>
          <w:sz w:val="18"/>
          <w:szCs w:val="18"/>
          <w:b w:val="1"/>
          <w:bCs w:val="1"/>
          <w:i w:val="1"/>
          <w:iCs w:val="1"/>
          <w:u w:val="single" w:color="auto"/>
          <w:color w:val="auto"/>
        </w:rPr>
        <w:t>Business Combinations (Topic 805): Clarifying the Definition of a Business</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 xml:space="preserve">On January 1, 2018, the Company adopted </w:t>
      </w:r>
      <w:r>
        <w:rPr>
          <w:rFonts w:ascii="Arial" w:cs="Arial" w:eastAsia="Arial" w:hAnsi="Arial"/>
          <w:sz w:val="17"/>
          <w:szCs w:val="17"/>
          <w:i w:val="1"/>
          <w:iCs w:val="1"/>
          <w:color w:val="auto"/>
        </w:rPr>
        <w:t>ASU 2017-01, Business Combinations (Topic 805): Clarifying the Definition of a Business</w:t>
      </w:r>
      <w:r>
        <w:rPr>
          <w:rFonts w:ascii="Arial" w:cs="Arial" w:eastAsia="Arial" w:hAnsi="Arial"/>
          <w:sz w:val="17"/>
          <w:szCs w:val="17"/>
          <w:color w:val="auto"/>
        </w:rPr>
        <w:t>. This ASU provides that when substantially all of the fair value of the gross assets acquired (or disposed of) is concentrated in a single identifiable asset or a group of similar identifiable assets, the asset is not a “business”, thus reducing the number of transactions that need further evaluation for business combination. Adoption of this standard did not have a material effect on our current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Prior period financial statement correction of immaterial errors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tax</w:t>
      </w:r>
    </w:p>
    <w:p>
      <w:pPr>
        <w:ind w:right="120"/>
        <w:spacing w:after="0" w:line="233" w:lineRule="auto"/>
        <w:rPr>
          <w:sz w:val="20"/>
          <w:szCs w:val="20"/>
          <w:color w:val="auto"/>
        </w:rPr>
      </w:pPr>
      <w:r>
        <w:rPr>
          <w:rFonts w:ascii="Arial" w:cs="Arial" w:eastAsia="Arial" w:hAnsi="Arial"/>
          <w:sz w:val="18"/>
          <w:szCs w:val="18"/>
          <w:color w:val="auto"/>
        </w:rPr>
        <w:t>During the fourth quarter of 2019, we identified immaterial errors related to the accounting for sales tax certain products sold from cinemas dating back to 2017. These errors resulted in an overstatement of revenue for certain periods.</w:t>
      </w:r>
    </w:p>
    <w:p>
      <w:pPr>
        <w:spacing w:after="0" w:line="14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assessed the materiality of these errors on our financial statements for prior periods in accordance with the SEC Staff Accounting Bulletin (SAB) No. 99, Materiality, codified in ASC 250, Presentation of Financial Statements, and concluded that they were not material to any prior annual or interim periods. However, the aggregate amount of $993,000 related to the prior period immaterial errors through September 30, 2019, would have been material to the full year Consolidated Statements of Operations to December 31, 2019, presented within this Form 10-K. Consequently, in accordance with ASC 250 (specifically SAB No. 108, Considering the Effects of Prior Year Misstatements when Quantifying Misstatements in Current Year Financial Statements), we have corrected these errors for all prior periods presented by revising the consolidated financial statements and other financial information included herein.</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is a summary of the previously issued financial statement line items for all periods and statements included in this Form 10-K report affected by the correction.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6"/>
          </w:tcPr>
          <w:p>
            <w:pPr>
              <w:jc w:val="center"/>
              <w:ind w:left="874"/>
              <w:spacing w:after="0"/>
              <w:rPr>
                <w:sz w:val="20"/>
                <w:szCs w:val="20"/>
                <w:color w:val="auto"/>
              </w:rPr>
            </w:pPr>
            <w:r>
              <w:rPr>
                <w:rFonts w:ascii="Arial" w:cs="Arial" w:eastAsia="Arial" w:hAnsi="Arial"/>
                <w:sz w:val="14"/>
                <w:szCs w:val="14"/>
                <w:b w:val="1"/>
                <w:bCs w:val="1"/>
                <w:color w:val="auto"/>
                <w:w w:val="92"/>
              </w:rPr>
              <w:t>Year Ended December 31, 2018</w:t>
            </w:r>
          </w:p>
        </w:tc>
        <w:tc>
          <w:tcPr>
            <w:tcW w:w="1140" w:type="dxa"/>
            <w:vAlign w:val="bottom"/>
            <w:tcBorders>
              <w:bottom w:val="single" w:sz="8" w:color="auto"/>
            </w:tcBorders>
          </w:tcPr>
          <w:p>
            <w:pPr>
              <w:spacing w:after="0"/>
              <w:rPr>
                <w:sz w:val="15"/>
                <w:szCs w:val="15"/>
                <w:color w:val="auto"/>
              </w:rPr>
            </w:pPr>
          </w:p>
        </w:tc>
      </w:tr>
      <w:tr>
        <w:trPr>
          <w:trHeight w:val="209"/>
        </w:trPr>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As Revised</w:t>
            </w:r>
          </w:p>
        </w:tc>
      </w:tr>
      <w:tr>
        <w:trPr>
          <w:trHeight w:val="230"/>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Cinema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294,177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293,723</w:t>
            </w:r>
          </w:p>
        </w:tc>
      </w:tr>
      <w:tr>
        <w:trPr>
          <w:trHeight w:val="243"/>
        </w:trPr>
        <w:tc>
          <w:tcPr>
            <w:tcW w:w="6780" w:type="dxa"/>
            <w:vAlign w:val="bottom"/>
            <w:gridSpan w:val="4"/>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309,385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308,931</w:t>
            </w:r>
          </w:p>
        </w:tc>
      </w:tr>
      <w:tr>
        <w:trPr>
          <w:trHeight w:val="243"/>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r>
      <w:tr>
        <w:trPr>
          <w:trHeight w:val="243"/>
        </w:trPr>
        <w:tc>
          <w:tcPr>
            <w:tcW w:w="6780" w:type="dxa"/>
            <w:vAlign w:val="bottom"/>
            <w:gridSpan w:val="4"/>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17,918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17,463</w:t>
            </w:r>
          </w:p>
        </w:tc>
      </w:tr>
      <w:tr>
        <w:trPr>
          <w:trHeight w:val="243"/>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(3,420)</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r>
      <w:tr>
        <w:trPr>
          <w:trHeight w:val="243"/>
        </w:trPr>
        <w:tc>
          <w:tcPr>
            <w:tcW w:w="678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14,498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14,166</w:t>
            </w:r>
          </w:p>
        </w:tc>
      </w:tr>
      <w:tr>
        <w:trPr>
          <w:trHeight w:val="243"/>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Reading International, Inc. common shareholders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w:t>
            </w:r>
          </w:p>
        </w:tc>
      </w:tr>
      <w:tr>
        <w:trPr>
          <w:trHeight w:val="243"/>
        </w:trPr>
        <w:tc>
          <w:tcPr>
            <w:tcW w:w="2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57"/>
        </w:trPr>
        <w:tc>
          <w:tcPr>
            <w:tcW w:w="6780" w:type="dxa"/>
            <w:vAlign w:val="bottom"/>
            <w:gridSpan w:val="4"/>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337"/>
        </w:trPr>
        <w:tc>
          <w:tcPr>
            <w:tcW w:w="6780" w:type="dxa"/>
            <w:vAlign w:val="bottom"/>
            <w:gridSpan w:val="4"/>
          </w:tcPr>
          <w:p>
            <w:pPr>
              <w:spacing w:after="0"/>
              <w:rPr>
                <w:sz w:val="20"/>
                <w:szCs w:val="20"/>
                <w:color w:val="auto"/>
              </w:rPr>
            </w:pPr>
            <w:r>
              <w:rPr>
                <w:rFonts w:ascii="Arial" w:cs="Arial" w:eastAsia="Arial" w:hAnsi="Arial"/>
                <w:sz w:val="18"/>
                <w:szCs w:val="18"/>
                <w:color w:val="auto"/>
              </w:rPr>
              <w:t>Consolidated Balance Sheets: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0"/>
        </w:trPr>
        <w:tc>
          <w:tcPr>
            <w:tcW w:w="21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5"/>
              </w:rPr>
              <w:t>Summary of Equity</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3"/>
        </w:trPr>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As Revised</w:t>
            </w:r>
          </w:p>
        </w:tc>
      </w:tr>
      <w:tr>
        <w:trPr>
          <w:trHeight w:val="230"/>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at January 1, 2018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181,382</w:t>
            </w:r>
          </w:p>
        </w:tc>
      </w:tr>
      <w:tr>
        <w:trPr>
          <w:trHeight w:val="243"/>
        </w:trPr>
        <w:tc>
          <w:tcPr>
            <w:tcW w:w="6780" w:type="dxa"/>
            <w:vAlign w:val="bottom"/>
            <w:gridSpan w:val="4"/>
          </w:tcPr>
          <w:p>
            <w:pPr>
              <w:spacing w:after="0"/>
              <w:rPr>
                <w:sz w:val="20"/>
                <w:szCs w:val="20"/>
                <w:color w:val="auto"/>
              </w:rPr>
            </w:pPr>
            <w:r>
              <w:rPr>
                <w:rFonts w:ascii="Arial" w:cs="Arial" w:eastAsia="Arial" w:hAnsi="Arial"/>
                <w:sz w:val="18"/>
                <w:szCs w:val="18"/>
                <w:color w:val="auto"/>
              </w:rPr>
              <w:t>Net income (loss) attributable to Reading International, Inc. common shareholders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14,366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14,034</w:t>
            </w:r>
          </w:p>
        </w:tc>
      </w:tr>
      <w:tr>
        <w:trPr>
          <w:trHeight w:val="243"/>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at December 31, 2018</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180,547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179,979</w:t>
            </w:r>
          </w:p>
        </w:tc>
      </w:tr>
      <w:tr>
        <w:trPr>
          <w:trHeight w:val="351"/>
        </w:trPr>
        <w:tc>
          <w:tcPr>
            <w:tcW w:w="6780" w:type="dxa"/>
            <w:vAlign w:val="bottom"/>
            <w:gridSpan w:val="4"/>
          </w:tcPr>
          <w:p>
            <w:pPr>
              <w:spacing w:after="0"/>
              <w:rPr>
                <w:sz w:val="20"/>
                <w:szCs w:val="20"/>
                <w:color w:val="auto"/>
              </w:rPr>
            </w:pPr>
            <w:r>
              <w:rPr>
                <w:rFonts w:ascii="Arial" w:cs="Arial" w:eastAsia="Arial" w:hAnsi="Arial"/>
                <w:sz w:val="18"/>
                <w:szCs w:val="18"/>
                <w:color w:val="auto"/>
              </w:rPr>
              <w:t>Consolidated Statements of Cash Flows: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0"/>
        </w:trPr>
        <w:tc>
          <w:tcPr>
            <w:tcW w:w="2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874"/>
              <w:spacing w:after="0"/>
              <w:rPr>
                <w:sz w:val="20"/>
                <w:szCs w:val="20"/>
                <w:color w:val="auto"/>
              </w:rPr>
            </w:pPr>
            <w:r>
              <w:rPr>
                <w:rFonts w:ascii="Arial" w:cs="Arial" w:eastAsia="Arial" w:hAnsi="Arial"/>
                <w:sz w:val="14"/>
                <w:szCs w:val="14"/>
                <w:b w:val="1"/>
                <w:bCs w:val="1"/>
                <w:color w:val="auto"/>
                <w:w w:val="92"/>
              </w:rPr>
              <w:t>Year Ended December 31, 2018</w:t>
            </w:r>
          </w:p>
        </w:tc>
        <w:tc>
          <w:tcPr>
            <w:tcW w:w="1140" w:type="dxa"/>
            <w:vAlign w:val="bottom"/>
            <w:tcBorders>
              <w:bottom w:val="single" w:sz="8" w:color="auto"/>
            </w:tcBorders>
          </w:tcPr>
          <w:p>
            <w:pPr>
              <w:spacing w:after="0"/>
              <w:rPr>
                <w:sz w:val="24"/>
                <w:szCs w:val="24"/>
                <w:color w:val="auto"/>
              </w:rPr>
            </w:pPr>
          </w:p>
        </w:tc>
      </w:tr>
      <w:tr>
        <w:trPr>
          <w:trHeight w:val="210"/>
        </w:trPr>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As Revised</w:t>
            </w:r>
          </w:p>
        </w:tc>
      </w:tr>
      <w:tr>
        <w:trPr>
          <w:trHeight w:val="230"/>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w:t>
            </w:r>
          </w:p>
        </w:tc>
      </w:tr>
      <w:tr>
        <w:trPr>
          <w:trHeight w:val="243"/>
        </w:trPr>
        <w:tc>
          <w:tcPr>
            <w:tcW w:w="6780" w:type="dxa"/>
            <w:vAlign w:val="bottom"/>
            <w:gridSpan w:val="4"/>
          </w:tcPr>
          <w:p>
            <w:pPr>
              <w:spacing w:after="0"/>
              <w:rPr>
                <w:sz w:val="20"/>
                <w:szCs w:val="20"/>
                <w:color w:val="auto"/>
              </w:rPr>
            </w:pPr>
            <w:r>
              <w:rPr>
                <w:rFonts w:ascii="Arial" w:cs="Arial" w:eastAsia="Arial" w:hAnsi="Arial"/>
                <w:sz w:val="18"/>
                <w:szCs w:val="18"/>
                <w:color w:val="auto"/>
              </w:rPr>
              <w:t>Change in net deferred tax assets</w:t>
            </w: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(1,719)</w:t>
            </w:r>
          </w:p>
        </w:tc>
        <w:tc>
          <w:tcPr>
            <w:tcW w:w="2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(1,841)</w:t>
            </w:r>
          </w:p>
        </w:tc>
      </w:tr>
      <w:tr>
        <w:trPr>
          <w:trHeight w:val="243"/>
        </w:trPr>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r>
      <w:tr>
        <w:trPr>
          <w:trHeight w:val="256"/>
        </w:trPr>
        <w:tc>
          <w:tcPr>
            <w:tcW w:w="678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32,645</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32,645</w:t>
            </w:r>
          </w:p>
        </w:tc>
      </w:tr>
      <w:tr>
        <w:trPr>
          <w:trHeight w:val="567"/>
        </w:trPr>
        <w:tc>
          <w:tcPr>
            <w:tcW w:w="6620" w:type="dxa"/>
            <w:vAlign w:val="bottom"/>
            <w:gridSpan w:val="3"/>
          </w:tcPr>
          <w:p>
            <w:pPr>
              <w:ind w:left="5420"/>
              <w:spacing w:after="0"/>
              <w:rPr>
                <w:sz w:val="20"/>
                <w:szCs w:val="20"/>
                <w:color w:val="auto"/>
              </w:rPr>
            </w:pPr>
            <w:r>
              <w:rPr>
                <w:rFonts w:ascii="Arial" w:cs="Arial" w:eastAsia="Arial" w:hAnsi="Arial"/>
                <w:sz w:val="18"/>
                <w:szCs w:val="18"/>
                <w:color w:val="auto"/>
              </w:rPr>
              <w:t>- 89 -</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8"/>
        </w:trPr>
        <w:tc>
          <w:tcPr>
            <w:tcW w:w="2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NOTE 3 – IMPACT OF COVID-19 PANDEMIC ON LIQUIDITY</w:t>
      </w:r>
    </w:p>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March 11, 2020, the World Health Organization (“WHO”) declared the novel coronavirus, COVID-19, a global pandemic. Following the date of this declaration, many jurisdictions imposed various restrictions on “non-essential” activities. In the jurisdictions in which we operate, these restrictions typically included closure of all business deemed “non-essential” (including movie-theaters and most other indoor forms of entertainment), and that all “non-essential” workers, and all members of the public, remain in their homes. As a result, beginning in March 2020 and continuing through and beyond the end of the first quarter of 2020, we temporarily closed all of our live theatres and cinema operations in the U.S., Australia and New Zealand. Operating restrictions adopted in Australia and New Zealand also affected, and to varying degrees continue to affect, many of our tenants at our retail shopping centers. While most of these tenants have, to date, remained open for trading, we have in many cases agreed to rent abatements or deferrals.</w:t>
      </w:r>
    </w:p>
    <w:p>
      <w:pPr>
        <w:spacing w:after="0" w:line="13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the second to fourth quarters of 2020, and continuing into 2021, several jurisdictions began relaxing COVID-19 restrictions, however other jurisdictions are, to varying degrees reinstating their lockdowns due to the resurgence of COVID-19. Even where businesses have been allowed to reopen, operational limitations on density, hours of operation, and other operating factors, and public concern about interacting with third parties, have prevented a return to normal operations. Vaccination programs have begun across the globe, but periodic closures and limitations on operating activities are expected to continue until the COVID-19 spread is considered materially contained. There is no reliable estimate as to when this will be.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 Segment Impact</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As of March 31, 2021, we had reopened 19 of our 24 cinemas in the U.S. Our Kahala cinema is closed pending the completion of renovations which have been delayed due to COVID-19. We will open the remaining five cinemas when Management determines it is operationally expedient to do so. In the second quarter of 2020, we reopened all the cinemas in our New Zealand circuit except for our Reading Cinemas at Courtenay Central (which continues to be closed due to seismic concerns), with social distancing measures in place. Government imposed social distancing requirements were discontinued in New Zealand on June 8, 2020. In June and July 2020, we reopened all our Australia circuit with social distancing measures in place. Certain locations in Australia and New Zealand have been, and may be in the future, subject to short local lockdowns in instances where community transition of the virus as spread, but these have been isolated to individual areas.</w:t>
      </w:r>
    </w:p>
    <w:p>
      <w:pPr>
        <w:spacing w:after="0" w:line="14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As we complete the reopening of our cinemas in the U.S., COVID-19 has and continues to adversely impact our business not only because of government mandated closures, but also by reducing our seating capacities, increasing our costs of operation due to the need for the implementation of enhanced cleaning protocols, deterring potential customers from sharing entertainment spaces with third parties, and deterring film distributors from releasing their films to exhibitors. While we have confidence in the movies anticipated for release in 2021 and 2022, there can be no assurances that the timing of these releases will not be materially rescheduled by movie studios. Such rescheduling may push the relative revenues into later quarters, and in circumstances where a movie is released to streaming on the same day as the theaters, also have the effect of reducing our potential patronage. For these reasons, even if legally permitted to reopen, our decisions to reopen any particular theaters, and whether to have that theater remain open, will be impacted by a variety of considerations including movie availability, customer demand, and safety considerations relative to our staff and 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Segment Impact</w:t>
      </w:r>
    </w:p>
    <w:p>
      <w:pPr>
        <w:spacing w:after="0" w:line="17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Substantially all our tenants in our Australian real estate business are currently open for trading. All our tenants in our New Zealand real estate business are currently open for trading. However, most of the rentable retail portions of our Courtenay Central location continue to be closed since January 2019 due to seismic concerns. We have, to varying degrees, supported certain tenants with rent abatements and deferrals, and may continue to do so until we believe that such tenants are able to fully perform their obligations despite COVID-19 impacts, although the magnitude of such assistance has diminished since the end of the third quarter of 2020. In the U.S., much of our real estate income is generated by rental revenue from our live theatres which, as of the date of this Report, are closed to the public due to COVID-19.</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auto"/>
        </w:rPr>
        <w:t>Liquidity Impact</w:t>
      </w:r>
    </w:p>
    <w:p>
      <w:pPr>
        <w:spacing w:after="0" w:line="17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repercussions of COVID-19 resulted in a significant decrease in our Company’s revenues and earnings for the year ended December 31, 2020. The closure of our global cinemas resulted in effectively no revenue in the second quarter of 2020, and significantly reduced revenues for the remainder of the year, albeit with some improvements in Australia and New Zealand towards the end of the fourth quarter. The closures caused our Company to experience significantly reduced revenues and incur operating losses due to (i) the continuing closure of certain cinemas due to government mandates as a result of COVID-19, (ii) the major studios postponing or removing their tentpole movies from the global 2020 release calendar as a direct result of COVID-19, (iii) increased operating costs due to COVID-19 safety protocols, and (iv) reduced attendance due to potential audience hesitance to engage socially with third parties and/or a lack of compelling movies scheduled at reopened theaters. Despite our third and fourth quarter losses being partially offset by income generated by our reopened New Zealand and Australia cinemas, and to a lesser extent our reopened U.S. cinemas, as a result of the conditions described in (ii), (iii) and (iv) above, even in markets where we have been permitted to reopen, we have, in many cases, not been able to operate profitably at the theater level.</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With regards to our real estate operations, while all our New Zealand and Australian real estate tenants are currently trading (other than certain tenants who have closed for reasons unrelated to COVID-19), our real estate revenue and earnings may continue to be affected by any rent relief that we may deem necessary to provide to certain tenants experiencing impacts from COVID-19.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reduction activities</w:t>
      </w:r>
    </w:p>
    <w:p>
      <w:pPr>
        <w:spacing w:after="0" w:line="17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As of December 31, 2020, our Company had negative working capital of $64.1 million compared to negative working capital of $84.1 million at December 31, 2019. Due to timing differences between the date revenues are recognized at our cinemas and the date on which we pay our film rent, we customarily have some level of negative working capital. In response to the issues associated with COVID-19, our Company has taken, and continues to take, significant proactive steps to preserve cash by:</w:t>
      </w:r>
    </w:p>
    <w:p>
      <w:pPr>
        <w:spacing w:after="0" w:line="148" w:lineRule="exact"/>
        <w:rPr>
          <w:sz w:val="20"/>
          <w:szCs w:val="20"/>
          <w:color w:val="auto"/>
        </w:rPr>
      </w:pPr>
    </w:p>
    <w:p>
      <w:pPr>
        <w:jc w:val="both"/>
        <w:ind w:left="1040" w:right="60" w:hanging="514"/>
        <w:spacing w:after="0" w:line="256" w:lineRule="auto"/>
        <w:tabs>
          <w:tab w:leader="none" w:pos="10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Completing arrangements with substantially all our third-party landlords, arrangements which have resulted in both abatements and deferrals of our occupancy costs. We continue to negotiate with landlords for further abatement and/or deferrals of occupancy costs and related terms;</w:t>
      </w:r>
    </w:p>
    <w:p>
      <w:pPr>
        <w:spacing w:after="0" w:line="1" w:lineRule="exact"/>
        <w:rPr>
          <w:rFonts w:ascii="Arial" w:cs="Arial" w:eastAsia="Arial" w:hAnsi="Arial"/>
          <w:sz w:val="16"/>
          <w:szCs w:val="16"/>
          <w:color w:val="auto"/>
        </w:rPr>
      </w:pPr>
    </w:p>
    <w:p>
      <w:pPr>
        <w:ind w:left="1040" w:right="260" w:hanging="514"/>
        <w:spacing w:after="0" w:line="219" w:lineRule="auto"/>
        <w:tabs>
          <w:tab w:leader="none" w:pos="10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our costs of labor across the company through a combination of terminations, working hour reductions, cash bonus eliminations and hiring freezes;</w:t>
      </w:r>
    </w:p>
    <w:p>
      <w:pPr>
        <w:ind w:left="1040" w:hanging="514"/>
        <w:spacing w:after="0" w:line="219"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Eliminating non-essential operating costs;</w:t>
      </w:r>
    </w:p>
    <w:p>
      <w:pPr>
        <w:ind w:left="1040" w:hanging="514"/>
        <w:spacing w:after="0" w:line="219"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Deferring, to the extent practicable, certain operating expenses, such as utility costs; and</w:t>
      </w:r>
    </w:p>
    <w:p>
      <w:pPr>
        <w:ind w:left="1040" w:hanging="51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Deferring, to the extent practicable, all non-essential capital expenditures.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generation activities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In addition to the actions taken to preserve cash during the effects of COVID-19, our Company has taken proactive steps to generate additional cash inflows. As detailed at </w:t>
      </w:r>
      <w:r>
        <w:rPr>
          <w:rFonts w:ascii="Arial" w:cs="Arial" w:eastAsia="Arial" w:hAnsi="Arial"/>
          <w:sz w:val="16"/>
          <w:szCs w:val="16"/>
          <w:i w:val="1"/>
          <w:iCs w:val="1"/>
          <w:color w:val="auto"/>
        </w:rPr>
        <w:t>Note 5 – Real Estate Transactions</w:t>
      </w:r>
      <w:r>
        <w:rPr>
          <w:rFonts w:ascii="Arial" w:cs="Arial" w:eastAsia="Arial" w:hAnsi="Arial"/>
          <w:sz w:val="16"/>
          <w:szCs w:val="16"/>
          <w:color w:val="auto"/>
        </w:rPr>
        <w:t>, we sold our non-income generating land at Manukau, New Zealand, and Coachella, California, in the first quarter of 2021. These sales produced net cash inflow of $60.0 million, net of transfers to our 50% partner with respect to the sale of Coachella.</w:t>
      </w:r>
    </w:p>
    <w:p>
      <w:pPr>
        <w:spacing w:after="0" w:line="12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Company secured access to government wage subsidy programs in Australia and New Zealand. The Australian wage subsidy program expired on March 27, 2021. The New Zealand program expired on August 25, 2020. Our Company continues to review various programs offered by governmental agencies in the jurisdictions where it operates as those programs are further defined or revised, but there can be no assurances that our Company will qualify for any such programs or, even if it does qualify, the degree that it may be successful in its applications for such support.</w:t>
      </w:r>
    </w:p>
    <w:p>
      <w:pPr>
        <w:spacing w:after="0" w:line="129"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In addition, during the third quarter of 2020, Management lodged an application to carry back certain operating losses under the recently enacted CARES Act. The CARES Act permits net operating losses generated from tax years 2018 through 2020 to be carried back five years. During the third quarter of 2020, the Company filed its 2019 federal income tax return and carried back the net operating losses generated in 2019 to offset taxable income from tax years 2015 and 2016. The CARES Act also permits corporate taxpayers to claim in full any previously unrefunded alternative minimum tax credit in the 2019 tax year. This claim was made with our Company’s 2019 federal income tax return. The carryback of the 2019 net operating loss and the refund claim for 100% of the remaining alternative minimum tax credit resulted in a tax refund receivable of approximately $5.1 million after the filing of the 2019 federal income tax return. The $5.1 million refund was received as of January 31, 2021.</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auto"/>
        </w:rPr>
        <w:t>Debt Management</w:t>
      </w:r>
    </w:p>
    <w:p>
      <w:pPr>
        <w:spacing w:after="0" w:line="171"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 xml:space="preserve">To address the impacts of COVID-19 on our financing arrangements, we have renegotiated certain financial covenant modifications with our applicable lenders. These modifications permit us to classify the relevant debt instruments as long term and are further discussed below in </w:t>
      </w:r>
      <w:r>
        <w:rPr>
          <w:rFonts w:ascii="Arial" w:cs="Arial" w:eastAsia="Arial" w:hAnsi="Arial"/>
          <w:sz w:val="18"/>
          <w:szCs w:val="18"/>
          <w:i w:val="1"/>
          <w:iCs w:val="1"/>
          <w:color w:val="auto"/>
        </w:rPr>
        <w:t>Note 11 – Borrowings.</w:t>
      </w:r>
      <w:r>
        <w:rPr>
          <w:rFonts w:ascii="Arial" w:cs="Arial" w:eastAsia="Arial" w:hAnsi="Arial"/>
          <w:sz w:val="18"/>
          <w:szCs w:val="18"/>
          <w:color w:val="auto"/>
        </w:rPr>
        <w:t xml:space="preserve"> As of March 31, 2020, Management had drawn down in full the operating debt facilities available to our Company. As of December 31, 2020, all our Company’s facilities remain fully drawn with the exception of the Bank of America Credit Facility which has $3.8 million of capacity available, as detailed in </w:t>
      </w:r>
      <w:r>
        <w:rPr>
          <w:rFonts w:ascii="Arial" w:cs="Arial" w:eastAsia="Arial" w:hAnsi="Arial"/>
          <w:sz w:val="18"/>
          <w:szCs w:val="18"/>
          <w:i w:val="1"/>
          <w:iCs w:val="1"/>
          <w:color w:val="auto"/>
        </w:rPr>
        <w:t>Note 11 – Borrowings</w:t>
      </w:r>
      <w:r>
        <w:rPr>
          <w:rFonts w:ascii="Arial" w:cs="Arial" w:eastAsia="Arial" w:hAnsi="Arial"/>
          <w:sz w:val="18"/>
          <w:szCs w:val="18"/>
          <w:color w:val="auto"/>
        </w:rPr>
        <w:t>. Our Company’s use of these funds is in some ways limited due to limitations on the repatriation of funds from Australia and New Zealand to the United States and limitations on our use of the proceeds from our $55.0 million Bank of America Credit Facility for purposes unrelated to our U.S. cinema activities.</w:t>
      </w:r>
    </w:p>
    <w:p>
      <w:pPr>
        <w:spacing w:after="0" w:line="15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Our Company has continued its efforts to secure our financing position in 2021. On March 26, 2021, we repaid in full the $40.6 million construction loan secured by our 44 Union Square property. We are actively engaged in the refinancing of this property and while no assurances can be given, believe that this financing will be in place by June 30,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Going Concern</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 xml:space="preserve">Management continues to evaluate the assertion required by </w:t>
      </w:r>
      <w:r>
        <w:rPr>
          <w:rFonts w:ascii="Arial" w:cs="Arial" w:eastAsia="Arial" w:hAnsi="Arial"/>
          <w:sz w:val="17"/>
          <w:szCs w:val="17"/>
          <w:i w:val="1"/>
          <w:iCs w:val="1"/>
          <w:color w:val="auto"/>
        </w:rPr>
        <w:t>ASC 205-40 Going Concern</w:t>
      </w:r>
      <w:r>
        <w:rPr>
          <w:rFonts w:ascii="Arial" w:cs="Arial" w:eastAsia="Arial" w:hAnsi="Arial"/>
          <w:sz w:val="17"/>
          <w:szCs w:val="17"/>
          <w:color w:val="auto"/>
        </w:rPr>
        <w:t xml:space="preserve"> as it relates to our Company, including its operations in its various individual operating jurisdictions: U.S., Australia and New Zealand. Management’s evaluation is informed by current liquidity positions, cash flow estimates, known capital and other expenditure requirements and commitments and Management’s current business plan and strategies. Our Company’s business plan - two businesses (real estate and cinema) in three countries (Australia, New Zealand and the U.S.) - has served us well since the onset of COVID-19 and is key to Management’s overall evaluation of ASC 205-40 Going Concern.</w:t>
      </w:r>
    </w:p>
    <w:p>
      <w:pPr>
        <w:spacing w:after="0" w:line="14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above discussed factors, including principally but not limited, to the temporary closure of our cinemas, materially reduced cinema attendances and as a result materially reduced revenues and cash flows mean that, absent Management plans, the Company’s liquidity is insufficient to meet its obligations as they fall due. As a result, there is substantial doubt that the Company will be able to continue as a going concern for at least twelve months following the issuance of our financial statements; however, it is probable that Management’s plans described herein will alleviate that substantial doubt.</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Management’s forecasts and cash flow estimates are based on the current expectation that the global cinema industry will begin to recover in 2021, but this forecast relies upon, among other things, the elimination of governmental restrictions on the reopening of cinemas, the resumption of release of tentpole movies, and confidence of moviegoers in the safety protocols established by the global cinema industry. These named factors are both out of Management’s control and are material, individually and in the aggregate, to the realization of Management’s forecasts and expectations throughout the period of COVID-19. Management recognizes that in times of domestic or global economic turmoil, including COVID-19, our estimates and judgments with respect to these cash flow estimates are subject to greater uncertainty than in more stable periods. The forecasts are inherently uncertain and have required us to make estimates and judgements regarding the extent to which COVID-19 will continue to affect the cinema industry.</w:t>
      </w:r>
    </w:p>
    <w:p>
      <w:pPr>
        <w:spacing w:after="0" w:line="138"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Management reviewed its significant cinema and real estate operations in Australia and New Zealand, two geographies that have experienced relatively more success in controlling COVID-19 than the U.S. As of December 31, 2020, substantially all our cinema operations and real estate operations had resumed in Australia and New Zealand. However, the cash flow of our Australian and New Zealand cinemas has been diminished by the temporary determinations by the major studios to delay the global release of tentpole movies. The major studios are delaying these releases, largely because key cinema markets in the U.S. (i.e. New York City and Los Angeles) had remained, and to an extent continue to be, closed. Our Australian real estate’s revenue generation abilities are less affected by COVID-19, and aside from the issuance of rental abatements and deferrals to certain tenants, our portfolio continues to generate near-to-expected cash flows.</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order to alleviate the substantial doubt that the Company will be able to generate sufficient cash flows within the twelve month period after the issuance of these financial statements to meet its obligations as they become due, Management has in place specific plans to meet such obligations. Firstly, Management is implementing its business plan to refinance our Company’s 44 Union Square property, having on March 26, 2021, repaid the $40.6 million construction loan. The refinancing of 44 Union Square has been a key part of the three-year real estate business strategy presented to our Board of Directors annually since 2018. Although no assurances can be given, based on current facts and circumstances, including, without limitation, recent appraisals and the progress of negotiations with a prospective lender, Management is confident that this takeout financing will be completed before the end of the second quarter 2021, on satisfactory terms.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2" w:name="page93"/>
    <w:bookmarkEnd w:id="92"/>
    <w:p>
      <w:pPr>
        <w:ind w:right="60"/>
        <w:spacing w:after="0" w:line="228" w:lineRule="auto"/>
        <w:rPr>
          <w:sz w:val="20"/>
          <w:szCs w:val="20"/>
          <w:color w:val="auto"/>
        </w:rPr>
      </w:pPr>
      <w:r>
        <w:rPr>
          <w:rFonts w:ascii="Arial" w:cs="Arial" w:eastAsia="Arial" w:hAnsi="Arial"/>
          <w:sz w:val="18"/>
          <w:szCs w:val="18"/>
          <w:color w:val="auto"/>
        </w:rPr>
        <w:t>Secondly, we are continuing to implement our plan to monetize certain assets within our real estate portfolio. As noted at Note 23 – Subsequent Events, we began actively marketing for sale our Auburn/Redyard and our Royal George Theater properties, in January 2021 and February 2021, respectively. Real Estate development and monetization is a core component of our Company’s real estate business. Although no assurances can be given, based on current facts and circumstances and the interest received in these properties to date, Management is confident that these real estate sales will be completed in or around the second quarter of 2021, on satisfactory terms.</w:t>
      </w:r>
    </w:p>
    <w:p>
      <w:pPr>
        <w:spacing w:after="0" w:line="151"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 xml:space="preserve">In conclusion, as of the date of issuance of these financial statements, based on Management’s evaluation of </w:t>
      </w:r>
      <w:r>
        <w:rPr>
          <w:rFonts w:ascii="Arial" w:cs="Arial" w:eastAsia="Arial" w:hAnsi="Arial"/>
          <w:sz w:val="18"/>
          <w:szCs w:val="18"/>
          <w:i w:val="1"/>
          <w:iCs w:val="1"/>
          <w:color w:val="auto"/>
        </w:rPr>
        <w:t>ASC 205-40 Going Concern</w:t>
      </w:r>
      <w:r>
        <w:rPr>
          <w:rFonts w:ascii="Arial" w:cs="Arial" w:eastAsia="Arial" w:hAnsi="Arial"/>
          <w:sz w:val="18"/>
          <w:szCs w:val="18"/>
          <w:color w:val="auto"/>
        </w:rPr>
        <w:t xml:space="preserve"> and the current conditions and events, considered in the aggregate, and Management’s various plans for enhancing its liquidity and the extent to which those plans are progressing, Management concludes that the plans are probable of being implemented and probable that they alleviate the substantial doubt about the Company’s ability to continue as a going concern.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Considerations</w:t>
      </w:r>
    </w:p>
    <w:p>
      <w:pPr>
        <w:spacing w:after="0" w:line="175"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Our Company considers that the events and factors described above constitute impairment indicators under ASC 360 Property, Plant and Equipment. Our Company performed a quantitative recoverability test of the carrying values of all its asset groups. Our Company estimated the undiscounted future cash flows expected to result from the use of these asset groups. The cash flow estimates used in this review are consistent with budgetary revisions performed by Management in response to COVID-19 and the developing market conditions. The realization of these forecasts is dependent on several variables and conditions, many of which are subject to the uncertainties associated with COVID-19 and as a result, actual results may materially differ from Management’s estimates. Our recoverability testing determined that, for certain asset groups, the sum of the estimated undiscounted future cash flows attributable to those assets was less than their carrying amount. Our Company evaluated the fair value of these assets which consisted of certain items of machinery and equipment and concluded that their fair value was less than their carrying values and recorded a $217,000 impairment loss, reducing the relevant machinery and equipment. The remaining net book value of the impaired assets was $nil.</w:t>
      </w:r>
    </w:p>
    <w:p>
      <w:pPr>
        <w:spacing w:after="0" w:line="13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Company also considers that the events and factors described above constitute impairment indicators under ASC 350 Intangibles – Goodwill and Other. Our Company performed a quantitative goodwill impairment test and determined that its goodwill was not impaired as of December 31, 2020.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The realization of these forecasts is dependent on several variables and conditions, many of which are subject to the uncertainties associated with COVID-19 and as a result, actual results may materially differ from Management’s estimates.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EARNINGS (LOSS) PER SHARE</w:t>
      </w:r>
    </w:p>
    <w:p>
      <w:pPr>
        <w:spacing w:after="0" w:line="17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following table sets forth the computation of basic and diluted earnings (loss) per share and a reconciliation of the weighted average number of common and common equivalent shares outstanding for the three years ended 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 except share and per share data)</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b w:val="1"/>
                <w:bCs w:val="1"/>
                <w:color w:val="auto"/>
              </w:rPr>
              <w:t>Numerator:</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 attributable to RDI common stockholders</w:t>
            </w:r>
          </w:p>
        </w:tc>
        <w:tc>
          <w:tcPr>
            <w:tcW w:w="440" w:type="dxa"/>
            <w:vAlign w:val="bottom"/>
            <w:gridSpan w:val="2"/>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(65,200)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(26,429)</w:t>
            </w:r>
          </w:p>
        </w:tc>
        <w:tc>
          <w:tcPr>
            <w:tcW w:w="480" w:type="dxa"/>
            <w:vAlign w:val="bottom"/>
            <w:gridSpan w:val="2"/>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14,034</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of common stock – basic</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21,749,155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22,631,754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22,991,277</w:t>
            </w:r>
          </w:p>
        </w:tc>
      </w:tr>
      <w:tr>
        <w:trPr>
          <w:trHeight w:val="189"/>
        </w:trPr>
        <w:tc>
          <w:tcPr>
            <w:tcW w:w="66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Weighted average dilutive impact of stock-based awards</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466,356</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152,368</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217,714</w:t>
            </w:r>
          </w:p>
        </w:tc>
      </w:tr>
      <w:tr>
        <w:trPr>
          <w:trHeight w:val="203"/>
        </w:trPr>
        <w:tc>
          <w:tcPr>
            <w:tcW w:w="66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shares of common stock – diluted</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22,215,511</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22,784,122</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23,208,991</w:t>
            </w:r>
          </w:p>
        </w:tc>
      </w:tr>
      <w:tr>
        <w:trPr>
          <w:trHeight w:val="183"/>
        </w:trPr>
        <w:tc>
          <w:tcPr>
            <w:tcW w:w="66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Basic earnings (loss) per share attributable to RDI common stockholders</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(3.00)</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(1.17)</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30"/>
              <w:spacing w:after="0" w:line="17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0.61</w:t>
            </w:r>
          </w:p>
        </w:tc>
      </w:tr>
      <w:tr>
        <w:trPr>
          <w:trHeight w:val="209"/>
        </w:trPr>
        <w:tc>
          <w:tcPr>
            <w:tcW w:w="66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Diluted earnings (loss) per share attributable to RDI common stockholders</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(3.00)</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(1.17)</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0.60</w:t>
            </w:r>
          </w:p>
        </w:tc>
      </w:tr>
      <w:tr>
        <w:trPr>
          <w:trHeight w:val="183"/>
        </w:trPr>
        <w:tc>
          <w:tcPr>
            <w:tcW w:w="6640" w:type="dxa"/>
            <w:vAlign w:val="bottom"/>
          </w:tcPr>
          <w:p>
            <w:pPr>
              <w:spacing w:after="0" w:line="176" w:lineRule="exact"/>
              <w:rPr>
                <w:sz w:val="20"/>
                <w:szCs w:val="20"/>
                <w:color w:val="auto"/>
              </w:rPr>
            </w:pPr>
            <w:r>
              <w:rPr>
                <w:rFonts w:ascii="Arial" w:cs="Arial" w:eastAsia="Arial" w:hAnsi="Arial"/>
                <w:sz w:val="18"/>
                <w:szCs w:val="18"/>
                <w:color w:val="auto"/>
              </w:rPr>
              <w:t>Awards excluded from diluted earnings (loss) per share</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674,676</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516,010</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276,681</w:t>
            </w:r>
          </w:p>
        </w:tc>
      </w:tr>
    </w:tbl>
    <w:p>
      <w:pPr>
        <w:spacing w:after="0" w:line="16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Outstanding awards of 674,676 for the year ended December 31, 2020, and 516,010 for the year ended December 31, 2019, were excluded from the computation of dilutive shares, as they were anti-dilutive because of the net loss from continuing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auto"/>
        </w:rPr>
        <w:t>NOTE 5 – REAL ESTATE TRANSACTIONS</w:t>
      </w:r>
    </w:p>
    <w:p>
      <w:pPr>
        <w:spacing w:after="0" w:line="17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Discussed below are the real estate transactions affecting the presentation in our consolidated balance sheets as of December 31, 2020 and 2019, and the profitability determination in our consolidated statements of income for the three years ended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Landholding Held for Sale during the Reporting Period</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As of December 31, 2020, we classified our landholdings at Coachella, California, and Manukau, New Zealand as held for sale. Both landholdings are part of our Real Estate operating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Coachella, California</w:t>
      </w:r>
    </w:p>
    <w:p>
      <w:pPr>
        <w:spacing w:after="0" w:line="17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Shadow View Land and Farming LLC, a 50% non-controlling interest of which we are the Manager, owns certain non-income producing land at Coachella, California. As detailed at </w:t>
      </w:r>
      <w:r>
        <w:rPr>
          <w:rFonts w:ascii="Arial" w:cs="Arial" w:eastAsia="Arial" w:hAnsi="Arial"/>
          <w:sz w:val="18"/>
          <w:szCs w:val="18"/>
          <w:i w:val="1"/>
          <w:iCs w:val="1"/>
          <w:color w:val="auto"/>
        </w:rPr>
        <w:t>Note 21 – Related Parties</w:t>
      </w:r>
      <w:r>
        <w:rPr>
          <w:rFonts w:ascii="Arial" w:cs="Arial" w:eastAsia="Arial" w:hAnsi="Arial"/>
          <w:sz w:val="18"/>
          <w:szCs w:val="18"/>
          <w:color w:val="auto"/>
        </w:rPr>
        <w:t>, the Audit and Conflicts Committee of the Board of Directors is charged with overseeing our Management Shadow View Land and Farming.</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2020, we classified the non-income producing land at Coachella as held for sale as part of our strategy to monetize certain real estate assets in order to provide the necessary cash to support our Company during the period affected by COVID-19. This disposal unit, which consists of land and certain improvements to that land, was transferred to Land Held for Sale at its book value of $4.5 million, being the lower of cost and fair value less costs to sell.</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No adjustments to the book value of this asset were required. The sale of this land was completed on March 5, 2021 for $11.0 million. As a 50% member in Shadow View Land &amp; Farming LLC, the Company received 50% of the sale proceeds. These actions were approved by Shadow View Land and Farming LLC and the Audit and Conflicts Committee of our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Manukau, New Zealand</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December 2020, we classified our non-income producing land at Manukau, New Zealand, as held for sale as part of our strategy to monetize real estate certain assets in order provide the necessary cash to support our Company during the period affected by COVID-19. This disposal unit, which consists of land and certain improvements to that land, was transferred to Land Held for Sale at its book value of $13.4 million, being the lower of cost and fair value less costs to sell. No adjustments to the book value of this asset were required. The sale of this land was completed on March 4, 2021, for NZ$77.2 million, of which NZ$1.0 million was received on February 23, 2021 and the balance of funds was received on March 4,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Asset Groups Held for Sale after the Reporting Period</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After December 31, 2020, but before these financial statements were issued, we classified our Auburn Redyard and Royal George Theatre properties, and their associated asset groups, as held for sale. The anticipated sales are expected to be concluded in or around the second quarter of 2021 and are consistent with our strategy to provide the Company with adequate cash flow during the period affected by COVID-19.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Option to Acquire Ground Lessee’s Interest in Ground Lease and Improvements Constituting the Village East Cinema</w:t>
      </w:r>
    </w:p>
    <w:p>
      <w:pPr>
        <w:spacing w:after="0" w:line="171" w:lineRule="exact"/>
        <w:rPr>
          <w:sz w:val="20"/>
          <w:szCs w:val="20"/>
          <w:color w:val="auto"/>
        </w:rPr>
      </w:pPr>
    </w:p>
    <w:p>
      <w:pPr>
        <w:jc w:val="both"/>
        <w:ind w:right="360"/>
        <w:spacing w:after="0" w:line="235" w:lineRule="auto"/>
        <w:rPr>
          <w:sz w:val="20"/>
          <w:szCs w:val="20"/>
          <w:color w:val="auto"/>
        </w:rPr>
      </w:pPr>
      <w:r>
        <w:rPr>
          <w:rFonts w:ascii="Arial" w:cs="Arial" w:eastAsia="Arial" w:hAnsi="Arial"/>
          <w:sz w:val="18"/>
          <w:szCs w:val="18"/>
          <w:color w:val="auto"/>
        </w:rPr>
        <w:t>On August 28, 2019, we exercised our option to acquire the ground lessee’s interest in the 13-year ground lease underlying and the real property assets constituent with our Village East Cinema in Manhattan. The purchase price under the option is $5.9 million. It was initially agreed that the transaction would close on or about May 31, 2021.</w:t>
      </w:r>
    </w:p>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On March 12, 2020, we amended the original agreement to (i) extend the term of the Citadel Cinemas, Inc. lease with Sutton Hill to January 31, 2022 and extend the put option to December 4, 2021 and (ii) at SHC’s request, in connection with our deferral of the closing date for our acquisition of SHC’s interest in the Village East Cinema, the Company reinstated and extended until December 4, 2021 SHC’s right to put that interest to us. That put right had previously expired on December 4, 2019. We were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 On March 29, 2021, we extended this closing date to January 1, 2023.</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auto"/>
        </w:rPr>
        <w:t>NOTE 6 – PROPERTIES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Property,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associated with our operating activities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3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54"/>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12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Land</w:t>
            </w:r>
          </w:p>
        </w:tc>
        <w:tc>
          <w:tcPr>
            <w:tcW w:w="2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82,286</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75,663</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Building and improvements</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253,419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149,852</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59,054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56,912</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Fixtures and equipment</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201,518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186,949</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9,285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183"/>
        </w:trPr>
        <w:tc>
          <w:tcPr>
            <w:tcW w:w="836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Total cost</w:t>
            </w: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605,562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474,860</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accumulated depreciation</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(252,437)</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(216,722)</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Operating Properties, net</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353,125</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258,138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Of our total operating properties as disclosed above, the gross and carrying amounts of the portion of our properties currently on lease or held for leasing as of December 31, 2020 and 2019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vMerge w:val="restart"/>
          </w:tcPr>
          <w:p>
            <w:pPr>
              <w:jc w:val="right"/>
              <w:ind w:right="6774"/>
              <w:spacing w:after="0"/>
              <w:rPr>
                <w:sz w:val="20"/>
                <w:szCs w:val="20"/>
                <w:color w:val="auto"/>
              </w:rPr>
            </w:pPr>
            <w:r>
              <w:rPr>
                <w:rFonts w:ascii="Arial" w:cs="Arial" w:eastAsia="Arial" w:hAnsi="Arial"/>
                <w:sz w:val="14"/>
                <w:szCs w:val="14"/>
                <w:i w:val="1"/>
                <w:iCs w:val="1"/>
                <w:color w:val="auto"/>
                <w:w w:val="95"/>
              </w:rPr>
              <w:t>(Dollars in thousands)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7"/>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5"/>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Building and improvements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Gross balance</w:t>
            </w:r>
          </w:p>
        </w:tc>
        <w:tc>
          <w:tcPr>
            <w:tcW w:w="48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153,643</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67,766</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340"/>
              <w:spacing w:after="0" w:line="189" w:lineRule="exact"/>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(26,107)</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(20,220)</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jc w:val="right"/>
              <w:ind w:right="6794"/>
              <w:spacing w:after="0" w:line="182" w:lineRule="exact"/>
              <w:rPr>
                <w:sz w:val="20"/>
                <w:szCs w:val="20"/>
                <w:color w:val="auto"/>
              </w:rPr>
            </w:pPr>
            <w:r>
              <w:rPr>
                <w:rFonts w:ascii="Arial" w:cs="Arial" w:eastAsia="Arial" w:hAnsi="Arial"/>
                <w:sz w:val="18"/>
                <w:szCs w:val="18"/>
                <w:b w:val="1"/>
                <w:bCs w:val="1"/>
                <w:color w:val="auto"/>
                <w:w w:val="96"/>
              </w:rPr>
              <w:t>Net Book Value</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127,536</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47,546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Depreciation expense for operating property was $21.5 million, $22.0 million, and $19.5 million for the year ended December 31, 2020,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Development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development property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4"/>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5,936</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Building</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Construction-in-progress (including capitalized interest)</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5,634</w:t>
            </w:r>
          </w:p>
        </w:tc>
        <w:tc>
          <w:tcPr>
            <w:tcW w:w="1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87,678</w:t>
            </w:r>
          </w:p>
        </w:tc>
        <w:tc>
          <w:tcPr>
            <w:tcW w:w="0" w:type="dxa"/>
            <w:vAlign w:val="bottom"/>
          </w:tcPr>
          <w:p>
            <w:pPr>
              <w:spacing w:after="0"/>
              <w:rPr>
                <w:sz w:val="1"/>
                <w:szCs w:val="1"/>
                <w:color w:val="auto"/>
              </w:rPr>
            </w:pPr>
          </w:p>
        </w:tc>
      </w:tr>
      <w:tr>
        <w:trPr>
          <w:trHeight w:val="190"/>
        </w:trPr>
        <w:tc>
          <w:tcPr>
            <w:tcW w:w="8180" w:type="dxa"/>
            <w:vAlign w:val="bottom"/>
          </w:tcPr>
          <w:p>
            <w:pPr>
              <w:spacing w:after="0" w:line="182" w:lineRule="exact"/>
              <w:rPr>
                <w:sz w:val="20"/>
                <w:szCs w:val="20"/>
                <w:color w:val="auto"/>
              </w:rPr>
            </w:pPr>
            <w:r>
              <w:rPr>
                <w:rFonts w:ascii="Arial" w:cs="Arial" w:eastAsia="Arial" w:hAnsi="Arial"/>
                <w:sz w:val="18"/>
                <w:szCs w:val="18"/>
                <w:b w:val="1"/>
                <w:bCs w:val="1"/>
                <w:color w:val="auto"/>
              </w:rPr>
              <w:t>Investment and development property, net</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11,570</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114,024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 the year ended December 31, 2020 and 2019, we capitalized interest charges of $2.4 million and $6.2 million pertaining to our on-going development projects.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INVESTMENTS IN UNCONSOLIDATED JOINT VENTURES</w:t>
      </w:r>
    </w:p>
    <w:p>
      <w:pPr>
        <w:spacing w:after="0" w:line="17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Our investments in unconsolidated joint ventures are accounted for under the equity method of accounting. The table below summarizes our active investment holdings in two unconsolidated joint ventures: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Interest</w:t>
            </w: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00" w:type="dxa"/>
            <w:vAlign w:val="bottom"/>
            <w:vMerge w:val="continue"/>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57"/>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3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Mt. Gravatt</w:t>
            </w:r>
          </w:p>
        </w:tc>
        <w:tc>
          <w:tcPr>
            <w:tcW w:w="3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33.3%</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3,960</w:t>
            </w: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Rialto Cinemas</w:t>
            </w:r>
          </w:p>
        </w:tc>
        <w:tc>
          <w:tcPr>
            <w:tcW w:w="4660" w:type="dxa"/>
            <w:vAlign w:val="bottom"/>
            <w:tcBorders>
              <w:bottom w:val="single" w:sz="8" w:color="CCEEFF"/>
            </w:tcBorders>
            <w:gridSpan w:val="3"/>
          </w:tcPr>
          <w:p>
            <w:pPr>
              <w:jc w:val="right"/>
              <w:spacing w:after="0" w:line="189" w:lineRule="exact"/>
              <w:rPr>
                <w:sz w:val="20"/>
                <w:szCs w:val="20"/>
                <w:color w:val="auto"/>
              </w:rPr>
            </w:pPr>
            <w:r>
              <w:rPr>
                <w:rFonts w:ascii="Arial" w:cs="Arial" w:eastAsia="Arial" w:hAnsi="Arial"/>
                <w:sz w:val="18"/>
                <w:szCs w:val="18"/>
                <w:color w:val="auto"/>
              </w:rPr>
              <w:t>50.0%</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1,065</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Joint Ventures</w:t>
            </w:r>
          </w:p>
        </w:tc>
        <w:tc>
          <w:tcPr>
            <w:tcW w:w="3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5,025</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5,069</w:t>
            </w:r>
          </w:p>
        </w:tc>
        <w:tc>
          <w:tcPr>
            <w:tcW w:w="0" w:type="dxa"/>
            <w:vAlign w:val="bottom"/>
          </w:tcPr>
          <w:p>
            <w:pPr>
              <w:spacing w:after="0"/>
              <w:rPr>
                <w:sz w:val="1"/>
                <w:szCs w:val="1"/>
                <w:color w:val="auto"/>
              </w:rPr>
            </w:pPr>
          </w:p>
        </w:tc>
      </w:tr>
      <w:tr>
        <w:trPr>
          <w:trHeight w:val="379"/>
        </w:trPr>
        <w:tc>
          <w:tcPr>
            <w:tcW w:w="3500" w:type="dxa"/>
            <w:vAlign w:val="bottom"/>
          </w:tcPr>
          <w:p>
            <w:pPr>
              <w:spacing w:after="0"/>
              <w:rPr>
                <w:sz w:val="24"/>
                <w:szCs w:val="24"/>
                <w:color w:val="auto"/>
              </w:rPr>
            </w:pPr>
          </w:p>
        </w:tc>
        <w:tc>
          <w:tcPr>
            <w:tcW w:w="3140" w:type="dxa"/>
            <w:vAlign w:val="bottom"/>
          </w:tcPr>
          <w:p>
            <w:pPr>
              <w:jc w:val="right"/>
              <w:ind w:right="730"/>
              <w:spacing w:after="0"/>
              <w:rPr>
                <w:sz w:val="20"/>
                <w:szCs w:val="20"/>
                <w:color w:val="auto"/>
              </w:rPr>
            </w:pPr>
            <w:r>
              <w:rPr>
                <w:rFonts w:ascii="Arial" w:cs="Arial" w:eastAsia="Arial" w:hAnsi="Arial"/>
                <w:sz w:val="18"/>
                <w:szCs w:val="18"/>
                <w:color w:val="auto"/>
              </w:rPr>
              <w:t>- 95 -</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5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Our recorded share of equity earnings (losses) from our investments in unconsolidated joint ventures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Mt. Gravatt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w w:val="99"/>
              </w:rPr>
              <w:t>674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690</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Rialto Cinemas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w:t>
            </w:r>
          </w:p>
        </w:tc>
        <w:tc>
          <w:tcPr>
            <w:tcW w:w="320" w:type="dxa"/>
            <w:vAlign w:val="bottom"/>
          </w:tcPr>
          <w:p>
            <w:pPr>
              <w:spacing w:after="0"/>
              <w:rPr>
                <w:sz w:val="17"/>
                <w:szCs w:val="17"/>
                <w:color w:val="auto"/>
              </w:rPr>
            </w:pPr>
          </w:p>
        </w:tc>
        <w:tc>
          <w:tcPr>
            <w:tcW w:w="1040" w:type="dxa"/>
            <w:vAlign w:val="bottom"/>
          </w:tcPr>
          <w:p>
            <w:pPr>
              <w:ind w:left="720"/>
              <w:spacing w:after="0" w:line="202" w:lineRule="exact"/>
              <w:rPr>
                <w:sz w:val="20"/>
                <w:szCs w:val="20"/>
                <w:color w:val="auto"/>
              </w:rPr>
            </w:pPr>
            <w:r>
              <w:rPr>
                <w:rFonts w:ascii="Arial" w:cs="Arial" w:eastAsia="Arial" w:hAnsi="Arial"/>
                <w:sz w:val="18"/>
                <w:szCs w:val="18"/>
                <w:color w:val="auto"/>
                <w:w w:val="99"/>
              </w:rPr>
              <w:t>118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r>
      <w:tr>
        <w:trPr>
          <w:trHeight w:val="203"/>
        </w:trPr>
        <w:tc>
          <w:tcPr>
            <w:tcW w:w="66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equity earnings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w w:val="99"/>
              </w:rPr>
              <w:t>792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974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 Gravatt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own an undivided 33.3% interest in Mt. Gravatt, an unincorporated joint venture that owns and operates a sixteen-screen multiplex cinema in Australia.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Rialto Cinemas</w:t>
      </w:r>
    </w:p>
    <w:p>
      <w:pPr>
        <w:spacing w:after="0" w:line="17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own an undivided 50.0% interest in the assets and liabilities of the Rialto Entertainment joint venture that owns and operates two (2) movie theaters, with 13 screens in New Zealand.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goodwill by business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Cinema</w:t>
            </w:r>
          </w:p>
        </w:tc>
        <w:tc>
          <w:tcPr>
            <w:tcW w:w="200" w:type="dxa"/>
            <w:vAlign w:val="bottom"/>
          </w:tcPr>
          <w:p>
            <w:pPr>
              <w:spacing w:after="0"/>
              <w:rPr>
                <w:sz w:val="15"/>
                <w:szCs w:val="15"/>
                <w:color w:val="auto"/>
              </w:rPr>
            </w:pP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16"/>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19,445</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Change in goodwill due to purchase of business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7,126</w:t>
            </w: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9"/>
        </w:trPr>
        <w:tc>
          <w:tcPr>
            <w:tcW w:w="664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21,224</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26,448</w:t>
            </w:r>
          </w:p>
        </w:tc>
      </w:tr>
      <w:tr>
        <w:trPr>
          <w:trHeight w:val="22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Change in goodwill due to completion of prior period purchase price accounting</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r>
      <w:tr>
        <w:trPr>
          <w:trHeight w:val="203"/>
        </w:trPr>
        <w:tc>
          <w:tcPr>
            <w:tcW w:w="6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22,892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5,224</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28,116</w:t>
            </w:r>
          </w:p>
        </w:tc>
      </w:tr>
    </w:tbl>
    <w:p>
      <w:pPr>
        <w:spacing w:after="0" w:line="16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 xml:space="preserve">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2020. The assessment results, as described at </w:t>
      </w:r>
      <w:r>
        <w:rPr>
          <w:rFonts w:ascii="Arial" w:cs="Arial" w:eastAsia="Arial" w:hAnsi="Arial"/>
          <w:sz w:val="17"/>
          <w:szCs w:val="17"/>
          <w:i w:val="1"/>
          <w:iCs w:val="1"/>
          <w:color w:val="auto"/>
        </w:rPr>
        <w:t>Note 3 – Impact of COVID-19 Pandemic and Liquidity</w:t>
      </w:r>
      <w:r>
        <w:rPr>
          <w:rFonts w:ascii="Arial" w:cs="Arial" w:eastAsia="Arial" w:hAnsi="Arial"/>
          <w:sz w:val="17"/>
          <w:szCs w:val="17"/>
          <w:color w:val="auto"/>
        </w:rPr>
        <w:t>, indicated that there is no impairment to our goodwill as of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intangible assets other than goodwill: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Beneficial</w:t>
            </w:r>
          </w:p>
        </w:tc>
        <w:tc>
          <w:tcPr>
            <w:tcW w:w="28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Intangible</w:t>
            </w:r>
          </w:p>
        </w:tc>
        <w:tc>
          <w:tcPr>
            <w:tcW w:w="320" w:type="dxa"/>
            <w:vAlign w:val="bottom"/>
          </w:tcPr>
          <w:p>
            <w:pPr>
              <w:spacing w:after="0"/>
              <w:rPr>
                <w:sz w:val="12"/>
                <w:szCs w:val="12"/>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Assets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26,273</w:t>
            </w: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(10,375)</w:t>
            </w: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(7,377)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(4,533)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(22,285)</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impairment charges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intangible assets other than goodwill</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2,076</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1,681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214</w:t>
            </w: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3,971</w:t>
            </w:r>
          </w:p>
        </w:tc>
        <w:tc>
          <w:tcPr>
            <w:tcW w:w="0" w:type="dxa"/>
            <w:vAlign w:val="bottom"/>
          </w:tcPr>
          <w:p>
            <w:pPr>
              <w:spacing w:after="0"/>
              <w:rPr>
                <w:sz w:val="1"/>
                <w:szCs w:val="1"/>
                <w:color w:val="auto"/>
              </w:rPr>
            </w:pPr>
          </w:p>
        </w:tc>
      </w:tr>
      <w:tr>
        <w:trPr>
          <w:trHeight w:val="399"/>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Beneficial</w:t>
            </w:r>
          </w:p>
        </w:tc>
        <w:tc>
          <w:tcPr>
            <w:tcW w:w="280" w:type="dxa"/>
            <w:vAlign w:val="bottom"/>
          </w:tcPr>
          <w:p>
            <w:pPr>
              <w:spacing w:after="0"/>
              <w:rPr>
                <w:sz w:val="10"/>
                <w:szCs w:val="10"/>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Intangible</w:t>
            </w:r>
          </w:p>
        </w:tc>
        <w:tc>
          <w:tcPr>
            <w:tcW w:w="320" w:type="dxa"/>
            <w:vAlign w:val="bottom"/>
          </w:tcPr>
          <w:p>
            <w:pPr>
              <w:spacing w:after="0"/>
              <w:rPr>
                <w:sz w:val="12"/>
                <w:szCs w:val="12"/>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Leases</w:t>
            </w:r>
          </w:p>
        </w:tc>
        <w:tc>
          <w:tcPr>
            <w:tcW w:w="28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Assets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Gross carrying amount</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15,048</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7,258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3,145</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6"/>
                <w:szCs w:val="16"/>
                <w:color w:val="auto"/>
              </w:rPr>
            </w:pPr>
          </w:p>
        </w:tc>
        <w:tc>
          <w:tcPr>
            <w:tcW w:w="12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(14,496)</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(5,449)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(1,186)</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(21,131)</w:t>
            </w:r>
          </w:p>
        </w:tc>
        <w:tc>
          <w:tcPr>
            <w:tcW w:w="0" w:type="dxa"/>
            <w:vAlign w:val="bottom"/>
          </w:tcPr>
          <w:p>
            <w:pPr>
              <w:spacing w:after="0"/>
              <w:rPr>
                <w:sz w:val="1"/>
                <w:szCs w:val="1"/>
                <w:color w:val="auto"/>
              </w:rPr>
            </w:pPr>
          </w:p>
        </w:tc>
      </w:tr>
      <w:tr>
        <w:trPr>
          <w:trHeight w:val="189"/>
        </w:trPr>
        <w:tc>
          <w:tcPr>
            <w:tcW w:w="53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intangible assets other than goodwill</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552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1,809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1,959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4,320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Beneficial leases obtained from business combinations relating to our arrangements as lessee were amortized over the life of the lease up to 30 years until January 1, 2019. Under ASC 842 they are now incorporated into the relevant right-of-use asset. The remaining balance of beneficial leases relates to our operations as lessor. Trade names are amortized using an accelerated amortization method over an estimated useful life of 30 years, and other intangible assets over their estimated useful life of up to 30 years (except for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transferrable liquor licenses, which are indefinite-lived assets, with a balance of $490,000 and $490,000 as of December 31,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2020, 2019, and 2018, our amortization expense was $0.9 million, $0.7 million, and $1.9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the estimated amortization expense for our amortizable intangibles, in the five succeeding years and thereafter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color w:val="auto"/>
                <w:w w:val="92"/>
              </w:rPr>
              <w:t>Estimated</w:t>
            </w:r>
          </w:p>
        </w:tc>
      </w:tr>
      <w:tr>
        <w:trPr>
          <w:trHeight w:val="149"/>
        </w:trPr>
        <w:tc>
          <w:tcPr>
            <w:tcW w:w="2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6"/>
              </w:rPr>
              <w:t>Future</w:t>
            </w:r>
          </w:p>
        </w:tc>
      </w:tr>
      <w:tr>
        <w:trPr>
          <w:trHeight w:val="148"/>
        </w:trPr>
        <w:tc>
          <w:tcPr>
            <w:tcW w:w="2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5"/>
              </w:rPr>
              <w:t>Amortization</w:t>
            </w:r>
          </w:p>
        </w:tc>
      </w:tr>
      <w:tr>
        <w:trPr>
          <w:trHeight w:val="178"/>
        </w:trPr>
        <w:tc>
          <w:tcPr>
            <w:tcW w:w="6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6"/>
              </w:rPr>
              <w:t>Expense</w:t>
            </w:r>
          </w:p>
        </w:tc>
      </w:tr>
      <w:tr>
        <w:trPr>
          <w:trHeight w:val="189"/>
        </w:trPr>
        <w:tc>
          <w:tcPr>
            <w:tcW w:w="2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7"/>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990</w:t>
            </w:r>
          </w:p>
        </w:tc>
      </w:tr>
      <w:tr>
        <w:trPr>
          <w:trHeight w:val="189"/>
        </w:trPr>
        <w:tc>
          <w:tcPr>
            <w:tcW w:w="228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1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902</w:t>
            </w:r>
          </w:p>
        </w:tc>
      </w:tr>
      <w:tr>
        <w:trPr>
          <w:trHeight w:val="189"/>
        </w:trPr>
        <w:tc>
          <w:tcPr>
            <w:tcW w:w="2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2023</w:t>
            </w:r>
          </w:p>
        </w:tc>
        <w:tc>
          <w:tcPr>
            <w:tcW w:w="118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313</w:t>
            </w:r>
          </w:p>
        </w:tc>
      </w:tr>
      <w:tr>
        <w:trPr>
          <w:trHeight w:val="189"/>
        </w:trPr>
        <w:tc>
          <w:tcPr>
            <w:tcW w:w="228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1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224</w:t>
            </w:r>
          </w:p>
        </w:tc>
      </w:tr>
      <w:tr>
        <w:trPr>
          <w:trHeight w:val="189"/>
        </w:trPr>
        <w:tc>
          <w:tcPr>
            <w:tcW w:w="2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2025</w:t>
            </w:r>
          </w:p>
        </w:tc>
        <w:tc>
          <w:tcPr>
            <w:tcW w:w="118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w:t>
            </w:r>
          </w:p>
        </w:tc>
      </w:tr>
      <w:tr>
        <w:trPr>
          <w:trHeight w:val="189"/>
        </w:trPr>
        <w:tc>
          <w:tcPr>
            <w:tcW w:w="664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908</w:t>
            </w:r>
          </w:p>
        </w:tc>
      </w:tr>
      <w:tr>
        <w:trPr>
          <w:trHeight w:val="203"/>
        </w:trPr>
        <w:tc>
          <w:tcPr>
            <w:tcW w:w="6640" w:type="dxa"/>
            <w:vAlign w:val="bottom"/>
            <w:tcBorders>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future amortization expense</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27"/>
              <w:spacing w:after="0" w:line="182"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3,481</w:t>
            </w:r>
          </w:p>
        </w:tc>
      </w:tr>
      <w:tr>
        <w:trPr>
          <w:trHeight w:val="338"/>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NOTE 9 – PREPAID AND OTHER ASSETS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8"/>
        </w:trPr>
        <w:tc>
          <w:tcPr>
            <w:tcW w:w="6640" w:type="dxa"/>
            <w:vAlign w:val="bottom"/>
            <w:gridSpan w:val="3"/>
          </w:tcPr>
          <w:p>
            <w:pPr>
              <w:spacing w:after="0"/>
              <w:rPr>
                <w:sz w:val="20"/>
                <w:szCs w:val="20"/>
                <w:color w:val="auto"/>
              </w:rPr>
            </w:pPr>
            <w:r>
              <w:rPr>
                <w:rFonts w:ascii="Arial" w:cs="Arial" w:eastAsia="Arial" w:hAnsi="Arial"/>
                <w:sz w:val="18"/>
                <w:szCs w:val="18"/>
                <w:color w:val="auto"/>
              </w:rPr>
              <w:t>Prepaid and other assets are summarized as follows: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5"/>
        </w:trPr>
        <w:tc>
          <w:tcPr>
            <w:tcW w:w="2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933"/>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6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2019</w:t>
            </w: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Prepaid and other current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29"/>
        </w:trPr>
        <w:tc>
          <w:tcPr>
            <w:tcW w:w="6640" w:type="dxa"/>
            <w:vAlign w:val="bottom"/>
            <w:gridSpan w:val="3"/>
          </w:tcPr>
          <w:p>
            <w:pPr>
              <w:ind w:left="120"/>
              <w:spacing w:after="0"/>
              <w:rPr>
                <w:sz w:val="20"/>
                <w:szCs w:val="20"/>
                <w:color w:val="auto"/>
              </w:rPr>
            </w:pPr>
            <w:r>
              <w:rPr>
                <w:rFonts w:ascii="Arial" w:cs="Arial" w:eastAsia="Arial" w:hAnsi="Arial"/>
                <w:sz w:val="18"/>
                <w:szCs w:val="18"/>
                <w:color w:val="auto"/>
              </w:rPr>
              <w:t>Prepaid taxes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30"/>
        </w:trPr>
        <w:tc>
          <w:tcPr>
            <w:tcW w:w="6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29"/>
        </w:trPr>
        <w:tc>
          <w:tcPr>
            <w:tcW w:w="6640" w:type="dxa"/>
            <w:vAlign w:val="bottom"/>
            <w:gridSpan w:val="3"/>
          </w:tcPr>
          <w:p>
            <w:pPr>
              <w:ind w:left="120"/>
              <w:spacing w:after="0"/>
              <w:rPr>
                <w:sz w:val="20"/>
                <w:szCs w:val="20"/>
                <w:color w:val="auto"/>
              </w:rPr>
            </w:pPr>
            <w:r>
              <w:rPr>
                <w:rFonts w:ascii="Arial" w:cs="Arial" w:eastAsia="Arial" w:hAnsi="Arial"/>
                <w:sz w:val="18"/>
                <w:szCs w:val="18"/>
                <w:color w:val="auto"/>
              </w:rPr>
              <w:t>Prepaid rent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30"/>
        </w:trPr>
        <w:tc>
          <w:tcPr>
            <w:tcW w:w="6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6640" w:type="dxa"/>
            <w:vAlign w:val="bottom"/>
            <w:gridSpan w:val="3"/>
          </w:tcPr>
          <w:p>
            <w:pPr>
              <w:ind w:left="1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3"/>
        </w:trPr>
        <w:tc>
          <w:tcPr>
            <w:tcW w:w="6640" w:type="dxa"/>
            <w:vAlign w:val="bottom"/>
            <w:tcBorders>
              <w:bottom w:val="single" w:sz="8" w:color="CCEEFF"/>
            </w:tcBorders>
            <w:gridSpan w:val="3"/>
          </w:tcPr>
          <w:p>
            <w:pPr>
              <w:ind w:left="220"/>
              <w:spacing w:after="0" w:line="196" w:lineRule="exact"/>
              <w:rPr>
                <w:sz w:val="20"/>
                <w:szCs w:val="20"/>
                <w:color w:val="auto"/>
              </w:rPr>
            </w:pPr>
            <w:r>
              <w:rPr>
                <w:rFonts w:ascii="Arial" w:cs="Arial" w:eastAsia="Arial" w:hAnsi="Arial"/>
                <w:sz w:val="18"/>
                <w:szCs w:val="18"/>
                <w:b w:val="1"/>
                <w:bCs w:val="1"/>
                <w:color w:val="auto"/>
              </w:rPr>
              <w:t>Total prepaid and other current assets</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8,414</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gridSpan w:val="2"/>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6,105</w:t>
            </w: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640" w:type="dxa"/>
            <w:vAlign w:val="bottom"/>
            <w:gridSpan w:val="3"/>
          </w:tcPr>
          <w:p>
            <w:pPr>
              <w:ind w:left="120"/>
              <w:spacing w:after="0"/>
              <w:rPr>
                <w:sz w:val="20"/>
                <w:szCs w:val="20"/>
                <w:color w:val="auto"/>
              </w:rPr>
            </w:pPr>
            <w:r>
              <w:rPr>
                <w:rFonts w:ascii="Arial" w:cs="Arial" w:eastAsia="Arial" w:hAnsi="Arial"/>
                <w:sz w:val="18"/>
                <w:szCs w:val="18"/>
                <w:color w:val="auto"/>
              </w:rPr>
              <w:t>Other non-cinema and non-rental real estate assets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right"/>
              <w:ind w:right="147"/>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19"/>
                <w:szCs w:val="19"/>
                <w:color w:val="auto"/>
              </w:rPr>
            </w:pPr>
          </w:p>
        </w:tc>
        <w:tc>
          <w:tcPr>
            <w:tcW w:w="360" w:type="dxa"/>
            <w:vAlign w:val="bottom"/>
            <w:gridSpan w:val="5"/>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1,134</w:t>
            </w:r>
          </w:p>
        </w:tc>
      </w:tr>
      <w:tr>
        <w:trPr>
          <w:trHeight w:val="230"/>
        </w:trPr>
        <w:tc>
          <w:tcPr>
            <w:tcW w:w="6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 in Reading International Trust I</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6640" w:type="dxa"/>
            <w:vAlign w:val="bottom"/>
            <w:gridSpan w:val="3"/>
          </w:tcPr>
          <w:p>
            <w:pPr>
              <w:ind w:left="120"/>
              <w:spacing w:after="0"/>
              <w:rPr>
                <w:sz w:val="20"/>
                <w:szCs w:val="20"/>
                <w:color w:val="auto"/>
              </w:rPr>
            </w:pPr>
            <w:r>
              <w:rPr>
                <w:rFonts w:ascii="Arial" w:cs="Arial" w:eastAsia="Arial" w:hAnsi="Arial"/>
                <w:sz w:val="18"/>
                <w:szCs w:val="18"/>
                <w:color w:val="auto"/>
              </w:rPr>
              <w:t>Straight-line rent asset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4,689</w:t>
            </w:r>
          </w:p>
        </w:tc>
      </w:tr>
      <w:tr>
        <w:trPr>
          <w:trHeight w:val="230"/>
        </w:trPr>
        <w:tc>
          <w:tcPr>
            <w:tcW w:w="6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Long-term deposits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3"/>
        </w:trPr>
        <w:tc>
          <w:tcPr>
            <w:tcW w:w="6640" w:type="dxa"/>
            <w:vAlign w:val="bottom"/>
            <w:gridSpan w:val="3"/>
          </w:tcPr>
          <w:p>
            <w:pPr>
              <w:ind w:left="220"/>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8,030</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6,668</w:t>
            </w:r>
          </w:p>
        </w:tc>
      </w:tr>
      <w:tr>
        <w:trPr>
          <w:trHeight w:val="351"/>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NOTE 10 - INCOME TAXES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8"/>
        </w:trPr>
        <w:tc>
          <w:tcPr>
            <w:tcW w:w="6640" w:type="dxa"/>
            <w:vAlign w:val="bottom"/>
            <w:gridSpan w:val="3"/>
          </w:tcPr>
          <w:p>
            <w:pPr>
              <w:spacing w:after="0"/>
              <w:rPr>
                <w:sz w:val="20"/>
                <w:szCs w:val="20"/>
                <w:color w:val="auto"/>
              </w:rPr>
            </w:pPr>
            <w:r>
              <w:rPr>
                <w:rFonts w:ascii="Arial" w:cs="Arial" w:eastAsia="Arial" w:hAnsi="Arial"/>
                <w:sz w:val="18"/>
                <w:szCs w:val="18"/>
                <w:color w:val="auto"/>
              </w:rPr>
              <w:t>Income before income taxes includes the following:</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85"/>
        </w:trPr>
        <w:tc>
          <w:tcPr>
            <w:tcW w:w="6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r>
      <w:tr>
        <w:trPr>
          <w:trHeight w:val="189"/>
        </w:trPr>
        <w:tc>
          <w:tcPr>
            <w:tcW w:w="6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(56,709)</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(11,539)</w:t>
            </w:r>
          </w:p>
        </w:tc>
        <w:tc>
          <w:tcPr>
            <w:tcW w:w="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c>
          <w:tcPr>
            <w:tcW w:w="220" w:type="dxa"/>
            <w:vAlign w:val="bottom"/>
            <w:gridSpan w:val="3"/>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(3,493)</w:t>
            </w:r>
          </w:p>
        </w:tc>
      </w:tr>
      <w:tr>
        <w:trPr>
          <w:trHeight w:val="196"/>
        </w:trPr>
        <w:tc>
          <w:tcPr>
            <w:tcW w:w="664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Foreign</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(13,666)</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13,081</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19,983</w:t>
            </w:r>
          </w:p>
        </w:tc>
      </w:tr>
      <w:tr>
        <w:trPr>
          <w:trHeight w:val="144"/>
        </w:trPr>
        <w:tc>
          <w:tcPr>
            <w:tcW w:w="6640" w:type="dxa"/>
            <w:vAlign w:val="bottom"/>
            <w:gridSpan w:val="3"/>
            <w:shd w:val="clear" w:color="auto" w:fill="CCEEFF"/>
          </w:tcPr>
          <w:p>
            <w:pPr>
              <w:spacing w:after="0" w:line="144" w:lineRule="exact"/>
              <w:rPr>
                <w:sz w:val="20"/>
                <w:szCs w:val="20"/>
                <w:color w:val="auto"/>
              </w:rPr>
            </w:pPr>
            <w:r>
              <w:rPr>
                <w:rFonts w:ascii="Arial" w:cs="Arial" w:eastAsia="Arial" w:hAnsi="Arial"/>
                <w:sz w:val="16"/>
                <w:szCs w:val="16"/>
                <w:b w:val="1"/>
                <w:bCs w:val="1"/>
                <w:color w:val="auto"/>
              </w:rPr>
              <w:t>Income (loss) before income taxes and equity earnings of unconsolidated joint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21"/>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ventures</w:t>
            </w:r>
          </w:p>
        </w:tc>
        <w:tc>
          <w:tcPr>
            <w:tcW w:w="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w:t>
            </w:r>
          </w:p>
        </w:tc>
      </w:tr>
      <w:tr>
        <w:trPr>
          <w:trHeight w:val="189"/>
        </w:trPr>
        <w:tc>
          <w:tcPr>
            <w:tcW w:w="664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rPr>
              <w:t>Equity earnings of unconsolidated joint ventures</w:t>
            </w: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66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40" w:type="dxa"/>
            <w:vAlign w:val="bottom"/>
            <w:tcBorders>
              <w:bottom w:val="single" w:sz="8" w:color="CCEEFF"/>
            </w:tcBorders>
            <w:gridSpan w:val="3"/>
          </w:tcPr>
          <w:p>
            <w:pPr>
              <w:ind w:left="120"/>
              <w:spacing w:after="0" w:line="189" w:lineRule="exact"/>
              <w:rPr>
                <w:sz w:val="20"/>
                <w:szCs w:val="20"/>
                <w:color w:val="auto"/>
              </w:rPr>
            </w:pPr>
            <w:r>
              <w:rPr>
                <w:rFonts w:ascii="Arial" w:cs="Arial" w:eastAsia="Arial" w:hAnsi="Arial"/>
                <w:sz w:val="18"/>
                <w:szCs w:val="18"/>
                <w:color w:val="auto"/>
              </w:rPr>
              <w:t>Foreign</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(449)</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792</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974</w:t>
            </w:r>
          </w:p>
        </w:tc>
      </w:tr>
      <w:tr>
        <w:trPr>
          <w:trHeight w:val="203"/>
        </w:trPr>
        <w:tc>
          <w:tcPr>
            <w:tcW w:w="6640" w:type="dxa"/>
            <w:vAlign w:val="bottom"/>
            <w:tcBorders>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(70,824)</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ind w:right="167"/>
              <w:spacing w:after="0" w:line="182"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2,334</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auto"/>
            </w:tcBorders>
            <w:gridSpan w:val="3"/>
            <w:shd w:val="clear" w:color="auto" w:fill="CCEEFF"/>
          </w:tcPr>
          <w:p>
            <w:pPr>
              <w:jc w:val="right"/>
              <w:ind w:right="47"/>
              <w:spacing w:after="0" w:line="182"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17,464</w:t>
            </w:r>
          </w:p>
        </w:tc>
      </w:tr>
      <w:tr>
        <w:trPr>
          <w:trHeight w:val="379"/>
        </w:trPr>
        <w:tc>
          <w:tcPr>
            <w:tcW w:w="6640" w:type="dxa"/>
            <w:vAlign w:val="bottom"/>
            <w:gridSpan w:val="3"/>
          </w:tcPr>
          <w:p>
            <w:pPr>
              <w:ind w:left="5420"/>
              <w:spacing w:after="0"/>
              <w:rPr>
                <w:sz w:val="20"/>
                <w:szCs w:val="20"/>
                <w:color w:val="auto"/>
              </w:rPr>
            </w:pPr>
            <w:r>
              <w:rPr>
                <w:rFonts w:ascii="Arial" w:cs="Arial" w:eastAsia="Arial" w:hAnsi="Arial"/>
                <w:sz w:val="18"/>
                <w:szCs w:val="18"/>
                <w:color w:val="auto"/>
              </w:rPr>
              <w:t>- 97 -</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7"/>
        </w:trPr>
        <w:tc>
          <w:tcPr>
            <w:tcW w:w="2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Significant components of the provision for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b w:val="1"/>
                <w:bCs w:val="1"/>
                <w:color w:val="auto"/>
              </w:rPr>
              <w:t>Current income tax expense (benefit)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Federal</w:t>
            </w:r>
          </w:p>
        </w:tc>
        <w:tc>
          <w:tcPr>
            <w:tcW w:w="48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349</w:t>
            </w: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w:t>
            </w:r>
          </w:p>
        </w:tc>
      </w:tr>
      <w:tr>
        <w:trPr>
          <w:trHeight w:val="189"/>
        </w:trPr>
        <w:tc>
          <w:tcPr>
            <w:tcW w:w="6640" w:type="dxa"/>
            <w:vAlign w:val="bottom"/>
          </w:tcPr>
          <w:p>
            <w:pPr>
              <w:ind w:left="120"/>
              <w:spacing w:after="0" w:line="189" w:lineRule="exact"/>
              <w:rPr>
                <w:sz w:val="20"/>
                <w:szCs w:val="20"/>
                <w:color w:val="auto"/>
              </w:rPr>
            </w:pPr>
            <w:r>
              <w:rPr>
                <w:rFonts w:ascii="Arial" w:cs="Arial" w:eastAsia="Arial" w:hAnsi="Arial"/>
                <w:sz w:val="18"/>
                <w:szCs w:val="18"/>
                <w:color w:val="auto"/>
              </w:rPr>
              <w:t>State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391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382</w:t>
            </w: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(2,233)</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5,648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6,158</w:t>
            </w:r>
          </w:p>
        </w:tc>
      </w:tr>
      <w:tr>
        <w:trPr>
          <w:trHeight w:val="183"/>
        </w:trPr>
        <w:tc>
          <w:tcPr>
            <w:tcW w:w="6640" w:type="dxa"/>
            <w:vAlign w:val="bottom"/>
            <w:tcBorders>
              <w:bottom w:val="single" w:sz="8" w:color="CCEEFF"/>
            </w:tcBorders>
          </w:tcPr>
          <w:p>
            <w:pPr>
              <w:ind w:left="22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(1,460)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6,278</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6,837</w:t>
            </w:r>
          </w:p>
        </w:tc>
      </w:tr>
      <w:tr>
        <w:trPr>
          <w:trHeight w:val="183"/>
        </w:trPr>
        <w:tc>
          <w:tcPr>
            <w:tcW w:w="66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Deferred income tax expense (benefit)</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6640" w:type="dxa"/>
            <w:vAlign w:val="bottom"/>
          </w:tcPr>
          <w:p>
            <w:pPr>
              <w:ind w:left="120"/>
              <w:spacing w:after="0" w:line="189" w:lineRule="exact"/>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(3,263)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17,277</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(3,991)</w:t>
            </w: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6,204</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w:t>
            </w:r>
          </w:p>
        </w:tc>
      </w:tr>
      <w:tr>
        <w:trPr>
          <w:trHeight w:val="189"/>
        </w:trPr>
        <w:tc>
          <w:tcPr>
            <w:tcW w:w="664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Foreign</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(239)</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(922)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430</w:t>
            </w:r>
          </w:p>
        </w:tc>
      </w:tr>
      <w:tr>
        <w:trPr>
          <w:trHeight w:val="183"/>
        </w:trPr>
        <w:tc>
          <w:tcPr>
            <w:tcW w:w="664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(3,507)</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22,559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(3,539)</w:t>
            </w:r>
          </w:p>
        </w:tc>
      </w:tr>
      <w:tr>
        <w:trPr>
          <w:trHeight w:val="189"/>
        </w:trPr>
        <w:tc>
          <w:tcPr>
            <w:tcW w:w="6640" w:type="dxa"/>
            <w:vAlign w:val="bottom"/>
          </w:tcPr>
          <w:p>
            <w:pPr>
              <w:spacing w:after="0" w:line="182" w:lineRule="exact"/>
              <w:rPr>
                <w:sz w:val="20"/>
                <w:szCs w:val="20"/>
                <w:color w:val="auto"/>
              </w:rPr>
            </w:pPr>
            <w:r>
              <w:rPr>
                <w:rFonts w:ascii="Arial" w:cs="Arial" w:eastAsia="Arial" w:hAnsi="Arial"/>
                <w:sz w:val="18"/>
                <w:szCs w:val="18"/>
                <w:b w:val="1"/>
                <w:bCs w:val="1"/>
                <w:color w:val="auto"/>
              </w:rPr>
              <w:t>Total income tax expense (benefit)</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(4,967)</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28,837</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3,298</w:t>
            </w:r>
          </w:p>
        </w:tc>
      </w:tr>
    </w:tbl>
    <w:p>
      <w:pPr>
        <w:spacing w:after="0" w:line="350"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1"/>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Net operating loss carry-forwards</w:t>
            </w:r>
          </w:p>
        </w:tc>
        <w:tc>
          <w:tcPr>
            <w:tcW w:w="48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21,498</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9,398</w:t>
            </w: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Alternative minimum tax credit carry-forwards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Foreign Tax Credit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3,743</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Compensation and employee benefits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3,255</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2,552</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9,691</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Accrued taxes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2,313</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Lease obligations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64,859</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68,320</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Land and property</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4,842</w:t>
            </w:r>
          </w:p>
        </w:tc>
        <w:tc>
          <w:tcPr>
            <w:tcW w:w="1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Total Deferred Tax Assets</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112,753</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102,600</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(60,886)</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(64,551)</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Intangibles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(429)</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(1,020)</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83"/>
        </w:trPr>
        <w:tc>
          <w:tcPr>
            <w:tcW w:w="8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Deferred Tax Liabilities</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(62,335)</w:t>
            </w: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(65,210)</w:t>
            </w:r>
          </w:p>
        </w:tc>
        <w:tc>
          <w:tcPr>
            <w:tcW w:w="0" w:type="dxa"/>
            <w:vAlign w:val="bottom"/>
          </w:tcPr>
          <w:p>
            <w:pPr>
              <w:spacing w:after="0"/>
              <w:rPr>
                <w:sz w:val="1"/>
                <w:szCs w:val="1"/>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Net deferred tax assets before valuation allowance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50,418</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37,390</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(47,056)</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(33,946)</w:t>
            </w:r>
          </w:p>
        </w:tc>
        <w:tc>
          <w:tcPr>
            <w:tcW w:w="0" w:type="dxa"/>
            <w:vAlign w:val="bottom"/>
          </w:tcPr>
          <w:p>
            <w:pPr>
              <w:spacing w:after="0"/>
              <w:rPr>
                <w:sz w:val="1"/>
                <w:szCs w:val="1"/>
                <w:color w:val="auto"/>
              </w:rPr>
            </w:pPr>
          </w:p>
        </w:tc>
      </w:tr>
      <w:tr>
        <w:trPr>
          <w:trHeight w:val="189"/>
        </w:trPr>
        <w:tc>
          <w:tcPr>
            <w:tcW w:w="8180" w:type="dxa"/>
            <w:vAlign w:val="bottom"/>
          </w:tcPr>
          <w:p>
            <w:pPr>
              <w:spacing w:after="0" w:line="182" w:lineRule="exact"/>
              <w:rPr>
                <w:sz w:val="20"/>
                <w:szCs w:val="20"/>
                <w:color w:val="auto"/>
              </w:rPr>
            </w:pPr>
            <w:r>
              <w:rPr>
                <w:rFonts w:ascii="Arial" w:cs="Arial" w:eastAsia="Arial" w:hAnsi="Arial"/>
                <w:sz w:val="18"/>
                <w:szCs w:val="18"/>
                <w:b w:val="1"/>
                <w:bCs w:val="1"/>
                <w:color w:val="auto"/>
              </w:rPr>
              <w:t>Net deferred tax asset</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3,362</w:t>
            </w:r>
          </w:p>
        </w:tc>
        <w:tc>
          <w:tcPr>
            <w:tcW w:w="16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3,444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We record net deferred tax assets to the extent we believe these assets will more-likely-than-not be realized. In making such determination, we considered all available positive and negative evidence, including scheduled reversals of deferred tax liabilities, projected future taxable income, tax planning strategies and recent financial performance. As of December 31, 2020, based on all available evidence, we believe the U.S. and state deferred tax assets as well as New Zealand loss carry-forwards do not support a conclusion of being more-likely-than-not to be realized. Accordingly, we recorded an increase to valuation allowance of $13.1 million. We reassess the valuation allowance quarterly and if future evidence allows for a partial or full release of the valuation allowance, a tax benefit will be recorded.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the following carry-forwards:</w:t>
      </w:r>
    </w:p>
    <w:p>
      <w:pPr>
        <w:spacing w:after="0" w:line="77" w:lineRule="exact"/>
        <w:rPr>
          <w:sz w:val="20"/>
          <w:szCs w:val="20"/>
          <w:color w:val="auto"/>
        </w:rPr>
      </w:pPr>
    </w:p>
    <w:p>
      <w:pPr>
        <w:ind w:left="660" w:right="3220"/>
        <w:spacing w:after="0" w:line="343" w:lineRule="auto"/>
        <w:rPr>
          <w:sz w:val="20"/>
          <w:szCs w:val="20"/>
          <w:color w:val="auto"/>
        </w:rPr>
      </w:pPr>
      <w:r>
        <w:rPr>
          <w:rFonts w:ascii="Arial" w:cs="Arial" w:eastAsia="Arial" w:hAnsi="Arial"/>
          <w:sz w:val="18"/>
          <w:szCs w:val="18"/>
          <w:color w:val="auto"/>
        </w:rPr>
        <w:t>approximately $45.6 million in Federal loss carry-forwards with no expiration date; approximately $19.7 million in California loss carry-forwards expiring in 2040; approximately $17.0 million in Hawaii loss carry-forwards expiring in 2040; approximately $1.9 million in New Jersey state loss carry-forwards expiring in 2040; approximately $48.8 million in New York state loss carry-forwards substantially expiring in 2034; approximately $48.7 million in New York city loss carry-forwards substantially expiring in 2034; and, approximately $13.4 million in available New Zealand loss carry-forwards with no expiration date.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We expect no substantial limitations on the future use of U.S. or foreign loss carry-forwards.</w:t>
      </w:r>
    </w:p>
    <w:p>
      <w:pPr>
        <w:spacing w:after="0" w:line="17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provision for income taxes is different from amounts computed by applying U.S. statutory rates to consolidated losses before taxes. The significant reason for these differences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r>
      <w:tr>
        <w:trPr>
          <w:trHeight w:val="229"/>
        </w:trPr>
        <w:tc>
          <w:tcPr>
            <w:tcW w:w="6640" w:type="dxa"/>
            <w:vAlign w:val="bottom"/>
          </w:tcPr>
          <w:p>
            <w:pPr>
              <w:spacing w:after="0"/>
              <w:rPr>
                <w:sz w:val="20"/>
                <w:szCs w:val="20"/>
                <w:color w:val="auto"/>
              </w:rPr>
            </w:pPr>
            <w:r>
              <w:rPr>
                <w:rFonts w:ascii="Arial" w:cs="Arial" w:eastAsia="Arial" w:hAnsi="Arial"/>
                <w:sz w:val="18"/>
                <w:szCs w:val="18"/>
                <w:i w:val="1"/>
                <w:iCs w:val="1"/>
                <w:color w:val="auto"/>
              </w:rPr>
              <w:t>Increase (decrease) in tax expense resulting from:</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tax rate differential</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and local tax provision</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Tax rate change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(1,397)</w:t>
            </w:r>
          </w:p>
        </w:tc>
        <w:tc>
          <w:tcPr>
            <w:tcW w:w="3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year adjustment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Unrecognized tax benefits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Impact of Tax Act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GILTI</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Tax Credit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03"/>
        </w:trPr>
        <w:tc>
          <w:tcPr>
            <w:tcW w:w="66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income tax expense (benefit)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(4,967)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28,837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3,298</w:t>
            </w:r>
          </w:p>
        </w:tc>
      </w:tr>
    </w:tbl>
    <w:p>
      <w:pPr>
        <w:spacing w:after="0" w:line="16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On December 22, 2017, the U.S. Tax Cuts and Jobs Act of 2017 (the “Tax Act”) was signed into law. The Tax Act significantly changed the U.S. corporate income tax law by lowering the statutory corporate tax rate from 35% to 21%, imposed a one-time mandatory repatriation tax on deferred earnings of foreign subsidiaries, and changed how foreign earnings are subject to U.S. tax.</w:t>
      </w:r>
    </w:p>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As the result of the Tax Act and under the guidance of the U.S. Securities and Exchange Commission Staff Accounting Bulletin No. 118, we recorded a provisional tax expense of approximately $13.0 million for the impact of the Tax Act in the fourth quarter of 2017. During the fourth quarter of 2018, upon finalizing the analysis of the impact from the Tax Act, we recorded a tax benefit of $2.3 million as an adjustment to the provisional estimate, for a net tax impact of $10.7 million. The $2.3 million is comprised of an adjustment of $1.2 million to the impact of the one-time mandatory repatriation tax on previously undistributed earnings of our foreign subsidiaries and $1.1 million from the re-measurement of federal net deferred tax liabilities resulting from the reduction in the U.S. statutory corporate tax rate.</w:t>
      </w:r>
    </w:p>
    <w:p>
      <w:pPr>
        <w:spacing w:after="0" w:line="148" w:lineRule="exact"/>
        <w:rPr>
          <w:sz w:val="20"/>
          <w:szCs w:val="20"/>
          <w:color w:val="auto"/>
        </w:rPr>
      </w:pPr>
    </w:p>
    <w:p>
      <w:pPr>
        <w:ind w:right="880"/>
        <w:spacing w:after="0" w:line="274" w:lineRule="auto"/>
        <w:rPr>
          <w:sz w:val="20"/>
          <w:szCs w:val="20"/>
          <w:color w:val="auto"/>
        </w:rPr>
      </w:pPr>
      <w:r>
        <w:rPr>
          <w:rFonts w:ascii="Arial" w:cs="Arial" w:eastAsia="Arial" w:hAnsi="Arial"/>
          <w:sz w:val="17"/>
          <w:szCs w:val="17"/>
          <w:color w:val="auto"/>
        </w:rPr>
        <w:t>The undistributed earnings of the Company's Australian subsidiaries are not indefinitely reinvested. Due to the enactment of the Tax Act, future repatriations of foreign earnings will generally not be subject to U.S. federal taxation but may incur minimal state taxes.</w:t>
      </w:r>
    </w:p>
    <w:p>
      <w:pPr>
        <w:spacing w:after="0" w:line="12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following table is a summary of the activity related to unrecognized tax benefits, excluding interest and penalties, for the years ended December 31, 2020, 2019, and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Unrecognized tax benefits – gross beginning balance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4,082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4,709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3,123</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Gross increase (decrease) - prior year tax positions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(1,996)</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(148)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2,304</w:t>
            </w: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Gross increase (decrease) - current year tax positions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(479)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(718)</w:t>
            </w:r>
          </w:p>
        </w:tc>
      </w:tr>
      <w:tr>
        <w:trPr>
          <w:trHeight w:val="190"/>
        </w:trPr>
        <w:tc>
          <w:tcPr>
            <w:tcW w:w="66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Unrecognized tax benefits – gross ending balance</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2,086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4,082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4,709</w:t>
            </w:r>
          </w:p>
        </w:tc>
      </w:tr>
    </w:tbl>
    <w:p>
      <w:pPr>
        <w:spacing w:after="0" w:line="161"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As of December 31, 2020 and 2019, if recognized, $2.1 million and $4.1 million respectively, of the unrecognized tax benefits would impact the Company’s effective tax rate.</w:t>
      </w:r>
    </w:p>
    <w:p>
      <w:pPr>
        <w:spacing w:after="0" w:line="14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During the year ended December 31, 2020, we recorded an increase to tax interest of $0.7 million, resulting in a total $10.9 million in interest. During the year ended December 31, 2019, we recorded an increase to tax interest of $0.7 million, resulting in a total $10.2 million in interest.</w:t>
      </w:r>
    </w:p>
    <w:p>
      <w:pPr>
        <w:spacing w:after="0" w:line="12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 to $1.5 million. The reasons for such change include but are not limited to tax positions expected to be taken during 2020, revaluation of current uncertain tax positions, and expiring statutes of limitations.</w:t>
      </w:r>
    </w:p>
    <w:p>
      <w:pPr>
        <w:spacing w:after="0" w:line="148" w:lineRule="exact"/>
        <w:rPr>
          <w:sz w:val="20"/>
          <w:szCs w:val="20"/>
          <w:color w:val="auto"/>
        </w:rPr>
      </w:pPr>
    </w:p>
    <w:p>
      <w:pPr>
        <w:jc w:val="both"/>
        <w:ind w:right="80"/>
        <w:spacing w:after="0" w:line="225" w:lineRule="auto"/>
        <w:rPr>
          <w:sz w:val="20"/>
          <w:szCs w:val="20"/>
          <w:color w:val="auto"/>
        </w:rPr>
      </w:pPr>
      <w:r>
        <w:rPr>
          <w:rFonts w:ascii="Arial" w:cs="Arial" w:eastAsia="Arial" w:hAnsi="Arial"/>
          <w:sz w:val="18"/>
          <w:szCs w:val="18"/>
          <w:color w:val="auto"/>
        </w:rPr>
        <w:t>Generally, changes to our federal and most state income tax returns for the calendar year 2015 and earlier are barred by statutes of limitations. The Internal Revenue Service (“IRS”) examined the tax return of Craig Corporation (“CRG”) for its tax year ended June 30, 1997. CRG was a stand-alone entity in the year of audit but is now a wholly owned subsidiary of the Company. In Tax Court,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CRG and the IRS agreed to compromise the claims made by the IRS against CRG, and the court order was entered on January 6, 2011.</w:t>
      </w:r>
    </w:p>
    <w:p>
      <w:pPr>
        <w:spacing w:after="0" w:line="171"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As of December 31, 2020, federal income tax returns for 2017 and after are open for examination. California worldwide unitary income tax returns for 2016 and after are open for examination. Income tax returns filed in Puerto Rico for calendar year 2016 and 2017 are open for examination. Australia income tax returns for calendar years 2016 and after are open for examination. Generally, New Zealand returns for calendar years 2015 and after remain open for examination.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BORROWINGS</w:t>
      </w:r>
    </w:p>
    <w:p>
      <w:pPr>
        <w:spacing w:after="0" w:line="17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Company’s borrowings at December 31, 2020 and 2019, net of deferred financing costs and incorporating the impact of interest rate swaps on our effective interest rates, are summarized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4"/>
                <w:szCs w:val="14"/>
                <w:b w:val="1"/>
                <w:bCs w:val="1"/>
                <w:color w:val="auto"/>
                <w:w w:val="94"/>
              </w:rPr>
              <w:t>As of December 31, 2020</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Balance,</w:t>
            </w:r>
          </w:p>
        </w:tc>
        <w:tc>
          <w:tcPr>
            <w:tcW w:w="180" w:type="dxa"/>
            <w:vAlign w:val="bottom"/>
          </w:tcPr>
          <w:p>
            <w:pPr>
              <w:spacing w:after="0"/>
              <w:rPr>
                <w:sz w:val="20"/>
                <w:szCs w:val="20"/>
                <w:color w:val="auto"/>
              </w:rPr>
            </w:pPr>
          </w:p>
        </w:tc>
        <w:tc>
          <w:tcPr>
            <w:tcW w:w="9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Interest</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Facility</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9"/>
              <w:spacing w:after="0" w:line="176" w:lineRule="exact"/>
              <w:rPr>
                <w:sz w:val="20"/>
                <w:szCs w:val="20"/>
                <w:color w:val="auto"/>
              </w:rPr>
            </w:pPr>
            <w:r>
              <w:rPr>
                <w:rFonts w:ascii="Arial" w:cs="Arial" w:eastAsia="Arial" w:hAnsi="Arial"/>
                <w:sz w:val="13"/>
                <w:szCs w:val="13"/>
                <w:b w:val="1"/>
                <w:bCs w:val="1"/>
                <w:color w:val="auto"/>
              </w:rPr>
              <w:t>Net</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rPr>
                <w:sz w:val="20"/>
                <w:szCs w:val="20"/>
                <w:color w:val="auto"/>
              </w:rPr>
            </w:pPr>
            <w:r>
              <w:rPr>
                <w:rFonts w:ascii="Arial" w:cs="Arial" w:eastAsia="Arial" w:hAnsi="Arial"/>
                <w:sz w:val="14"/>
                <w:szCs w:val="14"/>
                <w:color w:val="auto"/>
              </w:rPr>
              <w:t>Denominated in USD</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Trust Preferred Securities (USA)</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April 30, 2027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27,913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27,913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26,505</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4.27%</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4.27%</w:t>
            </w:r>
          </w:p>
        </w:tc>
        <w:tc>
          <w:tcPr>
            <w:tcW w:w="0" w:type="dxa"/>
            <w:vAlign w:val="bottom"/>
          </w:tcPr>
          <w:p>
            <w:pPr>
              <w:spacing w:after="0"/>
              <w:rPr>
                <w:sz w:val="1"/>
                <w:szCs w:val="1"/>
                <w:color w:val="auto"/>
              </w:rPr>
            </w:pPr>
          </w:p>
        </w:tc>
      </w:tr>
      <w:tr>
        <w:trPr>
          <w:trHeight w:val="203"/>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Bank of America Credit Facility (USA)</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March 6, 2023</w:t>
            </w: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55,000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51,200</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50,990</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4.00%</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4.00%</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Bank of America Line of Credit (USA)</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March 6, 2023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3.15%</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3.15%</w:t>
            </w:r>
          </w:p>
        </w:tc>
        <w:tc>
          <w:tcPr>
            <w:tcW w:w="0" w:type="dxa"/>
            <w:vAlign w:val="bottom"/>
          </w:tcPr>
          <w:p>
            <w:pPr>
              <w:spacing w:after="0"/>
              <w:rPr>
                <w:sz w:val="1"/>
                <w:szCs w:val="1"/>
                <w:color w:val="auto"/>
              </w:rPr>
            </w:pPr>
          </w:p>
        </w:tc>
      </w:tr>
      <w:tr>
        <w:trPr>
          <w:trHeight w:val="203"/>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Cinemas 1, 2, 3 Term Loan (USA)</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April 1, 2022</w:t>
            </w: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24,625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24,625</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24,248</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4.25%</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4.25%</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4"/>
                <w:szCs w:val="14"/>
                <w:color w:val="auto"/>
              </w:rPr>
              <w:t>Minetta &amp; Orpheum Theatres Loan (USA)</w:t>
            </w:r>
            <w:r>
              <w:rPr>
                <w:rFonts w:ascii="Arial" w:cs="Arial" w:eastAsia="Arial" w:hAnsi="Arial"/>
                <w:sz w:val="23"/>
                <w:szCs w:val="23"/>
                <w:color w:val="auto"/>
                <w:vertAlign w:val="superscript"/>
              </w:rPr>
              <w:t>(2)</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November 1, 2023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8,000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7,914</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2.20%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5.15%</w:t>
            </w:r>
          </w:p>
        </w:tc>
        <w:tc>
          <w:tcPr>
            <w:tcW w:w="0" w:type="dxa"/>
            <w:vAlign w:val="bottom"/>
          </w:tcPr>
          <w:p>
            <w:pPr>
              <w:spacing w:after="0"/>
              <w:rPr>
                <w:sz w:val="1"/>
                <w:szCs w:val="1"/>
                <w:color w:val="auto"/>
              </w:rPr>
            </w:pPr>
          </w:p>
        </w:tc>
      </w:tr>
      <w:tr>
        <w:trPr>
          <w:trHeight w:val="203"/>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U.S. Corporate Office Term Loan (USA)</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January 1, 2027</w:t>
            </w: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9,186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9,186</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9,095</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4.64% / 4.44%</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4.64%</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Union Square Construction Financing (USA)</w:t>
            </w:r>
          </w:p>
        </w:tc>
        <w:tc>
          <w:tcPr>
            <w:tcW w:w="1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March 31, 2021</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50,000</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40,623</w:t>
            </w: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40,620</w:t>
            </w:r>
          </w:p>
        </w:tc>
        <w:tc>
          <w:tcPr>
            <w:tcW w:w="124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2"/>
              </w:rPr>
              <w:t>17.50%</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17.50%</w:t>
            </w:r>
          </w:p>
        </w:tc>
        <w:tc>
          <w:tcPr>
            <w:tcW w:w="0" w:type="dxa"/>
            <w:vAlign w:val="bottom"/>
          </w:tcPr>
          <w:p>
            <w:pPr>
              <w:spacing w:after="0"/>
              <w:rPr>
                <w:sz w:val="1"/>
                <w:szCs w:val="1"/>
                <w:color w:val="auto"/>
              </w:rPr>
            </w:pPr>
          </w:p>
        </w:tc>
      </w:tr>
      <w:tr>
        <w:trPr>
          <w:trHeight w:val="203"/>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Purchase Money Promissory Note</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September 18, 2024</w:t>
            </w: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2,883</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2,883</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5.00%</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Denominated in foreign currency ("FC")</w:t>
            </w:r>
            <w:r>
              <w:rPr>
                <w:rFonts w:ascii="Arial" w:cs="Arial" w:eastAsia="Arial" w:hAnsi="Arial"/>
                <w:sz w:val="23"/>
                <w:szCs w:val="23"/>
                <w:color w:val="auto"/>
                <w:vertAlign w:val="superscript"/>
              </w:rPr>
              <w:t>(3)</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NAB Corporate Term Loan (AU)</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December 31, 2023</w:t>
            </w: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94,821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92,508</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92,307</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1.81%</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1.81%</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Westpac Bank Corporate (NZ)</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31, 2023</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23,021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23,021</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2.95%</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300,449</w:t>
            </w:r>
          </w:p>
        </w:tc>
        <w:tc>
          <w:tcPr>
            <w:tcW w:w="40" w:type="dxa"/>
            <w:vAlign w:val="bottom"/>
          </w:tcPr>
          <w:p>
            <w:pPr>
              <w:spacing w:after="0"/>
              <w:rPr>
                <w:sz w:val="14"/>
                <w:szCs w:val="1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284,959</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282,583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of deferred financing costs amounting to $2.4 million.</w:t>
      </w:r>
    </w:p>
    <w:p>
      <w:pPr>
        <w:ind w:left="660" w:hanging="328"/>
        <w:spacing w:after="0" w:line="22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interest rate derivative associated with the Minetta &amp; Orpheum loan provides for an effective fixed rate of 5.15%.</w:t>
      </w: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contractual facilities and outstanding balances of the FC-denominated borrowings were translated into U.S. dollars based on exchange rates as of December 31,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4"/>
                <w:szCs w:val="14"/>
                <w:b w:val="1"/>
                <w:bCs w:val="1"/>
                <w:color w:val="auto"/>
                <w:w w:val="94"/>
              </w:rPr>
              <w:t>As of December 31, 2019</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Balance,</w:t>
            </w:r>
          </w:p>
        </w:tc>
        <w:tc>
          <w:tcPr>
            <w:tcW w:w="180" w:type="dxa"/>
            <w:vAlign w:val="bottom"/>
          </w:tcPr>
          <w:p>
            <w:pPr>
              <w:spacing w:after="0"/>
              <w:rPr>
                <w:sz w:val="20"/>
                <w:szCs w:val="20"/>
                <w:color w:val="auto"/>
              </w:rPr>
            </w:pPr>
          </w:p>
        </w:tc>
        <w:tc>
          <w:tcPr>
            <w:tcW w:w="9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4"/>
              </w:rPr>
              <w:t>Interest</w:t>
            </w: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Facility</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9"/>
              <w:spacing w:after="0" w:line="176" w:lineRule="exact"/>
              <w:rPr>
                <w:sz w:val="20"/>
                <w:szCs w:val="20"/>
                <w:color w:val="auto"/>
              </w:rPr>
            </w:pPr>
            <w:r>
              <w:rPr>
                <w:rFonts w:ascii="Arial" w:cs="Arial" w:eastAsia="Arial" w:hAnsi="Arial"/>
                <w:sz w:val="13"/>
                <w:szCs w:val="13"/>
                <w:b w:val="1"/>
                <w:bCs w:val="1"/>
                <w:color w:val="auto"/>
              </w:rPr>
              <w:t>Net</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rPr>
                <w:sz w:val="20"/>
                <w:szCs w:val="20"/>
                <w:color w:val="auto"/>
              </w:rPr>
            </w:pPr>
            <w:r>
              <w:rPr>
                <w:rFonts w:ascii="Arial" w:cs="Arial" w:eastAsia="Arial" w:hAnsi="Arial"/>
                <w:sz w:val="14"/>
                <w:szCs w:val="14"/>
                <w:color w:val="auto"/>
              </w:rPr>
              <w:t>Denominated in USD</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Trust Preferred Securities (USA)</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April 30, 2027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26,311</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5.94%</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5.94%</w:t>
            </w:r>
          </w:p>
        </w:tc>
        <w:tc>
          <w:tcPr>
            <w:tcW w:w="0" w:type="dxa"/>
            <w:vAlign w:val="bottom"/>
          </w:tcPr>
          <w:p>
            <w:pPr>
              <w:spacing w:after="0"/>
              <w:rPr>
                <w:sz w:val="1"/>
                <w:szCs w:val="1"/>
                <w:color w:val="auto"/>
              </w:rPr>
            </w:pPr>
          </w:p>
        </w:tc>
      </w:tr>
      <w:tr>
        <w:trPr>
          <w:trHeight w:val="203"/>
        </w:trPr>
        <w:tc>
          <w:tcPr>
            <w:tcW w:w="3620" w:type="dxa"/>
            <w:vAlign w:val="bottom"/>
            <w:gridSpan w:val="2"/>
          </w:tcPr>
          <w:p>
            <w:pPr>
              <w:ind w:left="220"/>
              <w:spacing w:after="0"/>
              <w:rPr>
                <w:sz w:val="20"/>
                <w:szCs w:val="20"/>
                <w:color w:val="auto"/>
              </w:rPr>
            </w:pPr>
            <w:r>
              <w:rPr>
                <w:rFonts w:ascii="Arial" w:cs="Arial" w:eastAsia="Arial" w:hAnsi="Arial"/>
                <w:sz w:val="14"/>
                <w:szCs w:val="14"/>
                <w:color w:val="auto"/>
              </w:rPr>
              <w:t>Bank of America Credit Facility (USA)</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March 6, 2023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33,500</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33,445</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4.80%</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4.80%</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Bank of America Line of Credit (USA)</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March 6, 2023</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4.80%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4.80%</w:t>
            </w:r>
          </w:p>
        </w:tc>
        <w:tc>
          <w:tcPr>
            <w:tcW w:w="0" w:type="dxa"/>
            <w:vAlign w:val="bottom"/>
          </w:tcPr>
          <w:p>
            <w:pPr>
              <w:spacing w:after="0"/>
              <w:rPr>
                <w:sz w:val="1"/>
                <w:szCs w:val="1"/>
                <w:color w:val="auto"/>
              </w:rPr>
            </w:pPr>
          </w:p>
        </w:tc>
      </w:tr>
      <w:tr>
        <w:trPr>
          <w:trHeight w:val="203"/>
        </w:trPr>
        <w:tc>
          <w:tcPr>
            <w:tcW w:w="3620" w:type="dxa"/>
            <w:vAlign w:val="bottom"/>
            <w:gridSpan w:val="2"/>
          </w:tcPr>
          <w:p>
            <w:pPr>
              <w:ind w:left="220"/>
              <w:spacing w:after="0"/>
              <w:rPr>
                <w:sz w:val="20"/>
                <w:szCs w:val="20"/>
                <w:color w:val="auto"/>
              </w:rPr>
            </w:pPr>
            <w:r>
              <w:rPr>
                <w:rFonts w:ascii="Arial" w:cs="Arial" w:eastAsia="Arial" w:hAnsi="Arial"/>
                <w:sz w:val="14"/>
                <w:szCs w:val="14"/>
                <w:color w:val="auto"/>
              </w:rPr>
              <w:t>Cinemas 1, 2, 3 Term Loan (USA)</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April 1, 2022</w:t>
            </w: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18,658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18,658</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18,532</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3.25%</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3.25%</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Minetta &amp; Orpheum Theatres Loan (USA)(2)</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November 1, 2023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8,000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7,887</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3.74%</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5.15%</w:t>
            </w:r>
          </w:p>
        </w:tc>
        <w:tc>
          <w:tcPr>
            <w:tcW w:w="0" w:type="dxa"/>
            <w:vAlign w:val="bottom"/>
          </w:tcPr>
          <w:p>
            <w:pPr>
              <w:spacing w:after="0"/>
              <w:rPr>
                <w:sz w:val="1"/>
                <w:szCs w:val="1"/>
                <w:color w:val="auto"/>
              </w:rPr>
            </w:pPr>
          </w:p>
        </w:tc>
      </w:tr>
      <w:tr>
        <w:trPr>
          <w:trHeight w:val="203"/>
        </w:trPr>
        <w:tc>
          <w:tcPr>
            <w:tcW w:w="3620" w:type="dxa"/>
            <w:vAlign w:val="bottom"/>
            <w:gridSpan w:val="2"/>
          </w:tcPr>
          <w:p>
            <w:pPr>
              <w:ind w:left="220"/>
              <w:spacing w:after="0"/>
              <w:rPr>
                <w:sz w:val="20"/>
                <w:szCs w:val="20"/>
                <w:color w:val="auto"/>
              </w:rPr>
            </w:pPr>
            <w:r>
              <w:rPr>
                <w:rFonts w:ascii="Arial" w:cs="Arial" w:eastAsia="Arial" w:hAnsi="Arial"/>
                <w:sz w:val="14"/>
                <w:szCs w:val="14"/>
                <w:color w:val="auto"/>
              </w:rPr>
              <w:t>U.S. Corporate Office Term Loan (USA)</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January 1, 2027</w:t>
            </w: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9,260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9,260</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9,153</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4.64% / 4.44%</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4.64%</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Union Square Construction Financing (USA)</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29, 2020</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36,048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36,035</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6.02%</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6.02%</w:t>
            </w:r>
          </w:p>
        </w:tc>
        <w:tc>
          <w:tcPr>
            <w:tcW w:w="0" w:type="dxa"/>
            <w:vAlign w:val="bottom"/>
          </w:tcPr>
          <w:p>
            <w:pPr>
              <w:spacing w:after="0"/>
              <w:rPr>
                <w:sz w:val="1"/>
                <w:szCs w:val="1"/>
                <w:color w:val="auto"/>
              </w:rPr>
            </w:pPr>
          </w:p>
        </w:tc>
      </w:tr>
      <w:tr>
        <w:trPr>
          <w:trHeight w:val="175"/>
        </w:trPr>
        <w:tc>
          <w:tcPr>
            <w:tcW w:w="3620" w:type="dxa"/>
            <w:vAlign w:val="bottom"/>
            <w:gridSpan w:val="2"/>
            <w:vMerge w:val="restart"/>
          </w:tcPr>
          <w:p>
            <w:pPr>
              <w:ind w:left="220"/>
              <w:spacing w:after="0"/>
              <w:rPr>
                <w:sz w:val="20"/>
                <w:szCs w:val="20"/>
                <w:color w:val="auto"/>
              </w:rPr>
            </w:pPr>
            <w:r>
              <w:rPr>
                <w:rFonts w:ascii="Arial" w:cs="Arial" w:eastAsia="Arial" w:hAnsi="Arial"/>
                <w:sz w:val="14"/>
                <w:szCs w:val="14"/>
                <w:color w:val="auto"/>
              </w:rPr>
              <w:t>Purchase Money Promissory Note (USA)</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September 18, 2024</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3,363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3,363</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3,363</w:t>
            </w:r>
          </w:p>
        </w:tc>
        <w:tc>
          <w:tcPr>
            <w:tcW w:w="124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5"/>
              </w:rPr>
              <w:t>5.00%</w:t>
            </w:r>
          </w:p>
        </w:tc>
        <w:tc>
          <w:tcPr>
            <w:tcW w:w="8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0"/>
              </w:rPr>
              <w:t>5.00%</w:t>
            </w:r>
          </w:p>
        </w:tc>
        <w:tc>
          <w:tcPr>
            <w:tcW w:w="0" w:type="dxa"/>
            <w:vAlign w:val="bottom"/>
          </w:tcPr>
          <w:p>
            <w:pPr>
              <w:spacing w:after="0"/>
              <w:rPr>
                <w:sz w:val="1"/>
                <w:szCs w:val="1"/>
                <w:color w:val="auto"/>
              </w:rPr>
            </w:pPr>
          </w:p>
        </w:tc>
      </w:tr>
      <w:tr>
        <w:trPr>
          <w:trHeight w:val="27"/>
        </w:trPr>
        <w:tc>
          <w:tcPr>
            <w:tcW w:w="3620" w:type="dxa"/>
            <w:vAlign w:val="bottom"/>
            <w:gridSpan w:val="2"/>
            <w:vMerge w:val="continue"/>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Denominated in foreign currency ("FC") </w:t>
            </w:r>
            <w:r>
              <w:rPr>
                <w:rFonts w:ascii="Arial" w:cs="Arial" w:eastAsia="Arial" w:hAnsi="Arial"/>
                <w:sz w:val="23"/>
                <w:szCs w:val="23"/>
                <w:color w:val="auto"/>
                <w:vertAlign w:val="superscript"/>
              </w:rPr>
              <w:t>(3</w:t>
            </w:r>
            <w:r>
              <w:rPr>
                <w:rFonts w:ascii="Arial" w:cs="Arial" w:eastAsia="Arial" w:hAnsi="Arial"/>
                <w:sz w:val="14"/>
                <w:szCs w:val="14"/>
                <w:color w:val="auto"/>
              </w:rPr>
              <w:t>)</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ind w:left="220"/>
              <w:spacing w:after="0"/>
              <w:rPr>
                <w:sz w:val="20"/>
                <w:szCs w:val="20"/>
                <w:color w:val="auto"/>
              </w:rPr>
            </w:pPr>
            <w:r>
              <w:rPr>
                <w:rFonts w:ascii="Arial" w:cs="Arial" w:eastAsia="Arial" w:hAnsi="Arial"/>
                <w:sz w:val="14"/>
                <w:szCs w:val="14"/>
                <w:color w:val="auto"/>
              </w:rPr>
              <w:t>NAB Corporate Term Loan (AU)</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December 31, 2023</w:t>
            </w: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84,360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65,731</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65,541</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1.77%</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Westpac Bank Corporate (NZ)</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December 31, 2023</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6,745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6,745</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3.05%</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283,138</w:t>
            </w:r>
          </w:p>
        </w:tc>
        <w:tc>
          <w:tcPr>
            <w:tcW w:w="40" w:type="dxa"/>
            <w:vAlign w:val="bottom"/>
          </w:tcPr>
          <w:p>
            <w:pPr>
              <w:spacing w:after="0"/>
              <w:rPr>
                <w:sz w:val="14"/>
                <w:szCs w:val="1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209,218</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207,012</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of deferred financing costs amounting to $2.2 million.</w:t>
      </w:r>
    </w:p>
    <w:p>
      <w:pPr>
        <w:ind w:left="660" w:hanging="328"/>
        <w:spacing w:after="0" w:line="22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interest rate derivative associated with the Minetta &amp; Orpheum loan provides for an effective fixed rate of 5.15%.</w:t>
      </w:r>
    </w:p>
    <w:p>
      <w:pPr>
        <w:ind w:left="660" w:hanging="328"/>
        <w:spacing w:after="0" w:line="213"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contractual facilities and outstanding balances of the FC-denominated borrowings were translated into U.S. dollar based on exchange rates as of December 31, 2019.</w:t>
      </w:r>
    </w:p>
    <w:p>
      <w:pPr>
        <w:ind w:left="5480" w:hanging="96"/>
        <w:spacing w:after="0"/>
        <w:tabs>
          <w:tab w:leader="none" w:pos="5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Our loan arrangements are presented, net of the deferred financing costs, on the face of our consolidated balance sheet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82"/>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Caption</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Debt - current portion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36,736</w:t>
            </w: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Debt - long-term portion</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213,779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140,602</w:t>
            </w:r>
          </w:p>
        </w:tc>
      </w:tr>
      <w:tr>
        <w:trPr>
          <w:trHeight w:val="229"/>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current portion</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Subordinated debt - long-term portion</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29,030</w:t>
            </w:r>
          </w:p>
        </w:tc>
      </w:tr>
      <w:tr>
        <w:trPr>
          <w:trHeight w:val="203"/>
        </w:trPr>
        <w:tc>
          <w:tcPr>
            <w:tcW w:w="8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borrowings</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282,583</w:t>
            </w: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207,012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COVID-19</w:t>
      </w:r>
    </w:p>
    <w:p>
      <w:pPr>
        <w:spacing w:after="0" w:line="17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To address the impact of COVID-19 on our business, we sought and obtained certain modifications to our loan agreements with the Bank of America, National Australia Bank, and Westpac. These loan modifications included changes to some of the covenant compliance terms and waivers of certain covenant testing periods. As of December 31, 2020, we are currently in compliance with our loan covenants as so modified. To date it has not been necessary for us to seek modifications or waivers with respect to our other loan agreements, as we continue to be in compliance with the terms of such loan agreements without the need for any such modifications or waivers.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denominated in USD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of America Credit Facility</w:t>
      </w:r>
    </w:p>
    <w:p>
      <w:pPr>
        <w:spacing w:after="0" w:line="171"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March 3, 2016, we amended our $55.0 million credit facility with Bank of America to permit real property acquisition loans. This amendment reduces the applicable consolidated leverage ratio covenant by 0.25% and modifies the term of the facility based on the earlier of the eighteen months from the date of such borrowing or the maturity date of the credit agreement. Such modification was not considered substantial in accordance with U.S. GAAP. On March 5, 2019, this Credit Facility was extended for six (6) months to May 1, 2020. On August 8, 2019, this Credit Facility was extended by an additional four months to September 1, 2020. On March 6, 2020, we completed the refinancing of this $55.0 million facility, wherein the maturity date was extended to March 6, 2023. The refinanced facility carries an interest rate of 2.5% - 3.0%, depending on certain financial ratios plus a variable rate based on the loan defined “Eurodollar” interest rate.</w:t>
      </w:r>
    </w:p>
    <w:p>
      <w:pPr>
        <w:spacing w:after="0" w:line="154"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On August 7, 2020, we modified certain financial covenants within this credit facility and temporarily suspended the testing of certain other covenant tests through the measurement period ending September 30, 2021. The testing of the financial covenant resumes for the measurement period ending December 31, 2021. In addition to the covenant modifications, the interest rate on borrowings under this facility was fixed at 3.0% above the “Eurodollar” rate, which itself now has a floor of 1.0%. Such a modification was not considered to be substantial under U.S. GAAP.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of America Line of Credit</w:t>
      </w:r>
    </w:p>
    <w:p>
      <w:pPr>
        <w:spacing w:after="0" w:line="17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October 2016, the term of this $5.0 million line of credit was extended to October 31, 2019. Such modification was not considered to be substantial under U.S. GAAP. On August 8, 2019, this Line of Credit was extended an additional ten months to September 1, 2020. On March 6, 2020, the term of our $5.0 million line of credit was extended to March 6, 2023. On August 7, 2020 we modified the interest rate on this line of credit, wherein the LIBOR portion of the rate now has a floor of 1.0%.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Minetta and Orpheum Theatres Loan</w:t>
      </w:r>
    </w:p>
    <w:p>
      <w:pPr>
        <w:spacing w:after="0" w:line="17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On October 12, 2018, we refinanced our $7.5 million loan with Santander Bank, which is secured by our Minetta and Orpheum Theaters, with a loan for a five year term of $8.0 million. Such modification was not considered to be substantial under U.S. GAAP.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Banc of America Digital Projector Loan</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On February 5, 2018, we purchased our U.S. digital cinema projectors, which had previously been held on operating leases, using a $4.6 million loan from Banc of America. We made further U.S. digital cinema projector purchases, of projectors similarly held on other operating leases, in March and April 2018, increasing this loan to $4.9 million. This loan carried an interest rate of 5% and was paid in full on December 28,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 Union Square Construction Financing</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December 29, 2016, we closed our new construction finance facilities totaling $57.5 million to fund the non-equity portion of the anticipated construction costs of the redevelopment of our property at 44 Union Square in New York City. The combined facilities consist of $50.0 million in aggregate loans (comprised of three loan tranches) from BankOZK (formerly Bank of the Ozarks), and a $7.5 million mezzanine loan from Tammany Mezz Investor, LLC, an affiliate of Fisher Brothers. As of December 31, 2016, BankOZK advanced $8.0 million to repay the existing $8.0 million loan with East West Bank. On August 8, 2019, we repaid in full the $7.5 million mezzanine loan from Tammany Mezz Investor, LLC. On January 24, 2020, we exercised the first of our two one year extension options on the BankOZK loan, taking the maturity to December 29, 2020. On December 29, 2020, we further extended the maturity of this loan to March 31, 2021, at an interest rate of 17.5% and on March 26, 2021, we repaid this loan in full.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Corporate Office Term Loan</w:t>
      </w:r>
    </w:p>
    <w:p>
      <w:pPr>
        <w:spacing w:after="0" w:line="1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On December 13, 2016, we obtained a ten year $8.4 million mortgage loan on our new Los Angeles Corporate Headquarters at a fixed annual interest rate of 4.64%. This loan provided for a second loan upon completion of certain improvements. On June 26, 2017, we obtained a further $1.5 million under this provision at a fixed annual interest rate of 4.44%.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Cinemas 1,2,3 Term Loan and Line of Credit</w:t>
      </w:r>
    </w:p>
    <w:p>
      <w:pPr>
        <w:spacing w:after="0" w:line="17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On August 31, 2016, Sutton Hill Properties LLC (“SHP”), a 75% subsidiary of RDI, refinanced its $15.0 million Santander Bank term loan with a new lender, Valley National Bank. This new $20.0 million loan is collateralized by our Cinema 1,2,3 property and bears an interest rate of 3.25% per annum, with principal installments and accruing interest paid monthly. The loan had an option to extend the maturity date for a period of 12 months to March 1, 2021. On March 13, 2020, we refinanced this loan with a new term loan of $25.0 million, an interest rate of 4.25%, and maturity date of April 1, 2022 with two six month options to extend.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Money Promissory Note</w:t>
      </w:r>
    </w:p>
    <w:p>
      <w:pPr>
        <w:spacing w:after="0" w:line="171"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On September 18, 2019, we purchased 407,000 Company shares in a privately negotiated transaction under our Share Repurchase Program for $5.5 million. Of this amount, $3.5 million was paid by the issuance of a Purchase Money Promissory Note, which bears an interest rate of 5.0% per annum, payable in equal quarterly payments of principal plus accrued interest. The Purchase Money Promissory Note matures on September 18, 2024.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Securities (“TPS”)</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February 5, 2007, we issued $51.5 million in 20-year fully subordinated notes to a trust over which we have significant influence,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sheets. Effective May 1, 2012, the interest rate on our Trust Preferred Securities changed from a fixed rate of 9.22%, which was in effect for five years, to a variable rate of three month LIBOR plus 4.00%, which will reset each quarter through the end of the loan unless we exercise our right to re-fix the rate at the current market rate at that time.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 The covenant waiver expired January 1, 2018, after which a further covenant waiver was secured on October 11, 2018 for the remaining term of the loan, in consideration of payments totaling $1.6 million, consisting of an initial payment of $1.1 million paid on October 31, 2018, and a further contractual obligation to pay $270,000 in October 2021 and $225,000 in October 2025.</w:t>
      </w:r>
    </w:p>
    <w:p>
      <w:pPr>
        <w:spacing w:after="0" w:line="14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third-party holder of these TPS. During the twelve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2" w:name="page103"/>
    <w:bookmarkEnd w:id="102"/>
    <w:p>
      <w:pPr>
        <w:ind w:right="100"/>
        <w:spacing w:after="0" w:line="231" w:lineRule="auto"/>
        <w:rPr>
          <w:sz w:val="20"/>
          <w:szCs w:val="20"/>
          <w:color w:val="auto"/>
        </w:rPr>
      </w:pPr>
      <w:r>
        <w:rPr>
          <w:rFonts w:ascii="Arial" w:cs="Arial" w:eastAsia="Arial" w:hAnsi="Arial"/>
          <w:sz w:val="18"/>
          <w:szCs w:val="18"/>
          <w:color w:val="auto"/>
        </w:rPr>
        <w:t>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During the three years ended December 31, 2020, we paid $1.6 million in 2018, $1.8 million in 2019 and $1.4 million in 2020 in preferred dividends to unrelated investors that are included in interest expense. At December 31, 2020 and 2019, we had preferred dividends payable of $195,000 and $272,000, respectively. Interest payments for this loan are required every three months.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denominated in foreign currencies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NAB Corporate Loan Facility</w:t>
      </w:r>
    </w:p>
    <w:p>
      <w:pPr>
        <w:spacing w:after="0" w:line="17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On March 15, 2019, we amended our Revolving Corporate Markets Loan Facility with National Australia Bank (“NAB”) from a facility comprised of (i) a AU$66.5 million loan facility with an interest rate of 0.95% above the Bank Bill Swap Bid Rate (“BBSY) and a maturity date of June 30, 2019 and (ii) a bank guarantee of AU$5.0 million at a rate of 1.90% per annum into a (i) AU$120.0 million Corporate Loan facility at rates of 0.85%-1.3% above BBSY depending on certain ratios with a due date of December 31, 2023, of which AU$80.0 million is revolving and AU$40.0 million is core and (ii) a Bank Guarantee Facility of AU$5.0 million at a rate of 1.85% per annum. Such modifications of this particular term loan were not considered to be substantial under U.S. GAAP.</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 August 6, 2020, we modified certain covenants within this Revolving Corporate Markets Loan Facility. These modifications apply until the quarter ended September 30, 2021. In addition, for the period in which these covenant modifications apply, the interest rate on amounts borrowed under the facility is 1.75%. Such a modification was not considered to be substantial under U.S. GAAP.</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On December 29, 2020, to fund the completion of our recently opened cinema in Jindalee, Queensland, we increased the core portion of our Revolving Corporate Markets Loan Facility by AU$3.0 million, and is repayable in installments by October 31, 2023. This amendment increases the Facility Limit to AU$123.0 million, which will be reduced back to AU $120.0 million as the Jindalee funding is repaid. We further modified certain covenants within this Revolving Corporate Markets Loan Facility with NAB.</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Zealand Westpac Bank Corporate Credit Facility</w:t>
      </w:r>
    </w:p>
    <w:p>
      <w:pPr>
        <w:spacing w:after="0" w:line="202" w:lineRule="exact"/>
        <w:rPr>
          <w:sz w:val="20"/>
          <w:szCs w:val="20"/>
          <w:color w:val="auto"/>
        </w:rPr>
      </w:pPr>
    </w:p>
    <w:p>
      <w:pPr>
        <w:ind w:right="100"/>
        <w:spacing w:after="0" w:line="226" w:lineRule="auto"/>
        <w:rPr>
          <w:sz w:val="20"/>
          <w:szCs w:val="20"/>
          <w:color w:val="auto"/>
        </w:rPr>
      </w:pPr>
      <w:r>
        <w:rPr>
          <w:rFonts w:ascii="Arial" w:cs="Arial" w:eastAsia="Arial" w:hAnsi="Arial"/>
          <w:sz w:val="16"/>
          <w:szCs w:val="16"/>
          <w:color w:val="auto"/>
        </w:rPr>
        <w:t>On December 20, 2018, we restructured our Westpac Corporate Credit Facilities. The maturity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tranche (general/non-construction credit line) was extended to December 31, 2023, with the available facility being reduced from NZ$35.0 million to NZ$32.0 million. The facility bears an interest rate of</w:t>
      </w:r>
    </w:p>
    <w:p>
      <w:pPr>
        <w:spacing w:after="0" w:line="1" w:lineRule="exact"/>
        <w:rPr>
          <w:sz w:val="20"/>
          <w:szCs w:val="20"/>
          <w:color w:val="auto"/>
        </w:rPr>
      </w:pPr>
    </w:p>
    <w:p>
      <w:pPr>
        <w:ind w:right="160"/>
        <w:spacing w:after="0" w:line="197" w:lineRule="auto"/>
        <w:rPr>
          <w:sz w:val="20"/>
          <w:szCs w:val="20"/>
          <w:color w:val="auto"/>
        </w:rPr>
      </w:pPr>
      <w:r>
        <w:rPr>
          <w:rFonts w:ascii="Arial" w:cs="Arial" w:eastAsia="Arial" w:hAnsi="Arial"/>
          <w:sz w:val="18"/>
          <w:szCs w:val="18"/>
          <w:color w:val="auto"/>
        </w:rPr>
        <w:t>1.75% above the Bank Bill Bid Rate on the drawn down balance and a 1.1% line of credit charge on the entire facility.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tranche (construction line) with a facility of NZ$18.0 million was removed.</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On June 29, 2020, Westpac pushed out the June 30, 2020 covenant testing date to July 31, 2020. On July 27, 2020, Westpac waived the requirement to test certain covenants as of July 31, 2020. This agreement also increased the interest rate and line of credit charge to 2.40% above the Bank Bill Bid Rate and</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1.65% respectively. The maturity date was extended to January 1, 2024. Such modifications of this facility were not considered to be substantial under U.S. GAAP. At the request of Westpac, we have deposited $10.6 million (NZ$16.0 million) in a term deposit with Westpac, as we have no current operating need for such funds in New Zealand. On September 15, 2020, Westpac waived the requirement to test certain covenants as of September 30, 2020. On December 8, 2020, Westpac waived the requirement to test certain covenants as of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amount of future principal debt payments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aggregate amount of future principal debt payments is estimated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Future</w:t>
            </w:r>
          </w:p>
        </w:tc>
      </w:tr>
      <w:tr>
        <w:trPr>
          <w:trHeight w:val="148"/>
        </w:trPr>
        <w:tc>
          <w:tcPr>
            <w:tcW w:w="9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7"/>
              </w:rPr>
              <w:t>Principal</w:t>
            </w:r>
          </w:p>
        </w:tc>
      </w:tr>
      <w:tr>
        <w:trPr>
          <w:trHeight w:val="178"/>
        </w:trPr>
        <w:tc>
          <w:tcPr>
            <w:tcW w:w="98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Debt Payments</w:t>
            </w:r>
          </w:p>
        </w:tc>
      </w:tr>
      <w:tr>
        <w:trPr>
          <w:trHeight w:val="189"/>
        </w:trPr>
        <w:tc>
          <w:tcPr>
            <w:tcW w:w="9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2021</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42,307</w:t>
            </w:r>
          </w:p>
        </w:tc>
      </w:tr>
      <w:tr>
        <w:trPr>
          <w:trHeight w:val="189"/>
        </w:trPr>
        <w:tc>
          <w:tcPr>
            <w:tcW w:w="970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25,020</w:t>
            </w:r>
          </w:p>
        </w:tc>
      </w:tr>
      <w:tr>
        <w:trPr>
          <w:trHeight w:val="189"/>
        </w:trPr>
        <w:tc>
          <w:tcPr>
            <w:tcW w:w="9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180,759</w:t>
            </w:r>
          </w:p>
        </w:tc>
      </w:tr>
      <w:tr>
        <w:trPr>
          <w:trHeight w:val="189"/>
        </w:trPr>
        <w:tc>
          <w:tcPr>
            <w:tcW w:w="970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881</w:t>
            </w:r>
          </w:p>
        </w:tc>
      </w:tr>
      <w:tr>
        <w:trPr>
          <w:trHeight w:val="189"/>
        </w:trPr>
        <w:tc>
          <w:tcPr>
            <w:tcW w:w="9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287</w:t>
            </w:r>
          </w:p>
        </w:tc>
      </w:tr>
      <w:tr>
        <w:trPr>
          <w:trHeight w:val="189"/>
        </w:trPr>
        <w:tc>
          <w:tcPr>
            <w:tcW w:w="98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35,705</w:t>
            </w:r>
          </w:p>
        </w:tc>
      </w:tr>
      <w:tr>
        <w:trPr>
          <w:trHeight w:val="190"/>
        </w:trPr>
        <w:tc>
          <w:tcPr>
            <w:tcW w:w="9860" w:type="dxa"/>
            <w:vAlign w:val="bottom"/>
            <w:tcBorders>
              <w:bottom w:val="single" w:sz="8" w:color="CCEEFF"/>
            </w:tcBorders>
            <w:gridSpan w:val="2"/>
            <w:shd w:val="clear" w:color="auto" w:fill="CCEEFF"/>
          </w:tcPr>
          <w:p>
            <w:pPr>
              <w:ind w:left="60"/>
              <w:spacing w:after="0" w:line="182" w:lineRule="exact"/>
              <w:rPr>
                <w:sz w:val="20"/>
                <w:szCs w:val="20"/>
                <w:color w:val="auto"/>
              </w:rPr>
            </w:pPr>
            <w:r>
              <w:rPr>
                <w:rFonts w:ascii="Arial" w:cs="Arial" w:eastAsia="Arial" w:hAnsi="Arial"/>
                <w:sz w:val="18"/>
                <w:szCs w:val="18"/>
                <w:b w:val="1"/>
                <w:bCs w:val="1"/>
                <w:color w:val="auto"/>
              </w:rPr>
              <w:t>Total future principal debt payments</w:t>
            </w: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284,959</w:t>
            </w:r>
          </w:p>
        </w:tc>
      </w:tr>
    </w:tbl>
    <w:p>
      <w:pPr>
        <w:spacing w:after="0" w:line="161"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The estimated amount of future principal payments in U.S. dollars is subject to change because the payments in U.S. dollars on the debt denominated in foreign currencies, which represent a significant portion of our total outstanding debt balance, will fluctuate based on the applicable foreign currency exchange rates.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auto"/>
        </w:rPr>
        <w:t>NOTE 12 – PENSION AND 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including pension are summarized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83"/>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16"/>
        </w:trPr>
        <w:tc>
          <w:tcPr>
            <w:tcW w:w="81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 for demolition and remediation costs</w:t>
            </w:r>
          </w:p>
        </w:tc>
        <w:tc>
          <w:tcPr>
            <w:tcW w:w="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r>
      <w:tr>
        <w:trPr>
          <w:trHeight w:val="257"/>
        </w:trPr>
        <w:tc>
          <w:tcPr>
            <w:tcW w:w="8180" w:type="dxa"/>
            <w:vAlign w:val="bottom"/>
          </w:tcPr>
          <w:p>
            <w:pPr>
              <w:ind w:left="220"/>
              <w:spacing w:after="0" w:line="256" w:lineRule="exact"/>
              <w:rPr>
                <w:sz w:val="20"/>
                <w:szCs w:val="20"/>
                <w:color w:val="auto"/>
              </w:rPr>
            </w:pPr>
            <w:r>
              <w:rPr>
                <w:rFonts w:ascii="Arial" w:cs="Arial" w:eastAsia="Arial" w:hAnsi="Arial"/>
                <w:sz w:val="18"/>
                <w:szCs w:val="18"/>
                <w:color w:val="auto"/>
              </w:rPr>
              <w:t>Accrued pension</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deposit payable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3"/>
        </w:trPr>
        <w:tc>
          <w:tcPr>
            <w:tcW w:w="81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b w:val="1"/>
                <w:bCs w:val="1"/>
                <w:color w:val="auto"/>
              </w:rPr>
              <w:t>Other current liabilities</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3,826</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3,653</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7"/>
        </w:trPr>
        <w:tc>
          <w:tcPr>
            <w:tcW w:w="8180" w:type="dxa"/>
            <w:vAlign w:val="bottom"/>
          </w:tcPr>
          <w:p>
            <w:pPr>
              <w:ind w:left="220"/>
              <w:spacing w:after="0" w:line="256" w:lineRule="exact"/>
              <w:rPr>
                <w:sz w:val="20"/>
                <w:szCs w:val="20"/>
                <w:color w:val="auto"/>
              </w:rPr>
            </w:pPr>
            <w:r>
              <w:rPr>
                <w:rFonts w:ascii="Arial" w:cs="Arial" w:eastAsia="Arial" w:hAnsi="Arial"/>
                <w:sz w:val="18"/>
                <w:szCs w:val="18"/>
                <w:color w:val="auto"/>
              </w:rPr>
              <w:t>Accrued pension</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4,048</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4,469</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make-good provision</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Deferred rent liability</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Environmental reserve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83"/>
        </w:trPr>
        <w:tc>
          <w:tcPr>
            <w:tcW w:w="8180" w:type="dxa"/>
            <w:vAlign w:val="bottom"/>
          </w:tcPr>
          <w:p>
            <w:pPr>
              <w:ind w:left="220"/>
              <w:spacing w:after="0" w:line="284" w:lineRule="exact"/>
              <w:rPr>
                <w:sz w:val="20"/>
                <w:szCs w:val="20"/>
                <w:color w:val="auto"/>
              </w:rPr>
            </w:pPr>
            <w:r>
              <w:rPr>
                <w:rFonts w:ascii="Arial" w:cs="Arial" w:eastAsia="Arial" w:hAnsi="Arial"/>
                <w:sz w:val="18"/>
                <w:szCs w:val="18"/>
                <w:color w:val="auto"/>
              </w:rPr>
              <w:t>Lease liability</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5,900</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5,900</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leases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3"/>
        </w:trPr>
        <w:tc>
          <w:tcPr>
            <w:tcW w:w="8180" w:type="dxa"/>
            <w:vAlign w:val="bottom"/>
          </w:tcPr>
          <w:p>
            <w:pPr>
              <w:ind w:left="220"/>
              <w:spacing w:after="0" w:line="196" w:lineRule="exact"/>
              <w:rPr>
                <w:sz w:val="20"/>
                <w:szCs w:val="20"/>
                <w:color w:val="auto"/>
              </w:rPr>
            </w:pPr>
            <w:r>
              <w:rPr>
                <w:rFonts w:ascii="Arial" w:cs="Arial" w:eastAsia="Arial" w:hAnsi="Arial"/>
                <w:sz w:val="18"/>
                <w:szCs w:val="18"/>
                <w:b w:val="1"/>
                <w:bCs w:val="1"/>
                <w:color w:val="auto"/>
              </w:rPr>
              <w:t>Other non-current liabilities</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22,017</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18,854</w:t>
            </w:r>
          </w:p>
        </w:tc>
      </w:tr>
    </w:tbl>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lease liability of the option associated with the ground lease purchase of the Village East Cinema. See below for more information.</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pension liability associated with the Supplemental Executive Retirement Plan explained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Liability – Village East Purchase Option</w:t>
      </w:r>
    </w:p>
    <w:p>
      <w:pPr>
        <w:spacing w:after="0" w:line="17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 xml:space="preserve">Our Village East lease included a call option pursuant to which we may purchase the cinema ground lease for $5.9 million at the end of the lease term in June 2020. Additionally, our lease has a put option pursuant to which SHC may require our Company to purchase all or a portion of SHC’s interest in the existing cinema lease and the cinema ground lease at any time between July 1, 2013 and December 4, 2019. Because our late Chairman, Chief Executive Officer, and controlling shareholder, Mr. James J. Cotter, Sr. was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$0.0 million presented under other liabilities which accreted up to the $5.9 million liability through July 1, 2013 (see Note 21 – </w:t>
      </w:r>
      <w:r>
        <w:rPr>
          <w:rFonts w:ascii="Arial" w:cs="Arial" w:eastAsia="Arial" w:hAnsi="Arial"/>
          <w:sz w:val="17"/>
          <w:szCs w:val="17"/>
          <w:i w:val="1"/>
          <w:iCs w:val="1"/>
          <w:color w:val="auto"/>
        </w:rPr>
        <w:t>Related Parties</w:t>
      </w:r>
      <w:r>
        <w:rPr>
          <w:rFonts w:ascii="Arial" w:cs="Arial" w:eastAsia="Arial" w:hAnsi="Arial"/>
          <w:sz w:val="17"/>
          <w:szCs w:val="17"/>
          <w:color w:val="auto"/>
        </w:rPr>
        <w:t>). On August 28, 2019, we exercised our option to acquire the ground lessee’s interest in the 13-year ground lease underlying and the real property assets constituting our Village East Cinema in Manhattan. The purchase price under the option is $5.9 million, being the lease liability of $5.9 million presented under other liabilities. It was initially agreed that the transaction would close on or about May 31, 2021.</w:t>
      </w:r>
    </w:p>
    <w:p>
      <w:pPr>
        <w:spacing w:after="0" w:line="149"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March 12, 2020, we amended the original agreement to (i) extend the term of the Citadel Cinemas, Inc. lease with Sutton Hill to January 31, 2022 and extend the put option to December 4, 2021 and (ii) at SHC’s request, in connection with our deferral of the closing date for our acquisition of SHC’s interest in the Village East Cinema, the Company reinstated and extended until December 4, 2021 SHC’s right to put that interest to us. That put right had previously expired on December 4, 2019. We were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 On March 29, 2021, we extended this closing date to January 1,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Liability – Supplemental Executive Retirement Plan</w:t>
      </w:r>
    </w:p>
    <w:p>
      <w:pPr>
        <w:spacing w:after="0" w:line="171" w:lineRule="exact"/>
        <w:rPr>
          <w:sz w:val="20"/>
          <w:szCs w:val="20"/>
          <w:color w:val="auto"/>
        </w:rPr>
      </w:pPr>
    </w:p>
    <w:p>
      <w:pPr>
        <w:ind w:right="240"/>
        <w:spacing w:after="0" w:line="222" w:lineRule="auto"/>
        <w:rPr>
          <w:sz w:val="20"/>
          <w:szCs w:val="20"/>
          <w:color w:val="auto"/>
        </w:rPr>
      </w:pPr>
      <w:r>
        <w:rPr>
          <w:rFonts w:ascii="Arial" w:cs="Arial" w:eastAsia="Arial" w:hAnsi="Arial"/>
          <w:sz w:val="18"/>
          <w:szCs w:val="18"/>
          <w:color w:val="auto"/>
        </w:rPr>
        <w:t>On August 29, 2014, the Supplemental Executive Retirement Plan (“SERP”) that was effective since March 1, 2007, was ended and replaced with a new pension annuity. As a result of the termination of the SERP program, the accrued pension liability of $7.6 million was reversed and replaced with a new pension annuity liability of $7.5 million. The valuation of the liability is based on the present value of $10.2 million discounted at 4.25% over a 15-year term, resulting in a monthly payment of $57,000 payable to the estate of Mr. James J. Cotter, Sr. The discounted value of $2.7 million (which is the difference between the estimated payout of $10.2 million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4" w:name="page105"/>
    <w:bookmarkEnd w:id="104"/>
    <w:p>
      <w:pPr>
        <w:ind w:right="920"/>
        <w:spacing w:after="0" w:line="246" w:lineRule="auto"/>
        <w:rPr>
          <w:sz w:val="20"/>
          <w:szCs w:val="20"/>
          <w:color w:val="auto"/>
        </w:rPr>
      </w:pPr>
      <w:r>
        <w:rPr>
          <w:rFonts w:ascii="Arial" w:cs="Arial" w:eastAsia="Arial" w:hAnsi="Arial"/>
          <w:sz w:val="18"/>
          <w:szCs w:val="18"/>
          <w:color w:val="auto"/>
        </w:rPr>
        <w:t>and the present value of $7.5 million) will be amortized and expensed based on the 15-year term. In addition, the accumulated actuarial loss of $3.1 million recorded, as part of other comprehensive income, will also be amortized based on the 15-year term.</w:t>
      </w:r>
    </w:p>
    <w:p>
      <w:pPr>
        <w:spacing w:after="0" w:line="143"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As a result of the above, included in our other current and non-current liabilities are accrued pension costs of $4.7 million and $5.2 million as of December 31, 2020 and 2019, respectively. The benefits of our pension plans are fully vested and therefore no service costs were recognized 2020 and 2019. Our pension plans are unfunded.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SERP pension benefit obligation and the funded status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obligation at January 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Payments made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Benefit obligation at December 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4,732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5,153</w:t>
            </w:r>
          </w:p>
        </w:tc>
        <w:tc>
          <w:tcPr>
            <w:tcW w:w="0" w:type="dxa"/>
            <w:vAlign w:val="bottom"/>
          </w:tcPr>
          <w:p>
            <w:pPr>
              <w:spacing w:after="0"/>
              <w:rPr>
                <w:sz w:val="1"/>
                <w:szCs w:val="1"/>
                <w:color w:val="auto"/>
              </w:rPr>
            </w:pPr>
          </w:p>
        </w:tc>
      </w:tr>
      <w:tr>
        <w:trPr>
          <w:trHeight w:val="197"/>
        </w:trPr>
        <w:tc>
          <w:tcPr>
            <w:tcW w:w="8180" w:type="dxa"/>
            <w:vAlign w:val="bottom"/>
          </w:tcPr>
          <w:p>
            <w:pPr>
              <w:spacing w:after="0" w:line="189" w:lineRule="exact"/>
              <w:rPr>
                <w:sz w:val="20"/>
                <w:szCs w:val="20"/>
                <w:color w:val="auto"/>
              </w:rPr>
            </w:pPr>
            <w:r>
              <w:rPr>
                <w:rFonts w:ascii="Arial" w:cs="Arial" w:eastAsia="Arial" w:hAnsi="Arial"/>
                <w:sz w:val="18"/>
                <w:szCs w:val="18"/>
                <w:b w:val="1"/>
                <w:bCs w:val="1"/>
                <w:color w:val="auto"/>
              </w:rPr>
              <w:t>Unfunded status at December 31</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w w:val="91"/>
              </w:rPr>
              <w:t>(4,732)</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(5,153)</w:t>
            </w:r>
          </w:p>
        </w:tc>
        <w:tc>
          <w:tcPr>
            <w:tcW w:w="0" w:type="dxa"/>
            <w:vAlign w:val="bottom"/>
          </w:tcPr>
          <w:p>
            <w:pPr>
              <w:spacing w:after="0"/>
              <w:rPr>
                <w:sz w:val="1"/>
                <w:szCs w:val="1"/>
                <w:color w:val="auto"/>
              </w:rPr>
            </w:pPr>
          </w:p>
        </w:tc>
      </w:tr>
      <w:tr>
        <w:trPr>
          <w:trHeight w:val="392"/>
        </w:trPr>
        <w:tc>
          <w:tcPr>
            <w:tcW w:w="8180" w:type="dxa"/>
            <w:vAlign w:val="bottom"/>
          </w:tcPr>
          <w:p>
            <w:pPr>
              <w:spacing w:after="0"/>
              <w:rPr>
                <w:sz w:val="20"/>
                <w:szCs w:val="20"/>
                <w:color w:val="auto"/>
              </w:rPr>
            </w:pPr>
            <w:r>
              <w:rPr>
                <w:rFonts w:ascii="Arial" w:cs="Arial" w:eastAsia="Arial" w:hAnsi="Arial"/>
                <w:sz w:val="18"/>
                <w:szCs w:val="18"/>
                <w:color w:val="auto"/>
              </w:rPr>
              <w:t>Amounts recognized in the balance sheet consists of:</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3"/>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liabilities - Non current</w:t>
            </w: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4,048</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pension liability</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4,732</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5,153</w:t>
            </w:r>
          </w:p>
        </w:tc>
        <w:tc>
          <w:tcPr>
            <w:tcW w:w="0" w:type="dxa"/>
            <w:vAlign w:val="bottom"/>
          </w:tcPr>
          <w:p>
            <w:pPr>
              <w:spacing w:after="0"/>
              <w:rPr>
                <w:sz w:val="1"/>
                <w:szCs w:val="1"/>
                <w:color w:val="auto"/>
              </w:rPr>
            </w:pPr>
          </w:p>
        </w:tc>
      </w:tr>
      <w:tr>
        <w:trPr>
          <w:trHeight w:val="392"/>
        </w:trPr>
        <w:tc>
          <w:tcPr>
            <w:tcW w:w="9160" w:type="dxa"/>
            <w:vAlign w:val="bottom"/>
            <w:gridSpan w:val="3"/>
          </w:tcPr>
          <w:p>
            <w:pPr>
              <w:spacing w:after="0"/>
              <w:rPr>
                <w:sz w:val="20"/>
                <w:szCs w:val="20"/>
                <w:color w:val="auto"/>
              </w:rPr>
            </w:pPr>
            <w:r>
              <w:rPr>
                <w:rFonts w:ascii="Arial" w:cs="Arial" w:eastAsia="Arial" w:hAnsi="Arial"/>
                <w:sz w:val="18"/>
                <w:szCs w:val="18"/>
                <w:color w:val="auto"/>
                <w:w w:val="91"/>
              </w:rPr>
              <w:t>The components of the net periodic benefit cost and other amounts recognized in other comprehensive income are as follows: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1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periodic benefit cost</w:t>
            </w: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98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w:t>
            </w:r>
          </w:p>
        </w:tc>
        <w:tc>
          <w:tcPr>
            <w:tcW w:w="1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recognized in other comprehensive income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aloss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recognized in other comprehensive income</w:t>
            </w:r>
          </w:p>
        </w:tc>
        <w:tc>
          <w:tcPr>
            <w:tcW w:w="1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recognized in net periodic benefit cost and other comprehensive income</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262</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483</w:t>
            </w:r>
          </w:p>
        </w:tc>
        <w:tc>
          <w:tcPr>
            <w:tcW w:w="0" w:type="dxa"/>
            <w:vAlign w:val="bottom"/>
          </w:tcPr>
          <w:p>
            <w:pPr>
              <w:spacing w:after="0"/>
              <w:rPr>
                <w:sz w:val="1"/>
                <w:szCs w:val="1"/>
                <w:color w:val="auto"/>
              </w:rPr>
            </w:pPr>
          </w:p>
        </w:tc>
      </w:tr>
      <w:tr>
        <w:trPr>
          <w:trHeight w:val="378"/>
        </w:trPr>
        <w:tc>
          <w:tcPr>
            <w:tcW w:w="8180" w:type="dxa"/>
            <w:vAlign w:val="bottom"/>
          </w:tcPr>
          <w:p>
            <w:pPr>
              <w:spacing w:after="0"/>
              <w:rPr>
                <w:sz w:val="20"/>
                <w:szCs w:val="20"/>
                <w:color w:val="auto"/>
              </w:rPr>
            </w:pPr>
            <w:r>
              <w:rPr>
                <w:rFonts w:ascii="Arial" w:cs="Arial" w:eastAsia="Arial" w:hAnsi="Arial"/>
                <w:sz w:val="18"/>
                <w:szCs w:val="18"/>
                <w:color w:val="auto"/>
              </w:rPr>
              <w:t>Items not yet recognized as a component of net periodic pension cost consist of the following:</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1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Unamortized actuarial loss</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03"/>
        </w:trPr>
        <w:tc>
          <w:tcPr>
            <w:tcW w:w="8180" w:type="dxa"/>
            <w:vAlign w:val="bottom"/>
          </w:tcPr>
          <w:p>
            <w:pPr>
              <w:spacing w:after="0" w:line="196" w:lineRule="exact"/>
              <w:rPr>
                <w:sz w:val="20"/>
                <w:szCs w:val="20"/>
                <w:color w:val="auto"/>
              </w:rPr>
            </w:pPr>
            <w:r>
              <w:rPr>
                <w:rFonts w:ascii="Arial" w:cs="Arial" w:eastAsia="Arial" w:hAnsi="Arial"/>
                <w:sz w:val="18"/>
                <w:szCs w:val="18"/>
                <w:b w:val="1"/>
                <w:bCs w:val="1"/>
                <w:color w:val="auto"/>
              </w:rPr>
              <w:t>Accumulated other comprehensive income</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2,135</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2,287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estimated unamortized actuarial loss for the defined benefit pension plan that will be amortized from accumulated other comprehensive income into net periodic benefit cost over the next fiscal year will be $207,000 (gross of any tax effects).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The following table presents estimated future benefit payments for the next five years and thereafter as of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Estimated</w:t>
            </w:r>
          </w:p>
        </w:tc>
      </w:tr>
      <w:tr>
        <w:trPr>
          <w:trHeight w:val="148"/>
        </w:trPr>
        <w:tc>
          <w:tcPr>
            <w:tcW w:w="9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Future</w:t>
            </w:r>
          </w:p>
        </w:tc>
      </w:tr>
      <w:tr>
        <w:trPr>
          <w:trHeight w:val="149"/>
        </w:trPr>
        <w:tc>
          <w:tcPr>
            <w:tcW w:w="9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8"/>
              </w:rPr>
              <w:t>Pension</w:t>
            </w:r>
          </w:p>
        </w:tc>
      </w:tr>
      <w:tr>
        <w:trPr>
          <w:trHeight w:val="178"/>
        </w:trPr>
        <w:tc>
          <w:tcPr>
            <w:tcW w:w="98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Payments</w:t>
            </w:r>
          </w:p>
        </w:tc>
      </w:tr>
      <w:tr>
        <w:trPr>
          <w:trHeight w:val="189"/>
        </w:trPr>
        <w:tc>
          <w:tcPr>
            <w:tcW w:w="9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2021</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684</w:t>
            </w:r>
          </w:p>
        </w:tc>
      </w:tr>
      <w:tr>
        <w:trPr>
          <w:trHeight w:val="189"/>
        </w:trPr>
        <w:tc>
          <w:tcPr>
            <w:tcW w:w="970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684</w:t>
            </w:r>
          </w:p>
        </w:tc>
      </w:tr>
      <w:tr>
        <w:trPr>
          <w:trHeight w:val="189"/>
        </w:trPr>
        <w:tc>
          <w:tcPr>
            <w:tcW w:w="9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684</w:t>
            </w:r>
          </w:p>
        </w:tc>
      </w:tr>
      <w:tr>
        <w:trPr>
          <w:trHeight w:val="189"/>
        </w:trPr>
        <w:tc>
          <w:tcPr>
            <w:tcW w:w="970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684</w:t>
            </w:r>
          </w:p>
        </w:tc>
      </w:tr>
      <w:tr>
        <w:trPr>
          <w:trHeight w:val="189"/>
        </w:trPr>
        <w:tc>
          <w:tcPr>
            <w:tcW w:w="9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684</w:t>
            </w:r>
          </w:p>
        </w:tc>
      </w:tr>
      <w:tr>
        <w:trPr>
          <w:trHeight w:val="189"/>
        </w:trPr>
        <w:tc>
          <w:tcPr>
            <w:tcW w:w="98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1,312</w:t>
            </w:r>
          </w:p>
        </w:tc>
      </w:tr>
      <w:tr>
        <w:trPr>
          <w:trHeight w:val="183"/>
        </w:trPr>
        <w:tc>
          <w:tcPr>
            <w:tcW w:w="98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pension payments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4,732</w:t>
            </w:r>
          </w:p>
        </w:tc>
      </w:tr>
      <w:tr>
        <w:trPr>
          <w:trHeight w:val="20"/>
        </w:trPr>
        <w:tc>
          <w:tcPr>
            <w:tcW w:w="9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Make-Good Provision</w:t>
      </w:r>
    </w:p>
    <w:p>
      <w:pPr>
        <w:spacing w:after="0" w:line="17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carrying amounts of the lease make-good provision is presented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As of and for</w:t>
            </w:r>
          </w:p>
        </w:tc>
        <w:tc>
          <w:tcPr>
            <w:tcW w:w="160" w:type="dxa"/>
            <w:vAlign w:val="bottom"/>
          </w:tcPr>
          <w:p>
            <w:pPr>
              <w:spacing w:after="0"/>
              <w:rPr>
                <w:sz w:val="14"/>
                <w:szCs w:val="14"/>
                <w:color w:val="auto"/>
              </w:rPr>
            </w:pPr>
          </w:p>
        </w:tc>
        <w:tc>
          <w:tcPr>
            <w:tcW w:w="122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As of and for</w:t>
            </w:r>
          </w:p>
        </w:tc>
      </w:tr>
      <w:tr>
        <w:trPr>
          <w:trHeight w:val="148"/>
        </w:trPr>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the year ended</w:t>
            </w:r>
          </w:p>
        </w:tc>
        <w:tc>
          <w:tcPr>
            <w:tcW w:w="160" w:type="dxa"/>
            <w:vAlign w:val="bottom"/>
          </w:tcPr>
          <w:p>
            <w:pPr>
              <w:spacing w:after="0"/>
              <w:rPr>
                <w:sz w:val="12"/>
                <w:szCs w:val="12"/>
                <w:color w:val="auto"/>
              </w:rPr>
            </w:pPr>
          </w:p>
        </w:tc>
        <w:tc>
          <w:tcPr>
            <w:tcW w:w="12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the year ended</w:t>
            </w:r>
          </w:p>
        </w:tc>
      </w:tr>
      <w:tr>
        <w:trPr>
          <w:trHeight w:val="149"/>
        </w:trPr>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8"/>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Lease make-good provision, at January 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6,667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5,614</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Liabilities incurred during the year</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902</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 settled during the year</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(206)</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Accretion expense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291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352</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 of changes in foreign currency</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r>
      <w:tr>
        <w:trPr>
          <w:trHeight w:val="190"/>
        </w:trPr>
        <w:tc>
          <w:tcPr>
            <w:tcW w:w="8180" w:type="dxa"/>
            <w:vAlign w:val="bottom"/>
          </w:tcPr>
          <w:p>
            <w:pPr>
              <w:spacing w:after="0" w:line="182" w:lineRule="exact"/>
              <w:rPr>
                <w:sz w:val="20"/>
                <w:szCs w:val="20"/>
                <w:color w:val="auto"/>
              </w:rPr>
            </w:pPr>
            <w:r>
              <w:rPr>
                <w:rFonts w:ascii="Arial" w:cs="Arial" w:eastAsia="Arial" w:hAnsi="Arial"/>
                <w:sz w:val="18"/>
                <w:szCs w:val="18"/>
                <w:b w:val="1"/>
                <w:bCs w:val="1"/>
                <w:color w:val="auto"/>
              </w:rPr>
              <w:t>Lease make-good provision, at December 31</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7,408</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6,667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COMMITMENTS AND CONTINGENCIES</w:t>
      </w:r>
    </w:p>
    <w:p>
      <w:pPr>
        <w:spacing w:after="0" w:line="17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Insofar as our Company is aware, there are no claims, arbitration proceedings, or litigation proceedings that constitute material contingent liabilities of our Company. Such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Discussed below are certain litigation matters which, however, have been significant to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Matters</w:t>
      </w:r>
    </w:p>
    <w:p>
      <w:pPr>
        <w:spacing w:after="0" w:line="17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are currently involved in certain legal proceedings and, as required, have accrued estimates of probable and estimable losses for the resolution of these claims, including legal costs.</w:t>
      </w:r>
    </w:p>
    <w:p>
      <w:pPr>
        <w:spacing w:after="0" w:line="48" w:lineRule="exact"/>
        <w:rPr>
          <w:sz w:val="20"/>
          <w:szCs w:val="20"/>
          <w:color w:val="auto"/>
        </w:rPr>
      </w:pPr>
    </w:p>
    <w:p>
      <w:pPr>
        <w:ind w:left="660" w:right="80"/>
        <w:spacing w:after="0" w:line="272" w:lineRule="auto"/>
        <w:rPr>
          <w:sz w:val="20"/>
          <w:szCs w:val="20"/>
          <w:color w:val="auto"/>
        </w:rPr>
      </w:pPr>
      <w:r>
        <w:rPr>
          <w:rFonts w:ascii="Arial" w:cs="Arial" w:eastAsia="Arial" w:hAnsi="Arial"/>
          <w:sz w:val="16"/>
          <w:szCs w:val="16"/>
          <w:color w:val="auto"/>
        </w:rPr>
        <w:t xml:space="preserve">Where we are the </w:t>
      </w:r>
      <w:r>
        <w:rPr>
          <w:rFonts w:ascii="Arial" w:cs="Arial" w:eastAsia="Arial" w:hAnsi="Arial"/>
          <w:sz w:val="16"/>
          <w:szCs w:val="16"/>
          <w:i w:val="1"/>
          <w:iCs w:val="1"/>
          <w:u w:val="single" w:color="auto"/>
          <w:color w:val="auto"/>
        </w:rPr>
        <w:t>plaintiffs</w:t>
      </w:r>
      <w:r>
        <w:rPr>
          <w:rFonts w:ascii="Arial" w:cs="Arial" w:eastAsia="Arial" w:hAnsi="Arial"/>
          <w:sz w:val="16"/>
          <w:szCs w:val="16"/>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6" w:lineRule="exact"/>
        <w:rPr>
          <w:sz w:val="20"/>
          <w:szCs w:val="20"/>
          <w:color w:val="auto"/>
        </w:rPr>
      </w:pPr>
    </w:p>
    <w:p>
      <w:pPr>
        <w:ind w:left="660" w:right="20"/>
        <w:spacing w:after="0" w:line="262" w:lineRule="auto"/>
        <w:rPr>
          <w:sz w:val="20"/>
          <w:szCs w:val="20"/>
          <w:color w:val="auto"/>
        </w:rPr>
      </w:pPr>
      <w:r>
        <w:rPr>
          <w:rFonts w:ascii="Arial" w:cs="Arial" w:eastAsia="Arial" w:hAnsi="Arial"/>
          <w:sz w:val="16"/>
          <w:szCs w:val="16"/>
          <w:color w:val="auto"/>
        </w:rPr>
        <w:t xml:space="preserve">Where we are the </w:t>
      </w:r>
      <w:r>
        <w:rPr>
          <w:rFonts w:ascii="Arial" w:cs="Arial" w:eastAsia="Arial" w:hAnsi="Arial"/>
          <w:sz w:val="16"/>
          <w:szCs w:val="16"/>
          <w:i w:val="1"/>
          <w:iCs w:val="1"/>
          <w:u w:val="single" w:color="auto"/>
          <w:color w:val="auto"/>
        </w:rPr>
        <w:t>defendants</w:t>
      </w:r>
      <w:r>
        <w:rPr>
          <w:rFonts w:ascii="Arial" w:cs="Arial" w:eastAsia="Arial" w:hAnsi="Arial"/>
          <w:sz w:val="16"/>
          <w:szCs w:val="16"/>
          <w:color w:val="auto"/>
        </w:rPr>
        <w:t xml:space="preserve">, we accrue for probable damages that insurance may not cover as they become known and can be reasonably estimated, as permitted under ASC 450-20 </w:t>
      </w:r>
      <w:r>
        <w:rPr>
          <w:rFonts w:ascii="Arial" w:cs="Arial" w:eastAsia="Arial" w:hAnsi="Arial"/>
          <w:sz w:val="16"/>
          <w:szCs w:val="16"/>
          <w:i w:val="1"/>
          <w:iCs w:val="1"/>
          <w:color w:val="auto"/>
        </w:rPr>
        <w:t>Loss Contingencies</w:t>
      </w:r>
      <w:r>
        <w:rPr>
          <w:rFonts w:ascii="Arial" w:cs="Arial" w:eastAsia="Arial" w:hAnsi="Arial"/>
          <w:sz w:val="16"/>
          <w:szCs w:val="16"/>
          <w:color w:val="auto"/>
        </w:rPr>
        <w:t>.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u w:val="single" w:color="auto"/>
          <w:color w:val="auto"/>
        </w:rPr>
        <w:t>Environmental and Asbestos Claims on Reading Legacy Operations</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36"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Cotter Jr. Related Litigation Matters</w:t>
      </w:r>
    </w:p>
    <w:p>
      <w:pPr>
        <w:spacing w:after="0" w:line="171"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The following table provides a list of legal matters and their current status relating to the derivative action brought against the Company and our directors by James J. Cotter, Jr. (“Cotter, Jr.”) and to Cotter, Jr.’s efforts to cause a change of control of the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6"/>
        </w:trPr>
        <w:tc>
          <w:tcPr>
            <w:tcW w:w="31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Plaintiff</w:t>
            </w:r>
          </w:p>
        </w:tc>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Filed with</w:t>
            </w:r>
          </w:p>
        </w:tc>
        <w:tc>
          <w:tcPr>
            <w:tcW w:w="5060" w:type="dxa"/>
            <w:vAlign w:val="bottom"/>
            <w:tcBorders>
              <w:top w:val="single" w:sz="8" w:color="auto"/>
              <w:bottom w:val="single" w:sz="8" w:color="auto"/>
            </w:tcBorders>
          </w:tcPr>
          <w:p>
            <w:pPr>
              <w:ind w:left="2100"/>
              <w:spacing w:after="0"/>
              <w:rPr>
                <w:sz w:val="20"/>
                <w:szCs w:val="20"/>
                <w:color w:val="auto"/>
              </w:rPr>
            </w:pPr>
            <w:r>
              <w:rPr>
                <w:rFonts w:ascii="Arial" w:cs="Arial" w:eastAsia="Arial" w:hAnsi="Arial"/>
                <w:sz w:val="14"/>
                <w:szCs w:val="14"/>
                <w:b w:val="1"/>
                <w:bCs w:val="1"/>
                <w:color w:val="auto"/>
              </w:rPr>
              <w:t>Current Status</w:t>
            </w:r>
          </w:p>
        </w:tc>
        <w:tc>
          <w:tcPr>
            <w:tcW w:w="0" w:type="dxa"/>
            <w:vAlign w:val="bottom"/>
          </w:tcPr>
          <w:p>
            <w:pPr>
              <w:spacing w:after="0"/>
              <w:rPr>
                <w:sz w:val="1"/>
                <w:szCs w:val="1"/>
                <w:color w:val="auto"/>
              </w:rPr>
            </w:pPr>
          </w:p>
        </w:tc>
      </w:tr>
      <w:tr>
        <w:trPr>
          <w:trHeight w:val="132"/>
        </w:trPr>
        <w:tc>
          <w:tcPr>
            <w:tcW w:w="3100" w:type="dxa"/>
            <w:vAlign w:val="bottom"/>
            <w:shd w:val="clear" w:color="auto" w:fill="CCEEFF"/>
          </w:tcPr>
          <w:p>
            <w:pPr>
              <w:ind w:left="200"/>
              <w:spacing w:after="0" w:line="132" w:lineRule="exact"/>
              <w:rPr>
                <w:sz w:val="20"/>
                <w:szCs w:val="20"/>
                <w:color w:val="auto"/>
              </w:rPr>
            </w:pPr>
            <w:r>
              <w:rPr>
                <w:rFonts w:ascii="Arial" w:cs="Arial" w:eastAsia="Arial" w:hAnsi="Arial"/>
                <w:sz w:val="15"/>
                <w:szCs w:val="15"/>
                <w:color w:val="auto"/>
              </w:rPr>
              <w:t>Cotter, Jr. Derivative Litigation against all</w:t>
            </w:r>
          </w:p>
        </w:tc>
        <w:tc>
          <w:tcPr>
            <w:tcW w:w="1220" w:type="dxa"/>
            <w:vAlign w:val="bottom"/>
            <w:shd w:val="clear" w:color="auto" w:fill="CCEEFF"/>
          </w:tcPr>
          <w:p>
            <w:pPr>
              <w:jc w:val="center"/>
              <w:spacing w:after="0" w:line="132" w:lineRule="exact"/>
              <w:rPr>
                <w:sz w:val="20"/>
                <w:szCs w:val="20"/>
                <w:color w:val="auto"/>
              </w:rPr>
            </w:pPr>
            <w:r>
              <w:rPr>
                <w:rFonts w:ascii="Arial" w:cs="Arial" w:eastAsia="Arial" w:hAnsi="Arial"/>
                <w:sz w:val="15"/>
                <w:szCs w:val="15"/>
                <w:color w:val="auto"/>
                <w:w w:val="94"/>
              </w:rPr>
              <w:t>Cotter, Jr.</w:t>
            </w:r>
          </w:p>
        </w:tc>
        <w:tc>
          <w:tcPr>
            <w:tcW w:w="1860" w:type="dxa"/>
            <w:vAlign w:val="bottom"/>
            <w:shd w:val="clear" w:color="auto" w:fill="CCEEFF"/>
          </w:tcPr>
          <w:p>
            <w:pPr>
              <w:ind w:left="200"/>
              <w:spacing w:after="0" w:line="132" w:lineRule="exact"/>
              <w:rPr>
                <w:sz w:val="20"/>
                <w:szCs w:val="20"/>
                <w:color w:val="auto"/>
              </w:rPr>
            </w:pPr>
            <w:r>
              <w:rPr>
                <w:rFonts w:ascii="Arial" w:cs="Arial" w:eastAsia="Arial" w:hAnsi="Arial"/>
                <w:sz w:val="15"/>
                <w:szCs w:val="15"/>
                <w:color w:val="auto"/>
              </w:rPr>
              <w:t>Nevada District Court</w:t>
            </w:r>
          </w:p>
        </w:tc>
        <w:tc>
          <w:tcPr>
            <w:tcW w:w="5060" w:type="dxa"/>
            <w:vAlign w:val="bottom"/>
            <w:shd w:val="clear" w:color="auto" w:fill="CCEEFF"/>
          </w:tcPr>
          <w:p>
            <w:pPr>
              <w:ind w:left="60"/>
              <w:spacing w:after="0" w:line="132" w:lineRule="exact"/>
              <w:rPr>
                <w:sz w:val="20"/>
                <w:szCs w:val="20"/>
                <w:color w:val="auto"/>
              </w:rPr>
            </w:pPr>
            <w:r>
              <w:rPr>
                <w:rFonts w:ascii="Arial" w:cs="Arial" w:eastAsia="Arial" w:hAnsi="Arial"/>
                <w:sz w:val="15"/>
                <w:szCs w:val="15"/>
                <w:color w:val="auto"/>
                <w:w w:val="98"/>
              </w:rPr>
              <w:t>On October 1, 2020, the Nevada Supreme Court determined that the District</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9"/>
              </w:rPr>
              <w:t xml:space="preserve">Director: </w:t>
            </w:r>
            <w:r>
              <w:rPr>
                <w:rFonts w:ascii="Arial" w:cs="Arial" w:eastAsia="Arial" w:hAnsi="Arial"/>
                <w:sz w:val="16"/>
                <w:szCs w:val="16"/>
                <w:i w:val="1"/>
                <w:iCs w:val="1"/>
                <w:color w:val="auto"/>
                <w:w w:val="99"/>
              </w:rPr>
              <w:t>James J. Cotter, Jr., individually</w:t>
            </w:r>
          </w:p>
        </w:tc>
        <w:tc>
          <w:tcPr>
            <w:tcW w:w="12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0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w w:val="93"/>
              </w:rPr>
              <w:t>Court had erred when it denied the defendants’ motions to dismiss the case</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i w:val="1"/>
                <w:iCs w:val="1"/>
                <w:color w:val="auto"/>
              </w:rPr>
              <w:t>and derivatively on behalf of Reading</w:t>
            </w:r>
          </w:p>
        </w:tc>
        <w:tc>
          <w:tcPr>
            <w:tcW w:w="12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0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w w:val="91"/>
              </w:rPr>
              <w:t>for lack of standing on the part of Cotter, Jr., to bring such an action, vacated</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i w:val="1"/>
                <w:iCs w:val="1"/>
                <w:color w:val="auto"/>
              </w:rPr>
              <w:t>International, Inc. vs. Margaret Cotter, et</w:t>
            </w:r>
          </w:p>
        </w:tc>
        <w:tc>
          <w:tcPr>
            <w:tcW w:w="12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0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w w:val="93"/>
              </w:rPr>
              <w:t>the District Court’s orders denying the motions to dismiss and remanded for</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i w:val="1"/>
                <w:iCs w:val="1"/>
                <w:color w:val="auto"/>
              </w:rPr>
              <w:t xml:space="preserve">al.” </w:t>
            </w:r>
            <w:r>
              <w:rPr>
                <w:rFonts w:ascii="Arial" w:cs="Arial" w:eastAsia="Arial" w:hAnsi="Arial"/>
                <w:sz w:val="16"/>
                <w:szCs w:val="16"/>
                <w:color w:val="auto"/>
              </w:rPr>
              <w:t>Case No,: A-15-719860-V</w:t>
            </w:r>
          </w:p>
        </w:tc>
        <w:tc>
          <w:tcPr>
            <w:tcW w:w="12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0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w w:val="93"/>
              </w:rPr>
              <w:t>entry of judgment.  The Supreme Court sustained the District Court’s award</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0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w w:val="97"/>
              </w:rPr>
              <w:t>to our Company of costs in the amount of $809,000 and having received</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0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w w:val="95"/>
              </w:rPr>
              <w:t>such amount, Reading authorized the District Court to enter satisfaction of</w:t>
            </w:r>
          </w:p>
        </w:tc>
        <w:tc>
          <w:tcPr>
            <w:tcW w:w="0" w:type="dxa"/>
            <w:vAlign w:val="bottom"/>
          </w:tcPr>
          <w:p>
            <w:pPr>
              <w:spacing w:after="0"/>
              <w:rPr>
                <w:sz w:val="1"/>
                <w:szCs w:val="1"/>
                <w:color w:val="auto"/>
              </w:rPr>
            </w:pPr>
          </w:p>
        </w:tc>
      </w:tr>
      <w:tr>
        <w:trPr>
          <w:trHeight w:val="185"/>
        </w:trPr>
        <w:tc>
          <w:tcPr>
            <w:tcW w:w="3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judgment on January 6, 2021.  This matter is now at an end.</w:t>
            </w:r>
          </w:p>
        </w:tc>
        <w:tc>
          <w:tcPr>
            <w:tcW w:w="0" w:type="dxa"/>
            <w:vAlign w:val="bottom"/>
          </w:tcPr>
          <w:p>
            <w:pPr>
              <w:spacing w:after="0"/>
              <w:rPr>
                <w:sz w:val="1"/>
                <w:szCs w:val="1"/>
                <w:color w:val="auto"/>
              </w:rPr>
            </w:pPr>
          </w:p>
        </w:tc>
      </w:tr>
      <w:tr>
        <w:trPr>
          <w:trHeight w:val="139"/>
        </w:trPr>
        <w:tc>
          <w:tcPr>
            <w:tcW w:w="3100" w:type="dxa"/>
            <w:vAlign w:val="bottom"/>
          </w:tcPr>
          <w:p>
            <w:pPr>
              <w:ind w:left="200"/>
              <w:spacing w:after="0" w:line="138" w:lineRule="exact"/>
              <w:rPr>
                <w:sz w:val="20"/>
                <w:szCs w:val="20"/>
                <w:color w:val="auto"/>
              </w:rPr>
            </w:pPr>
            <w:r>
              <w:rPr>
                <w:rFonts w:ascii="Arial" w:cs="Arial" w:eastAsia="Arial" w:hAnsi="Arial"/>
                <w:sz w:val="16"/>
                <w:szCs w:val="16"/>
                <w:color w:val="auto"/>
              </w:rPr>
              <w:t>Cotter Trust Litigation: Determination of</w:t>
            </w:r>
          </w:p>
        </w:tc>
        <w:tc>
          <w:tcPr>
            <w:tcW w:w="1220" w:type="dxa"/>
            <w:vAlign w:val="bottom"/>
          </w:tcPr>
          <w:p>
            <w:pPr>
              <w:ind w:left="60"/>
              <w:spacing w:after="0" w:line="138" w:lineRule="exact"/>
              <w:rPr>
                <w:sz w:val="20"/>
                <w:szCs w:val="20"/>
                <w:color w:val="auto"/>
              </w:rPr>
            </w:pPr>
            <w:r>
              <w:rPr>
                <w:rFonts w:ascii="Arial" w:cs="Arial" w:eastAsia="Arial" w:hAnsi="Arial"/>
                <w:sz w:val="16"/>
                <w:szCs w:val="16"/>
                <w:color w:val="auto"/>
                <w:w w:val="99"/>
              </w:rPr>
              <w:t>Ellen Cotter and</w:t>
            </w:r>
          </w:p>
        </w:tc>
        <w:tc>
          <w:tcPr>
            <w:tcW w:w="1860" w:type="dxa"/>
            <w:vAlign w:val="bottom"/>
          </w:tcPr>
          <w:p>
            <w:pPr>
              <w:jc w:val="center"/>
              <w:spacing w:after="0" w:line="138" w:lineRule="exact"/>
              <w:rPr>
                <w:sz w:val="20"/>
                <w:szCs w:val="20"/>
                <w:color w:val="auto"/>
              </w:rPr>
            </w:pPr>
            <w:r>
              <w:rPr>
                <w:rFonts w:ascii="Arial" w:cs="Arial" w:eastAsia="Arial" w:hAnsi="Arial"/>
                <w:sz w:val="16"/>
                <w:szCs w:val="16"/>
                <w:color w:val="auto"/>
                <w:w w:val="94"/>
              </w:rPr>
              <w:t>California Superior Court</w:t>
            </w:r>
          </w:p>
        </w:tc>
        <w:tc>
          <w:tcPr>
            <w:tcW w:w="5060" w:type="dxa"/>
            <w:vAlign w:val="bottom"/>
          </w:tcPr>
          <w:p>
            <w:pPr>
              <w:ind w:left="60"/>
              <w:spacing w:after="0" w:line="138" w:lineRule="exact"/>
              <w:rPr>
                <w:sz w:val="20"/>
                <w:szCs w:val="20"/>
                <w:color w:val="auto"/>
              </w:rPr>
            </w:pPr>
            <w:r>
              <w:rPr>
                <w:rFonts w:ascii="Arial" w:cs="Arial" w:eastAsia="Arial" w:hAnsi="Arial"/>
                <w:sz w:val="16"/>
                <w:szCs w:val="16"/>
                <w:color w:val="auto"/>
                <w:w w:val="96"/>
              </w:rPr>
              <w:t>The California Superior Court has ruled that Cotter, Jr., is not a trustee of</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6"/>
                <w:szCs w:val="16"/>
                <w:color w:val="auto"/>
                <w:w w:val="92"/>
              </w:rPr>
              <w:t xml:space="preserve">Status of Cotter, Jr., as Trustee: </w:t>
            </w:r>
            <w:r>
              <w:rPr>
                <w:rFonts w:ascii="Arial" w:cs="Arial" w:eastAsia="Arial" w:hAnsi="Arial"/>
                <w:sz w:val="16"/>
                <w:szCs w:val="16"/>
                <w:i w:val="1"/>
                <w:iCs w:val="1"/>
                <w:color w:val="auto"/>
                <w:w w:val="92"/>
              </w:rPr>
              <w:t>In re James</w:t>
            </w:r>
          </w:p>
        </w:tc>
        <w:tc>
          <w:tcPr>
            <w:tcW w:w="1220" w:type="dxa"/>
            <w:vAlign w:val="bottom"/>
          </w:tcPr>
          <w:p>
            <w:pPr>
              <w:ind w:left="60"/>
              <w:spacing w:after="0" w:line="162" w:lineRule="exact"/>
              <w:rPr>
                <w:sz w:val="20"/>
                <w:szCs w:val="20"/>
                <w:color w:val="auto"/>
              </w:rPr>
            </w:pPr>
            <w:r>
              <w:rPr>
                <w:rFonts w:ascii="Arial" w:cs="Arial" w:eastAsia="Arial" w:hAnsi="Arial"/>
                <w:sz w:val="16"/>
                <w:szCs w:val="16"/>
                <w:color w:val="auto"/>
                <w:w w:val="97"/>
              </w:rPr>
              <w:t>Margaret Cotter,</w:t>
            </w: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6"/>
              </w:rPr>
              <w:t>either the James J. Cotter Living Trust (the “Cotter Living Trust”) or of the</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6"/>
                <w:szCs w:val="16"/>
                <w:i w:val="1"/>
                <w:iCs w:val="1"/>
                <w:color w:val="auto"/>
                <w:w w:val="95"/>
              </w:rPr>
              <w:t>J. Cotter Living Trust dated August 1, 2000</w:t>
            </w:r>
          </w:p>
        </w:tc>
        <w:tc>
          <w:tcPr>
            <w:tcW w:w="1220" w:type="dxa"/>
            <w:vAlign w:val="bottom"/>
          </w:tcPr>
          <w:p>
            <w:pPr>
              <w:jc w:val="center"/>
              <w:spacing w:after="0" w:line="162" w:lineRule="exact"/>
              <w:rPr>
                <w:sz w:val="20"/>
                <w:szCs w:val="20"/>
                <w:color w:val="auto"/>
              </w:rPr>
            </w:pPr>
            <w:r>
              <w:rPr>
                <w:rFonts w:ascii="Arial" w:cs="Arial" w:eastAsia="Arial" w:hAnsi="Arial"/>
                <w:sz w:val="16"/>
                <w:szCs w:val="16"/>
                <w:color w:val="auto"/>
                <w:w w:val="86"/>
              </w:rPr>
              <w:t>as Trustees</w:t>
            </w: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8"/>
              </w:rPr>
              <w:t>voting trust established under the Cotter Living Trust (the “Cotter Voting</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6"/>
                <w:szCs w:val="16"/>
                <w:color w:val="auto"/>
              </w:rPr>
              <w:t>(Case No. BP159755)</w:t>
            </w: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7"/>
              </w:rPr>
              <w:t>Trust”) to eventually hold the Class B Voting Common Stock beneficially</w:t>
            </w:r>
          </w:p>
        </w:tc>
        <w:tc>
          <w:tcPr>
            <w:tcW w:w="0" w:type="dxa"/>
            <w:vAlign w:val="bottom"/>
          </w:tcPr>
          <w:p>
            <w:pPr>
              <w:spacing w:after="0"/>
              <w:rPr>
                <w:sz w:val="1"/>
                <w:szCs w:val="1"/>
                <w:color w:val="auto"/>
              </w:rPr>
            </w:pPr>
          </w:p>
        </w:tc>
      </w:tr>
      <w:tr>
        <w:trPr>
          <w:trHeight w:val="162"/>
        </w:trPr>
        <w:tc>
          <w:tcPr>
            <w:tcW w:w="3100" w:type="dxa"/>
            <w:vAlign w:val="bottom"/>
            <w:vMerge w:val="restart"/>
          </w:tcPr>
          <w:p>
            <w:pPr>
              <w:ind w:left="180"/>
              <w:spacing w:after="0"/>
              <w:rPr>
                <w:sz w:val="20"/>
                <w:szCs w:val="20"/>
                <w:color w:val="auto"/>
              </w:rPr>
            </w:pPr>
            <w:r>
              <w:rPr>
                <w:rFonts w:ascii="Arial" w:cs="Arial" w:eastAsia="Arial" w:hAnsi="Arial"/>
                <w:sz w:val="16"/>
                <w:szCs w:val="16"/>
                <w:color w:val="auto"/>
              </w:rPr>
              <w:t>Our Company is not a party to the Trust</w:t>
            </w: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3"/>
              </w:rPr>
              <w:t>owned by Mr. Cotter, Sr., at the time of his passing. The California Superior</w:t>
            </w:r>
          </w:p>
        </w:tc>
        <w:tc>
          <w:tcPr>
            <w:tcW w:w="0" w:type="dxa"/>
            <w:vAlign w:val="bottom"/>
          </w:tcPr>
          <w:p>
            <w:pPr>
              <w:spacing w:after="0"/>
              <w:rPr>
                <w:sz w:val="1"/>
                <w:szCs w:val="1"/>
                <w:color w:val="auto"/>
              </w:rPr>
            </w:pPr>
          </w:p>
        </w:tc>
      </w:tr>
      <w:tr>
        <w:trPr>
          <w:trHeight w:val="162"/>
        </w:trPr>
        <w:tc>
          <w:tcPr>
            <w:tcW w:w="31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4"/>
              </w:rPr>
              <w:t>Court further determined that Ellen Cotter and Margaret Cotter are the sole</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6"/>
                <w:szCs w:val="16"/>
                <w:color w:val="auto"/>
              </w:rPr>
              <w:t>Litigation. However, as the Cotter Voting</w:t>
            </w: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rPr>
              <w:t>trustees of the Cotter Living Trust and that Margaret Cotter is the sole</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6"/>
                <w:szCs w:val="16"/>
                <w:color w:val="auto"/>
              </w:rPr>
              <w:t>Trust is anticipated to at some currently</w:t>
            </w: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rPr>
              <w:t>trustee of the Cotter Voting Trust. Accordingly, Cotter, Jr., has neither</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6"/>
                <w:szCs w:val="16"/>
                <w:color w:val="auto"/>
                <w:w w:val="93"/>
              </w:rPr>
              <w:t>undetermined future date, to hold a majority</w:t>
            </w: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3"/>
              </w:rPr>
              <w:t>dispositive power nor voting power over any of the Class B Voting Common</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6"/>
                <w:szCs w:val="16"/>
                <w:color w:val="auto"/>
              </w:rPr>
              <w:t>of our Company’s voting control, we</w:t>
            </w: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rPr>
              <w:t>Stock currently held by the Cotter Estate or the Cotter Living Trust, or</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6"/>
                <w:szCs w:val="16"/>
                <w:color w:val="auto"/>
              </w:rPr>
              <w:t>include here certain information as to the</w:t>
            </w: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7"/>
              </w:rPr>
              <w:t>which it is anticipated will be held by the Cotter Voting Trust. The time to</w:t>
            </w: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status of that litigation.</w:t>
            </w:r>
          </w:p>
        </w:tc>
        <w:tc>
          <w:tcPr>
            <w:tcW w:w="1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appeal that ruling has now lapsed.</w:t>
            </w:r>
          </w:p>
        </w:tc>
        <w:tc>
          <w:tcPr>
            <w:tcW w:w="0" w:type="dxa"/>
            <w:vAlign w:val="bottom"/>
          </w:tcPr>
          <w:p>
            <w:pPr>
              <w:spacing w:after="0"/>
              <w:rPr>
                <w:sz w:val="1"/>
                <w:szCs w:val="1"/>
                <w:color w:val="auto"/>
              </w:rPr>
            </w:pPr>
          </w:p>
        </w:tc>
      </w:tr>
      <w:tr>
        <w:trPr>
          <w:trHeight w:val="280"/>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w w:val="95"/>
              </w:rPr>
              <w:t>The California Superior Court has also determined that the amendment to</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5"/>
              </w:rPr>
              <w:t>the Cotter Living Trust championed by Mr. Cotter, Jr., was not effective as</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6"/>
              </w:rPr>
              <w:t>Mr. Cotter, Sr. was not competent at the time it was purportedly executed</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and as it was procured by undue influence (the “Living Trust Ruling”).</w:t>
            </w:r>
          </w:p>
        </w:tc>
        <w:tc>
          <w:tcPr>
            <w:tcW w:w="0" w:type="dxa"/>
            <w:vAlign w:val="bottom"/>
          </w:tcPr>
          <w:p>
            <w:pPr>
              <w:spacing w:after="0"/>
              <w:rPr>
                <w:sz w:val="1"/>
                <w:szCs w:val="1"/>
                <w:color w:val="auto"/>
              </w:rPr>
            </w:pPr>
          </w:p>
        </w:tc>
      </w:tr>
      <w:tr>
        <w:trPr>
          <w:trHeight w:val="280"/>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w w:val="96"/>
              </w:rPr>
              <w:t>At December 31, 2020, the Cotter Estate held 427,808 shares of Class B</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6"/>
              </w:rPr>
              <w:t>Voting Stock, representing 25.5% of the voting power of such class.  The</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8"/>
              </w:rPr>
              <w:t>Cotter Living Trust held 696,080 shares of Class B Voting Stock at such</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3"/>
              </w:rPr>
              <w:t>date, representing 41.4% of the voting power of such class. It is anticipated</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8"/>
              </w:rPr>
              <w:t>that, when funded, the Cotter Voting Trust will own 1,123,888 shares of</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60" w:type="dxa"/>
            <w:vAlign w:val="bottom"/>
          </w:tcPr>
          <w:p>
            <w:pPr>
              <w:ind w:left="60"/>
              <w:spacing w:after="0" w:line="162" w:lineRule="exact"/>
              <w:rPr>
                <w:sz w:val="20"/>
                <w:szCs w:val="20"/>
                <w:color w:val="auto"/>
              </w:rPr>
            </w:pPr>
            <w:r>
              <w:rPr>
                <w:rFonts w:ascii="Arial" w:cs="Arial" w:eastAsia="Arial" w:hAnsi="Arial"/>
                <w:sz w:val="16"/>
                <w:szCs w:val="16"/>
                <w:color w:val="auto"/>
                <w:w w:val="93"/>
              </w:rPr>
              <w:t>Class B Voting Stock, representing 66.9% of the voting power of such class</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(the “Cotter Voting Stock”).</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31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Cotter Trust Litigation: Motions re sale of:</w:t>
            </w:r>
          </w:p>
        </w:tc>
        <w:tc>
          <w:tcPr>
            <w:tcW w:w="1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Cotter, Jr. and</w:t>
            </w:r>
          </w:p>
        </w:tc>
        <w:tc>
          <w:tcPr>
            <w:tcW w:w="69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 xml:space="preserve">California Superior Court  In response to the </w:t>
            </w:r>
            <w:r>
              <w:rPr>
                <w:rFonts w:ascii="Arial" w:cs="Arial" w:eastAsia="Arial" w:hAnsi="Arial"/>
                <w:sz w:val="16"/>
                <w:szCs w:val="16"/>
                <w:i w:val="1"/>
                <w:iCs w:val="1"/>
                <w:color w:val="auto"/>
                <w:w w:val="96"/>
              </w:rPr>
              <w:t>ex parte</w:t>
            </w:r>
            <w:r>
              <w:rPr>
                <w:rFonts w:ascii="Arial" w:cs="Arial" w:eastAsia="Arial" w:hAnsi="Arial"/>
                <w:sz w:val="16"/>
                <w:szCs w:val="16"/>
                <w:color w:val="auto"/>
                <w:w w:val="96"/>
              </w:rPr>
              <w:t xml:space="preserve"> petition of Cotter, Jr. filed on March 23, 2016,</w:t>
            </w:r>
          </w:p>
        </w:tc>
      </w:tr>
      <w:tr>
        <w:trPr>
          <w:trHeight w:val="162"/>
        </w:trPr>
        <w:tc>
          <w:tcPr>
            <w:tcW w:w="31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i w:val="1"/>
                <w:iCs w:val="1"/>
                <w:color w:val="auto"/>
              </w:rPr>
              <w:t>In re James J. Cotter Living Trust dated</w:t>
            </w:r>
          </w:p>
        </w:tc>
        <w:tc>
          <w:tcPr>
            <w:tcW w:w="12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Guardian Ad</w:t>
            </w: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4"/>
              </w:rPr>
              <w:t>the California Superior Court on March 23, 2018 directed that an unnamed</w:t>
            </w:r>
          </w:p>
        </w:tc>
      </w:tr>
      <w:tr>
        <w:trPr>
          <w:trHeight w:val="162"/>
        </w:trPr>
        <w:tc>
          <w:tcPr>
            <w:tcW w:w="31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i w:val="1"/>
                <w:iCs w:val="1"/>
                <w:color w:val="auto"/>
              </w:rPr>
              <w:t xml:space="preserve">August 1, 2000 </w:t>
            </w:r>
            <w:r>
              <w:rPr>
                <w:rFonts w:ascii="Arial" w:cs="Arial" w:eastAsia="Arial" w:hAnsi="Arial"/>
                <w:sz w:val="16"/>
                <w:szCs w:val="16"/>
                <w:color w:val="auto"/>
              </w:rPr>
              <w:t>(Case No. BP159755)</w:t>
            </w:r>
          </w:p>
        </w:tc>
        <w:tc>
          <w:tcPr>
            <w:tcW w:w="12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Litem</w:t>
            </w: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8"/>
              </w:rPr>
              <w:t xml:space="preserve">temporary trustee </w:t>
            </w:r>
            <w:r>
              <w:rPr>
                <w:rFonts w:ascii="Arial" w:cs="Arial" w:eastAsia="Arial" w:hAnsi="Arial"/>
                <w:sz w:val="16"/>
                <w:szCs w:val="16"/>
                <w:i w:val="1"/>
                <w:iCs w:val="1"/>
                <w:color w:val="auto"/>
                <w:w w:val="98"/>
              </w:rPr>
              <w:t>ad litem</w:t>
            </w:r>
            <w:r>
              <w:rPr>
                <w:rFonts w:ascii="Arial" w:cs="Arial" w:eastAsia="Arial" w:hAnsi="Arial"/>
                <w:sz w:val="16"/>
                <w:szCs w:val="16"/>
                <w:color w:val="auto"/>
                <w:w w:val="98"/>
              </w:rPr>
              <w:t xml:space="preserve"> be appointed to solicit offers to purchase the</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8"/>
              </w:rPr>
              <w:t>Cotter Voting Stock. On appellate review, the California Court of Appeal</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6"/>
              </w:rPr>
              <w:t>reversed the California Superior Court, determined that Cotter, Jr. did not</w:t>
            </w:r>
          </w:p>
        </w:tc>
      </w:tr>
      <w:tr>
        <w:trPr>
          <w:trHeight w:val="206"/>
        </w:trPr>
        <w:tc>
          <w:tcPr>
            <w:tcW w:w="3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 xml:space="preserve">have standing to purse that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motion.</w:t>
            </w:r>
          </w:p>
        </w:tc>
      </w:tr>
      <w:tr>
        <w:trPr>
          <w:trHeight w:val="280"/>
        </w:trPr>
        <w:tc>
          <w:tcPr>
            <w:tcW w:w="3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However, issues as to the ongoing control of our Company are still</w:t>
            </w:r>
          </w:p>
        </w:tc>
      </w:tr>
      <w:tr>
        <w:trPr>
          <w:trHeight w:val="206"/>
        </w:trPr>
        <w:tc>
          <w:tcPr>
            <w:tcW w:w="3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uncertain.</w:t>
            </w:r>
          </w:p>
        </w:tc>
      </w:tr>
      <w:tr>
        <w:trPr>
          <w:trHeight w:val="280"/>
        </w:trPr>
        <w:tc>
          <w:tcPr>
            <w:tcW w:w="3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w w:val="91"/>
              </w:rPr>
              <w:t>The Superior Court, at the request of Mr. Cotter, Jr., appointed a guardian ad</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3"/>
              </w:rPr>
              <w:t>litem (the “GAL”) to represent the interests of the beneficiaries of the Cotter</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5"/>
              </w:rPr>
              <w:t>Voting Trust.  The GAL has motions pending (i) to divide the Cotter Voting</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5"/>
              </w:rPr>
              <w:t>Trust into separate trusts, one for the benefit of Margaret Cotter’s children</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rPr>
              <w:t>and one for the benefit of James J. Cotter, Jr.’s children, (ii) in order to</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3"/>
              </w:rPr>
              <w:t>achieve diversification of the assets of these trusts, to sell the Class B stock</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9"/>
              </w:rPr>
              <w:t>eventually to be held by the Cotter Voting Trust, and (iii) to immediately</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8"/>
              </w:rPr>
              <w:t>retain a valuation expert to advise him as to value of the Class B Voting</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3"/>
              </w:rPr>
              <w:t>Stock to be eventually held by the Cotter Voting Trust. A motion brought by</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3"/>
              </w:rPr>
              <w:t>Margaret Cotter and Ellen Cotter, as Co-Trustees of the Cotter Living Trust,</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4"/>
              </w:rPr>
              <w:t>to disqualify the GAL on the basis that he cannot simultaneously represent</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4"/>
              </w:rPr>
              <w:t>the interests of Margaret Cotter and James J. Cotter’s, Jr’s, children as the</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rPr>
              <w:t>interests of those children differ, was denied by the California Superior</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rPr>
              <w:t>Court and that order is currently subject to appeal. Ellen Cotter and</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7"/>
              </w:rPr>
              <w:t>Margaret Cotter, as Co-Trustees of the Cotter Living Trust, have advised</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9"/>
              </w:rPr>
              <w:t>that they believe that it was the intention of their father that the Class B</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3"/>
              </w:rPr>
              <w:t>Voting Stock be held in the Cotter Voting Trust as long as possible and that</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4"/>
              </w:rPr>
              <w:t>they intend to oppose any splitting of the Cotter Voting Trust and/or sale of</w:t>
            </w:r>
          </w:p>
        </w:tc>
      </w:tr>
      <w:tr>
        <w:trPr>
          <w:trHeight w:val="206"/>
        </w:trPr>
        <w:tc>
          <w:tcPr>
            <w:tcW w:w="3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w w:val="96"/>
              </w:rPr>
              <w:t>the Class B Voting Stock eventually to be held by the Cotter Voting Trust.</w:t>
            </w:r>
          </w:p>
        </w:tc>
      </w:tr>
      <w:tr>
        <w:trPr>
          <w:trHeight w:val="280"/>
        </w:trPr>
        <w:tc>
          <w:tcPr>
            <w:tcW w:w="3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James J. Cotter, Jr., has a pending motion to remove Ellen Cotter and</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6"/>
              </w:rPr>
              <w:t>Margaret Cotter as trustees of the Cotter Living Trust (a motion for which</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8"/>
              </w:rPr>
              <w:t>no discovery schedule, briefing schedule or hearing date has been set).</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6"/>
              </w:rPr>
              <w:t>Also, James J. Cotter, Jr., has historically supported the above described</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4"/>
              </w:rPr>
              <w:t>motion brought by the GAL to divide up the Cotter Voting Trust and sell the</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6"/>
              </w:rPr>
              <w:t>Class B Voting Stock to be held by the Cotter Voting Trust.  The status of</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89"/>
              </w:rPr>
              <w:t>these motions is uncertain, as James J. Cotter, Jr., passed away on March 10,</w:t>
            </w:r>
          </w:p>
        </w:tc>
      </w:tr>
      <w:tr>
        <w:trPr>
          <w:trHeight w:val="206"/>
        </w:trPr>
        <w:tc>
          <w:tcPr>
            <w:tcW w:w="3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2021.</w:t>
            </w:r>
          </w:p>
        </w:tc>
      </w:tr>
      <w:tr>
        <w:trPr>
          <w:trHeight w:val="280"/>
        </w:trPr>
        <w:tc>
          <w:tcPr>
            <w:tcW w:w="3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w w:val="94"/>
              </w:rPr>
              <w:t>As a consequence of the Superior Court’s Living Trust Ruling, Ellen Cotter</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rPr>
              <w:t>and Margaret Cotter, as Co-Trustees of the Cotter Living Trust, have</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2"/>
              </w:rPr>
              <w:t>brought a motion to enforce the no-contest clause of the Cotter Living Trust,</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6"/>
              </w:rPr>
              <w:t>which if successful would remove Mr. Cotter, Jr., and his descendants as</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rPr>
              <w:t>beneficiaries of the Cotter Living Trust, and moot the GAL’s motion to</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4"/>
              </w:rPr>
              <w:t>divide up the Cotter Voting Trust and to sell the Class B Voting Stock to be</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4"/>
              </w:rPr>
              <w:t>held in the Cotter Voting Trust. It would also moot Mr. Cotter, Jr.’s motions</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2"/>
              </w:rPr>
              <w:t>(to the extent that they survive his passing), as he would be neither a trustee</w:t>
            </w:r>
          </w:p>
        </w:tc>
      </w:tr>
      <w:tr>
        <w:trPr>
          <w:trHeight w:val="206"/>
        </w:trPr>
        <w:tc>
          <w:tcPr>
            <w:tcW w:w="3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nor a beneficiary of the Cotter Living Trust.</w:t>
            </w:r>
          </w:p>
        </w:tc>
      </w:tr>
      <w:tr>
        <w:trPr>
          <w:trHeight w:val="280"/>
        </w:trPr>
        <w:tc>
          <w:tcPr>
            <w:tcW w:w="3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w w:val="91"/>
              </w:rPr>
              <w:t>Mr. Cotter, Jr. has opposed the Co-Trustees motion to enforce the no-contest</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7"/>
              </w:rPr>
              <w:t>clause and brought an Anti-SLAPP claim against the Co-Trustees.  That</w:t>
            </w:r>
          </w:p>
        </w:tc>
      </w:tr>
      <w:tr>
        <w:trPr>
          <w:trHeight w:val="162"/>
        </w:trPr>
        <w:tc>
          <w:tcPr>
            <w:tcW w:w="3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920" w:type="dxa"/>
            <w:vAlign w:val="bottom"/>
            <w:shd w:val="clear" w:color="auto" w:fill="CCEEFF"/>
          </w:tcPr>
          <w:p>
            <w:pPr>
              <w:ind w:left="1920"/>
              <w:spacing w:after="0" w:line="162" w:lineRule="exact"/>
              <w:rPr>
                <w:sz w:val="20"/>
                <w:szCs w:val="20"/>
                <w:color w:val="auto"/>
              </w:rPr>
            </w:pPr>
            <w:r>
              <w:rPr>
                <w:rFonts w:ascii="Arial" w:cs="Arial" w:eastAsia="Arial" w:hAnsi="Arial"/>
                <w:sz w:val="16"/>
                <w:szCs w:val="16"/>
                <w:color w:val="auto"/>
                <w:w w:val="97"/>
              </w:rPr>
              <w:t>Anti-SLAPP claim was dismissed by the California Superior Court, which</w:t>
            </w:r>
          </w:p>
        </w:tc>
      </w:tr>
      <w:tr>
        <w:trPr>
          <w:trHeight w:val="206"/>
        </w:trPr>
        <w:tc>
          <w:tcPr>
            <w:tcW w:w="3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92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dismissal is now on appeal.</w:t>
            </w:r>
          </w:p>
        </w:tc>
      </w:tr>
      <w:tr>
        <w:trPr>
          <w:trHeight w:val="303"/>
        </w:trPr>
        <w:tc>
          <w:tcPr>
            <w:tcW w:w="3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Employment Litigation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9" w:name="page110"/>
    <w:bookmarkEnd w:id="109"/>
    <w:p>
      <w:pPr>
        <w:spacing w:after="0" w:line="251" w:lineRule="auto"/>
        <w:rPr>
          <w:sz w:val="20"/>
          <w:szCs w:val="20"/>
          <w:color w:val="auto"/>
        </w:rPr>
      </w:pPr>
      <w:r>
        <w:rPr>
          <w:rFonts w:ascii="Arial" w:cs="Arial" w:eastAsia="Arial" w:hAnsi="Arial"/>
          <w:sz w:val="16"/>
          <w:szCs w:val="16"/>
          <w:color w:val="auto"/>
        </w:rPr>
        <w:t>Our Company is currently involved in two California employment matters which include substantially overlapping wage and hour claims: Taylor Brown, individually, and on behalf of other members of the general public similarly situated vs. Reading Cinemas et al. Superior Court of the State of California for the County of Kern, Case No. BCV-19-1000390 (“Brown v. RC,” and the “Brown Class Action Complaint” respectively) and Peter M. Wagner, Jr., an individual, vs. Consolidated Entertainment, Inc. et al., Superior Court of the State of California for the County of San Diego, Case NO. 37-2019-00030695-CU-WT-CTL (“Wagner v. CEI,” and the “Wagner Individual Complaint” respectively). Brown v. RC was initially filed in December 2018, as an individual action and refiled as a putative class action in February 2019, but not served until June 24, 2019. These lawsuits seek damages, and attorneys’ fees, relating to alleged violations of California labor laws relating to meal periods, rest periods, reporting time pay, unpaid wages, timely pay upon termination and wage statements violations. Wagner v. CEI was filed as a discrimination and retaliation lawsuit in June 2019. The following month, in July 2019, a notice was served on us by separate counsel for Mr. Wagner under the California Private Attorney General Act of 2004 (Cal. Labor Code Section 2698, et seq) (the “Wagner PAGA Claim”) purportedly asserting in a representational capacity claims under the PAGA statute, overlapping, in substantial part, the allegations set forth in the Brown Class Action Complaint. On March 6, 2020, Wagner filed a purported class action in the Superior Court of California, County of San Diego, again covering basically the same allegations as set forth in the Brown Class Action Complaint, and titled Peter M. Wagner, an individual, on behalf of himself and all others similarly situated vs. Reading International, Inc., Consolidated Entertainment, Inc. and Does 1 through 25, Case No. 37-2020-000127-CU-OE-CTL (the “Wagner Class Action”). Neither plaintiff has specified the amount of damages sought.</w:t>
      </w:r>
    </w:p>
    <w:p>
      <w:pPr>
        <w:spacing w:after="0" w:line="14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Company is investigating and intends to vigorously defend the allegations of the Brown Class Action Complaint, the Wagner PAGA Claim and the Wagner Class Action Complaint. In addition, we have denied that a PAGA representative action is appropriate. These matters are in their early stages, and the putative class actions have not been certified. As these cases are in early stages, our Company is unable to predict the outcome of the litigation or the range of potential loss, if any; however, our Company believes that its potential liability with respect to such matters is not material to its overall financial position, results of operations and cash flows. Accordingly, our Company has not established a reserve for loss in connection with these matters. The Wagner Individual Complaint has been settled. As this matter was coved by insurance, the Company’s liability was limited to its deductible of $150,000.</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NON-CONTROLLING INTERESTS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non-controlling interests in our consolidated subsidiaries are comprised of the following:</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Australia Country Cinemas Pty Ltd. – 25% non-controlling interest owned by Panorama Group International Pty.;</w:t>
      </w:r>
    </w:p>
    <w:p>
      <w:pPr>
        <w:spacing w:after="0" w:line="77" w:lineRule="exact"/>
        <w:rPr>
          <w:sz w:val="20"/>
          <w:szCs w:val="20"/>
          <w:color w:val="auto"/>
        </w:rPr>
      </w:pPr>
    </w:p>
    <w:p>
      <w:pPr>
        <w:ind w:left="660" w:right="440"/>
        <w:spacing w:after="0" w:line="261" w:lineRule="auto"/>
        <w:rPr>
          <w:sz w:val="20"/>
          <w:szCs w:val="20"/>
          <w:color w:val="auto"/>
        </w:rPr>
      </w:pPr>
      <w:r>
        <w:rPr>
          <w:rFonts w:ascii="Arial" w:cs="Arial" w:eastAsia="Arial" w:hAnsi="Arial"/>
          <w:sz w:val="18"/>
          <w:szCs w:val="18"/>
          <w:color w:val="auto"/>
        </w:rPr>
        <w:t>Shadow View Land and Farming, LLC – 50% non-controlling membership interest owned by either the estate of Mr. James J. Cotter, Sr. (the “Cotter Estate”) or the James J. Cotter Sr. Living Trust (the “Cotter Trust”); and,</w:t>
      </w:r>
    </w:p>
    <w:p>
      <w:pPr>
        <w:spacing w:after="0" w:line="36"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Sutton Hill Properties, LLC – 25% non-controlling interest owned by Sutton Hill Capital, LLC (which in turn is 50% owned by the Cotter Estate and/or the Cotter Trust).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non-controlling interest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69"/>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Australian Country Cinemas, Pty Ltd</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460" w:type="dxa"/>
            <w:vAlign w:val="bottom"/>
            <w:gridSpan w:val="3"/>
            <w:shd w:val="clear" w:color="auto" w:fill="CCEEFF"/>
          </w:tcPr>
          <w:p>
            <w:pPr>
              <w:jc w:val="right"/>
              <w:ind w:right="267"/>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Shadow View Land and Farming, LLC</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4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Sutton Hill Properties, LLC</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17"/>
        </w:trPr>
        <w:tc>
          <w:tcPr>
            <w:tcW w:w="6640" w:type="dxa"/>
            <w:vAlign w:val="bottom"/>
          </w:tcPr>
          <w:p>
            <w:pPr>
              <w:spacing w:after="0"/>
              <w:rPr>
                <w:sz w:val="20"/>
                <w:szCs w:val="20"/>
                <w:color w:val="auto"/>
              </w:rPr>
            </w:pPr>
            <w:r>
              <w:rPr>
                <w:rFonts w:ascii="Arial" w:cs="Arial" w:eastAsia="Arial" w:hAnsi="Arial"/>
                <w:sz w:val="18"/>
                <w:szCs w:val="18"/>
                <w:b w:val="1"/>
                <w:bCs w:val="1"/>
                <w:color w:val="auto"/>
              </w:rPr>
              <w:t>Non-controlling interests in consolidated subsidiaries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4,267</w:t>
            </w:r>
          </w:p>
        </w:tc>
      </w:tr>
      <w:tr>
        <w:trPr>
          <w:trHeight w:val="392"/>
        </w:trPr>
        <w:tc>
          <w:tcPr>
            <w:tcW w:w="6640" w:type="dxa"/>
            <w:vAlign w:val="bottom"/>
          </w:tcPr>
          <w:p>
            <w:pPr>
              <w:spacing w:after="0"/>
              <w:rPr>
                <w:sz w:val="20"/>
                <w:szCs w:val="20"/>
                <w:color w:val="auto"/>
              </w:rPr>
            </w:pPr>
            <w:r>
              <w:rPr>
                <w:rFonts w:ascii="Arial" w:cs="Arial" w:eastAsia="Arial" w:hAnsi="Arial"/>
                <w:sz w:val="18"/>
                <w:szCs w:val="18"/>
                <w:color w:val="auto"/>
                <w:w w:val="95"/>
              </w:rPr>
              <w:t>The components of income/(loss) attributable to non-controlling interests are as follows: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1"/>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Australian Country Cinemas, Pty Ltd</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Shadow View Land and Farming, LLC</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(99)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(56)</w:t>
            </w: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Sutton Hill Properties, LLC</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189"/>
        </w:trPr>
        <w:tc>
          <w:tcPr>
            <w:tcW w:w="6640" w:type="dxa"/>
            <w:vAlign w:val="bottom"/>
          </w:tcPr>
          <w:p>
            <w:pPr>
              <w:spacing w:after="0" w:line="182" w:lineRule="exact"/>
              <w:rPr>
                <w:sz w:val="20"/>
                <w:szCs w:val="20"/>
                <w:color w:val="auto"/>
              </w:rPr>
            </w:pPr>
            <w:r>
              <w:rPr>
                <w:rFonts w:ascii="Arial" w:cs="Arial" w:eastAsia="Arial" w:hAnsi="Arial"/>
                <w:sz w:val="18"/>
                <w:szCs w:val="18"/>
                <w:b w:val="1"/>
                <w:bCs w:val="1"/>
                <w:color w:val="auto"/>
                <w:w w:val="89"/>
              </w:rPr>
              <w:t>Net income (loss) attributable to non-controlling interests in consolidated subsidiaries</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(657)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top w:val="single" w:sz="8" w:color="auto"/>
              <w:bottom w:val="single" w:sz="8" w:color="auto"/>
            </w:tcBorders>
            <w:gridSpan w:val="2"/>
          </w:tcPr>
          <w:p>
            <w:pPr>
              <w:jc w:val="right"/>
              <w:ind w:right="147"/>
              <w:spacing w:after="0" w:line="182"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(74)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top w:val="single" w:sz="8" w:color="auto"/>
              <w:bottom w:val="single" w:sz="8" w:color="auto"/>
            </w:tcBorders>
            <w:gridSpan w:val="2"/>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132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Shadow View Land and Farming, LLC</w:t>
      </w:r>
    </w:p>
    <w:p>
      <w:pPr>
        <w:spacing w:after="0" w:line="171"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Our Coachella Valley land is held in Shadow View Land and Farming, LLC, in which the Cotter Estate or the Cotter Trust now owns a 50% interest. We are the managing member of Shadow View Land and Farming, LLC. We consolidate the Cotter Estate’s and/or the Cotter Trust’s interest in the property and its expenses with that of our interest and show their interest as a non-controlling interest. The property has been sold subsequent to December 31, 2020 as discussed above.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0" w:name="page111"/>
    <w:bookmarkEnd w:id="110"/>
    <w:p>
      <w:pPr>
        <w:ind w:right="4460"/>
        <w:spacing w:after="0" w:line="440" w:lineRule="auto"/>
        <w:rPr>
          <w:sz w:val="20"/>
          <w:szCs w:val="20"/>
          <w:color w:val="auto"/>
        </w:rPr>
      </w:pPr>
      <w:r>
        <w:rPr>
          <w:rFonts w:ascii="Arial" w:cs="Arial" w:eastAsia="Arial" w:hAnsi="Arial"/>
          <w:sz w:val="18"/>
          <w:szCs w:val="18"/>
          <w:b w:val="1"/>
          <w:bCs w:val="1"/>
          <w:u w:val="single" w:color="auto"/>
          <w:color w:val="auto"/>
        </w:rPr>
        <w:t xml:space="preserve">NOTE 15 – SHARE-BASED CO MPENSATION AND SHARE REPURCHASE PLANS </w:t>
      </w:r>
      <w:r>
        <w:rPr>
          <w:rFonts w:ascii="Arial" w:cs="Arial" w:eastAsia="Arial" w:hAnsi="Arial"/>
          <w:sz w:val="18"/>
          <w:szCs w:val="18"/>
          <w:b w:val="1"/>
          <w:bCs w:val="1"/>
          <w:i w:val="1"/>
          <w:iCs w:val="1"/>
          <w:color w:val="auto"/>
        </w:rPr>
        <w:t>2010 Stock Incentive Plan</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2010 Stock Incentive Plan (as amended, the “2010 Plan”) under which our Company has granted stock options and other share-based payment awards of our Common Stock to eligible employees, directors, and consultants has expired. In total, 1,663,731 shares of Class A Common Stock were issued or reserved for issuance pursuant to the previously granted options or restricted stock units under that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Incentive Plan</w:t>
      </w:r>
    </w:p>
    <w:p>
      <w:pPr>
        <w:spacing w:after="0" w:line="17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November 4, 2020, the Company enacted the 2020 Stock Incentive Plan (the “2020 Plan”). Under the 2020 Plan, the Company may grant stock options and other share-based payment awards of our Class A Common Stock to eligible employees, directors and consultants. The aggregate total number of shares of Class A Common Stock authorized for issuance under the 2020 Plan at December 31, 2020 was 1,250,000, of which 1,096,394 remain available for future issuance, and 200,000 shares of Class B stock. In addition, if any awards that were outstanding under the 2010 Plan as of November 3, 2020 are subsequently forfeited or if the related shares are repurchased, a corresponding number of shares will automatically become available for issuance under the 2020 Plan, thus resulting in an increase in the number of shares available for issuance under the 2020 Plan (up to an additional 1,024,902 shares of Class A Stock).</w:t>
      </w:r>
    </w:p>
    <w:p>
      <w:pPr>
        <w:spacing w:after="0" w:line="154"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Stock options are granted at exercise prices equal to the grant-date market prices and typically expire no later than five years from the grant date. In contrast to a stock option where the grantee buys our Company’s share at an exercise price determined on grant date, a restricted stock unit (“RSU”) entitles the grantee to receive one share for every RSU based on a vesting plan, typically between one and four years from grant. At the time the options are exercised or RSUs vest and are settled, at the discretion of management, we will issue treasury shares or make a new issuance of shares to the option or RSU holder.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7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in the option-valuation model for the years 2020, 2019 and 2018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option exercise price</w:t>
            </w:r>
          </w:p>
        </w:tc>
        <w:tc>
          <w:tcPr>
            <w:tcW w:w="23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16.40</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Risk-free interest rate</w:t>
            </w:r>
          </w:p>
        </w:tc>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0.25%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2.42%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2.56%</w:t>
            </w: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dividend yield</w:t>
            </w:r>
          </w:p>
        </w:tc>
        <w:tc>
          <w:tcPr>
            <w:tcW w:w="2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Expected option life in years</w:t>
            </w:r>
          </w:p>
        </w:tc>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3.75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3.75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3.75</w:t>
            </w: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volatility</w:t>
            </w:r>
          </w:p>
        </w:tc>
        <w:tc>
          <w:tcPr>
            <w:tcW w:w="2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51.83%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23.32%</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24.99%</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26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r>
    </w:tbl>
    <w:p>
      <w:pPr>
        <w:spacing w:after="0" w:line="120"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We recorded stock-based compensation expense of $460,000, $458,000, and $425,000 for 2020, 2019, and 2018, respectively. At December 31, 2020, the total unrecognized estimated compensation cost related to non-vested stock options was $650,000 which is expected to be recognized over a weighted average vesting period of 1.44 years. No cash was received from option exercises in 2020. Cash consideration received from option exercises during 2019 and 2018 totaled $906,000 and $361,000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The following is a summary of the status of RDI’s outstanding stock options for the three years ended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w w:val="97"/>
              </w:rPr>
              <w:t>Outstanding Stock Options</w:t>
            </w:r>
          </w:p>
        </w:tc>
        <w:tc>
          <w:tcPr>
            <w:tcW w:w="1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rPr>
                <w:sz w:val="10"/>
                <w:szCs w:val="10"/>
                <w:color w:val="auto"/>
              </w:rPr>
            </w:pPr>
          </w:p>
        </w:tc>
        <w:tc>
          <w:tcPr>
            <w:tcW w:w="1840" w:type="dxa"/>
            <w:vAlign w:val="bottom"/>
            <w:gridSpan w:val="4"/>
            <w:vMerge w:val="restart"/>
          </w:tcPr>
          <w:p>
            <w:pPr>
              <w:jc w:val="center"/>
              <w:ind w:left="173"/>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4"/>
            <w:vMerge w:val="restart"/>
          </w:tcPr>
          <w:p>
            <w:pPr>
              <w:jc w:val="right"/>
              <w:ind w:right="227"/>
              <w:spacing w:after="0"/>
              <w:rPr>
                <w:sz w:val="20"/>
                <w:szCs w:val="20"/>
                <w:color w:val="auto"/>
              </w:rPr>
            </w:pPr>
            <w:r>
              <w:rPr>
                <w:rFonts w:ascii="Arial" w:cs="Arial" w:eastAsia="Arial" w:hAnsi="Arial"/>
                <w:sz w:val="14"/>
                <w:szCs w:val="14"/>
                <w:b w:val="1"/>
                <w:bCs w:val="1"/>
                <w:color w:val="auto"/>
              </w:rPr>
              <w:t>Weighted Average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0"/>
                <w:szCs w:val="10"/>
                <w:color w:val="auto"/>
              </w:rPr>
            </w:pPr>
          </w:p>
        </w:tc>
        <w:tc>
          <w:tcPr>
            <w:tcW w:w="1020" w:type="dxa"/>
            <w:vAlign w:val="bottom"/>
          </w:tcPr>
          <w:p>
            <w:pPr>
              <w:jc w:val="center"/>
              <w:ind w:right="77"/>
              <w:spacing w:after="0" w:line="126" w:lineRule="exact"/>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3400" w:type="dxa"/>
            <w:vAlign w:val="bottom"/>
          </w:tcPr>
          <w:p>
            <w:pPr>
              <w:spacing w:after="0"/>
              <w:rPr>
                <w:sz w:val="15"/>
                <w:szCs w:val="15"/>
                <w:color w:val="auto"/>
              </w:rPr>
            </w:pPr>
          </w:p>
        </w:tc>
        <w:tc>
          <w:tcPr>
            <w:tcW w:w="1320" w:type="dxa"/>
            <w:vAlign w:val="bottom"/>
            <w:gridSpan w:val="3"/>
          </w:tcPr>
          <w:p>
            <w:pPr>
              <w:jc w:val="center"/>
              <w:ind w:left="673"/>
              <w:spacing w:after="0"/>
              <w:rPr>
                <w:sz w:val="20"/>
                <w:szCs w:val="20"/>
                <w:color w:val="auto"/>
              </w:rPr>
            </w:pPr>
            <w:r>
              <w:rPr>
                <w:rFonts w:ascii="Arial" w:cs="Arial" w:eastAsia="Arial" w:hAnsi="Arial"/>
                <w:sz w:val="14"/>
                <w:szCs w:val="14"/>
                <w:b w:val="1"/>
                <w:bCs w:val="1"/>
                <w:color w:val="auto"/>
                <w:w w:val="90"/>
              </w:rPr>
              <w:t>Options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347"/>
              <w:spacing w:after="0"/>
              <w:rPr>
                <w:sz w:val="20"/>
                <w:szCs w:val="20"/>
                <w:color w:val="auto"/>
              </w:rPr>
            </w:pPr>
            <w:r>
              <w:rPr>
                <w:rFonts w:ascii="Arial" w:cs="Arial" w:eastAsia="Arial" w:hAnsi="Arial"/>
                <w:sz w:val="14"/>
                <w:szCs w:val="14"/>
                <w:b w:val="1"/>
                <w:bCs w:val="1"/>
                <w:color w:val="auto"/>
              </w:rPr>
              <w:t>Exercise Price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Contractual Life</w:t>
            </w:r>
          </w:p>
        </w:tc>
        <w:tc>
          <w:tcPr>
            <w:tcW w:w="1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32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Class A</w:t>
            </w:r>
          </w:p>
        </w:tc>
        <w:tc>
          <w:tcPr>
            <w:tcW w:w="52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w w:val="85"/>
              </w:rPr>
              <w:t>Class B</w:t>
            </w: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ind w:left="100"/>
              <w:spacing w:after="0" w:line="149" w:lineRule="exact"/>
              <w:rPr>
                <w:sz w:val="20"/>
                <w:szCs w:val="20"/>
                <w:color w:val="auto"/>
              </w:rPr>
            </w:pPr>
            <w:r>
              <w:rPr>
                <w:rFonts w:ascii="Arial" w:cs="Arial" w:eastAsia="Arial" w:hAnsi="Arial"/>
                <w:sz w:val="14"/>
                <w:szCs w:val="14"/>
                <w:b w:val="1"/>
                <w:bCs w:val="1"/>
                <w:color w:val="auto"/>
              </w:rPr>
              <w:t>Class A</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Class B</w:t>
            </w:r>
          </w:p>
        </w:tc>
        <w:tc>
          <w:tcPr>
            <w:tcW w:w="2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99"/>
              <w:spacing w:after="0" w:line="149" w:lineRule="exact"/>
              <w:rPr>
                <w:sz w:val="20"/>
                <w:szCs w:val="20"/>
                <w:color w:val="auto"/>
              </w:rPr>
            </w:pPr>
            <w:r>
              <w:rPr>
                <w:rFonts w:ascii="Arial" w:cs="Arial" w:eastAsia="Arial" w:hAnsi="Arial"/>
                <w:sz w:val="14"/>
                <w:szCs w:val="14"/>
                <w:b w:val="1"/>
                <w:bCs w:val="1"/>
                <w:color w:val="auto"/>
                <w:w w:val="94"/>
              </w:rPr>
              <w:t>Class A&amp;B</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Class A&amp;B</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Outstanding - January 1, 2018</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524,589</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12.50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3.15</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3,054,325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20"/>
              <w:spacing w:after="0" w:line="189" w:lineRule="exact"/>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126,840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16.40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(60,000)</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610,249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20"/>
              <w:spacing w:after="0" w:line="189" w:lineRule="exact"/>
              <w:rPr>
                <w:sz w:val="20"/>
                <w:szCs w:val="20"/>
                <w:color w:val="auto"/>
              </w:rPr>
            </w:pPr>
            <w:r>
              <w:rPr>
                <w:rFonts w:ascii="Arial" w:cs="Arial" w:eastAsia="Arial" w:hAnsi="Arial"/>
                <w:sz w:val="18"/>
                <w:szCs w:val="18"/>
                <w:color w:val="auto"/>
              </w:rPr>
              <w:t>Expired</w:t>
            </w: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(4,960)</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12.08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Outstanding - December 31, 2018</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586,469</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14.01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gridSpan w:val="2"/>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2.88</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1,530,528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20"/>
              <w:spacing w:after="0" w:line="189" w:lineRule="exact"/>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219,408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16.12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(69,500)</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185,175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20"/>
              <w:spacing w:after="0" w:line="189" w:lineRule="exact"/>
              <w:rPr>
                <w:sz w:val="20"/>
                <w:szCs w:val="20"/>
                <w:color w:val="auto"/>
              </w:rPr>
            </w:pPr>
            <w:r>
              <w:rPr>
                <w:rFonts w:ascii="Arial" w:cs="Arial" w:eastAsia="Arial" w:hAnsi="Arial"/>
                <w:sz w:val="18"/>
                <w:szCs w:val="18"/>
                <w:color w:val="auto"/>
              </w:rPr>
              <w:t>Expired</w:t>
            </w: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(25,000)</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13.42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Outstanding - December 31, 2019</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711,377</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14.74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gridSpan w:val="2"/>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2.79</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136,350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20"/>
              <w:spacing w:after="0" w:line="189" w:lineRule="exact"/>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38,803</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4.66</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20"/>
              <w:spacing w:after="0" w:line="189" w:lineRule="exact"/>
              <w:rPr>
                <w:sz w:val="20"/>
                <w:szCs w:val="20"/>
                <w:color w:val="auto"/>
              </w:rPr>
            </w:pPr>
            <w:r>
              <w:rPr>
                <w:rFonts w:ascii="Arial" w:cs="Arial" w:eastAsia="Arial" w:hAnsi="Arial"/>
                <w:sz w:val="18"/>
                <w:szCs w:val="18"/>
                <w:color w:val="auto"/>
              </w:rPr>
              <w:t>Expired</w:t>
            </w:r>
          </w:p>
        </w:tc>
        <w:tc>
          <w:tcPr>
            <w:tcW w:w="11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(36,701)</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14.74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Outstanding - December 31, 2020</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713,479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ind w:left="100"/>
              <w:spacing w:after="0" w:line="182" w:lineRule="exact"/>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status of RDI’s vested and unvested stock options as of December 31, 2020,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Vested and Unvested Stock Options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gridSpan w:val="4"/>
            <w:vMerge w:val="restart"/>
          </w:tcPr>
          <w:p>
            <w:pPr>
              <w:jc w:val="center"/>
              <w:ind w:left="176"/>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Weighted Average</w:t>
            </w:r>
          </w:p>
        </w:tc>
        <w:tc>
          <w:tcPr>
            <w:tcW w:w="200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0"/>
                <w:szCs w:val="10"/>
                <w:color w:val="auto"/>
              </w:rPr>
            </w:pPr>
          </w:p>
        </w:tc>
        <w:tc>
          <w:tcPr>
            <w:tcW w:w="1020" w:type="dxa"/>
            <w:vAlign w:val="bottom"/>
          </w:tcPr>
          <w:p>
            <w:pPr>
              <w:jc w:val="center"/>
              <w:ind w:right="77"/>
              <w:spacing w:after="0" w:line="126"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2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60" w:type="dxa"/>
            <w:vAlign w:val="bottom"/>
          </w:tcPr>
          <w:p>
            <w:pPr>
              <w:spacing w:after="0"/>
              <w:rPr>
                <w:sz w:val="12"/>
                <w:szCs w:val="12"/>
                <w:color w:val="auto"/>
              </w:rPr>
            </w:pPr>
          </w:p>
        </w:tc>
        <w:tc>
          <w:tcPr>
            <w:tcW w:w="10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2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0"/>
              </w:rPr>
              <w:t>Options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4"/>
                <w:szCs w:val="14"/>
                <w:b w:val="1"/>
                <w:bCs w:val="1"/>
                <w:color w:val="auto"/>
                <w:w w:val="89"/>
              </w:rPr>
              <w:t>Exercise Price</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Contractual Life</w:t>
            </w:r>
          </w:p>
        </w:tc>
        <w:tc>
          <w:tcPr>
            <w:tcW w:w="160" w:type="dxa"/>
            <w:vAlign w:val="bottom"/>
          </w:tcPr>
          <w:p>
            <w:pPr>
              <w:spacing w:after="0"/>
              <w:rPr>
                <w:sz w:val="15"/>
                <w:szCs w:val="15"/>
                <w:color w:val="auto"/>
              </w:rPr>
            </w:pPr>
          </w:p>
        </w:tc>
        <w:tc>
          <w:tcPr>
            <w:tcW w:w="102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20" w:type="dxa"/>
            <w:vAlign w:val="bottom"/>
            <w:vMerge w:val="restart"/>
          </w:tcPr>
          <w:p>
            <w:pPr>
              <w:spacing w:after="0"/>
              <w:rPr>
                <w:sz w:val="20"/>
                <w:szCs w:val="20"/>
                <w:color w:val="auto"/>
              </w:rPr>
            </w:pPr>
            <w:r>
              <w:rPr>
                <w:rFonts w:ascii="Arial" w:cs="Arial" w:eastAsia="Arial" w:hAnsi="Arial"/>
                <w:sz w:val="18"/>
                <w:szCs w:val="18"/>
                <w:b w:val="1"/>
                <w:bCs w:val="1"/>
                <w:color w:val="auto"/>
                <w:w w:val="84"/>
              </w:rPr>
              <w:t>Vested</w:t>
            </w:r>
          </w:p>
        </w:tc>
        <w:tc>
          <w:tcPr>
            <w:tcW w:w="2880" w:type="dxa"/>
            <w:vAlign w:val="bottom"/>
            <w:gridSpan w:val="2"/>
            <w:vMerge w:val="restart"/>
          </w:tcPr>
          <w:p>
            <w:pPr>
              <w:spacing w:after="0"/>
              <w:rPr>
                <w:sz w:val="13"/>
                <w:szCs w:val="13"/>
                <w:color w:val="auto"/>
              </w:rPr>
            </w:pPr>
          </w:p>
        </w:tc>
        <w:tc>
          <w:tcPr>
            <w:tcW w:w="132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Class A</w:t>
            </w:r>
          </w:p>
        </w:tc>
        <w:tc>
          <w:tcPr>
            <w:tcW w:w="52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w w:val="85"/>
              </w:rPr>
              <w:t>Class B</w:t>
            </w: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3"/>
                <w:szCs w:val="13"/>
                <w:color w:val="auto"/>
              </w:rPr>
            </w:pPr>
          </w:p>
        </w:tc>
        <w:tc>
          <w:tcPr>
            <w:tcW w:w="1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Class A&amp;B</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Class A&amp;B</w:t>
            </w:r>
          </w:p>
        </w:tc>
        <w:tc>
          <w:tcPr>
            <w:tcW w:w="0" w:type="dxa"/>
            <w:vAlign w:val="bottom"/>
          </w:tcPr>
          <w:p>
            <w:pPr>
              <w:spacing w:after="0"/>
              <w:rPr>
                <w:sz w:val="1"/>
                <w:szCs w:val="1"/>
                <w:color w:val="auto"/>
              </w:rPr>
            </w:pPr>
          </w:p>
        </w:tc>
      </w:tr>
      <w:tr>
        <w:trPr>
          <w:trHeight w:val="174"/>
        </w:trPr>
        <w:tc>
          <w:tcPr>
            <w:tcW w:w="520" w:type="dxa"/>
            <w:vAlign w:val="bottom"/>
            <w:tcBorders>
              <w:bottom w:val="single" w:sz="8" w:color="auto"/>
            </w:tcBorders>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December 31, 2020</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418,435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13.87</w:t>
            </w:r>
          </w:p>
        </w:tc>
        <w:tc>
          <w:tcPr>
            <w:tcW w:w="5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400" w:type="dxa"/>
            <w:vAlign w:val="bottom"/>
            <w:gridSpan w:val="3"/>
          </w:tcPr>
          <w:p>
            <w:pPr>
              <w:spacing w:after="0" w:line="189" w:lineRule="exact"/>
              <w:rPr>
                <w:sz w:val="20"/>
                <w:szCs w:val="20"/>
                <w:color w:val="auto"/>
              </w:rPr>
            </w:pPr>
            <w:r>
              <w:rPr>
                <w:rFonts w:ascii="Arial" w:cs="Arial" w:eastAsia="Arial" w:hAnsi="Arial"/>
                <w:sz w:val="18"/>
                <w:szCs w:val="18"/>
                <w:color w:val="auto"/>
              </w:rPr>
              <w:t>December 31, 2019</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273,866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60" w:type="dxa"/>
            <w:vAlign w:val="bottom"/>
          </w:tcPr>
          <w:p>
            <w:pPr>
              <w:ind w:left="380"/>
              <w:spacing w:after="0" w:line="189" w:lineRule="exact"/>
              <w:rPr>
                <w:sz w:val="20"/>
                <w:szCs w:val="20"/>
                <w:color w:val="auto"/>
              </w:rPr>
            </w:pPr>
            <w:r>
              <w:rPr>
                <w:rFonts w:ascii="Arial" w:cs="Arial" w:eastAsia="Arial" w:hAnsi="Arial"/>
                <w:sz w:val="18"/>
                <w:szCs w:val="18"/>
                <w:color w:val="auto"/>
              </w:rPr>
              <w:t>12.59</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189" w:lineRule="exact"/>
              <w:rPr>
                <w:sz w:val="20"/>
                <w:szCs w:val="20"/>
                <w:color w:val="auto"/>
              </w:rPr>
            </w:pPr>
            <w:r>
              <w:rPr>
                <w:rFonts w:ascii="Arial" w:cs="Arial" w:eastAsia="Arial" w:hAnsi="Arial"/>
                <w:sz w:val="18"/>
                <w:szCs w:val="18"/>
                <w:color w:val="auto"/>
              </w:rPr>
              <w:t>1.87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136,350</w:t>
            </w: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December 31, 2018</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231,124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1,306,643</w:t>
            </w:r>
          </w:p>
        </w:tc>
        <w:tc>
          <w:tcPr>
            <w:tcW w:w="0" w:type="dxa"/>
            <w:vAlign w:val="bottom"/>
          </w:tcPr>
          <w:p>
            <w:pPr>
              <w:spacing w:after="0"/>
              <w:rPr>
                <w:sz w:val="1"/>
                <w:szCs w:val="1"/>
                <w:color w:val="auto"/>
              </w:rPr>
            </w:pPr>
          </w:p>
        </w:tc>
      </w:tr>
      <w:tr>
        <w:trPr>
          <w:trHeight w:val="169"/>
        </w:trPr>
        <w:tc>
          <w:tcPr>
            <w:tcW w:w="72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b w:val="1"/>
                <w:bCs w:val="1"/>
                <w:color w:val="auto"/>
                <w:w w:val="86"/>
              </w:rPr>
              <w:t>Unvested</w:t>
            </w:r>
          </w:p>
        </w:tc>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December 31, 2020</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295,044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15.77</w:t>
            </w:r>
          </w:p>
        </w:tc>
        <w:tc>
          <w:tcPr>
            <w:tcW w:w="5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189"/>
        </w:trPr>
        <w:tc>
          <w:tcPr>
            <w:tcW w:w="3400" w:type="dxa"/>
            <w:vAlign w:val="bottom"/>
            <w:gridSpan w:val="3"/>
          </w:tcPr>
          <w:p>
            <w:pPr>
              <w:spacing w:after="0" w:line="189" w:lineRule="exact"/>
              <w:rPr>
                <w:sz w:val="20"/>
                <w:szCs w:val="20"/>
                <w:color w:val="auto"/>
              </w:rPr>
            </w:pPr>
            <w:r>
              <w:rPr>
                <w:rFonts w:ascii="Arial" w:cs="Arial" w:eastAsia="Arial" w:hAnsi="Arial"/>
                <w:sz w:val="18"/>
                <w:szCs w:val="18"/>
                <w:color w:val="auto"/>
              </w:rPr>
              <w:t>December 31, 2019</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437,511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60" w:type="dxa"/>
            <w:vAlign w:val="bottom"/>
          </w:tcPr>
          <w:p>
            <w:pPr>
              <w:ind w:left="380"/>
              <w:spacing w:after="0" w:line="189" w:lineRule="exact"/>
              <w:rPr>
                <w:sz w:val="20"/>
                <w:szCs w:val="20"/>
                <w:color w:val="auto"/>
              </w:rPr>
            </w:pPr>
            <w:r>
              <w:rPr>
                <w:rFonts w:ascii="Arial" w:cs="Arial" w:eastAsia="Arial" w:hAnsi="Arial"/>
                <w:sz w:val="18"/>
                <w:szCs w:val="18"/>
                <w:color w:val="auto"/>
              </w:rPr>
              <w:t>15.78</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189" w:lineRule="exact"/>
              <w:rPr>
                <w:sz w:val="20"/>
                <w:szCs w:val="20"/>
                <w:color w:val="auto"/>
              </w:rPr>
            </w:pPr>
            <w:r>
              <w:rPr>
                <w:rFonts w:ascii="Arial" w:cs="Arial" w:eastAsia="Arial" w:hAnsi="Arial"/>
                <w:sz w:val="18"/>
                <w:szCs w:val="18"/>
                <w:color w:val="auto"/>
              </w:rPr>
              <w:t>3.36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4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December 31, 2018</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355,345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223,885</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17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RSU awards to Management vest 25% on the anniversary of the grant date over a period of four years. Beginning this year, a performance component has been added to certain of the RSUs granted to Management. On March 10, 2020, RSUs covering 287,163 shares were issued to members of executive Management and other employees of our Company. Between December 14, 2020 and December 16, 2020, RSUs covering 114,803 shares were issued to members of executive Management and other employees of our Company, all of which vest 100% on the anniversary of the grant date over a period of one year.</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estimate the grant-date fair values of our RSUs using the Company’s stock price at grant-date and record such fair values as compensation expense over the vesting period on a straight-line basis. Prior to November 7, 2018, RSU awards to non-employee directors vested 100% in January of the following year in which such RSUs were granted. At the November 7, 2018 Board meeting, it was determined that it would be more appropriate for the vesting of RSUs to align with the director’s term of office. Accordingly, the RSUs granted on November 7, 2018, vested on the first to occur of (i) 5:00 pm, Los Angeles, CA time on the last business day prior to the one year anniversary of the grant date, or (ii) the date on which the recipient’s term as a director ended and the recipient or, as the case may be, the recipient’s successor was elected to the board of directors. Accordingly, the RSUs granted to directors on November 7, 2018 vested on May 7, 2019 annual meeting of stockholders. Due to the fact that our Company moved up our annual meeting of stockholders from November to May in 2019, the vesting period for the RSUs issued on November 7, 2018 was shorter than anticipated. In order to adjust for this factor, the award of RSUs to directors made immediately following the 2019 Annual Meeting of Stockholders was determined using a value of $35,000 or one half of the dollar amount of the prior year’s annual grant. The RSUs issued to non-employee directors on May 7, 2019 vested on May 6, 2020. We granted non-employee directors 60,084 RSUs on December 16, 2020.</w:t>
      </w:r>
    </w:p>
    <w:p>
      <w:pPr>
        <w:spacing w:after="0" w:line="154" w:lineRule="exact"/>
        <w:rPr>
          <w:sz w:val="20"/>
          <w:szCs w:val="20"/>
          <w:color w:val="auto"/>
        </w:rPr>
      </w:pPr>
    </w:p>
    <w:p>
      <w:pPr>
        <w:ind w:right="560"/>
        <w:spacing w:after="0" w:line="307" w:lineRule="auto"/>
        <w:rPr>
          <w:sz w:val="20"/>
          <w:szCs w:val="20"/>
          <w:color w:val="auto"/>
        </w:rPr>
      </w:pPr>
      <w:r>
        <w:rPr>
          <w:rFonts w:ascii="Arial" w:cs="Arial" w:eastAsia="Arial" w:hAnsi="Arial"/>
          <w:sz w:val="16"/>
          <w:szCs w:val="16"/>
          <w:color w:val="auto"/>
        </w:rPr>
        <w:t>During the years ended December 31, 2020 and December 31, 2019, we recognized compensation expense related to RSUs of $1.0 million and $1.0 million respectively. The total unrecognized compensation expense related to these unvested RSUs was $2.6 million as of December 31, 2020.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2" w:name="page113"/>
    <w:bookmarkEnd w:id="112"/>
    <w:p>
      <w:pPr>
        <w:ind w:right="340"/>
        <w:spacing w:after="0" w:line="246" w:lineRule="auto"/>
        <w:rPr>
          <w:sz w:val="20"/>
          <w:szCs w:val="20"/>
          <w:color w:val="auto"/>
        </w:rPr>
      </w:pPr>
      <w:r>
        <w:rPr>
          <w:rFonts w:ascii="Arial" w:cs="Arial" w:eastAsia="Arial" w:hAnsi="Arial"/>
          <w:sz w:val="18"/>
          <w:szCs w:val="18"/>
          <w:color w:val="auto"/>
        </w:rPr>
        <w:t>Below is a table that shows the restricted stock units that have been issued and vested during the years ending December 31, 2020 along with the dollar value of these awards: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Number of RSUs</w:t>
            </w: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 value of RSUs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23"/>
        </w:trPr>
        <w:tc>
          <w:tcPr>
            <w:tcW w:w="2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Granted</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Vesting</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Forfeited</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Unvested</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Granted</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Vesting</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Forfeited</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Unvested</w:t>
            </w:r>
          </w:p>
        </w:tc>
      </w:tr>
      <w:tr>
        <w:trPr>
          <w:trHeight w:val="229"/>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2017</w:t>
            </w:r>
          </w:p>
        </w:tc>
        <w:tc>
          <w:tcPr>
            <w:tcW w:w="980" w:type="dxa"/>
            <w:vAlign w:val="bottom"/>
          </w:tcPr>
          <w:p>
            <w:pPr>
              <w:jc w:val="right"/>
              <w:spacing w:after="0"/>
              <w:rPr>
                <w:sz w:val="20"/>
                <w:szCs w:val="20"/>
                <w:color w:val="auto"/>
              </w:rPr>
            </w:pPr>
            <w:r>
              <w:rPr>
                <w:rFonts w:ascii="Arial" w:cs="Arial" w:eastAsia="Arial" w:hAnsi="Arial"/>
                <w:sz w:val="18"/>
                <w:szCs w:val="18"/>
                <w:color w:val="auto"/>
              </w:rPr>
              <w:t>70,538</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61,590</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1,124,348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981,448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134,404</w:t>
            </w:r>
          </w:p>
        </w:tc>
      </w:tr>
      <w:tr>
        <w:trPr>
          <w:trHeight w:val="243"/>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97,600</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74,292</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1,581,512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348,040</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2019</w:t>
            </w:r>
          </w:p>
        </w:tc>
        <w:tc>
          <w:tcPr>
            <w:tcW w:w="980" w:type="dxa"/>
            <w:vAlign w:val="bottom"/>
          </w:tcPr>
          <w:p>
            <w:pPr>
              <w:jc w:val="right"/>
              <w:spacing w:after="0"/>
              <w:rPr>
                <w:sz w:val="20"/>
                <w:szCs w:val="20"/>
                <w:color w:val="auto"/>
              </w:rPr>
            </w:pPr>
            <w:r>
              <w:rPr>
                <w:rFonts w:ascii="Arial" w:cs="Arial" w:eastAsia="Arial" w:hAnsi="Arial"/>
                <w:sz w:val="18"/>
                <w:szCs w:val="18"/>
                <w:color w:val="auto"/>
              </w:rPr>
              <w:t>59,258</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22,713</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3,104</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33,441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944,070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354,806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539,259</w:t>
            </w:r>
          </w:p>
        </w:tc>
      </w:tr>
      <w:tr>
        <w:trPr>
          <w:trHeight w:val="243"/>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401,966</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401,148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1,751,000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697,515</w:t>
            </w: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225,967</w:t>
            </w: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464,211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6,221,091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3,341,245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107,144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2,772,703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Repurchase Plan</w:t>
      </w:r>
    </w:p>
    <w:p>
      <w:pPr>
        <w:spacing w:after="0" w:line="171"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On March 14, 2019, the Board of Directors extended our Company’s stock repurchase program for two years, through March 2, 2021. The Board did not increase the authorized amount, which was initially fixed at $25.0 million. On March 10, 2020, the Board increased the authorized amount by $25.0 million and extended it to March 2, 2022. At the present time, the repurchase program authorization is $26.0 million.</w:t>
      </w:r>
    </w:p>
    <w:p>
      <w:pPr>
        <w:spacing w:after="0" w:line="13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repurchase program allows Reading to repurchase its shares in accordance with the requirements of the SEC on the open market, in block trades and in privately negotiated transactions, depending on market conditions and other factors. All purchases are subject to the availability of shares at prices that are acceptable to Reading, and accordingly, no assurances can be given as to the timing or number of shares that may ultimately be acquired pursuant to this authorization.</w:t>
      </w:r>
    </w:p>
    <w:p>
      <w:pPr>
        <w:spacing w:after="0" w:line="148"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Under the stock repurchase program, as of December 31, 2020, our Company had reacquired a total of 1,792,819 shares of Class A Non-Voting Common Stock for $24.0 million at an average price of $13.39 per share (excluding transaction costs). 75,157 shares of Class A Non-Voting Common Stock were purchased during the quarter ended March 31, 2020 at an average price of $8.92 per share. No shares have been repurchased since. The last share repurchase made by our Company was made on March 5, 2020, at which time 25,000 shares were purchased at an average cost per share of $7.30. This leaves $26.0 million available under the March 2, 2017 program, as extended, to March 2,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 ACCUMULATED OTHER COMPREHENSIVE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each component of accumulated other comprehensive income attributable to RDI:</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Accrued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Gain (Losses)</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Hedge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on Available-</w:t>
            </w:r>
          </w:p>
        </w:tc>
        <w:tc>
          <w:tcPr>
            <w:tcW w:w="2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1"/>
              </w:rPr>
              <w:t>for-Sale</w:t>
            </w:r>
          </w:p>
        </w:tc>
        <w:tc>
          <w:tcPr>
            <w:tcW w:w="200" w:type="dxa"/>
            <w:vAlign w:val="bottom"/>
          </w:tcPr>
          <w:p>
            <w:pPr>
              <w:spacing w:after="0"/>
              <w:rPr>
                <w:sz w:val="11"/>
                <w:szCs w:val="11"/>
                <w:color w:val="auto"/>
              </w:rPr>
            </w:pPr>
          </w:p>
        </w:tc>
        <w:tc>
          <w:tcPr>
            <w:tcW w:w="10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2"/>
              </w:rPr>
              <w:t>Service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7" w:lineRule="exact"/>
              <w:rPr>
                <w:sz w:val="20"/>
                <w:szCs w:val="20"/>
                <w:color w:val="auto"/>
              </w:rPr>
            </w:pPr>
            <w:r>
              <w:rPr>
                <w:rFonts w:ascii="Arial" w:cs="Arial" w:eastAsia="Arial" w:hAnsi="Arial"/>
                <w:sz w:val="14"/>
                <w:szCs w:val="14"/>
                <w:b w:val="1"/>
                <w:bCs w:val="1"/>
                <w:color w:val="auto"/>
                <w:w w:val="90"/>
              </w:rPr>
              <w:t>Accounting</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70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line="188" w:lineRule="exact"/>
              <w:rPr>
                <w:sz w:val="20"/>
                <w:szCs w:val="20"/>
                <w:color w:val="auto"/>
              </w:rPr>
            </w:pPr>
            <w:r>
              <w:rPr>
                <w:rFonts w:ascii="Arial" w:cs="Arial" w:eastAsia="Arial" w:hAnsi="Arial"/>
                <w:sz w:val="13"/>
                <w:szCs w:val="13"/>
                <w:b w:val="1"/>
                <w:bCs w:val="1"/>
                <w:color w:val="auto"/>
                <w:w w:val="93"/>
              </w:rPr>
              <w:t>Items</w:t>
            </w:r>
            <w:r>
              <w:rPr>
                <w:rFonts w:ascii="Arial" w:cs="Arial" w:eastAsia="Arial" w:hAnsi="Arial"/>
                <w:sz w:val="21"/>
                <w:szCs w:val="21"/>
                <w:b w:val="1"/>
                <w:bCs w:val="1"/>
                <w:color w:val="auto"/>
                <w:w w:val="93"/>
                <w:vertAlign w:val="superscript"/>
              </w:rPr>
              <w:t>(1)</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Arial" w:cs="Arial" w:eastAsia="Arial" w:hAnsi="Arial"/>
                <w:sz w:val="13"/>
                <w:szCs w:val="13"/>
                <w:b w:val="1"/>
                <w:bCs w:val="1"/>
                <w:color w:val="auto"/>
                <w:w w:val="90"/>
              </w:rPr>
              <w:t>Costs</w:t>
            </w:r>
            <w:r>
              <w:rPr>
                <w:rFonts w:ascii="Arial" w:cs="Arial" w:eastAsia="Arial" w:hAnsi="Arial"/>
                <w:sz w:val="21"/>
                <w:szCs w:val="21"/>
                <w:b w:val="1"/>
                <w:bCs w:val="1"/>
                <w:color w:val="auto"/>
                <w:w w:val="90"/>
                <w:vertAlign w:val="superscript"/>
              </w:rPr>
              <w:t>(2)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line="188" w:lineRule="exact"/>
              <w:rPr>
                <w:sz w:val="20"/>
                <w:szCs w:val="20"/>
                <w:color w:val="auto"/>
              </w:rPr>
            </w:pPr>
            <w:r>
              <w:rPr>
                <w:rFonts w:ascii="Arial" w:cs="Arial" w:eastAsia="Arial" w:hAnsi="Arial"/>
                <w:sz w:val="13"/>
                <w:szCs w:val="13"/>
                <w:b w:val="1"/>
                <w:bCs w:val="1"/>
                <w:color w:val="auto"/>
                <w:w w:val="91"/>
              </w:rPr>
              <w:t>Reserve</w:t>
            </w:r>
            <w:r>
              <w:rPr>
                <w:rFonts w:ascii="Arial" w:cs="Arial" w:eastAsia="Arial" w:hAnsi="Arial"/>
                <w:sz w:val="21"/>
                <w:szCs w:val="21"/>
                <w:b w:val="1"/>
                <w:bCs w:val="1"/>
                <w:color w:val="auto"/>
                <w:w w:val="91"/>
                <w:vertAlign w:val="superscript"/>
              </w:rPr>
              <w:t>(3)</w:t>
            </w:r>
          </w:p>
        </w:tc>
        <w:tc>
          <w:tcPr>
            <w:tcW w:w="280" w:type="dxa"/>
            <w:vAlign w:val="bottom"/>
          </w:tcPr>
          <w:p>
            <w:pPr>
              <w:spacing w:after="0"/>
              <w:rPr>
                <w:sz w:val="16"/>
                <w:szCs w:val="16"/>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8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January 1, 2020</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8,118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(2,287)</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(252)</w:t>
            </w: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w w:val="89"/>
              </w:rPr>
              <w:t>Change related to derivatives</w:t>
            </w:r>
          </w:p>
        </w:tc>
        <w:tc>
          <w:tcPr>
            <w:tcW w:w="258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00" w:type="dxa"/>
            <w:vAlign w:val="bottom"/>
            <w:gridSpan w:val="3"/>
          </w:tcPr>
          <w:p>
            <w:pPr>
              <w:spacing w:after="0" w:line="161" w:lineRule="exact"/>
              <w:rPr>
                <w:sz w:val="20"/>
                <w:szCs w:val="20"/>
                <w:color w:val="auto"/>
              </w:rPr>
            </w:pPr>
            <w:r>
              <w:rPr>
                <w:rFonts w:ascii="Arial" w:cs="Arial" w:eastAsia="Arial" w:hAnsi="Arial"/>
                <w:sz w:val="18"/>
                <w:szCs w:val="18"/>
                <w:color w:val="auto"/>
              </w:rPr>
              <w:t>Total change in hedge fair value recorded in Other</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70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61"/>
        </w:trPr>
        <w:tc>
          <w:tcPr>
            <w:tcW w:w="4700" w:type="dxa"/>
            <w:vAlign w:val="bottom"/>
            <w:gridSpan w:val="3"/>
            <w:shd w:val="clear" w:color="auto" w:fill="CCEEFF"/>
          </w:tcPr>
          <w:p>
            <w:pPr>
              <w:spacing w:after="0" w:line="16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700" w:type="dxa"/>
            <w:vAlign w:val="bottom"/>
            <w:gridSpan w:val="3"/>
          </w:tcPr>
          <w:p>
            <w:pPr>
              <w:spacing w:after="0" w:line="182" w:lineRule="exact"/>
              <w:rPr>
                <w:sz w:val="20"/>
                <w:szCs w:val="20"/>
                <w:color w:val="auto"/>
              </w:rPr>
            </w:pPr>
            <w:r>
              <w:rPr>
                <w:rFonts w:ascii="Arial" w:cs="Arial" w:eastAsia="Arial" w:hAnsi="Arial"/>
                <w:sz w:val="18"/>
                <w:szCs w:val="18"/>
                <w:color w:val="auto"/>
              </w:rPr>
              <w:t>Net change related to derivatives</w:t>
            </w: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(65)</w:t>
            </w: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line="189" w:lineRule="exact"/>
              <w:rPr>
                <w:sz w:val="20"/>
                <w:szCs w:val="20"/>
                <w:color w:val="auto"/>
              </w:rPr>
            </w:pPr>
            <w:r>
              <w:rPr>
                <w:rFonts w:ascii="Arial" w:cs="Arial" w:eastAsia="Arial" w:hAnsi="Arial"/>
                <w:sz w:val="18"/>
                <w:szCs w:val="18"/>
                <w:color w:val="auto"/>
              </w:rPr>
              <w:t>Net current-period other comprehensive income</w:t>
            </w:r>
          </w:p>
        </w:tc>
        <w:tc>
          <w:tcPr>
            <w:tcW w:w="20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6,848</w:t>
            </w:r>
          </w:p>
        </w:tc>
        <w:tc>
          <w:tcPr>
            <w:tcW w:w="1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152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6,913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Borders>
              <w:top w:val="single" w:sz="8" w:color="CCEEFF"/>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14,966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(2,135)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(317)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12,502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of income tax benefit of $34,000.</w:t>
      </w:r>
    </w:p>
    <w:p>
      <w:pPr>
        <w:ind w:left="660" w:hanging="328"/>
        <w:spacing w:after="0" w:line="22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of income tax expense of $55,000.</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of income tax benefit of $23,000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auto"/>
        </w:rPr>
        <w:t>NOTE 17 – FAIR VALUE MEASUREMENTS</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spacing w:after="0" w:line="52" w:lineRule="exact"/>
        <w:rPr>
          <w:sz w:val="20"/>
          <w:szCs w:val="20"/>
          <w:color w:val="auto"/>
        </w:rPr>
      </w:pPr>
    </w:p>
    <w:p>
      <w:pPr>
        <w:ind w:left="660" w:right="60"/>
        <w:spacing w:after="0" w:line="287"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Quoted (unadjusted) prices in active markets that are accessible at the measurement date for identical, unrestricted assets or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This consist primarily of investments in marketable securities which are our investments associated with the ownership of marketable securities in U.S. and New Zealand. These investments are valued based on observable market quotes on the last trading date of the reporting period.</w:t>
      </w:r>
    </w:p>
    <w:p>
      <w:pPr>
        <w:spacing w:after="0" w:line="1" w:lineRule="exact"/>
        <w:rPr>
          <w:sz w:val="20"/>
          <w:szCs w:val="20"/>
          <w:color w:val="auto"/>
        </w:rPr>
      </w:pPr>
    </w:p>
    <w:p>
      <w:pPr>
        <w:ind w:left="660" w:right="180"/>
        <w:spacing w:after="0" w:line="230"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Quoted prices in active markets for similar assets and liabilities, or inputs that are observable, either directly or indirectly, for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full term of the asset 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2020 and 2019, we concluded that the credit valuation adjustments were not significant to the overall valuation of our derivatives.</w:t>
      </w:r>
    </w:p>
    <w:p>
      <w:pPr>
        <w:spacing w:after="0" w:line="52" w:lineRule="exact"/>
        <w:rPr>
          <w:sz w:val="20"/>
          <w:szCs w:val="20"/>
          <w:color w:val="auto"/>
        </w:rPr>
      </w:pPr>
    </w:p>
    <w:p>
      <w:pPr>
        <w:ind w:left="660" w:right="40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may require significant judgment in order to determine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assets and liabilities. This category includes:</w:t>
      </w:r>
    </w:p>
    <w:p>
      <w:pPr>
        <w:spacing w:after="0" w:line="31" w:lineRule="exact"/>
        <w:rPr>
          <w:sz w:val="20"/>
          <w:szCs w:val="20"/>
          <w:color w:val="auto"/>
        </w:rPr>
      </w:pPr>
    </w:p>
    <w:p>
      <w:pPr>
        <w:ind w:left="980" w:right="100" w:hanging="324"/>
        <w:spacing w:after="0" w:line="261"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includes secured and unsecured notes payable, trust preferred securities and other debt instruments. The borrowings are valued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25" w:lineRule="exact"/>
        <w:rPr>
          <w:rFonts w:ascii="Arial" w:cs="Arial" w:eastAsia="Arial" w:hAnsi="Arial"/>
          <w:sz w:val="16"/>
          <w:szCs w:val="16"/>
          <w:color w:val="auto"/>
        </w:rPr>
      </w:pPr>
    </w:p>
    <w:p>
      <w:pPr>
        <w:ind w:left="980" w:right="180" w:hanging="324"/>
        <w:spacing w:after="0" w:line="231"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Goodwill, Other Intangibles and Other Long-lived Assets </w:t>
      </w:r>
      <w:r>
        <w:rPr>
          <w:rFonts w:ascii="Arial" w:cs="Arial" w:eastAsia="Arial" w:hAnsi="Arial"/>
          <w:sz w:val="18"/>
          <w:szCs w:val="18"/>
          <w:color w:val="auto"/>
        </w:rPr>
        <w:t>– refer to the “</w:t>
      </w:r>
      <w:r>
        <w:rPr>
          <w:rFonts w:ascii="Arial" w:cs="Arial" w:eastAsia="Arial" w:hAnsi="Arial"/>
          <w:sz w:val="18"/>
          <w:szCs w:val="18"/>
          <w:i w:val="1"/>
          <w:iCs w:val="1"/>
          <w:color w:val="auto"/>
        </w:rPr>
        <w:t xml:space="preserve">Impairment of Long-Lived Assets” section in Note 2 – Summary of Significant Accounting Policies </w:t>
      </w:r>
      <w:r>
        <w:rPr>
          <w:rFonts w:ascii="Arial" w:cs="Arial" w:eastAsia="Arial" w:hAnsi="Arial"/>
          <w:sz w:val="18"/>
          <w:szCs w:val="18"/>
          <w:color w:val="auto"/>
        </w:rPr>
        <w:t>for a description of valuation methodology used for fair value measurements of goodwill,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long-lived assets. Given this category represents several lines in our Consolidated Balance Sheet and since the recorded values agree to fair values, we did not include this in the subsequent tables presented.</w:t>
      </w:r>
    </w:p>
    <w:p>
      <w:pPr>
        <w:spacing w:after="0" w:line="14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Also, our Level 1 financial instruments include cash and cash equivalents, receivables, and accounts payable and accrued liabilities. The carrying values of these financial instruments approximate the fair values due to their short maturities. There have been no changes in the methodologies used at December 31, 2020 and 2019. Additionally, there were no transfers of assets and liabilities between Levels 1, 2, or 3 during the three years ended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171"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As of December 31, 2020 and 2019, we do not have material financial assets carried and measured at fair value on a recurring basis. As of December 31, 2020 and 2019, we had derivative financial liabilities carried and measured at fair value on a recurring basis of $430,000 and $342,000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Nonrecurring Fair Value Measurements</w:t>
      </w:r>
    </w:p>
    <w:p>
      <w:pPr>
        <w:spacing w:after="0" w:line="17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tables provide information about financial assets and liabilities not carried at fair value on a nonrecurring basis in our 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w w:val="93"/>
              </w:rPr>
              <w:t>Fair Value Measurements at December 31, 2020</w:t>
            </w:r>
          </w:p>
        </w:tc>
        <w:tc>
          <w:tcPr>
            <w:tcW w:w="700" w:type="dxa"/>
            <w:vAlign w:val="bottom"/>
            <w:tcBorders>
              <w:bottom w:val="single" w:sz="8" w:color="auto"/>
            </w:tcBorders>
          </w:tcPr>
          <w:p>
            <w:pPr>
              <w:spacing w:after="0"/>
              <w:rPr>
                <w:sz w:val="15"/>
                <w:szCs w:val="15"/>
                <w:color w:val="auto"/>
              </w:rPr>
            </w:pPr>
          </w:p>
        </w:tc>
      </w:tr>
      <w:tr>
        <w:trPr>
          <w:trHeight w:val="183"/>
        </w:trPr>
        <w:tc>
          <w:tcPr>
            <w:tcW w:w="25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920" w:type="dxa"/>
            <w:vAlign w:val="bottom"/>
          </w:tcPr>
          <w:p>
            <w:pPr>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42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48"/>
        </w:trPr>
        <w:tc>
          <w:tcPr>
            <w:tcW w:w="24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Financial liabilities</w:t>
            </w:r>
          </w:p>
        </w:tc>
        <w:tc>
          <w:tcPr>
            <w:tcW w:w="160" w:type="dxa"/>
            <w:vAlign w:val="bottom"/>
          </w:tcPr>
          <w:p>
            <w:pPr>
              <w:spacing w:after="0"/>
              <w:rPr>
                <w:sz w:val="12"/>
                <w:szCs w:val="12"/>
                <w:color w:val="auto"/>
              </w:rPr>
            </w:pPr>
          </w:p>
        </w:tc>
        <w:tc>
          <w:tcPr>
            <w:tcW w:w="2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149"/>
        </w:trPr>
        <w:tc>
          <w:tcPr>
            <w:tcW w:w="2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Notes payable</w:t>
            </w: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 current and long-term portion</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257,046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258,525</w:t>
            </w:r>
          </w:p>
        </w:tc>
        <w:tc>
          <w:tcPr>
            <w:tcW w:w="3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258,525</w:t>
            </w:r>
          </w:p>
        </w:tc>
      </w:tr>
      <w:tr>
        <w:trPr>
          <w:trHeight w:val="148"/>
        </w:trPr>
        <w:tc>
          <w:tcPr>
            <w:tcW w:w="2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Subordinated debt</w:t>
            </w:r>
          </w:p>
        </w:tc>
        <w:tc>
          <w:tcPr>
            <w:tcW w:w="2920" w:type="dxa"/>
            <w:vAlign w:val="bottom"/>
          </w:tcPr>
          <w:p>
            <w:pPr>
              <w:spacing w:after="0" w:line="149" w:lineRule="exact"/>
              <w:rPr>
                <w:sz w:val="20"/>
                <w:szCs w:val="20"/>
                <w:color w:val="auto"/>
              </w:rPr>
            </w:pPr>
            <w:r>
              <w:rPr>
                <w:rFonts w:ascii="Arial" w:cs="Arial" w:eastAsia="Arial" w:hAnsi="Arial"/>
                <w:sz w:val="14"/>
                <w:szCs w:val="14"/>
                <w:color w:val="auto"/>
                <w:w w:val="94"/>
              </w:rPr>
              <w:t>Subordinated debt - current and long-term portion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27,913</w:t>
            </w:r>
          </w:p>
        </w:tc>
        <w:tc>
          <w:tcPr>
            <w:tcW w:w="160" w:type="dxa"/>
            <w:vAlign w:val="bottom"/>
          </w:tcPr>
          <w:p>
            <w:pPr>
              <w:spacing w:after="0"/>
              <w:rPr>
                <w:sz w:val="12"/>
                <w:szCs w:val="12"/>
                <w:color w:val="auto"/>
              </w:rPr>
            </w:pPr>
          </w:p>
        </w:tc>
        <w:tc>
          <w:tcPr>
            <w:tcW w:w="9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20,423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20,423</w:t>
            </w:r>
          </w:p>
        </w:tc>
      </w:tr>
      <w:tr>
        <w:trPr>
          <w:trHeight w:val="149"/>
        </w:trPr>
        <w:tc>
          <w:tcPr>
            <w:tcW w:w="25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29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284,959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b w:val="1"/>
                <w:bCs w:val="1"/>
                <w:color w:val="auto"/>
                <w:w w:val="85"/>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ind w:left="660"/>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278,949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278,949</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8"/>
        </w:trPr>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w w:val="93"/>
              </w:rPr>
              <w:t>Fair Value Measurements at December 31, 2019</w:t>
            </w:r>
          </w:p>
        </w:tc>
        <w:tc>
          <w:tcPr>
            <w:tcW w:w="700" w:type="dxa"/>
            <w:vAlign w:val="bottom"/>
            <w:tcBorders>
              <w:bottom w:val="single" w:sz="8" w:color="auto"/>
            </w:tcBorders>
          </w:tcPr>
          <w:p>
            <w:pPr>
              <w:spacing w:after="0"/>
              <w:rPr>
                <w:sz w:val="15"/>
                <w:szCs w:val="15"/>
                <w:color w:val="auto"/>
              </w:rPr>
            </w:pPr>
          </w:p>
        </w:tc>
      </w:tr>
      <w:tr>
        <w:trPr>
          <w:trHeight w:val="183"/>
        </w:trPr>
        <w:tc>
          <w:tcPr>
            <w:tcW w:w="25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920" w:type="dxa"/>
            <w:vAlign w:val="bottom"/>
          </w:tcPr>
          <w:p>
            <w:pPr>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42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48"/>
        </w:trPr>
        <w:tc>
          <w:tcPr>
            <w:tcW w:w="24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Financial liabilities</w:t>
            </w:r>
          </w:p>
        </w:tc>
        <w:tc>
          <w:tcPr>
            <w:tcW w:w="160" w:type="dxa"/>
            <w:vAlign w:val="bottom"/>
          </w:tcPr>
          <w:p>
            <w:pPr>
              <w:spacing w:after="0"/>
              <w:rPr>
                <w:sz w:val="12"/>
                <w:szCs w:val="12"/>
                <w:color w:val="auto"/>
              </w:rPr>
            </w:pPr>
          </w:p>
        </w:tc>
        <w:tc>
          <w:tcPr>
            <w:tcW w:w="2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148"/>
        </w:trPr>
        <w:tc>
          <w:tcPr>
            <w:tcW w:w="2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Notes payable</w:t>
            </w: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 current and long-term portion</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181,305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185,295</w:t>
            </w:r>
          </w:p>
        </w:tc>
        <w:tc>
          <w:tcPr>
            <w:tcW w:w="36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185,295</w:t>
            </w:r>
          </w:p>
        </w:tc>
      </w:tr>
      <w:tr>
        <w:trPr>
          <w:trHeight w:val="148"/>
        </w:trPr>
        <w:tc>
          <w:tcPr>
            <w:tcW w:w="2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Subordinated debt</w:t>
            </w: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Subordinated 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27,913</w:t>
            </w:r>
          </w:p>
        </w:tc>
        <w:tc>
          <w:tcPr>
            <w:tcW w:w="160" w:type="dxa"/>
            <w:vAlign w:val="bottom"/>
          </w:tcPr>
          <w:p>
            <w:pPr>
              <w:spacing w:after="0"/>
              <w:rPr>
                <w:sz w:val="12"/>
                <w:szCs w:val="12"/>
                <w:color w:val="auto"/>
              </w:rPr>
            </w:pPr>
          </w:p>
        </w:tc>
        <w:tc>
          <w:tcPr>
            <w:tcW w:w="9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18,753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18,753</w:t>
            </w:r>
          </w:p>
        </w:tc>
      </w:tr>
      <w:tr>
        <w:trPr>
          <w:trHeight w:val="149"/>
        </w:trPr>
        <w:tc>
          <w:tcPr>
            <w:tcW w:w="25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29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209,218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b w:val="1"/>
                <w:bCs w:val="1"/>
                <w:color w:val="auto"/>
                <w:w w:val="85"/>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ind w:left="660"/>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204,048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204,048</w:t>
            </w:r>
          </w:p>
        </w:tc>
      </w:tr>
    </w:tbl>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balances are presented gross of deferred financing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18 – HEDGE ACCOUNTING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2019, the Company held interest rate derivatives in the total notional amount of $8.0 million and $8.0,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derivatives are recorded on the balance sheet at fair value and are included in the following line items:</w:t>
      </w:r>
    </w:p>
    <w:p>
      <w:pPr>
        <w:spacing w:after="0" w:line="203" w:lineRule="exact"/>
        <w:rPr>
          <w:sz w:val="20"/>
          <w:szCs w:val="20"/>
          <w:color w:val="auto"/>
        </w:rPr>
      </w:pPr>
    </w:p>
    <w:p>
      <w:pPr>
        <w:jc w:val="center"/>
        <w:ind w:left="3040"/>
        <w:spacing w:after="0"/>
        <w:rPr>
          <w:sz w:val="20"/>
          <w:szCs w:val="20"/>
          <w:color w:val="auto"/>
        </w:rPr>
      </w:pPr>
      <w:r>
        <w:rPr>
          <w:rFonts w:ascii="Arial" w:cs="Arial" w:eastAsia="Arial" w:hAnsi="Arial"/>
          <w:sz w:val="14"/>
          <w:szCs w:val="14"/>
          <w:b w:val="1"/>
          <w:bCs w:val="1"/>
          <w:color w:val="auto"/>
        </w:rPr>
        <w:t>Liability Derivatives</w:t>
      </w:r>
    </w:p>
    <w:p>
      <w:pPr>
        <w:jc w:val="center"/>
        <w:ind w:left="30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3"/>
        </w:trPr>
        <w:tc>
          <w:tcPr>
            <w:tcW w:w="30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880" w:type="dxa"/>
            <w:vAlign w:val="bottom"/>
            <w:tcBorders>
              <w:top w:val="single" w:sz="8" w:color="auto"/>
              <w:bottom w:val="single" w:sz="8" w:color="auto"/>
            </w:tcBorders>
          </w:tcPr>
          <w:p>
            <w:pPr>
              <w:ind w:left="188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60" w:type="dxa"/>
            <w:vAlign w:val="bottom"/>
            <w:tcBorders>
              <w:top w:val="single" w:sz="8" w:color="auto"/>
              <w:bottom w:val="single" w:sz="8" w:color="auto"/>
            </w:tcBorders>
          </w:tcPr>
          <w:p>
            <w:pPr>
              <w:jc w:val="right"/>
              <w:ind w:right="66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60" w:type="dxa"/>
            <w:vAlign w:val="bottom"/>
            <w:gridSpan w:val="2"/>
            <w:vMerge w:val="continue"/>
          </w:tcPr>
          <w:p>
            <w:pPr>
              <w:spacing w:after="0"/>
              <w:rPr>
                <w:sz w:val="13"/>
                <w:szCs w:val="13"/>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3"/>
                <w:szCs w:val="13"/>
                <w:color w:val="auto"/>
              </w:rPr>
            </w:pP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3140" w:type="dxa"/>
            <w:vAlign w:val="bottom"/>
            <w:gridSpan w:val="3"/>
          </w:tcPr>
          <w:p>
            <w:pPr>
              <w:jc w:val="right"/>
              <w:ind w:right="1749"/>
              <w:spacing w:after="0" w:line="149" w:lineRule="exact"/>
              <w:rPr>
                <w:sz w:val="20"/>
                <w:szCs w:val="20"/>
                <w:color w:val="auto"/>
              </w:rPr>
            </w:pPr>
            <w:r>
              <w:rPr>
                <w:rFonts w:ascii="Arial" w:cs="Arial" w:eastAsia="Arial" w:hAnsi="Arial"/>
                <w:sz w:val="14"/>
                <w:szCs w:val="14"/>
                <w:b w:val="1"/>
                <w:bCs w:val="1"/>
                <w:color w:val="auto"/>
                <w:w w:val="86"/>
              </w:rPr>
              <w:t>Balance sheet location</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7"/>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rate contracts</w:t>
            </w:r>
          </w:p>
        </w:tc>
        <w:tc>
          <w:tcPr>
            <w:tcW w:w="18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Derivative financial instruments - current portion</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18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Derivative financial instruments - current portion</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Derivative financial instruments - non-current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212</w:t>
            </w:r>
          </w:p>
        </w:tc>
        <w:tc>
          <w:tcPr>
            <w:tcW w:w="3140" w:type="dxa"/>
            <w:vAlign w:val="bottom"/>
            <w:gridSpan w:val="3"/>
          </w:tcPr>
          <w:p>
            <w:pPr>
              <w:jc w:val="right"/>
              <w:ind w:right="269"/>
              <w:spacing w:after="0" w:line="130" w:lineRule="exact"/>
              <w:rPr>
                <w:sz w:val="20"/>
                <w:szCs w:val="20"/>
                <w:color w:val="auto"/>
              </w:rPr>
            </w:pPr>
            <w:r>
              <w:rPr>
                <w:rFonts w:ascii="Arial" w:cs="Arial" w:eastAsia="Arial" w:hAnsi="Arial"/>
                <w:sz w:val="14"/>
                <w:szCs w:val="14"/>
                <w:color w:val="auto"/>
              </w:rPr>
              <w:t>Derivative financial instruments - non-current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01"/>
        </w:trPr>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2"/>
            <w:vMerge w:val="restart"/>
          </w:tcPr>
          <w:p>
            <w:pPr>
              <w:spacing w:after="0"/>
              <w:rPr>
                <w:sz w:val="20"/>
                <w:szCs w:val="20"/>
                <w:color w:val="auto"/>
              </w:rPr>
            </w:pPr>
            <w:r>
              <w:rPr>
                <w:rFonts w:ascii="Arial" w:cs="Arial" w:eastAsia="Arial" w:hAnsi="Arial"/>
                <w:sz w:val="14"/>
                <w:szCs w:val="14"/>
                <w:color w:val="auto"/>
              </w:rPr>
              <w:t>portion</w:t>
            </w:r>
          </w:p>
        </w:tc>
        <w:tc>
          <w:tcPr>
            <w:tcW w:w="1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140" w:type="dxa"/>
            <w:vAlign w:val="bottom"/>
            <w:gridSpan w:val="3"/>
            <w:vMerge w:val="restart"/>
          </w:tcPr>
          <w:p>
            <w:pPr>
              <w:jc w:val="right"/>
              <w:ind w:right="229"/>
              <w:spacing w:after="0"/>
              <w:rPr>
                <w:sz w:val="20"/>
                <w:szCs w:val="20"/>
                <w:color w:val="auto"/>
              </w:rPr>
            </w:pPr>
            <w:r>
              <w:rPr>
                <w:rFonts w:ascii="Arial" w:cs="Arial" w:eastAsia="Arial" w:hAnsi="Arial"/>
                <w:sz w:val="14"/>
                <w:szCs w:val="14"/>
                <w:color w:val="auto"/>
              </w:rPr>
              <w:t>portion</w:t>
            </w: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8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04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140" w:type="dxa"/>
            <w:vAlign w:val="bottom"/>
            <w:tcBorders>
              <w:bottom w:val="single" w:sz="8" w:color="auto"/>
            </w:tcBorders>
            <w:gridSpan w:val="3"/>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06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derivatives designated as hedging</w:t>
            </w:r>
          </w:p>
        </w:tc>
        <w:tc>
          <w:tcPr>
            <w:tcW w:w="2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430</w:t>
            </w:r>
          </w:p>
        </w:tc>
        <w:tc>
          <w:tcPr>
            <w:tcW w:w="3140" w:type="dxa"/>
            <w:vAlign w:val="bottom"/>
            <w:gridSpan w:val="3"/>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060" w:type="dxa"/>
            <w:vAlign w:val="bottom"/>
            <w:tcBorders>
              <w:bottom w:val="single" w:sz="8" w:color="CCEEFF"/>
            </w:tcBorders>
            <w:gridSpan w:val="2"/>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instruments</w:t>
            </w:r>
          </w:p>
        </w:tc>
        <w:tc>
          <w:tcPr>
            <w:tcW w:w="28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3140" w:type="dxa"/>
            <w:vAlign w:val="bottom"/>
            <w:tcBorders>
              <w:bottom w:val="single" w:sz="8" w:color="CCEEFF"/>
            </w:tcBorders>
            <w:gridSpan w:val="3"/>
            <w:vMerge w:val="continue"/>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60" w:type="dxa"/>
            <w:vAlign w:val="bottom"/>
            <w:tcBorders>
              <w:top w:val="single" w:sz="8" w:color="CCEEFF"/>
            </w:tcBorders>
            <w:gridSpan w:val="2"/>
          </w:tcPr>
          <w:p>
            <w:pPr>
              <w:spacing w:after="0" w:line="135" w:lineRule="exact"/>
              <w:rPr>
                <w:sz w:val="20"/>
                <w:szCs w:val="20"/>
                <w:color w:val="auto"/>
              </w:rPr>
            </w:pPr>
            <w:r>
              <w:rPr>
                <w:rFonts w:ascii="Arial" w:cs="Arial" w:eastAsia="Arial" w:hAnsi="Arial"/>
                <w:sz w:val="14"/>
                <w:szCs w:val="14"/>
                <w:b w:val="1"/>
                <w:bCs w:val="1"/>
                <w:color w:val="auto"/>
              </w:rPr>
              <w:t>Total derivatives</w:t>
            </w:r>
          </w:p>
        </w:tc>
        <w:tc>
          <w:tcPr>
            <w:tcW w:w="28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430</w:t>
            </w:r>
          </w:p>
        </w:tc>
        <w:tc>
          <w:tcPr>
            <w:tcW w:w="180" w:type="dxa"/>
            <w:vAlign w:val="bottom"/>
            <w:tcBorders>
              <w:top w:val="single" w:sz="8" w:color="CCEEFF"/>
            </w:tcBorders>
          </w:tcPr>
          <w:p>
            <w:pPr>
              <w:spacing w:after="0"/>
              <w:rPr>
                <w:sz w:val="12"/>
                <w:szCs w:val="12"/>
                <w:color w:val="auto"/>
              </w:rPr>
            </w:pPr>
          </w:p>
        </w:tc>
        <w:tc>
          <w:tcPr>
            <w:tcW w:w="3140" w:type="dxa"/>
            <w:vAlign w:val="bottom"/>
            <w:tcBorders>
              <w:top w:val="single" w:sz="8" w:color="auto"/>
              <w:bottom w:val="single" w:sz="8" w:color="auto"/>
            </w:tcBorders>
            <w:gridSpan w:val="3"/>
          </w:tcPr>
          <w:p>
            <w:pPr>
              <w:jc w:val="right"/>
              <w:ind w:right="9"/>
              <w:spacing w:after="0" w:line="13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342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have no derivatives designated as hedging instruments which are in asset positions.</w:t>
      </w:r>
    </w:p>
    <w:p>
      <w:pPr>
        <w:spacing w:after="0" w:line="171"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The changes in fair value are recorded in Other Comprehensive Income and released into interest expense in the same period(s) in which the hedged transactions affect earnings. In 2020 and 2019, the derivative instruments affected Comprehensive Income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8"/>
            <w:vMerge w:val="restart"/>
          </w:tcPr>
          <w:p>
            <w:pPr>
              <w:jc w:val="right"/>
              <w:ind w:right="48"/>
              <w:spacing w:after="0"/>
              <w:rPr>
                <w:sz w:val="20"/>
                <w:szCs w:val="20"/>
                <w:color w:val="auto"/>
              </w:rPr>
            </w:pPr>
            <w:r>
              <w:rPr>
                <w:rFonts w:ascii="Arial" w:cs="Arial" w:eastAsia="Arial" w:hAnsi="Arial"/>
                <w:sz w:val="14"/>
                <w:szCs w:val="14"/>
                <w:b w:val="1"/>
                <w:bCs w:val="1"/>
                <w:color w:val="auto"/>
              </w:rPr>
              <w:t>Location of Loss Recognized in Income on Derivatives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0"/>
              </w:rPr>
              <w:t>Amount of Loss Recognized in Income on</w:t>
            </w:r>
          </w:p>
        </w:tc>
        <w:tc>
          <w:tcPr>
            <w:tcW w:w="0" w:type="dxa"/>
            <w:vAlign w:val="bottom"/>
          </w:tcPr>
          <w:p>
            <w:pPr>
              <w:spacing w:after="0"/>
              <w:rPr>
                <w:sz w:val="1"/>
                <w:szCs w:val="1"/>
                <w:color w:val="auto"/>
              </w:rPr>
            </w:pPr>
          </w:p>
        </w:tc>
      </w:tr>
      <w:tr>
        <w:trPr>
          <w:trHeight w:val="105"/>
        </w:trPr>
        <w:tc>
          <w:tcPr>
            <w:tcW w:w="22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20" w:type="dxa"/>
            <w:vAlign w:val="bottom"/>
            <w:gridSpan w:val="8"/>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gridSpan w:val="8"/>
            <w:vMerge w:val="restart"/>
          </w:tcPr>
          <w:p>
            <w:pPr>
              <w:jc w:val="center"/>
              <w:ind w:left="148"/>
              <w:spacing w:after="0"/>
              <w:rPr>
                <w:sz w:val="20"/>
                <w:szCs w:val="20"/>
                <w:color w:val="auto"/>
              </w:rPr>
            </w:pPr>
            <w:r>
              <w:rPr>
                <w:rFonts w:ascii="Arial" w:cs="Arial" w:eastAsia="Arial" w:hAnsi="Arial"/>
                <w:sz w:val="14"/>
                <w:szCs w:val="14"/>
                <w:b w:val="1"/>
                <w:bCs w:val="1"/>
                <w:color w:val="auto"/>
                <w:w w:val="93"/>
              </w:rPr>
              <w:t>Derivatives</w:t>
            </w: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20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8"/>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rate contracts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20" w:type="dxa"/>
            <w:vAlign w:val="bottom"/>
            <w:gridSpan w:val="4"/>
            <w:shd w:val="clear" w:color="auto" w:fill="CCEEFF"/>
          </w:tcPr>
          <w:p>
            <w:pPr>
              <w:ind w:left="380"/>
              <w:spacing w:after="0" w:line="149" w:lineRule="exact"/>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342"/>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Loss Recognized in</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12"/>
            <w:vMerge w:val="restart"/>
          </w:tcPr>
          <w:p>
            <w:pPr>
              <w:jc w:val="center"/>
              <w:ind w:left="88"/>
              <w:spacing w:after="0"/>
              <w:rPr>
                <w:sz w:val="20"/>
                <w:szCs w:val="20"/>
                <w:color w:val="auto"/>
              </w:rPr>
            </w:pPr>
            <w:r>
              <w:rPr>
                <w:rFonts w:ascii="Arial" w:cs="Arial" w:eastAsia="Arial" w:hAnsi="Arial"/>
                <w:sz w:val="14"/>
                <w:szCs w:val="14"/>
                <w:b w:val="1"/>
                <w:bCs w:val="1"/>
                <w:color w:val="auto"/>
                <w:w w:val="91"/>
              </w:rPr>
              <w:t>Loss Recognized in Income on Derivatives (Ineffective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OCI on Derivatives</w:t>
            </w:r>
          </w:p>
        </w:tc>
        <w:tc>
          <w:tcPr>
            <w:tcW w:w="378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w w:val="96"/>
              </w:rPr>
              <w:t>Loss Reclassified from OCI into Income (Effective Portion)</w:t>
            </w:r>
          </w:p>
        </w:tc>
        <w:tc>
          <w:tcPr>
            <w:tcW w:w="3520" w:type="dxa"/>
            <w:vAlign w:val="bottom"/>
            <w:gridSpan w:val="1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5"/>
                <w:szCs w:val="15"/>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(Effective Portion)</w:t>
            </w:r>
          </w:p>
        </w:tc>
        <w:tc>
          <w:tcPr>
            <w:tcW w:w="3780" w:type="dxa"/>
            <w:vAlign w:val="bottom"/>
            <w:gridSpan w:val="8"/>
            <w:vMerge w:val="continue"/>
          </w:tcPr>
          <w:p>
            <w:pPr>
              <w:spacing w:after="0"/>
              <w:rPr>
                <w:sz w:val="15"/>
                <w:szCs w:val="15"/>
                <w:color w:val="auto"/>
              </w:rPr>
            </w:pPr>
          </w:p>
        </w:tc>
        <w:tc>
          <w:tcPr>
            <w:tcW w:w="3700" w:type="dxa"/>
            <w:vAlign w:val="bottom"/>
            <w:gridSpan w:val="13"/>
          </w:tcPr>
          <w:p>
            <w:pPr>
              <w:jc w:val="center"/>
              <w:spacing w:after="0"/>
              <w:rPr>
                <w:sz w:val="20"/>
                <w:szCs w:val="20"/>
                <w:color w:val="auto"/>
              </w:rPr>
            </w:pPr>
            <w:r>
              <w:rPr>
                <w:rFonts w:ascii="Arial" w:cs="Arial" w:eastAsia="Arial" w:hAnsi="Arial"/>
                <w:sz w:val="14"/>
                <w:szCs w:val="14"/>
                <w:b w:val="1"/>
                <w:bCs w:val="1"/>
                <w:color w:val="auto"/>
                <w:w w:val="92"/>
              </w:rPr>
              <w:t>Portion and Amount Excluded from Effectiveness Testing)</w:t>
            </w:r>
          </w:p>
        </w:tc>
        <w:tc>
          <w:tcPr>
            <w:tcW w:w="0" w:type="dxa"/>
            <w:vAlign w:val="bottom"/>
          </w:tcPr>
          <w:p>
            <w:pPr>
              <w:spacing w:after="0"/>
              <w:rPr>
                <w:sz w:val="1"/>
                <w:szCs w:val="1"/>
                <w:color w:val="auto"/>
              </w:rPr>
            </w:pPr>
          </w:p>
        </w:tc>
      </w:tr>
      <w:tr>
        <w:trPr>
          <w:trHeight w:val="155"/>
        </w:trPr>
        <w:tc>
          <w:tcPr>
            <w:tcW w:w="2200" w:type="dxa"/>
            <w:vAlign w:val="bottom"/>
            <w:gridSpan w:val="2"/>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4"/>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2180" w:type="dxa"/>
            <w:vAlign w:val="bottom"/>
            <w:tcBorders>
              <w:top w:val="single" w:sz="8" w:color="auto"/>
            </w:tcBorders>
            <w:gridSpan w:val="2"/>
          </w:tcPr>
          <w:p>
            <w:pPr>
              <w:ind w:left="740"/>
              <w:spacing w:after="0" w:line="149" w:lineRule="exact"/>
              <w:rPr>
                <w:sz w:val="20"/>
                <w:szCs w:val="20"/>
                <w:color w:val="auto"/>
              </w:rPr>
            </w:pPr>
            <w:r>
              <w:rPr>
                <w:rFonts w:ascii="Arial" w:cs="Arial" w:eastAsia="Arial" w:hAnsi="Arial"/>
                <w:sz w:val="14"/>
                <w:szCs w:val="14"/>
                <w:b w:val="1"/>
                <w:bCs w:val="1"/>
                <w:color w:val="auto"/>
              </w:rPr>
              <w:t>Line Item</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ind w:left="360"/>
              <w:spacing w:after="0" w:line="149" w:lineRule="exact"/>
              <w:rPr>
                <w:sz w:val="20"/>
                <w:szCs w:val="20"/>
                <w:color w:val="auto"/>
              </w:rPr>
            </w:pPr>
            <w:r>
              <w:rPr>
                <w:rFonts w:ascii="Arial" w:cs="Arial" w:eastAsia="Arial" w:hAnsi="Arial"/>
                <w:sz w:val="14"/>
                <w:szCs w:val="14"/>
                <w:b w:val="1"/>
                <w:bCs w:val="1"/>
                <w:color w:val="auto"/>
                <w:w w:val="90"/>
              </w:rPr>
              <w:t>Amount</w:t>
            </w: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top w:val="single" w:sz="8" w:color="auto"/>
            </w:tcBorders>
            <w:gridSpan w:val="3"/>
          </w:tcPr>
          <w:p>
            <w:pPr>
              <w:jc w:val="right"/>
              <w:ind w:right="108"/>
              <w:spacing w:after="0" w:line="149" w:lineRule="exact"/>
              <w:rPr>
                <w:sz w:val="20"/>
                <w:szCs w:val="20"/>
                <w:color w:val="auto"/>
              </w:rPr>
            </w:pPr>
            <w:r>
              <w:rPr>
                <w:rFonts w:ascii="Arial" w:cs="Arial" w:eastAsia="Arial" w:hAnsi="Arial"/>
                <w:sz w:val="14"/>
                <w:szCs w:val="14"/>
                <w:b w:val="1"/>
                <w:bCs w:val="1"/>
                <w:color w:val="auto"/>
              </w:rPr>
              <w:t>Line Item</w:t>
            </w: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8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08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rate contracts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202</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w w:val="88"/>
              </w:rPr>
              <w:t>Interest expense, net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267</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w w:val="85"/>
              </w:rPr>
              <w:t>202</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5"/>
              </w:rPr>
              <w:t>—</w:t>
            </w: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In 2021, the Company expects to release $241,000 to earnings.</w:t>
      </w:r>
    </w:p>
    <w:p>
      <w:pPr>
        <w:jc w:val="center"/>
        <w:spacing w:after="0"/>
        <w:rPr>
          <w:sz w:val="20"/>
          <w:szCs w:val="20"/>
          <w:color w:val="auto"/>
        </w:rPr>
      </w:pPr>
      <w:r>
        <w:rPr>
          <w:rFonts w:ascii="Arial" w:cs="Arial" w:eastAsia="Arial" w:hAnsi="Arial"/>
          <w:sz w:val="18"/>
          <w:szCs w:val="18"/>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auto"/>
        </w:rPr>
        <w:t>NOTE 19 – LEASES</w:t>
      </w:r>
    </w:p>
    <w:p>
      <w:pPr>
        <w:spacing w:after="0" w:line="175"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Lessee</w:t>
      </w:r>
    </w:p>
    <w:p>
      <w:pPr>
        <w:spacing w:after="0" w:line="17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have operating leases for certain cinemas and corporate offices, and finance leases for certain equipment assets. Our leases have remaining lease terms of 1 to 20 years, with certain leases having options to extend to up to a further 20 years.</w:t>
      </w:r>
    </w:p>
    <w:p>
      <w:pPr>
        <w:spacing w:after="0" w:line="143"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Contracts are analyzed in accordance with the criteria set out in ASC 842 to determine if there is a lease present. For contracts that contain an operating lease, we account for the lease component and the non-lease component together as a single component. For contracts that contain a finance lease we account for the lease component and the non-lease component separately in accordance with ASC 842.</w:t>
      </w:r>
    </w:p>
    <w:p>
      <w:pPr>
        <w:spacing w:after="0" w:line="138"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leases where we are the lessee, we recognize a right of use asset and lease liability at lease commencement, which is measured by discounting lease payments using an incremental borrowing rate applicable to the relevant country and term of the lease as the discount rate. Subsequent amortization of the right of use asset and accretion of the lease liability for an operating lease is recognized as a single lease cost, on a straight-line basis, over the term of the lease. Lease term includes option periods where we determine that we are reasonably certain to be exercising those options. A finance lease right-of-use asset is depreciated on a straight-line basis over the lesser of the useful life of the leased asset or the lease term. Interest on each finance lease liability is determined as the amount that results in a constant periodic discount rate on the remaining balance of the liability. Property taxes and other non-lease costs are accounted for on an accrual basis.</w:t>
      </w:r>
    </w:p>
    <w:p>
      <w:pPr>
        <w:spacing w:after="0" w:line="149"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Lease payments for our cinema operating leases consist of fixed base rent, and for certain leases, variable lease payments consisting of contracted percentages of revenue, changes in the relevant CPI, and/or other contracted financial metrics.</w:t>
      </w:r>
    </w:p>
    <w:p>
      <w:pPr>
        <w:spacing w:after="0" w:line="14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As a result of the impacts of COVID-19, we have obtained certain concessions from our landlords. We have elected to account for these concessions as if there have been no changes to the underlying contracts, thereby recognizing abatements secured as variable lease expenses, and increasing payables for lease payment deferrals.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5"/>
                <w:szCs w:val="15"/>
                <w:color w:val="auto"/>
              </w:rPr>
            </w:pPr>
          </w:p>
        </w:tc>
      </w:tr>
      <w:tr>
        <w:trPr>
          <w:trHeight w:val="196"/>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0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r>
      <w:tr>
        <w:trPr>
          <w:trHeight w:val="229"/>
        </w:trPr>
        <w:tc>
          <w:tcPr>
            <w:tcW w:w="4060" w:type="dxa"/>
            <w:vAlign w:val="bottom"/>
          </w:tcPr>
          <w:p>
            <w:pPr>
              <w:spacing w:after="0"/>
              <w:rPr>
                <w:sz w:val="20"/>
                <w:szCs w:val="20"/>
                <w:color w:val="auto"/>
              </w:rPr>
            </w:pPr>
            <w:r>
              <w:rPr>
                <w:rFonts w:ascii="Arial" w:cs="Arial" w:eastAsia="Arial" w:hAnsi="Arial"/>
                <w:sz w:val="18"/>
                <w:szCs w:val="18"/>
                <w:b w:val="1"/>
                <w:bCs w:val="1"/>
                <w:color w:val="auto"/>
              </w:rPr>
              <w:t>Lease cost</w:t>
            </w:r>
          </w:p>
        </w:tc>
        <w:tc>
          <w:tcPr>
            <w:tcW w:w="3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7"/>
        </w:trPr>
        <w:tc>
          <w:tcPr>
            <w:tcW w:w="4060" w:type="dxa"/>
            <w:vAlign w:val="bottom"/>
          </w:tcPr>
          <w:p>
            <w:pPr>
              <w:ind w:left="120"/>
              <w:spacing w:after="0"/>
              <w:rPr>
                <w:sz w:val="20"/>
                <w:szCs w:val="20"/>
                <w:color w:val="auto"/>
              </w:rPr>
            </w:pPr>
            <w:r>
              <w:rPr>
                <w:rFonts w:ascii="Arial" w:cs="Arial" w:eastAsia="Arial" w:hAnsi="Arial"/>
                <w:sz w:val="18"/>
                <w:szCs w:val="18"/>
                <w:color w:val="auto"/>
              </w:rPr>
              <w:t>Finance lease cost:</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3700" w:type="dxa"/>
            <w:vAlign w:val="bottom"/>
            <w:gridSpan w:val="3"/>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3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cost</w:t>
            </w:r>
          </w:p>
        </w:tc>
        <w:tc>
          <w:tcPr>
            <w:tcW w:w="3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33,462</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31,675</w:t>
            </w:r>
          </w:p>
        </w:tc>
      </w:tr>
      <w:tr>
        <w:trPr>
          <w:trHeight w:val="229"/>
        </w:trPr>
        <w:tc>
          <w:tcPr>
            <w:tcW w:w="4060" w:type="dxa"/>
            <w:vAlign w:val="bottom"/>
          </w:tcPr>
          <w:p>
            <w:pPr>
              <w:ind w:left="120"/>
              <w:spacing w:after="0"/>
              <w:rPr>
                <w:sz w:val="20"/>
                <w:szCs w:val="20"/>
                <w:color w:val="auto"/>
              </w:rPr>
            </w:pPr>
            <w:r>
              <w:rPr>
                <w:rFonts w:ascii="Arial" w:cs="Arial" w:eastAsia="Arial" w:hAnsi="Arial"/>
                <w:sz w:val="18"/>
                <w:szCs w:val="18"/>
                <w:color w:val="auto"/>
              </w:rPr>
              <w:t>Variable lease cost</w:t>
            </w:r>
          </w:p>
        </w:tc>
        <w:tc>
          <w:tcPr>
            <w:tcW w:w="3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(4,445)</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cost</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33,342</w:t>
            </w:r>
          </w:p>
        </w:tc>
      </w:tr>
      <w:tr>
        <w:trPr>
          <w:trHeight w:val="932"/>
        </w:trPr>
        <w:tc>
          <w:tcPr>
            <w:tcW w:w="4060" w:type="dxa"/>
            <w:vAlign w:val="bottom"/>
          </w:tcPr>
          <w:p>
            <w:pPr>
              <w:spacing w:after="0"/>
              <w:rPr>
                <w:sz w:val="24"/>
                <w:szCs w:val="24"/>
                <w:color w:val="auto"/>
              </w:rPr>
            </w:pPr>
          </w:p>
        </w:tc>
        <w:tc>
          <w:tcPr>
            <w:tcW w:w="3000" w:type="dxa"/>
            <w:vAlign w:val="bottom"/>
          </w:tcPr>
          <w:p>
            <w:pPr>
              <w:jc w:val="right"/>
              <w:ind w:right="1110"/>
              <w:spacing w:after="0"/>
              <w:rPr>
                <w:sz w:val="20"/>
                <w:szCs w:val="20"/>
                <w:color w:val="auto"/>
              </w:rPr>
            </w:pPr>
            <w:r>
              <w:rPr>
                <w:rFonts w:ascii="Arial" w:cs="Arial" w:eastAsia="Arial" w:hAnsi="Arial"/>
                <w:sz w:val="18"/>
                <w:szCs w:val="18"/>
                <w:color w:val="auto"/>
              </w:rPr>
              <w:t>- 116 -</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8"/>
        </w:trPr>
        <w:tc>
          <w:tcPr>
            <w:tcW w:w="40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3"/>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4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line="161" w:lineRule="exact"/>
              <w:rPr>
                <w:sz w:val="20"/>
                <w:szCs w:val="20"/>
                <w:color w:val="auto"/>
              </w:rPr>
            </w:pPr>
            <w:r>
              <w:rPr>
                <w:rFonts w:ascii="Arial" w:cs="Arial" w:eastAsia="Arial" w:hAnsi="Arial"/>
                <w:sz w:val="18"/>
                <w:szCs w:val="18"/>
                <w:b w:val="1"/>
                <w:bCs w:val="1"/>
                <w:color w:val="auto"/>
              </w:rPr>
              <w:t>Cash flows relating to lease cost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1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Operating cash flows for finance leases</w:t>
            </w:r>
          </w:p>
        </w:tc>
        <w:tc>
          <w:tcPr>
            <w:tcW w:w="380" w:type="dxa"/>
            <w:vAlign w:val="bottom"/>
            <w:gridSpan w:val="3"/>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27"/>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20"/>
              <w:spacing w:after="0" w:line="189" w:lineRule="exact"/>
              <w:rPr>
                <w:sz w:val="20"/>
                <w:szCs w:val="20"/>
                <w:color w:val="auto"/>
              </w:rPr>
            </w:pPr>
            <w:r>
              <w:rPr>
                <w:rFonts w:ascii="Arial" w:cs="Arial" w:eastAsia="Arial" w:hAnsi="Arial"/>
                <w:sz w:val="18"/>
                <w:szCs w:val="18"/>
                <w:color w:val="auto"/>
              </w:rPr>
              <w:t>Operating cash flows for operating leases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14,060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31,220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8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(2,054)</w:t>
            </w: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18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3"/>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4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b w:val="1"/>
                <w:bCs w:val="1"/>
                <w:color w:val="auto"/>
              </w:rPr>
              <w:t>Operating leases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b w:val="1"/>
                <w:bCs w:val="1"/>
                <w:color w:val="auto"/>
              </w:rPr>
              <w:t>Operating lease right-of-use assets</w:t>
            </w:r>
          </w:p>
        </w:tc>
        <w:tc>
          <w:tcPr>
            <w:tcW w:w="380" w:type="dxa"/>
            <w:vAlign w:val="bottom"/>
            <w:gridSpan w:val="3"/>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220,503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27"/>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229,879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80" w:type="dxa"/>
            <w:vAlign w:val="bottom"/>
          </w:tcPr>
          <w:p>
            <w:pPr>
              <w:ind w:left="120"/>
              <w:spacing w:after="0" w:line="182" w:lineRule="exact"/>
              <w:rPr>
                <w:sz w:val="20"/>
                <w:szCs w:val="20"/>
                <w:color w:val="auto"/>
              </w:rPr>
            </w:pPr>
            <w:r>
              <w:rPr>
                <w:rFonts w:ascii="Arial" w:cs="Arial" w:eastAsia="Arial" w:hAnsi="Arial"/>
                <w:sz w:val="18"/>
                <w:szCs w:val="18"/>
                <w:color w:val="auto"/>
              </w:rPr>
              <w:t>Operating lease liabilities - current portion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22,699</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20,379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 liabilities - non-current portion</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212,806</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223,164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120"/>
              <w:spacing w:after="0" w:line="182" w:lineRule="exact"/>
              <w:rPr>
                <w:sz w:val="20"/>
                <w:szCs w:val="20"/>
                <w:color w:val="auto"/>
              </w:rPr>
            </w:pPr>
            <w:r>
              <w:rPr>
                <w:rFonts w:ascii="Arial" w:cs="Arial" w:eastAsia="Arial" w:hAnsi="Arial"/>
                <w:sz w:val="18"/>
                <w:szCs w:val="18"/>
                <w:b w:val="1"/>
                <w:bCs w:val="1"/>
                <w:color w:val="auto"/>
              </w:rPr>
              <w:t>Total operating lease liabilities</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235,505</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243,543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Finance leases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Property plant and equipment, gross</w:t>
            </w:r>
          </w:p>
        </w:tc>
        <w:tc>
          <w:tcPr>
            <w:tcW w:w="380" w:type="dxa"/>
            <w:vAlign w:val="bottom"/>
            <w:gridSpan w:val="3"/>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383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227"/>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120"/>
              <w:spacing w:after="0" w:line="182" w:lineRule="exact"/>
              <w:rPr>
                <w:sz w:val="20"/>
                <w:szCs w:val="20"/>
                <w:color w:val="auto"/>
              </w:rPr>
            </w:pPr>
            <w:r>
              <w:rPr>
                <w:rFonts w:ascii="Arial" w:cs="Arial" w:eastAsia="Arial" w:hAnsi="Arial"/>
                <w:sz w:val="18"/>
                <w:szCs w:val="18"/>
                <w:b w:val="1"/>
                <w:bCs w:val="1"/>
                <w:color w:val="auto"/>
              </w:rPr>
              <w:t>Property plant and equipment, net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112</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b w:val="1"/>
                <w:bCs w:val="1"/>
                <w:color w:val="auto"/>
              </w:rPr>
              <w:t>Total finance lease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118</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209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Other information</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Weighted-average remaining lease term - finance leases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Weighted-average remaining lease term - operating leases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20"/>
              <w:spacing w:after="0" w:line="189" w:lineRule="exact"/>
              <w:rPr>
                <w:sz w:val="20"/>
                <w:szCs w:val="20"/>
                <w:color w:val="auto"/>
              </w:rPr>
            </w:pPr>
            <w:r>
              <w:rPr>
                <w:rFonts w:ascii="Arial" w:cs="Arial" w:eastAsia="Arial" w:hAnsi="Arial"/>
                <w:sz w:val="18"/>
                <w:szCs w:val="18"/>
                <w:color w:val="auto"/>
              </w:rPr>
              <w:t>Weighted-average discount rate - finance leases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5.27%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5.13%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Weighted-average discount rate - operating leases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8180" w:type="dxa"/>
            <w:vAlign w:val="bottom"/>
          </w:tcPr>
          <w:p>
            <w:pPr>
              <w:spacing w:after="0"/>
              <w:rPr>
                <w:sz w:val="20"/>
                <w:szCs w:val="20"/>
                <w:color w:val="auto"/>
              </w:rPr>
            </w:pPr>
            <w:r>
              <w:rPr>
                <w:rFonts w:ascii="Arial" w:cs="Arial" w:eastAsia="Arial" w:hAnsi="Arial"/>
                <w:sz w:val="18"/>
                <w:szCs w:val="18"/>
                <w:color w:val="auto"/>
              </w:rPr>
              <w:t>The Maturities of our leases were as follows: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Finance</w:t>
            </w:r>
          </w:p>
        </w:tc>
        <w:tc>
          <w:tcPr>
            <w:tcW w:w="0" w:type="dxa"/>
            <w:vAlign w:val="bottom"/>
          </w:tcPr>
          <w:p>
            <w:pPr>
              <w:spacing w:after="0"/>
              <w:rPr>
                <w:sz w:val="1"/>
                <w:szCs w:val="1"/>
                <w:color w:val="auto"/>
              </w:rPr>
            </w:pPr>
          </w:p>
        </w:tc>
      </w:tr>
      <w:tr>
        <w:trPr>
          <w:trHeight w:val="178"/>
        </w:trPr>
        <w:tc>
          <w:tcPr>
            <w:tcW w:w="81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leases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6"/>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33,388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32,579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30,692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144,402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302,910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235,505</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As of December 31, 2020, we have additional operating leases, primarily for cinemas, that have not yet commenced of approximately $24.9 million. It is anticipated that these operating leases will commence between fiscal year 2021 and fiscal year 2022 with lease terms of 15 to 20 years.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Lessor</w:t>
      </w:r>
    </w:p>
    <w:p>
      <w:pPr>
        <w:spacing w:after="0" w:line="17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We have entered into various leases as a lessor for our owned real estate properties. These leases vary in length between 1 and 20 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7" w:name="page118"/>
    <w:bookmarkEnd w:id="117"/>
    <w:p>
      <w:pPr>
        <w:ind w:right="300"/>
        <w:spacing w:after="0" w:line="246" w:lineRule="auto"/>
        <w:rPr>
          <w:sz w:val="20"/>
          <w:szCs w:val="20"/>
          <w:color w:val="auto"/>
        </w:rPr>
      </w:pPr>
      <w:r>
        <w:rPr>
          <w:rFonts w:ascii="Arial" w:cs="Arial" w:eastAsia="Arial" w:hAnsi="Arial"/>
          <w:sz w:val="18"/>
          <w:szCs w:val="18"/>
          <w:color w:val="auto"/>
        </w:rPr>
        <w:t>We recognize lease payments for operating leases as property revenue on a straight-line basis over the lease term. Lease incentive payments we make to lessees are amortized as a reduction in property revenue over the lease term.</w:t>
      </w:r>
    </w:p>
    <w:p>
      <w:pPr>
        <w:spacing w:after="0" w:line="14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a result of the impacts of COVID-19, we have provided certain concessions to specific tenants. We have elected to account for these concessions as if there have been no changes to the underlying contracts, thereby recognizing abatements granted as variable lease payments through revenue and increasing receivables for lease payment deferrals.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Lease income relating to operating lease payments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5"/>
                <w:szCs w:val="15"/>
                <w:color w:val="auto"/>
              </w:rPr>
            </w:pPr>
          </w:p>
        </w:tc>
      </w:tr>
      <w:tr>
        <w:trPr>
          <w:trHeight w:val="209"/>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2019</w:t>
            </w: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Components of lease income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payments</w:t>
            </w:r>
          </w:p>
        </w:tc>
        <w:tc>
          <w:tcPr>
            <w:tcW w:w="5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r>
      <w:tr>
        <w:trPr>
          <w:trHeight w:val="229"/>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Variable lease payments</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r>
      <w:tr>
        <w:trPr>
          <w:trHeight w:val="216"/>
        </w:trPr>
        <w:tc>
          <w:tcPr>
            <w:tcW w:w="7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lease income</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9,301</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10,161</w:t>
            </w:r>
          </w:p>
        </w:tc>
      </w:tr>
      <w:tr>
        <w:trPr>
          <w:trHeight w:val="379"/>
        </w:trPr>
        <w:tc>
          <w:tcPr>
            <w:tcW w:w="7060" w:type="dxa"/>
            <w:vAlign w:val="bottom"/>
          </w:tcPr>
          <w:p>
            <w:pPr>
              <w:spacing w:after="0"/>
              <w:rPr>
                <w:sz w:val="20"/>
                <w:szCs w:val="20"/>
                <w:color w:val="auto"/>
              </w:rPr>
            </w:pPr>
            <w:r>
              <w:rPr>
                <w:rFonts w:ascii="Arial" w:cs="Arial" w:eastAsia="Arial" w:hAnsi="Arial"/>
                <w:sz w:val="18"/>
                <w:szCs w:val="18"/>
                <w:color w:val="auto"/>
                <w:w w:val="92"/>
              </w:rPr>
              <w:t>The book value of underlying assets under operating leases from owned assets was as follows: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0"/>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24"/>
                <w:szCs w:val="24"/>
                <w:color w:val="auto"/>
              </w:rPr>
            </w:pPr>
          </w:p>
        </w:tc>
        <w:tc>
          <w:tcPr>
            <w:tcW w:w="1440" w:type="dxa"/>
            <w:vAlign w:val="bottom"/>
          </w:tcPr>
          <w:p>
            <w:pPr>
              <w:jc w:val="center"/>
              <w:ind w:right="315"/>
              <w:spacing w:after="0"/>
              <w:rPr>
                <w:sz w:val="20"/>
                <w:szCs w:val="20"/>
                <w:color w:val="auto"/>
              </w:rPr>
            </w:pPr>
            <w:r>
              <w:rPr>
                <w:rFonts w:ascii="Arial" w:cs="Arial" w:eastAsia="Arial" w:hAnsi="Arial"/>
                <w:sz w:val="14"/>
                <w:szCs w:val="14"/>
                <w:b w:val="1"/>
                <w:bCs w:val="1"/>
                <w:color w:val="auto"/>
                <w:w w:val="92"/>
              </w:rPr>
              <w:t>December 31,</w:t>
            </w:r>
          </w:p>
        </w:tc>
      </w:tr>
      <w:tr>
        <w:trPr>
          <w:trHeight w:val="208"/>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2019</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b w:val="1"/>
                <w:bCs w:val="1"/>
                <w:color w:val="auto"/>
              </w:rPr>
              <w:t>Building and improvements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balance</w:t>
            </w:r>
          </w:p>
        </w:tc>
        <w:tc>
          <w:tcPr>
            <w:tcW w:w="5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153,643</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67,766</w:t>
            </w: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(26,107)</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(20,220)</w:t>
            </w:r>
          </w:p>
        </w:tc>
      </w:tr>
      <w:tr>
        <w:trPr>
          <w:trHeight w:val="216"/>
        </w:trPr>
        <w:tc>
          <w:tcPr>
            <w:tcW w:w="70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Net Book Value</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127,536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47,546</w:t>
            </w:r>
          </w:p>
        </w:tc>
      </w:tr>
      <w:tr>
        <w:trPr>
          <w:trHeight w:val="378"/>
        </w:trPr>
        <w:tc>
          <w:tcPr>
            <w:tcW w:w="7060" w:type="dxa"/>
            <w:vAlign w:val="bottom"/>
          </w:tcPr>
          <w:p>
            <w:pPr>
              <w:spacing w:after="0"/>
              <w:rPr>
                <w:sz w:val="20"/>
                <w:szCs w:val="20"/>
                <w:color w:val="auto"/>
              </w:rPr>
            </w:pPr>
            <w:r>
              <w:rPr>
                <w:rFonts w:ascii="Arial" w:cs="Arial" w:eastAsia="Arial" w:hAnsi="Arial"/>
                <w:sz w:val="18"/>
                <w:szCs w:val="18"/>
                <w:color w:val="auto"/>
              </w:rPr>
              <w:t>The Maturity of our leases were as follows: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04"/>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center"/>
              <w:ind w:right="355"/>
              <w:spacing w:after="0"/>
              <w:rPr>
                <w:sz w:val="20"/>
                <w:szCs w:val="20"/>
                <w:color w:val="auto"/>
              </w:rPr>
            </w:pPr>
            <w:r>
              <w:rPr>
                <w:rFonts w:ascii="Arial" w:cs="Arial" w:eastAsia="Arial" w:hAnsi="Arial"/>
                <w:sz w:val="14"/>
                <w:szCs w:val="14"/>
                <w:b w:val="1"/>
                <w:bCs w:val="1"/>
                <w:color w:val="auto"/>
                <w:w w:val="96"/>
              </w:rPr>
              <w:t>Operating</w:t>
            </w:r>
          </w:p>
        </w:tc>
      </w:tr>
      <w:tr>
        <w:trPr>
          <w:trHeight w:val="178"/>
        </w:trPr>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3"/>
              </w:rPr>
              <w:t>leases</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8,518</w:t>
            </w: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6,677</w:t>
            </w: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r>
      <w:tr>
        <w:trPr>
          <w:trHeight w:val="230"/>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6,158</w:t>
            </w:r>
          </w:p>
        </w:tc>
      </w:tr>
      <w:tr>
        <w:trPr>
          <w:trHeight w:val="203"/>
        </w:trPr>
        <w:tc>
          <w:tcPr>
            <w:tcW w:w="7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43,788</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20 – 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Devonport, Tasmania, Australia</w:t>
      </w:r>
    </w:p>
    <w:p>
      <w:pPr>
        <w:spacing w:after="0" w:line="17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On January 30, 2019, we purchased the tenant’s interest and other operating assets of an established four-screen cinema in Devonport, Tasmania, Australia, for $1.4 million (AU$1.95 million). We commenced trading from this new cinema site on January 30, 2019.</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total purchase price was allocated to the identifiable assets acquired based on our estimates of their fair values on the acquisition date. The identified assets included fixtures and equipment and immaterial working capital balances. Goodwill consists of intangible assets than cannot be separately identified. There were immaterial liabilities assumed.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Our final purchase price allocation is as follows: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93"/>
              <w:spacing w:after="0"/>
              <w:rPr>
                <w:sz w:val="20"/>
                <w:szCs w:val="20"/>
                <w:color w:val="auto"/>
              </w:rPr>
            </w:pPr>
            <w:r>
              <w:rPr>
                <w:rFonts w:ascii="Arial" w:cs="Arial" w:eastAsia="Arial" w:hAnsi="Arial"/>
                <w:sz w:val="16"/>
                <w:szCs w:val="16"/>
                <w:b w:val="1"/>
                <w:bCs w:val="1"/>
                <w:color w:val="auto"/>
                <w:w w:val="92"/>
              </w:rPr>
              <w:t>Preliminary Purchase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4"/>
              </w:rPr>
              <w:t>Measurement Period</w:t>
            </w:r>
          </w:p>
        </w:tc>
        <w:tc>
          <w:tcPr>
            <w:tcW w:w="120" w:type="dxa"/>
            <w:vAlign w:val="bottom"/>
          </w:tcPr>
          <w:p>
            <w:pPr>
              <w:spacing w:after="0"/>
              <w:rPr>
                <w:sz w:val="16"/>
                <w:szCs w:val="16"/>
                <w:color w:val="auto"/>
              </w:rPr>
            </w:pPr>
          </w:p>
        </w:tc>
        <w:tc>
          <w:tcPr>
            <w:tcW w:w="1720" w:type="dxa"/>
            <w:vAlign w:val="bottom"/>
          </w:tcPr>
          <w:p>
            <w:pPr>
              <w:jc w:val="right"/>
              <w:ind w:right="133"/>
              <w:spacing w:after="0"/>
              <w:rPr>
                <w:sz w:val="20"/>
                <w:szCs w:val="20"/>
                <w:color w:val="auto"/>
              </w:rPr>
            </w:pPr>
            <w:r>
              <w:rPr>
                <w:rFonts w:ascii="Arial" w:cs="Arial" w:eastAsia="Arial" w:hAnsi="Arial"/>
                <w:sz w:val="16"/>
                <w:szCs w:val="16"/>
                <w:b w:val="1"/>
                <w:bCs w:val="1"/>
                <w:color w:val="auto"/>
                <w:w w:val="93"/>
              </w:rPr>
              <w:t>Final Purchase Price</w:t>
            </w:r>
          </w:p>
        </w:tc>
      </w:tr>
      <w:tr>
        <w:trPr>
          <w:trHeight w:val="236"/>
        </w:trPr>
        <w:tc>
          <w:tcPr>
            <w:tcW w:w="47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(Dollars in thousands)</w:t>
            </w: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3"/>
              <w:spacing w:after="0" w:line="228" w:lineRule="exact"/>
              <w:rPr>
                <w:sz w:val="20"/>
                <w:szCs w:val="20"/>
                <w:color w:val="auto"/>
              </w:rPr>
            </w:pPr>
            <w:r>
              <w:rPr>
                <w:rFonts w:ascii="Arial" w:cs="Arial" w:eastAsia="Arial" w:hAnsi="Arial"/>
                <w:sz w:val="16"/>
                <w:szCs w:val="16"/>
                <w:b w:val="1"/>
                <w:bCs w:val="1"/>
                <w:color w:val="auto"/>
                <w:w w:val="99"/>
              </w:rPr>
              <w:t>Price Allocation</w:t>
            </w:r>
            <w:r>
              <w:rPr>
                <w:rFonts w:ascii="Arial" w:cs="Arial" w:eastAsia="Arial" w:hAnsi="Arial"/>
                <w:sz w:val="26"/>
                <w:szCs w:val="26"/>
                <w:b w:val="1"/>
                <w:bCs w:val="1"/>
                <w:color w:val="auto"/>
                <w:w w:val="99"/>
                <w:vertAlign w:val="superscript"/>
              </w:rPr>
              <w:t>(1)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13"/>
              <w:spacing w:after="0" w:line="228" w:lineRule="exact"/>
              <w:rPr>
                <w:sz w:val="20"/>
                <w:szCs w:val="20"/>
                <w:color w:val="auto"/>
              </w:rPr>
            </w:pPr>
            <w:r>
              <w:rPr>
                <w:rFonts w:ascii="Arial" w:cs="Arial" w:eastAsia="Arial" w:hAnsi="Arial"/>
                <w:sz w:val="16"/>
                <w:szCs w:val="16"/>
                <w:b w:val="1"/>
                <w:bCs w:val="1"/>
                <w:color w:val="auto"/>
              </w:rPr>
              <w:t>Adjustments</w:t>
            </w:r>
            <w:r>
              <w:rPr>
                <w:rFonts w:ascii="Arial" w:cs="Arial" w:eastAsia="Arial" w:hAnsi="Arial"/>
                <w:sz w:val="26"/>
                <w:szCs w:val="26"/>
                <w:b w:val="1"/>
                <w:bCs w:val="1"/>
                <w:color w:val="auto"/>
                <w:vertAlign w:val="superscript"/>
              </w:rPr>
              <w:t>(2)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13"/>
              <w:spacing w:after="0" w:line="228" w:lineRule="exact"/>
              <w:rPr>
                <w:sz w:val="20"/>
                <w:szCs w:val="20"/>
                <w:color w:val="auto"/>
              </w:rPr>
            </w:pPr>
            <w:r>
              <w:rPr>
                <w:rFonts w:ascii="Arial" w:cs="Arial" w:eastAsia="Arial" w:hAnsi="Arial"/>
                <w:sz w:val="16"/>
                <w:szCs w:val="16"/>
                <w:b w:val="1"/>
                <w:bCs w:val="1"/>
                <w:color w:val="auto"/>
              </w:rPr>
              <w:t>Allocation</w:t>
            </w:r>
            <w:r>
              <w:rPr>
                <w:rFonts w:ascii="Arial" w:cs="Arial" w:eastAsia="Arial" w:hAnsi="Arial"/>
                <w:sz w:val="26"/>
                <w:szCs w:val="26"/>
                <w:b w:val="1"/>
                <w:bCs w:val="1"/>
                <w:color w:val="auto"/>
                <w:vertAlign w:val="superscript"/>
              </w:rPr>
              <w:t>(1)</w:t>
            </w:r>
          </w:p>
        </w:tc>
      </w:tr>
      <w:tr>
        <w:trPr>
          <w:trHeight w:val="176"/>
        </w:trPr>
        <w:tc>
          <w:tcPr>
            <w:tcW w:w="104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color w:val="auto"/>
                <w:w w:val="89"/>
              </w:rPr>
              <w:t>Tangible Assets</w:t>
            </w:r>
          </w:p>
        </w:tc>
        <w:tc>
          <w:tcPr>
            <w:tcW w:w="420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3"/>
        </w:trPr>
        <w:tc>
          <w:tcPr>
            <w:tcW w:w="5240" w:type="dxa"/>
            <w:vAlign w:val="bottom"/>
            <w:gridSpan w:val="4"/>
          </w:tcPr>
          <w:p>
            <w:pPr>
              <w:ind w:left="120"/>
              <w:spacing w:after="0"/>
              <w:rPr>
                <w:sz w:val="20"/>
                <w:szCs w:val="20"/>
                <w:color w:val="auto"/>
              </w:rPr>
            </w:pPr>
            <w:r>
              <w:rPr>
                <w:rFonts w:ascii="Arial" w:cs="Arial" w:eastAsia="Arial" w:hAnsi="Arial"/>
                <w:sz w:val="16"/>
                <w:szCs w:val="16"/>
                <w:color w:val="auto"/>
              </w:rPr>
              <w:t>Operating property:</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9"/>
        </w:trPr>
        <w:tc>
          <w:tcPr>
            <w:tcW w:w="524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Fixtures and equipment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5240" w:type="dxa"/>
            <w:vAlign w:val="bottom"/>
            <w:gridSpan w:val="4"/>
          </w:tcPr>
          <w:p>
            <w:pPr>
              <w:spacing w:after="0"/>
              <w:rPr>
                <w:sz w:val="20"/>
                <w:szCs w:val="20"/>
                <w:color w:val="auto"/>
              </w:rPr>
            </w:pPr>
            <w:r>
              <w:rPr>
                <w:rFonts w:ascii="Arial" w:cs="Arial" w:eastAsia="Arial" w:hAnsi="Arial"/>
                <w:sz w:val="16"/>
                <w:szCs w:val="16"/>
                <w:color w:val="auto"/>
              </w:rPr>
              <w:t>Intangible Assets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3"/>
        </w:trPr>
        <w:tc>
          <w:tcPr>
            <w:tcW w:w="11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412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10"/>
        </w:trPr>
        <w:tc>
          <w:tcPr>
            <w:tcW w:w="5240" w:type="dxa"/>
            <w:vAlign w:val="bottom"/>
            <w:gridSpan w:val="4"/>
          </w:tcPr>
          <w:p>
            <w:pPr>
              <w:ind w:left="440"/>
              <w:spacing w:after="0"/>
              <w:rPr>
                <w:sz w:val="20"/>
                <w:szCs w:val="20"/>
                <w:color w:val="auto"/>
              </w:rPr>
            </w:pPr>
            <w:r>
              <w:rPr>
                <w:rFonts w:ascii="Arial" w:cs="Arial" w:eastAsia="Arial" w:hAnsi="Arial"/>
                <w:sz w:val="16"/>
                <w:szCs w:val="16"/>
                <w:i w:val="1"/>
                <w:iCs w:val="1"/>
                <w:color w:val="auto"/>
              </w:rPr>
              <w:t>Total assets acquired</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r>
      <w:tr>
        <w:trPr>
          <w:trHeight w:val="229"/>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r>
      <w:tr>
        <w:trPr>
          <w:trHeight w:val="196"/>
        </w:trPr>
        <w:tc>
          <w:tcPr>
            <w:tcW w:w="5240" w:type="dxa"/>
            <w:vAlign w:val="bottom"/>
            <w:gridSpan w:val="4"/>
          </w:tcPr>
          <w:p>
            <w:pPr>
              <w:spacing w:after="0"/>
              <w:rPr>
                <w:sz w:val="20"/>
                <w:szCs w:val="20"/>
                <w:color w:val="auto"/>
              </w:rPr>
            </w:pPr>
            <w:r>
              <w:rPr>
                <w:rFonts w:ascii="Arial" w:cs="Arial" w:eastAsia="Arial" w:hAnsi="Arial"/>
                <w:sz w:val="16"/>
                <w:szCs w:val="16"/>
                <w:b w:val="1"/>
                <w:bCs w:val="1"/>
                <w:color w:val="auto"/>
              </w:rPr>
              <w:t>Net assets acquired</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1,401</w:t>
            </w:r>
          </w:p>
        </w:tc>
        <w:tc>
          <w:tcPr>
            <w:tcW w:w="360" w:type="dxa"/>
            <w:vAlign w:val="bottom"/>
            <w:gridSpan w:val="2"/>
          </w:tcPr>
          <w:p>
            <w:pPr>
              <w:ind w:left="240"/>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1,378</w:t>
            </w: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balances were translated into U.S. Dollars based on the applicable exchange rate as of the date of acquisition, January 30, 2019.</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measurement period adjustments relate to finalization of immaterial employee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Cinema Hobart, Tasmania, Australia</w:t>
      </w:r>
    </w:p>
    <w:p>
      <w:pPr>
        <w:spacing w:after="0" w:line="17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On December 3, 2019, we purchased the tenant’s interest and other operating assets of an established ten-screen cinema in Hobart, Tasmania, Australia, for $6.2m (AU$9.0m). We commenced trading from this new cinema site on December 5, 2019.</w:t>
      </w:r>
    </w:p>
    <w:p>
      <w:pPr>
        <w:spacing w:after="0" w:line="14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total purchase price was allocated to the identifiable assets acquired based on our estimates of their fair values on the acquisition date. The identified assets include fixtures and equipment, the State Cinema brand, inventory and immaterial working capital balances. There were immaterial liabilities assumed, including certain gift card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final purchase price allocation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2"/>
              </w:rPr>
              <w:t>Preliminary Purchase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94"/>
              </w:rPr>
              <w:t>Measurement Period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Final Purchase Price</w:t>
            </w:r>
          </w:p>
        </w:tc>
        <w:tc>
          <w:tcPr>
            <w:tcW w:w="0" w:type="dxa"/>
            <w:vAlign w:val="bottom"/>
          </w:tcPr>
          <w:p>
            <w:pPr>
              <w:spacing w:after="0"/>
              <w:rPr>
                <w:sz w:val="1"/>
                <w:szCs w:val="1"/>
                <w:color w:val="auto"/>
              </w:rPr>
            </w:pPr>
          </w:p>
        </w:tc>
      </w:tr>
      <w:tr>
        <w:trPr>
          <w:trHeight w:val="40"/>
        </w:trPr>
        <w:tc>
          <w:tcPr>
            <w:tcW w:w="5240" w:type="dxa"/>
            <w:vAlign w:val="bottom"/>
            <w:gridSpan w:val="4"/>
            <w:vMerge w:val="restart"/>
          </w:tcPr>
          <w:p>
            <w:pPr>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3"/>
                <w:szCs w:val="3"/>
                <w:color w:val="auto"/>
              </w:rPr>
            </w:pPr>
          </w:p>
        </w:tc>
        <w:tc>
          <w:tcPr>
            <w:tcW w:w="1840" w:type="dxa"/>
            <w:vAlign w:val="bottom"/>
            <w:gridSpan w:val="2"/>
            <w:vMerge w:val="restart"/>
          </w:tcPr>
          <w:p>
            <w:pPr>
              <w:jc w:val="right"/>
              <w:ind w:right="400"/>
              <w:spacing w:after="0" w:line="228" w:lineRule="exact"/>
              <w:rPr>
                <w:sz w:val="20"/>
                <w:szCs w:val="20"/>
                <w:color w:val="auto"/>
              </w:rPr>
            </w:pPr>
            <w:r>
              <w:rPr>
                <w:rFonts w:ascii="Arial" w:cs="Arial" w:eastAsia="Arial" w:hAnsi="Arial"/>
                <w:sz w:val="16"/>
                <w:szCs w:val="16"/>
                <w:b w:val="1"/>
                <w:bCs w:val="1"/>
                <w:color w:val="auto"/>
                <w:w w:val="99"/>
              </w:rPr>
              <w:t>Price Allocation</w:t>
            </w:r>
            <w:r>
              <w:rPr>
                <w:rFonts w:ascii="Arial" w:cs="Arial" w:eastAsia="Arial" w:hAnsi="Arial"/>
                <w:sz w:val="26"/>
                <w:szCs w:val="26"/>
                <w:b w:val="1"/>
                <w:bCs w:val="1"/>
                <w:color w:val="auto"/>
                <w:w w:val="99"/>
                <w:vertAlign w:val="superscript"/>
              </w:rPr>
              <w:t>(1)</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vMerge w:val="restart"/>
          </w:tcPr>
          <w:p>
            <w:pPr>
              <w:jc w:val="right"/>
              <w:ind w:right="411"/>
              <w:spacing w:after="0" w:line="228" w:lineRule="exact"/>
              <w:rPr>
                <w:sz w:val="20"/>
                <w:szCs w:val="20"/>
                <w:color w:val="auto"/>
              </w:rPr>
            </w:pPr>
            <w:r>
              <w:rPr>
                <w:rFonts w:ascii="Arial" w:cs="Arial" w:eastAsia="Arial" w:hAnsi="Arial"/>
                <w:sz w:val="16"/>
                <w:szCs w:val="16"/>
                <w:b w:val="1"/>
                <w:bCs w:val="1"/>
                <w:color w:val="auto"/>
              </w:rPr>
              <w:t>Allocation</w:t>
            </w:r>
            <w:r>
              <w:rPr>
                <w:rFonts w:ascii="Arial" w:cs="Arial" w:eastAsia="Arial" w:hAnsi="Arial"/>
                <w:sz w:val="26"/>
                <w:szCs w:val="26"/>
                <w:b w:val="1"/>
                <w:bCs w:val="1"/>
                <w:color w:val="auto"/>
                <w:vertAlign w:val="superscript"/>
              </w:rPr>
              <w:t>(1)</w:t>
            </w:r>
          </w:p>
        </w:tc>
        <w:tc>
          <w:tcPr>
            <w:tcW w:w="0" w:type="dxa"/>
            <w:vAlign w:val="bottom"/>
          </w:tcPr>
          <w:p>
            <w:pPr>
              <w:spacing w:after="0" w:line="20" w:lineRule="exact"/>
              <w:rPr>
                <w:sz w:val="1"/>
                <w:szCs w:val="1"/>
                <w:color w:val="auto"/>
              </w:rPr>
            </w:pPr>
          </w:p>
        </w:tc>
      </w:tr>
      <w:tr>
        <w:trPr>
          <w:trHeight w:val="196"/>
        </w:trPr>
        <w:tc>
          <w:tcPr>
            <w:tcW w:w="5240" w:type="dxa"/>
            <w:vAlign w:val="bottom"/>
            <w:tcBorders>
              <w:bottom w:val="single" w:sz="8" w:color="auto"/>
            </w:tcBorders>
            <w:gridSpan w:val="4"/>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0" w:type="dxa"/>
            <w:vAlign w:val="bottom"/>
            <w:tcBorders>
              <w:bottom w:val="single" w:sz="8" w:color="auto"/>
            </w:tcBorders>
            <w:gridSpan w:val="2"/>
          </w:tcPr>
          <w:p>
            <w:pPr>
              <w:spacing w:after="0" w:line="175" w:lineRule="exact"/>
              <w:rPr>
                <w:sz w:val="20"/>
                <w:szCs w:val="20"/>
                <w:color w:val="auto"/>
              </w:rPr>
            </w:pPr>
            <w:r>
              <w:rPr>
                <w:rFonts w:ascii="Arial" w:cs="Arial" w:eastAsia="Arial" w:hAnsi="Arial"/>
                <w:sz w:val="16"/>
                <w:szCs w:val="16"/>
                <w:color w:val="auto"/>
                <w:w w:val="89"/>
              </w:rPr>
              <w:t>Tangible Assets</w:t>
            </w:r>
          </w:p>
        </w:tc>
        <w:tc>
          <w:tcPr>
            <w:tcW w:w="42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gridSpan w:val="4"/>
          </w:tcPr>
          <w:p>
            <w:pPr>
              <w:ind w:left="120"/>
              <w:spacing w:after="0" w:line="183" w:lineRule="exact"/>
              <w:rPr>
                <w:sz w:val="20"/>
                <w:szCs w:val="20"/>
                <w:color w:val="auto"/>
              </w:rPr>
            </w:pPr>
            <w:r>
              <w:rPr>
                <w:rFonts w:ascii="Arial" w:cs="Arial" w:eastAsia="Arial" w:hAnsi="Arial"/>
                <w:sz w:val="16"/>
                <w:szCs w:val="16"/>
                <w:color w:val="auto"/>
              </w:rPr>
              <w:t>Operating property:</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Fixtures and equipment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(119)</w:t>
            </w:r>
          </w:p>
        </w:tc>
        <w:tc>
          <w:tcPr>
            <w:tcW w:w="2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89"/>
        </w:trPr>
        <w:tc>
          <w:tcPr>
            <w:tcW w:w="5240" w:type="dxa"/>
            <w:vAlign w:val="bottom"/>
            <w:gridSpan w:val="4"/>
          </w:tcPr>
          <w:p>
            <w:pPr>
              <w:ind w:left="440"/>
              <w:spacing w:after="0"/>
              <w:rPr>
                <w:sz w:val="20"/>
                <w:szCs w:val="20"/>
                <w:color w:val="auto"/>
              </w:rPr>
            </w:pPr>
            <w:r>
              <w:rPr>
                <w:rFonts w:ascii="Arial" w:cs="Arial" w:eastAsia="Arial" w:hAnsi="Arial"/>
                <w:sz w:val="16"/>
                <w:szCs w:val="16"/>
                <w:color w:val="auto"/>
              </w:rPr>
              <w:t>Deferred tax</w:t>
            </w:r>
          </w:p>
        </w:tc>
        <w:tc>
          <w:tcPr>
            <w:tcW w:w="12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52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4"/>
          </w:tcPr>
          <w:p>
            <w:pPr>
              <w:ind w:left="44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333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gridSpan w:val="4"/>
          </w:tcPr>
          <w:p>
            <w:pPr>
              <w:spacing w:after="0" w:line="175" w:lineRule="exact"/>
              <w:rPr>
                <w:sz w:val="20"/>
                <w:szCs w:val="20"/>
                <w:color w:val="auto"/>
              </w:rPr>
            </w:pPr>
            <w:r>
              <w:rPr>
                <w:rFonts w:ascii="Arial" w:cs="Arial" w:eastAsia="Arial" w:hAnsi="Arial"/>
                <w:sz w:val="16"/>
                <w:szCs w:val="16"/>
                <w:color w:val="auto"/>
              </w:rPr>
              <w:t>Intangible Assets</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auto"/>
            </w:tcBorders>
            <w:gridSpan w:val="3"/>
            <w:shd w:val="clear" w:color="auto" w:fill="CCEEFF"/>
          </w:tcPr>
          <w:p>
            <w:pPr>
              <w:ind w:left="120"/>
              <w:spacing w:after="0" w:line="183" w:lineRule="exact"/>
              <w:rPr>
                <w:sz w:val="20"/>
                <w:szCs w:val="20"/>
                <w:color w:val="auto"/>
              </w:rPr>
            </w:pPr>
            <w:r>
              <w:rPr>
                <w:rFonts w:ascii="Arial" w:cs="Arial" w:eastAsia="Arial" w:hAnsi="Arial"/>
                <w:sz w:val="16"/>
                <w:szCs w:val="16"/>
                <w:color w:val="auto"/>
              </w:rPr>
              <w:t>Brand name</w:t>
            </w:r>
          </w:p>
        </w:tc>
        <w:tc>
          <w:tcPr>
            <w:tcW w:w="4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9"/>
        </w:trPr>
        <w:tc>
          <w:tcPr>
            <w:tcW w:w="5240" w:type="dxa"/>
            <w:vAlign w:val="bottom"/>
            <w:gridSpan w:val="4"/>
          </w:tcPr>
          <w:p>
            <w:pPr>
              <w:ind w:left="120"/>
              <w:spacing w:after="0"/>
              <w:rPr>
                <w:sz w:val="20"/>
                <w:szCs w:val="20"/>
                <w:color w:val="auto"/>
              </w:rPr>
            </w:pPr>
            <w:r>
              <w:rPr>
                <w:rFonts w:ascii="Arial" w:cs="Arial" w:eastAsia="Arial" w:hAnsi="Arial"/>
                <w:sz w:val="16"/>
                <w:szCs w:val="16"/>
                <w:color w:val="auto"/>
              </w:rPr>
              <w:t>Liquor license</w:t>
            </w: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52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183"/>
        </w:trPr>
        <w:tc>
          <w:tcPr>
            <w:tcW w:w="5240" w:type="dxa"/>
            <w:vAlign w:val="bottom"/>
            <w:gridSpan w:val="4"/>
          </w:tcPr>
          <w:p>
            <w:pPr>
              <w:ind w:left="440"/>
              <w:spacing w:after="0" w:line="183" w:lineRule="exact"/>
              <w:rPr>
                <w:sz w:val="20"/>
                <w:szCs w:val="20"/>
                <w:color w:val="auto"/>
              </w:rPr>
            </w:pPr>
            <w:r>
              <w:rPr>
                <w:rFonts w:ascii="Arial" w:cs="Arial" w:eastAsia="Arial" w:hAnsi="Arial"/>
                <w:sz w:val="16"/>
                <w:szCs w:val="16"/>
                <w:i w:val="1"/>
                <w:iCs w:val="1"/>
                <w:color w:val="auto"/>
              </w:rPr>
              <w:t>Total assets acquired</w:t>
            </w: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6,436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gridSpan w:val="4"/>
          </w:tcPr>
          <w:p>
            <w:pPr>
              <w:spacing w:after="0" w:line="175" w:lineRule="exact"/>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gridSpan w:val="4"/>
            <w:shd w:val="clear" w:color="auto" w:fill="CCEEFF"/>
          </w:tcPr>
          <w:p>
            <w:pPr>
              <w:ind w:left="120"/>
              <w:spacing w:after="0" w:line="183" w:lineRule="exact"/>
              <w:rPr>
                <w:sz w:val="20"/>
                <w:szCs w:val="20"/>
                <w:color w:val="auto"/>
              </w:rPr>
            </w:pPr>
            <w:r>
              <w:rPr>
                <w:rFonts w:ascii="Arial" w:cs="Arial" w:eastAsia="Arial" w:hAnsi="Arial"/>
                <w:sz w:val="16"/>
                <w:szCs w:val="16"/>
                <w:color w:val="auto"/>
              </w:rPr>
              <w:t>Employee liabilities</w:t>
            </w:r>
          </w:p>
        </w:tc>
        <w:tc>
          <w:tcPr>
            <w:tcW w:w="1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9"/>
        </w:trPr>
        <w:tc>
          <w:tcPr>
            <w:tcW w:w="5240" w:type="dxa"/>
            <w:vAlign w:val="bottom"/>
            <w:gridSpan w:val="4"/>
          </w:tcPr>
          <w:p>
            <w:pPr>
              <w:ind w:left="120"/>
              <w:spacing w:after="0"/>
              <w:rPr>
                <w:sz w:val="20"/>
                <w:szCs w:val="20"/>
                <w:color w:val="auto"/>
              </w:rPr>
            </w:pPr>
            <w:r>
              <w:rPr>
                <w:rFonts w:ascii="Arial" w:cs="Arial" w:eastAsia="Arial" w:hAnsi="Arial"/>
                <w:sz w:val="16"/>
                <w:szCs w:val="16"/>
                <w:color w:val="auto"/>
              </w:rPr>
              <w:t>Deferred revenue balances</w:t>
            </w:r>
          </w:p>
        </w:tc>
        <w:tc>
          <w:tcPr>
            <w:tcW w:w="120" w:type="dxa"/>
            <w:vAlign w:val="bottom"/>
          </w:tcPr>
          <w:p>
            <w:pPr>
              <w:spacing w:after="0"/>
              <w:rPr>
                <w:sz w:val="16"/>
                <w:szCs w:val="16"/>
                <w:color w:val="auto"/>
              </w:rPr>
            </w:pPr>
          </w:p>
        </w:tc>
        <w:tc>
          <w:tcPr>
            <w:tcW w:w="18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gridSpan w:val="4"/>
            <w:shd w:val="clear" w:color="auto" w:fill="CCEEFF"/>
          </w:tcPr>
          <w:p>
            <w:pPr>
              <w:ind w:left="440"/>
              <w:spacing w:after="0" w:line="183" w:lineRule="exact"/>
              <w:rPr>
                <w:sz w:val="20"/>
                <w:szCs w:val="20"/>
                <w:color w:val="auto"/>
              </w:rPr>
            </w:pPr>
            <w:r>
              <w:rPr>
                <w:rFonts w:ascii="Arial" w:cs="Arial" w:eastAsia="Arial" w:hAnsi="Arial"/>
                <w:sz w:val="16"/>
                <w:szCs w:val="16"/>
                <w:i w:val="1"/>
                <w:iCs w:val="1"/>
                <w:color w:val="auto"/>
              </w:rPr>
              <w:t>Total liabilities acquired</w:t>
            </w:r>
          </w:p>
        </w:tc>
        <w:tc>
          <w:tcPr>
            <w:tcW w:w="12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89"/>
        </w:trPr>
        <w:tc>
          <w:tcPr>
            <w:tcW w:w="6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gridSpan w:val="4"/>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assets acquired</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6,180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6,180</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balances were translated into U.S. Dollars based on the applicable exchange rate as of the date of acquisition, December 3, 2019.</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9" w:lineRule="exact"/>
        <w:rPr>
          <w:rFonts w:ascii="Arial" w:cs="Arial" w:eastAsia="Arial" w:hAnsi="Arial"/>
          <w:sz w:val="14"/>
          <w:szCs w:val="14"/>
          <w:color w:val="auto"/>
        </w:rPr>
      </w:pPr>
    </w:p>
    <w:p>
      <w:pPr>
        <w:ind w:left="5500" w:hanging="112"/>
        <w:spacing w:after="0"/>
        <w:tabs>
          <w:tab w:leader="none" w:pos="5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auto"/>
        </w:rPr>
        <w:t>NOTE 21 – RELATED PARTIES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identifies our related parties as of December 31, 2020, in accordance with </w:t>
      </w:r>
      <w:r>
        <w:rPr>
          <w:rFonts w:ascii="Arial" w:cs="Arial" w:eastAsia="Arial" w:hAnsi="Arial"/>
          <w:sz w:val="18"/>
          <w:szCs w:val="18"/>
          <w:i w:val="1"/>
          <w:iCs w:val="1"/>
          <w:color w:val="auto"/>
        </w:rPr>
        <w:t>ASC 850, Related Party Transactions</w:t>
      </w:r>
      <w:r>
        <w:rPr>
          <w:rFonts w:ascii="Arial" w:cs="Arial" w:eastAsia="Arial" w:hAnsi="Arial"/>
          <w:sz w:val="18"/>
          <w:szCs w:val="18"/>
          <w:color w:val="auto"/>
        </w:rPr>
        <w: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Categories</w:t>
            </w:r>
          </w:p>
        </w:tc>
        <w:tc>
          <w:tcPr>
            <w:tcW w:w="25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4"/>
                <w:szCs w:val="14"/>
                <w:b w:val="1"/>
                <w:bCs w:val="1"/>
                <w:color w:val="auto"/>
              </w:rPr>
              <w:t>Related Parties</w:t>
            </w:r>
          </w:p>
        </w:tc>
        <w:tc>
          <w:tcPr>
            <w:tcW w:w="8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39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rPr>
              <w:t>Discussion Notes</w:t>
            </w:r>
          </w:p>
        </w:tc>
        <w:tc>
          <w:tcPr>
            <w:tcW w:w="0" w:type="dxa"/>
            <w:vAlign w:val="bottom"/>
          </w:tcPr>
          <w:p>
            <w:pPr>
              <w:spacing w:after="0"/>
              <w:rPr>
                <w:sz w:val="1"/>
                <w:szCs w:val="1"/>
                <w:color w:val="auto"/>
              </w:rPr>
            </w:pPr>
          </w:p>
        </w:tc>
      </w:tr>
      <w:tr>
        <w:trPr>
          <w:trHeight w:val="132"/>
        </w:trPr>
        <w:tc>
          <w:tcPr>
            <w:tcW w:w="3200" w:type="dxa"/>
            <w:vAlign w:val="bottom"/>
            <w:shd w:val="clear" w:color="auto" w:fill="CCEEFF"/>
          </w:tcPr>
          <w:p>
            <w:pPr>
              <w:ind w:left="200"/>
              <w:spacing w:after="0" w:line="132" w:lineRule="exact"/>
              <w:rPr>
                <w:sz w:val="20"/>
                <w:szCs w:val="20"/>
                <w:color w:val="auto"/>
              </w:rPr>
            </w:pPr>
            <w:r>
              <w:rPr>
                <w:rFonts w:ascii="Arial" w:cs="Arial" w:eastAsia="Arial" w:hAnsi="Arial"/>
                <w:sz w:val="15"/>
                <w:szCs w:val="15"/>
                <w:color w:val="auto"/>
              </w:rPr>
              <w:t>Principal Owners and immediate families</w:t>
            </w:r>
          </w:p>
        </w:tc>
        <w:tc>
          <w:tcPr>
            <w:tcW w:w="8040" w:type="dxa"/>
            <w:vAlign w:val="bottom"/>
            <w:gridSpan w:val="4"/>
            <w:shd w:val="clear" w:color="auto" w:fill="CCEEFF"/>
          </w:tcPr>
          <w:p>
            <w:pPr>
              <w:ind w:left="180"/>
              <w:spacing w:after="0" w:line="132" w:lineRule="exact"/>
              <w:rPr>
                <w:sz w:val="20"/>
                <w:szCs w:val="20"/>
                <w:color w:val="auto"/>
              </w:rPr>
            </w:pPr>
            <w:r>
              <w:rPr>
                <w:rFonts w:ascii="Arial" w:cs="Arial" w:eastAsia="Arial" w:hAnsi="Arial"/>
                <w:sz w:val="15"/>
                <w:szCs w:val="15"/>
                <w:color w:val="auto"/>
              </w:rPr>
              <w:t xml:space="preserve">Cotter Family’s Estate and Living Trust The Cotter Family is involved in certain litigation matters. Refer to </w:t>
            </w:r>
            <w:r>
              <w:rPr>
                <w:rFonts w:ascii="Arial" w:cs="Arial" w:eastAsia="Arial" w:hAnsi="Arial"/>
                <w:sz w:val="15"/>
                <w:szCs w:val="15"/>
                <w:i w:val="1"/>
                <w:iCs w:val="1"/>
                <w:color w:val="auto"/>
              </w:rPr>
              <w:t>Note 13 –</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25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(controlling family)</w:t>
            </w:r>
          </w:p>
        </w:tc>
        <w:tc>
          <w:tcPr>
            <w:tcW w:w="5500" w:type="dxa"/>
            <w:vAlign w:val="bottom"/>
            <w:gridSpan w:val="3"/>
            <w:shd w:val="clear" w:color="auto" w:fill="CCEEFF"/>
          </w:tcPr>
          <w:p>
            <w:pPr>
              <w:ind w:left="280"/>
              <w:spacing w:after="0" w:line="162" w:lineRule="exact"/>
              <w:rPr>
                <w:sz w:val="20"/>
                <w:szCs w:val="20"/>
                <w:color w:val="auto"/>
              </w:rPr>
            </w:pP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for further details.</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25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Mark Cuban (above 10% voting</w:t>
            </w:r>
          </w:p>
        </w:tc>
        <w:tc>
          <w:tcPr>
            <w:tcW w:w="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CEEFF"/>
          </w:tcPr>
          <w:p>
            <w:pPr>
              <w:spacing w:after="0"/>
              <w:rPr>
                <w:sz w:val="16"/>
                <w:szCs w:val="16"/>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ownership)</w:t>
            </w:r>
          </w:p>
        </w:tc>
        <w:tc>
          <w:tcPr>
            <w:tcW w:w="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00" w:type="dxa"/>
            <w:vAlign w:val="bottom"/>
          </w:tcPr>
          <w:p>
            <w:pPr>
              <w:ind w:left="200"/>
              <w:spacing w:after="0" w:line="138" w:lineRule="exact"/>
              <w:rPr>
                <w:sz w:val="20"/>
                <w:szCs w:val="20"/>
                <w:color w:val="auto"/>
              </w:rPr>
            </w:pPr>
            <w:r>
              <w:rPr>
                <w:rFonts w:ascii="Arial" w:cs="Arial" w:eastAsia="Arial" w:hAnsi="Arial"/>
                <w:sz w:val="16"/>
                <w:szCs w:val="16"/>
                <w:color w:val="auto"/>
              </w:rPr>
              <w:t>Key Executive Officers and immediate</w:t>
            </w:r>
          </w:p>
        </w:tc>
        <w:tc>
          <w:tcPr>
            <w:tcW w:w="2540" w:type="dxa"/>
            <w:vAlign w:val="bottom"/>
          </w:tcPr>
          <w:p>
            <w:pPr>
              <w:ind w:left="180"/>
              <w:spacing w:after="0" w:line="138" w:lineRule="exact"/>
              <w:rPr>
                <w:sz w:val="20"/>
                <w:szCs w:val="20"/>
                <w:color w:val="auto"/>
              </w:rPr>
            </w:pPr>
            <w:r>
              <w:rPr>
                <w:rFonts w:ascii="Arial" w:cs="Arial" w:eastAsia="Arial" w:hAnsi="Arial"/>
                <w:sz w:val="16"/>
                <w:szCs w:val="16"/>
                <w:color w:val="auto"/>
              </w:rPr>
              <w:t>Ellen M. Cotter</w:t>
            </w:r>
          </w:p>
        </w:tc>
        <w:tc>
          <w:tcPr>
            <w:tcW w:w="5500" w:type="dxa"/>
            <w:vAlign w:val="bottom"/>
            <w:gridSpan w:val="3"/>
          </w:tcPr>
          <w:p>
            <w:pPr>
              <w:ind w:left="600"/>
              <w:spacing w:after="0" w:line="138" w:lineRule="exact"/>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162"/>
        </w:trPr>
        <w:tc>
          <w:tcPr>
            <w:tcW w:w="3200" w:type="dxa"/>
            <w:vAlign w:val="bottom"/>
          </w:tcPr>
          <w:p>
            <w:pPr>
              <w:ind w:left="180"/>
              <w:spacing w:after="0" w:line="162" w:lineRule="exact"/>
              <w:rPr>
                <w:sz w:val="20"/>
                <w:szCs w:val="20"/>
                <w:color w:val="auto"/>
              </w:rPr>
            </w:pPr>
            <w:r>
              <w:rPr>
                <w:rFonts w:ascii="Arial" w:cs="Arial" w:eastAsia="Arial" w:hAnsi="Arial"/>
                <w:sz w:val="16"/>
                <w:szCs w:val="16"/>
                <w:color w:val="auto"/>
              </w:rPr>
              <w:t>families</w:t>
            </w:r>
          </w:p>
        </w:tc>
        <w:tc>
          <w:tcPr>
            <w:tcW w:w="2540" w:type="dxa"/>
            <w:vAlign w:val="bottom"/>
          </w:tcPr>
          <w:p>
            <w:pPr>
              <w:ind w:left="180"/>
              <w:spacing w:after="0" w:line="162" w:lineRule="exact"/>
              <w:rPr>
                <w:sz w:val="20"/>
                <w:szCs w:val="20"/>
                <w:color w:val="auto"/>
              </w:rPr>
            </w:pPr>
            <w:r>
              <w:rPr>
                <w:rFonts w:ascii="Arial" w:cs="Arial" w:eastAsia="Arial" w:hAnsi="Arial"/>
                <w:sz w:val="16"/>
                <w:szCs w:val="16"/>
                <w:color w:val="auto"/>
              </w:rPr>
              <w:t>Margaret Cotter</w:t>
            </w:r>
          </w:p>
        </w:tc>
        <w:tc>
          <w:tcPr>
            <w:tcW w:w="5500" w:type="dxa"/>
            <w:vAlign w:val="bottom"/>
            <w:gridSpan w:val="3"/>
          </w:tcPr>
          <w:p>
            <w:pPr>
              <w:ind w:left="600"/>
              <w:spacing w:after="0" w:line="162" w:lineRule="exact"/>
              <w:rPr>
                <w:sz w:val="20"/>
                <w:szCs w:val="20"/>
                <w:color w:val="auto"/>
              </w:rPr>
            </w:pPr>
            <w:r>
              <w:rPr>
                <w:rFonts w:ascii="Arial" w:cs="Arial" w:eastAsia="Arial" w:hAnsi="Arial"/>
                <w:sz w:val="16"/>
                <w:szCs w:val="16"/>
                <w:color w:val="auto"/>
              </w:rPr>
              <w:t>EVP Real Estate Development and Management (NY)</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540" w:type="dxa"/>
            <w:vAlign w:val="bottom"/>
          </w:tcPr>
          <w:p>
            <w:pPr>
              <w:ind w:left="180"/>
              <w:spacing w:after="0" w:line="162" w:lineRule="exact"/>
              <w:rPr>
                <w:sz w:val="20"/>
                <w:szCs w:val="20"/>
                <w:color w:val="auto"/>
              </w:rPr>
            </w:pPr>
            <w:r>
              <w:rPr>
                <w:rFonts w:ascii="Arial" w:cs="Arial" w:eastAsia="Arial" w:hAnsi="Arial"/>
                <w:sz w:val="16"/>
                <w:szCs w:val="16"/>
                <w:color w:val="auto"/>
              </w:rPr>
              <w:t>Gilbert Avanes</w:t>
            </w:r>
          </w:p>
        </w:tc>
        <w:tc>
          <w:tcPr>
            <w:tcW w:w="5500" w:type="dxa"/>
            <w:vAlign w:val="bottom"/>
            <w:gridSpan w:val="3"/>
          </w:tcPr>
          <w:p>
            <w:pPr>
              <w:ind w:left="600"/>
              <w:spacing w:after="0" w:line="162" w:lineRule="exact"/>
              <w:rPr>
                <w:sz w:val="20"/>
                <w:szCs w:val="20"/>
                <w:color w:val="auto"/>
              </w:rPr>
            </w:pPr>
            <w:r>
              <w:rPr>
                <w:rFonts w:ascii="Arial" w:cs="Arial" w:eastAsia="Arial" w:hAnsi="Arial"/>
                <w:sz w:val="16"/>
                <w:szCs w:val="16"/>
                <w:color w:val="auto"/>
              </w:rPr>
              <w:t>EVP Chief Financial Officer and Treasurer</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540" w:type="dxa"/>
            <w:vAlign w:val="bottom"/>
          </w:tcPr>
          <w:p>
            <w:pPr>
              <w:ind w:left="180"/>
              <w:spacing w:after="0" w:line="162" w:lineRule="exact"/>
              <w:rPr>
                <w:sz w:val="20"/>
                <w:szCs w:val="20"/>
                <w:color w:val="auto"/>
              </w:rPr>
            </w:pPr>
            <w:r>
              <w:rPr>
                <w:rFonts w:ascii="Arial" w:cs="Arial" w:eastAsia="Arial" w:hAnsi="Arial"/>
                <w:sz w:val="16"/>
                <w:szCs w:val="16"/>
                <w:color w:val="auto"/>
              </w:rPr>
              <w:t>Andrzej J. Matyczynski</w:t>
            </w:r>
          </w:p>
        </w:tc>
        <w:tc>
          <w:tcPr>
            <w:tcW w:w="5500" w:type="dxa"/>
            <w:vAlign w:val="bottom"/>
            <w:gridSpan w:val="3"/>
          </w:tcPr>
          <w:p>
            <w:pPr>
              <w:ind w:left="600"/>
              <w:spacing w:after="0" w:line="162" w:lineRule="exact"/>
              <w:rPr>
                <w:sz w:val="20"/>
                <w:szCs w:val="20"/>
                <w:color w:val="auto"/>
              </w:rPr>
            </w:pPr>
            <w:r>
              <w:rPr>
                <w:rFonts w:ascii="Arial" w:cs="Arial" w:eastAsia="Arial" w:hAnsi="Arial"/>
                <w:sz w:val="16"/>
                <w:szCs w:val="16"/>
                <w:color w:val="auto"/>
              </w:rPr>
              <w:t>EVP Global Operations</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540" w:type="dxa"/>
            <w:vAlign w:val="bottom"/>
          </w:tcPr>
          <w:p>
            <w:pPr>
              <w:ind w:left="180"/>
              <w:spacing w:after="0" w:line="162" w:lineRule="exact"/>
              <w:rPr>
                <w:sz w:val="20"/>
                <w:szCs w:val="20"/>
                <w:color w:val="auto"/>
              </w:rPr>
            </w:pPr>
            <w:r>
              <w:rPr>
                <w:rFonts w:ascii="Arial" w:cs="Arial" w:eastAsia="Arial" w:hAnsi="Arial"/>
                <w:sz w:val="16"/>
                <w:szCs w:val="16"/>
                <w:color w:val="auto"/>
              </w:rPr>
              <w:t>S Craig Tompkins</w:t>
            </w:r>
          </w:p>
        </w:tc>
        <w:tc>
          <w:tcPr>
            <w:tcW w:w="5500" w:type="dxa"/>
            <w:vAlign w:val="bottom"/>
            <w:gridSpan w:val="3"/>
          </w:tcPr>
          <w:p>
            <w:pPr>
              <w:ind w:left="600"/>
              <w:spacing w:after="0" w:line="162" w:lineRule="exact"/>
              <w:rPr>
                <w:sz w:val="20"/>
                <w:szCs w:val="20"/>
                <w:color w:val="auto"/>
              </w:rPr>
            </w:pPr>
            <w:r>
              <w:rPr>
                <w:rFonts w:ascii="Arial" w:cs="Arial" w:eastAsia="Arial" w:hAnsi="Arial"/>
                <w:sz w:val="16"/>
                <w:szCs w:val="16"/>
                <w:color w:val="auto"/>
              </w:rPr>
              <w:t>EVP General Counsel</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540" w:type="dxa"/>
            <w:vAlign w:val="bottom"/>
          </w:tcPr>
          <w:p>
            <w:pPr>
              <w:ind w:left="180"/>
              <w:spacing w:after="0" w:line="162" w:lineRule="exact"/>
              <w:rPr>
                <w:sz w:val="20"/>
                <w:szCs w:val="20"/>
                <w:color w:val="auto"/>
              </w:rPr>
            </w:pPr>
            <w:r>
              <w:rPr>
                <w:rFonts w:ascii="Arial" w:cs="Arial" w:eastAsia="Arial" w:hAnsi="Arial"/>
                <w:sz w:val="16"/>
                <w:szCs w:val="16"/>
                <w:color w:val="auto"/>
              </w:rPr>
              <w:t>Robert F. Smerling</w:t>
            </w:r>
          </w:p>
        </w:tc>
        <w:tc>
          <w:tcPr>
            <w:tcW w:w="5500" w:type="dxa"/>
            <w:vAlign w:val="bottom"/>
            <w:gridSpan w:val="3"/>
          </w:tcPr>
          <w:p>
            <w:pPr>
              <w:ind w:left="600"/>
              <w:spacing w:after="0" w:line="162" w:lineRule="exact"/>
              <w:rPr>
                <w:sz w:val="20"/>
                <w:szCs w:val="20"/>
                <w:color w:val="auto"/>
              </w:rPr>
            </w:pPr>
            <w:r>
              <w:rPr>
                <w:rFonts w:ascii="Arial" w:cs="Arial" w:eastAsia="Arial" w:hAnsi="Arial"/>
                <w:sz w:val="16"/>
                <w:szCs w:val="16"/>
                <w:color w:val="auto"/>
              </w:rPr>
              <w:t>President – U.S. Cinemas</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2540" w:type="dxa"/>
            <w:vAlign w:val="bottom"/>
          </w:tcPr>
          <w:p>
            <w:pPr>
              <w:ind w:left="180"/>
              <w:spacing w:after="0"/>
              <w:rPr>
                <w:sz w:val="20"/>
                <w:szCs w:val="20"/>
                <w:color w:val="auto"/>
              </w:rPr>
            </w:pPr>
            <w:r>
              <w:rPr>
                <w:rFonts w:ascii="Arial" w:cs="Arial" w:eastAsia="Arial" w:hAnsi="Arial"/>
                <w:sz w:val="16"/>
                <w:szCs w:val="16"/>
                <w:color w:val="auto"/>
              </w:rPr>
              <w:t>Mark Douglas</w:t>
            </w:r>
          </w:p>
        </w:tc>
        <w:tc>
          <w:tcPr>
            <w:tcW w:w="5500" w:type="dxa"/>
            <w:vAlign w:val="bottom"/>
            <w:gridSpan w:val="3"/>
          </w:tcPr>
          <w:p>
            <w:pPr>
              <w:ind w:left="600"/>
              <w:spacing w:after="0"/>
              <w:rPr>
                <w:sz w:val="20"/>
                <w:szCs w:val="20"/>
                <w:color w:val="auto"/>
              </w:rPr>
            </w:pPr>
            <w:r>
              <w:rPr>
                <w:rFonts w:ascii="Arial" w:cs="Arial" w:eastAsia="Arial" w:hAnsi="Arial"/>
                <w:sz w:val="16"/>
                <w:szCs w:val="16"/>
                <w:color w:val="auto"/>
              </w:rPr>
              <w:t>Managing Director, Australia and New Zealand</w:t>
            </w:r>
          </w:p>
        </w:tc>
        <w:tc>
          <w:tcPr>
            <w:tcW w:w="0" w:type="dxa"/>
            <w:vAlign w:val="bottom"/>
          </w:tcPr>
          <w:p>
            <w:pPr>
              <w:spacing w:after="0"/>
              <w:rPr>
                <w:sz w:val="1"/>
                <w:szCs w:val="1"/>
                <w:color w:val="auto"/>
              </w:rPr>
            </w:pPr>
          </w:p>
        </w:tc>
      </w:tr>
      <w:tr>
        <w:trPr>
          <w:trHeight w:val="139"/>
        </w:trPr>
        <w:tc>
          <w:tcPr>
            <w:tcW w:w="3200" w:type="dxa"/>
            <w:vAlign w:val="bottom"/>
            <w:shd w:val="clear" w:color="auto" w:fill="CCEEFF"/>
          </w:tcPr>
          <w:p>
            <w:pPr>
              <w:ind w:left="200"/>
              <w:spacing w:after="0" w:line="138" w:lineRule="exact"/>
              <w:rPr>
                <w:sz w:val="20"/>
                <w:szCs w:val="20"/>
                <w:color w:val="auto"/>
              </w:rPr>
            </w:pPr>
            <w:r>
              <w:rPr>
                <w:rFonts w:ascii="Arial" w:cs="Arial" w:eastAsia="Arial" w:hAnsi="Arial"/>
                <w:sz w:val="16"/>
                <w:szCs w:val="16"/>
                <w:color w:val="auto"/>
                <w:w w:val="95"/>
              </w:rPr>
              <w:t>Investments in Joint Ventures accounted for</w:t>
            </w:r>
          </w:p>
        </w:tc>
        <w:tc>
          <w:tcPr>
            <w:tcW w:w="2540" w:type="dxa"/>
            <w:vAlign w:val="bottom"/>
            <w:shd w:val="clear" w:color="auto" w:fill="CCEEFF"/>
          </w:tcPr>
          <w:p>
            <w:pPr>
              <w:ind w:left="180"/>
              <w:spacing w:after="0" w:line="138" w:lineRule="exact"/>
              <w:rPr>
                <w:sz w:val="20"/>
                <w:szCs w:val="20"/>
                <w:color w:val="auto"/>
              </w:rPr>
            </w:pPr>
            <w:r>
              <w:rPr>
                <w:rFonts w:ascii="Arial" w:cs="Arial" w:eastAsia="Arial" w:hAnsi="Arial"/>
                <w:sz w:val="16"/>
                <w:szCs w:val="16"/>
                <w:color w:val="auto"/>
              </w:rPr>
              <w:t>Rialto Cinemas</w:t>
            </w:r>
          </w:p>
        </w:tc>
        <w:tc>
          <w:tcPr>
            <w:tcW w:w="5500" w:type="dxa"/>
            <w:vAlign w:val="bottom"/>
            <w:gridSpan w:val="3"/>
            <w:shd w:val="clear" w:color="auto" w:fill="CCEEFF"/>
          </w:tcPr>
          <w:p>
            <w:pPr>
              <w:ind w:left="280"/>
              <w:spacing w:after="0" w:line="138" w:lineRule="exact"/>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7 – Investment in Joint Ventures</w:t>
            </w:r>
          </w:p>
        </w:tc>
        <w:tc>
          <w:tcPr>
            <w:tcW w:w="0" w:type="dxa"/>
            <w:vAlign w:val="bottom"/>
          </w:tcPr>
          <w:p>
            <w:pPr>
              <w:spacing w:after="0"/>
              <w:rPr>
                <w:sz w:val="1"/>
                <w:szCs w:val="1"/>
                <w:color w:val="auto"/>
              </w:rPr>
            </w:pPr>
          </w:p>
        </w:tc>
      </w:tr>
      <w:tr>
        <w:trPr>
          <w:trHeight w:val="185"/>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under equity method</w:t>
            </w:r>
          </w:p>
        </w:tc>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Mt. Gravatt</w:t>
            </w:r>
          </w:p>
        </w:tc>
        <w:tc>
          <w:tcPr>
            <w:tcW w:w="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00"/>
              <w:spacing w:after="0" w:line="148" w:lineRule="exact"/>
              <w:rPr>
                <w:sz w:val="20"/>
                <w:szCs w:val="20"/>
                <w:color w:val="auto"/>
              </w:rPr>
            </w:pPr>
            <w:r>
              <w:rPr>
                <w:rFonts w:ascii="Arial" w:cs="Arial" w:eastAsia="Arial" w:hAnsi="Arial"/>
                <w:sz w:val="16"/>
                <w:szCs w:val="16"/>
                <w:color w:val="auto"/>
              </w:rPr>
              <w:t>Other Affiliates</w:t>
            </w:r>
          </w:p>
        </w:tc>
        <w:tc>
          <w:tcPr>
            <w:tcW w:w="2540" w:type="dxa"/>
            <w:vAlign w:val="bottom"/>
          </w:tcPr>
          <w:p>
            <w:pPr>
              <w:ind w:left="180"/>
              <w:spacing w:after="0" w:line="148" w:lineRule="exact"/>
              <w:rPr>
                <w:sz w:val="20"/>
                <w:szCs w:val="20"/>
                <w:color w:val="auto"/>
              </w:rPr>
            </w:pPr>
            <w:r>
              <w:rPr>
                <w:rFonts w:ascii="Arial" w:cs="Arial" w:eastAsia="Arial" w:hAnsi="Arial"/>
                <w:sz w:val="16"/>
                <w:szCs w:val="16"/>
                <w:color w:val="auto"/>
              </w:rPr>
              <w:t>Entities under common control</w:t>
            </w:r>
          </w:p>
        </w:tc>
        <w:tc>
          <w:tcPr>
            <w:tcW w:w="5500" w:type="dxa"/>
            <w:vAlign w:val="bottom"/>
            <w:gridSpan w:val="3"/>
          </w:tcPr>
          <w:p>
            <w:pPr>
              <w:ind w:left="280"/>
              <w:spacing w:after="0" w:line="148" w:lineRule="exact"/>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b w:val="1"/>
                <w:bCs w:val="1"/>
                <w:color w:val="0000FF"/>
              </w:rPr>
              <w:t>Exhibit 21</w:t>
            </w:r>
            <w:r>
              <w:rPr>
                <w:rFonts w:ascii="Arial" w:cs="Arial" w:eastAsia="Arial" w:hAnsi="Arial"/>
                <w:sz w:val="16"/>
                <w:szCs w:val="16"/>
                <w:color w:val="auto"/>
              </w:rPr>
              <w:t xml:space="preserve"> of this 2020 Form 10-K filing for the complete list of</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540" w:type="dxa"/>
            <w:vAlign w:val="bottom"/>
            <w:vMerge w:val="restart"/>
          </w:tcPr>
          <w:p>
            <w:pPr>
              <w:ind w:left="180"/>
              <w:spacing w:after="0" w:line="152" w:lineRule="exact"/>
              <w:rPr>
                <w:sz w:val="20"/>
                <w:szCs w:val="20"/>
                <w:color w:val="auto"/>
              </w:rPr>
            </w:pPr>
            <w:r>
              <w:rPr>
                <w:rFonts w:ascii="Arial" w:cs="Arial" w:eastAsia="Arial" w:hAnsi="Arial"/>
                <w:sz w:val="16"/>
                <w:szCs w:val="16"/>
                <w:color w:val="auto"/>
              </w:rPr>
              <w:t>All subsidiaries of RDI</w:t>
            </w:r>
          </w:p>
        </w:tc>
        <w:tc>
          <w:tcPr>
            <w:tcW w:w="8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940" w:type="dxa"/>
            <w:vAlign w:val="bottom"/>
            <w:vMerge w:val="restart"/>
          </w:tcPr>
          <w:p>
            <w:pPr>
              <w:spacing w:after="0" w:line="152" w:lineRule="exact"/>
              <w:rPr>
                <w:sz w:val="20"/>
                <w:szCs w:val="20"/>
                <w:color w:val="auto"/>
              </w:rPr>
            </w:pPr>
            <w:r>
              <w:rPr>
                <w:rFonts w:ascii="Arial" w:cs="Arial" w:eastAsia="Arial" w:hAnsi="Arial"/>
                <w:sz w:val="16"/>
                <w:szCs w:val="16"/>
                <w:color w:val="auto"/>
                <w:w w:val="98"/>
              </w:rPr>
              <w:t>below for further discussions on certain key transactions</w:t>
            </w:r>
          </w:p>
        </w:tc>
        <w:tc>
          <w:tcPr>
            <w:tcW w:w="0" w:type="dxa"/>
            <w:vAlign w:val="bottom"/>
          </w:tcPr>
          <w:p>
            <w:pPr>
              <w:spacing w:after="0" w:line="20" w:lineRule="exact"/>
              <w:rPr>
                <w:sz w:val="1"/>
                <w:szCs w:val="1"/>
                <w:color w:val="auto"/>
              </w:rPr>
            </w:pPr>
          </w:p>
        </w:tc>
      </w:tr>
      <w:tr>
        <w:trPr>
          <w:trHeight w:val="132"/>
        </w:trPr>
        <w:tc>
          <w:tcPr>
            <w:tcW w:w="3200" w:type="dxa"/>
            <w:vAlign w:val="bottom"/>
          </w:tcPr>
          <w:p>
            <w:pPr>
              <w:spacing w:after="0"/>
              <w:rPr>
                <w:sz w:val="11"/>
                <w:szCs w:val="11"/>
                <w:color w:val="auto"/>
              </w:rPr>
            </w:pPr>
          </w:p>
        </w:tc>
        <w:tc>
          <w:tcPr>
            <w:tcW w:w="2540" w:type="dxa"/>
            <w:vAlign w:val="bottom"/>
            <w:vMerge w:val="continue"/>
          </w:tcPr>
          <w:p>
            <w:pPr>
              <w:spacing w:after="0"/>
              <w:rPr>
                <w:sz w:val="11"/>
                <w:szCs w:val="11"/>
                <w:color w:val="auto"/>
              </w:rPr>
            </w:pPr>
          </w:p>
        </w:tc>
        <w:tc>
          <w:tcPr>
            <w:tcW w:w="1560" w:type="dxa"/>
            <w:vAlign w:val="bottom"/>
            <w:gridSpan w:val="2"/>
          </w:tcPr>
          <w:p>
            <w:pPr>
              <w:ind w:left="280"/>
              <w:spacing w:after="0" w:line="132" w:lineRule="exact"/>
              <w:rPr>
                <w:sz w:val="20"/>
                <w:szCs w:val="20"/>
                <w:color w:val="auto"/>
              </w:rPr>
            </w:pPr>
            <w:r>
              <w:rPr>
                <w:rFonts w:ascii="Arial" w:cs="Arial" w:eastAsia="Arial" w:hAnsi="Arial"/>
                <w:sz w:val="15"/>
                <w:szCs w:val="15"/>
                <w:color w:val="auto"/>
              </w:rPr>
              <w:t>subsidiaries. Refer</w:t>
            </w:r>
          </w:p>
        </w:tc>
        <w:tc>
          <w:tcPr>
            <w:tcW w:w="3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color w:val="auto"/>
              </w:rPr>
              <w:t>with related parties, including those with minority interests.</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Sutton Hill Capital</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w:t>
      </w:r>
    </w:p>
    <w:p>
      <w:pPr>
        <w:spacing w:after="0" w:line="1" w:lineRule="exact"/>
        <w:rPr>
          <w:sz w:val="20"/>
          <w:szCs w:val="20"/>
          <w:color w:val="auto"/>
        </w:rPr>
      </w:pPr>
    </w:p>
    <w:p>
      <w:pPr>
        <w:ind w:right="440"/>
        <w:spacing w:after="0" w:line="221" w:lineRule="auto"/>
        <w:rPr>
          <w:sz w:val="20"/>
          <w:szCs w:val="20"/>
          <w:color w:val="auto"/>
        </w:rPr>
      </w:pPr>
      <w:r>
        <w:rPr>
          <w:rFonts w:ascii="Arial" w:cs="Arial" w:eastAsia="Arial" w:hAnsi="Arial"/>
          <w:sz w:val="16"/>
          <w:szCs w:val="16"/>
          <w:color w:val="auto"/>
        </w:rPr>
        <w:t>to SHC, to provide liquidity in its investment, pending our determination whether or not to exercise our option to purchase and (ii) to manage the 86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Cinema on a fee basis. SHC is a limited liability company owned in equal shares by the Cotter Estate or the Cotter Trust and a third party.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previously reported, over the years, two of the cinemas subject to the master leasing agreement have been redeveloped and one (the Cinemas 1,2,3</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discussed below) has been acquired. The Village East is the only cinema that remains subject to this master lease. In 2020 we were charged rent of</w:t>
      </w:r>
    </w:p>
    <w:p>
      <w:pPr>
        <w:spacing w:after="0"/>
        <w:rPr>
          <w:sz w:val="20"/>
          <w:szCs w:val="20"/>
          <w:color w:val="auto"/>
        </w:rPr>
      </w:pPr>
      <w:r>
        <w:rPr>
          <w:rFonts w:ascii="Arial" w:cs="Arial" w:eastAsia="Arial" w:hAnsi="Arial"/>
          <w:sz w:val="16"/>
          <w:szCs w:val="16"/>
          <w:color w:val="auto"/>
        </w:rPr>
        <w:t>$590,000 for this cinema by SHC, of which we paid $148,000, and deferred $442,000. We paid an annual rent of $590,000 for this cinema to SHC in 2019</w:t>
      </w:r>
    </w:p>
    <w:p>
      <w:pPr>
        <w:spacing w:after="0" w:line="214" w:lineRule="auto"/>
        <w:rPr>
          <w:sz w:val="20"/>
          <w:szCs w:val="20"/>
          <w:color w:val="auto"/>
        </w:rPr>
      </w:pPr>
      <w:r>
        <w:rPr>
          <w:rFonts w:ascii="Arial" w:cs="Arial" w:eastAsia="Arial" w:hAnsi="Arial"/>
          <w:sz w:val="17"/>
          <w:szCs w:val="17"/>
          <w:color w:val="auto"/>
        </w:rPr>
        <w:t>and 2018. During this same period, we received management fees from the 86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Cinema of $0, $45,000 and $172,000 during the years ended</w:t>
      </w:r>
    </w:p>
    <w:p>
      <w:pPr>
        <w:spacing w:after="0" w:line="1" w:lineRule="exact"/>
        <w:rPr>
          <w:sz w:val="20"/>
          <w:szCs w:val="20"/>
          <w:color w:val="auto"/>
        </w:rPr>
      </w:pPr>
    </w:p>
    <w:p>
      <w:pPr>
        <w:ind w:right="540"/>
        <w:spacing w:after="0" w:line="197" w:lineRule="auto"/>
        <w:rPr>
          <w:sz w:val="20"/>
          <w:szCs w:val="20"/>
          <w:color w:val="auto"/>
        </w:rPr>
      </w:pPr>
      <w:r>
        <w:rPr>
          <w:rFonts w:ascii="Arial" w:cs="Arial" w:eastAsia="Arial" w:hAnsi="Arial"/>
          <w:sz w:val="18"/>
          <w:szCs w:val="18"/>
          <w:color w:val="auto"/>
        </w:rPr>
        <w:t>December 31, 2020, 2019 and 2018, respectively. During the second quarter of 2019, our management agreement for the operation of the 86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Cinema terminated due to the expiration of the underlying lease.</w:t>
      </w:r>
    </w:p>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non-interest-bearing intercompany loan from the Company. Since the acquisition by SHC of its 25% interest, SHP has covered its operating costs and debt service through cash flow from the Cinema 1,2,3, (ii) borrowings from third parties, and (iii) pro-rata contributions from the members. We receive an annual management fee equal to 5% of SHP’s gross income for managing the cinema and the property, amounting to $177,000 during 2015. This management fee was modified in 2015, as discussed below, retroactive to December 1, 2014.</w:t>
      </w:r>
    </w:p>
    <w:p>
      <w:pPr>
        <w:spacing w:after="0" w:line="156"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On June 29, 2010, we agreed to extend our existing lease from SHC of the Village East Cinema by 10 years, with a new termination date of June 30, 2020. This amendment was reviewed and approved by our Audit and Conflicts Committee. The Village East lease includes a sub-lease of the ground underlying the cinema that is subject to a longer-term ground lease between SHC and an unrelated third party that expires in June 2031 (the “cinema ground lease”).</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The extended lease provides for a call option pursuant to which Reading may purchase the cinema ground lease for $5.9 million at the end of the lease term, which we exercised on August 28, 2019. It was initially agreed that the transaction would close on or about May 31, 2021. We recorded the Village East Cinema building as a property asset of $4.7 million on our balance sheet based on the cost carry-over basis from an entity under common control with a corresponding capital lease liability of $5.9 million presented under other liabilities (see </w:t>
      </w:r>
      <w:r>
        <w:rPr>
          <w:rFonts w:ascii="Arial" w:cs="Arial" w:eastAsia="Arial" w:hAnsi="Arial"/>
          <w:sz w:val="16"/>
          <w:szCs w:val="16"/>
          <w:i w:val="1"/>
          <w:iCs w:val="1"/>
          <w:color w:val="auto"/>
        </w:rPr>
        <w:t>Note 12 – Pension and Other Liabilities</w:t>
      </w:r>
      <w:r>
        <w:rPr>
          <w:rFonts w:ascii="Arial" w:cs="Arial" w:eastAsia="Arial" w:hAnsi="Arial"/>
          <w:sz w:val="16"/>
          <w:szCs w:val="16"/>
          <w:color w:val="auto"/>
        </w:rPr>
        <w:t>).</w:t>
      </w:r>
    </w:p>
    <w:p>
      <w:pPr>
        <w:spacing w:after="0" w:line="135"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On March 12, 2020, we amended the original agreement to (i) extend the term of the Citadel Cinemas, Inc. lease with Sutton Hill to January 31, 2022 and extend the put option to December 4, 2021 and (ii) at SHC’s request, in connection with our deferral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0" w:name="page121"/>
    <w:bookmarkEnd w:id="120"/>
    <w:p>
      <w:pPr>
        <w:ind w:right="100"/>
        <w:spacing w:after="0" w:line="239" w:lineRule="auto"/>
        <w:rPr>
          <w:sz w:val="20"/>
          <w:szCs w:val="20"/>
          <w:color w:val="auto"/>
        </w:rPr>
      </w:pPr>
      <w:r>
        <w:rPr>
          <w:rFonts w:ascii="Arial" w:cs="Arial" w:eastAsia="Arial" w:hAnsi="Arial"/>
          <w:sz w:val="17"/>
          <w:szCs w:val="17"/>
          <w:color w:val="auto"/>
        </w:rPr>
        <w:t>closing date for our acquisition of SHC’s interest in the Village East Cinema, the Company reinstated and extended until December 4, 2021 SHC’s right to put that interest to us. That put right had previously expired on December 4, 2019. We were advised by SHC that it wanted this reinstatement and extension in order to assure itself that, in the event of the non-performance by us of our current contractual obligation to close our purchase of the interest in the ground lease on or about the extended date of May 31, 2021, that it could (as, in effect, an additional remedy) exercise this reinstated and extended put right. We believe that the reinstatement and extension of this put right is immaterial to our Company, since we have in fact already exercised our option, are in fact under contract with SHC to acquire SHC’s interest in the Village East Cinema and have every intention of completing that acquisition. On March 29, 2021, we extended this closing date to January 1, 2023.</w:t>
      </w:r>
    </w:p>
    <w:p>
      <w:pPr>
        <w:spacing w:after="0" w:line="1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February 2015, we and SHP amended the management agreement dated as of June 27, 2007 relating to our management of the Cinemas 1,2,3. The amendment, which was retroactive to December 1, 2014, memorialized our undertaking to SHP to fund up to $750,000 (the “Renovation Funding Amount”) of renovations to Cinemas 1,2,3. In consideration of our funding of the renovations, our annual management fee was increased commencing January 1, 2015 by an amount equivalent to 100% of any incremental positive cash flow of Cinemas 1,2,3 over the average annual positive cash flow of the Cinemas 1,2,3 over the three 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retained ownership of (and any right to depreciate) any furniture, fixtures and equipment purchased by us in connection with such renovation and had the right (but not the obligation) to remove all such furniture, fixtures and equipment (at our own cost and expense) from the Cinemas 1,2,3 upon the termination of the management agreement. The amendment also provided that, during the term of the management agreement, SHP would be responsible for the cost of repair and maintenance of the renovations. In 2019 and 2018 we charged Improvements Fees of $96,000 and $425,000, respectively. This amendment was approved by SHC and by the Audit and Conflicts Committee of our Board of Directors.</w:t>
      </w:r>
    </w:p>
    <w:p>
      <w:pPr>
        <w:spacing w:after="0" w:line="150"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color w:val="auto"/>
        </w:rPr>
        <w:t>On November 6, 2020, we and SHP further amended the management agreement to terminate the Investments Fee in consideration of a one time payment to us of $112,500 and the reimbursement in full of the Renovation Funding Amount, and transferred to SHC all of our ownership rights in the renovation assets. This amendment was approved by SHC and by the Audit and Conflicts Committee of our Board of Directors.</w:t>
      </w:r>
    </w:p>
    <w:p>
      <w:pPr>
        <w:spacing w:after="0" w:line="13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 xml:space="preserve">On August 31, 2016, we refinanced the debt of Cinemas 1,2,3, pursuant to a $20.0 million loan from Valley National Bank. Refer to </w:t>
      </w:r>
      <w:r>
        <w:rPr>
          <w:rFonts w:ascii="Arial" w:cs="Arial" w:eastAsia="Arial" w:hAnsi="Arial"/>
          <w:sz w:val="17"/>
          <w:szCs w:val="17"/>
          <w:i w:val="1"/>
          <w:iCs w:val="1"/>
          <w:color w:val="auto"/>
        </w:rPr>
        <w:t>Note 11 – Borrowings</w:t>
      </w:r>
      <w:r>
        <w:rPr>
          <w:rFonts w:ascii="Arial" w:cs="Arial" w:eastAsia="Arial" w:hAnsi="Arial"/>
          <w:sz w:val="17"/>
          <w:szCs w:val="17"/>
          <w:color w:val="auto"/>
        </w:rPr>
        <w:t xml:space="preserve"> for further details on this loan transaction. The proceeds from the loan were used to retire an existing $15.0 million first mortgage loan and the above-referenced $2.9 million intercompany loan, with the remainder to be used for working capital and to cover cash flow shortfalls. Since the cash flow from the Cinemas 1,2,3 is not sufficient to service this loan, it is anticipated that the members of SHP (our Company and SHC) will ultimately need to make periodic contributions to the capital of SHP in order to avoid dilution of their respective interests in SHP. In 2016, our Company and SHC funded capital calls of $506,000 and $169,000, respectively. No capital contributions were called or made in 2018, 2019 or 2020.</w:t>
      </w:r>
    </w:p>
    <w:p>
      <w:pPr>
        <w:spacing w:after="0" w:line="15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and Conflicts Committee of our Board of Directors. The Valley National loan matured on March 1, 2020, however the loan included an option to extend the maturity date to March 1, 2021. As described in </w:t>
      </w:r>
      <w:r>
        <w:rPr>
          <w:rFonts w:ascii="Arial" w:cs="Arial" w:eastAsia="Arial" w:hAnsi="Arial"/>
          <w:sz w:val="16"/>
          <w:szCs w:val="16"/>
          <w:i w:val="1"/>
          <w:iCs w:val="1"/>
          <w:color w:val="auto"/>
        </w:rPr>
        <w:t>Note 11</w:t>
      </w:r>
      <w:r>
        <w:rPr>
          <w:rFonts w:ascii="Arial" w:cs="Arial" w:eastAsia="Arial" w:hAnsi="Arial"/>
          <w:sz w:val="16"/>
          <w:szCs w:val="16"/>
          <w:color w:val="auto"/>
        </w:rPr>
        <w:t xml:space="preserve"> – </w:t>
      </w:r>
      <w:r>
        <w:rPr>
          <w:rFonts w:ascii="Arial" w:cs="Arial" w:eastAsia="Arial" w:hAnsi="Arial"/>
          <w:sz w:val="16"/>
          <w:szCs w:val="16"/>
          <w:i w:val="1"/>
          <w:iCs w:val="1"/>
          <w:color w:val="auto"/>
        </w:rPr>
        <w:t>Borrowings</w:t>
      </w:r>
      <w:r>
        <w:rPr>
          <w:rFonts w:ascii="Arial" w:cs="Arial" w:eastAsia="Arial" w:hAnsi="Arial"/>
          <w:sz w:val="16"/>
          <w:szCs w:val="16"/>
          <w:color w:val="auto"/>
        </w:rPr>
        <w:t>, on March 13, 2020, we refinanced this loan into a new $25.0 million term loan at an interest rate of 4.25% which matures on April 1, 2022 with two six month options to extend the maturity date until April 1, 2023.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2020, SHP made a distribution of $1.0 million, paying $750,000 to our Company and $250,000 to SHC.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 Theatre Play Investment</w:t>
      </w:r>
    </w:p>
    <w:p>
      <w:pPr>
        <w:spacing w:after="0" w:line="17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From time to time, our Officers and Directors may invest in plays that lease our live theatres. The play STOMP has been playing in our Orpheum Theatre since prior to the time we acquired the theatre in 2001. The Cotter Estate or the Cotter Trust and a third party own an approximately 5% interest in that play, an interest that they have held since prior to our acquisition of the theatre.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Shadow View Land and Farming LLC</w:t>
      </w:r>
    </w:p>
    <w:p>
      <w:pPr>
        <w:spacing w:after="0" w:line="17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During 2012, Mr. James J. Cotter, Sr., our then Chairman, Chief Executive Officer and controlling stockholder, contributed $2.5 million cash and $255,000 of his 2011 bonus as his 50% share of the purchase price of a land parcel in Coachella, California and to cover his 50% share of certain costs associated with that acquisition. As of December 31, 2020, this property was held in Shadow View Land and Farming, LLC, in which the Cotter Estate or the Cotter Trust owns a 50% interest. Since the establishment of Shadow View Land and Farming, LLC, we have been the managing member (See </w:t>
      </w:r>
      <w:r>
        <w:rPr>
          <w:rFonts w:ascii="Arial" w:cs="Arial" w:eastAsia="Arial" w:hAnsi="Arial"/>
          <w:sz w:val="16"/>
          <w:szCs w:val="16"/>
          <w:i w:val="1"/>
          <w:iCs w:val="1"/>
          <w:color w:val="auto"/>
        </w:rPr>
        <w:t>Note 14 – Non-Controlling Interests</w:t>
      </w:r>
      <w:r>
        <w:rPr>
          <w:rFonts w:ascii="Arial" w:cs="Arial" w:eastAsia="Arial" w:hAnsi="Arial"/>
          <w:sz w:val="16"/>
          <w:szCs w:val="16"/>
          <w:color w:val="auto"/>
        </w:rPr>
        <w:t>). As of December 31, 2020, the property was held debt free and operating and holding costs were covered by member contributions.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property was purchased, he Audit and Conflicts Committee of the Board of Directors has been charged with responsibility for oversight of our</w:t>
      </w:r>
    </w:p>
    <w:p>
      <w:pPr>
        <w:jc w:val="center"/>
        <w:spacing w:after="0"/>
        <w:rPr>
          <w:sz w:val="20"/>
          <w:szCs w:val="20"/>
          <w:color w:val="auto"/>
        </w:rPr>
      </w:pPr>
      <w:r>
        <w:rPr>
          <w:rFonts w:ascii="Arial" w:cs="Arial" w:eastAsia="Arial" w:hAnsi="Arial"/>
          <w:sz w:val="18"/>
          <w:szCs w:val="18"/>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1" w:name="page122"/>
    <w:bookmarkEnd w:id="121"/>
    <w:p>
      <w:pPr>
        <w:ind w:right="80"/>
        <w:spacing w:after="0" w:line="246" w:lineRule="auto"/>
        <w:rPr>
          <w:sz w:val="20"/>
          <w:szCs w:val="20"/>
          <w:color w:val="auto"/>
        </w:rPr>
      </w:pPr>
      <w:r>
        <w:rPr>
          <w:rFonts w:ascii="Arial" w:cs="Arial" w:eastAsia="Arial" w:hAnsi="Arial"/>
          <w:sz w:val="18"/>
          <w:szCs w:val="18"/>
          <w:color w:val="auto"/>
        </w:rPr>
        <w:t xml:space="preserve">management of Shadow View. As discussed at </w:t>
      </w:r>
      <w:r>
        <w:rPr>
          <w:rFonts w:ascii="Arial" w:cs="Arial" w:eastAsia="Arial" w:hAnsi="Arial"/>
          <w:sz w:val="18"/>
          <w:szCs w:val="18"/>
          <w:i w:val="1"/>
          <w:iCs w:val="1"/>
          <w:color w:val="auto"/>
        </w:rPr>
        <w:t>Note 5 – Real Estate Transactions</w:t>
      </w:r>
      <w:r>
        <w:rPr>
          <w:rFonts w:ascii="Arial" w:cs="Arial" w:eastAsia="Arial" w:hAnsi="Arial"/>
          <w:sz w:val="18"/>
          <w:szCs w:val="18"/>
          <w:color w:val="auto"/>
        </w:rPr>
        <w:t>, the land held by Shadow View Land and Farming LLC was classified as held for sale in December, 2020 and was subsequently sold on March 5, 2021.</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22 – UNAUDITED QUARTERLY FINANCIAL INFORMATION</w:t>
      </w:r>
    </w:p>
    <w:p>
      <w:pPr>
        <w:spacing w:after="0" w:line="175" w:lineRule="exact"/>
        <w:rPr>
          <w:sz w:val="20"/>
          <w:szCs w:val="20"/>
          <w:color w:val="auto"/>
        </w:rPr>
      </w:pPr>
    </w:p>
    <w:p>
      <w:pPr>
        <w:ind w:right="520"/>
        <w:spacing w:after="0" w:line="307" w:lineRule="auto"/>
        <w:rPr>
          <w:sz w:val="20"/>
          <w:szCs w:val="20"/>
          <w:color w:val="auto"/>
        </w:rPr>
      </w:pPr>
      <w:r>
        <w:rPr>
          <w:rFonts w:ascii="Arial" w:cs="Arial" w:eastAsia="Arial" w:hAnsi="Arial"/>
          <w:sz w:val="16"/>
          <w:szCs w:val="16"/>
          <w:color w:val="auto"/>
        </w:rPr>
        <w:t xml:space="preserve">Set forth below is our unaudited quarterly financial information as previously published, and then adjusted for the sales tax prior period correction as described in </w:t>
      </w:r>
      <w:r>
        <w:rPr>
          <w:rFonts w:ascii="Arial" w:cs="Arial" w:eastAsia="Arial" w:hAnsi="Arial"/>
          <w:sz w:val="16"/>
          <w:szCs w:val="16"/>
          <w:i w:val="1"/>
          <w:iCs w:val="1"/>
          <w:color w:val="auto"/>
        </w:rPr>
        <w:t>Note 2 – Summary of Significant Accounting Policies (Prior period financial statement correction of immaterial errors)</w:t>
      </w:r>
      <w:r>
        <w:rPr>
          <w:rFonts w:ascii="Arial" w:cs="Arial" w:eastAsia="Arial" w:hAnsi="Arial"/>
          <w:sz w:val="16"/>
          <w:szCs w:val="16"/>
          <w:color w:val="auto"/>
        </w:rPr>
        <w: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Previously published</w:t>
            </w:r>
          </w:p>
        </w:tc>
        <w:tc>
          <w:tcPr>
            <w:tcW w:w="220" w:type="dxa"/>
            <w:vAlign w:val="bottom"/>
          </w:tcPr>
          <w:p>
            <w:pPr>
              <w:spacing w:after="0"/>
              <w:rPr>
                <w:sz w:val="16"/>
                <w:szCs w:val="16"/>
                <w:color w:val="auto"/>
              </w:rPr>
            </w:pPr>
          </w:p>
        </w:tc>
        <w:tc>
          <w:tcPr>
            <w:tcW w:w="116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26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160" w:type="dxa"/>
            <w:vAlign w:val="bottom"/>
          </w:tcPr>
          <w:p>
            <w:pPr>
              <w:jc w:val="center"/>
              <w:ind w:right="134"/>
              <w:spacing w:after="0" w:line="176" w:lineRule="exact"/>
              <w:rPr>
                <w:sz w:val="20"/>
                <w:szCs w:val="20"/>
                <w:color w:val="auto"/>
              </w:rPr>
            </w:pPr>
            <w:r>
              <w:rPr>
                <w:rFonts w:ascii="Arial" w:cs="Arial" w:eastAsia="Arial" w:hAnsi="Arial"/>
                <w:sz w:val="13"/>
                <w:szCs w:val="13"/>
                <w:b w:val="1"/>
                <w:bCs w:val="1"/>
                <w:color w:val="auto"/>
              </w:rPr>
              <w:t>Quarter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49,228</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3,422</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10,191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(5,955)</w:t>
            </w: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(22,887)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(19,352)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income (loss) attributable to RDI shareholders</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(5,875)</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(22,702)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(19,228)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 earnings (loss) per share</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(0.27)</w:t>
            </w: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(0.88)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61,551</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76,096</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70,456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68,880</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(2,097)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2,357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852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income (loss) attributable to RDI shareholders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(2,081)</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(27,487)</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 earnings (loss) per share</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(0.09)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0.10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393"/>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4"/>
          </w:tcPr>
          <w:p>
            <w:pPr>
              <w:jc w:val="center"/>
              <w:ind w:left="674"/>
              <w:spacing w:after="0"/>
              <w:rPr>
                <w:sz w:val="20"/>
                <w:szCs w:val="20"/>
                <w:color w:val="auto"/>
              </w:rPr>
            </w:pPr>
            <w:r>
              <w:rPr>
                <w:rFonts w:ascii="Arial" w:cs="Arial" w:eastAsia="Arial" w:hAnsi="Arial"/>
                <w:sz w:val="14"/>
                <w:szCs w:val="14"/>
                <w:b w:val="1"/>
                <w:bCs w:val="1"/>
                <w:color w:val="auto"/>
                <w:w w:val="94"/>
              </w:rPr>
              <w:t>Corrections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24"/>
                <w:szCs w:val="2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83"/>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160" w:type="dxa"/>
            <w:vAlign w:val="bottom"/>
          </w:tcPr>
          <w:p>
            <w:pPr>
              <w:jc w:val="center"/>
              <w:ind w:right="134"/>
              <w:spacing w:after="0" w:line="176" w:lineRule="exact"/>
              <w:rPr>
                <w:sz w:val="20"/>
                <w:szCs w:val="20"/>
                <w:color w:val="auto"/>
              </w:rPr>
            </w:pPr>
            <w:r>
              <w:rPr>
                <w:rFonts w:ascii="Arial" w:cs="Arial" w:eastAsia="Arial" w:hAnsi="Arial"/>
                <w:sz w:val="13"/>
                <w:szCs w:val="13"/>
                <w:b w:val="1"/>
                <w:bCs w:val="1"/>
                <w:color w:val="auto"/>
              </w:rPr>
              <w:t>Quarter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89"/>
        </w:trPr>
        <w:tc>
          <w:tcPr>
            <w:tcW w:w="5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income (loss) attributable to RDI shareholders</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 earnings (loss) per share</w:t>
            </w:r>
          </w:p>
        </w:tc>
        <w:tc>
          <w:tcPr>
            <w:tcW w:w="260" w:type="dxa"/>
            <w:vAlign w:val="bottom"/>
          </w:tcPr>
          <w:p>
            <w:pPr>
              <w:spacing w:after="0"/>
              <w:rPr>
                <w:sz w:val="16"/>
                <w:szCs w:val="16"/>
                <w:color w:val="auto"/>
              </w:rPr>
            </w:pPr>
          </w:p>
        </w:tc>
        <w:tc>
          <w:tcPr>
            <w:tcW w:w="12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(87)</w:t>
            </w:r>
          </w:p>
        </w:tc>
        <w:tc>
          <w:tcPr>
            <w:tcW w:w="4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(43)</w:t>
            </w:r>
          </w:p>
        </w:tc>
        <w:tc>
          <w:tcPr>
            <w:tcW w:w="26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income (loss) attributable to RDI shareholders</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 earnings (loss) per share</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3"/>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4"/>
          </w:tcPr>
          <w:p>
            <w:pPr>
              <w:jc w:val="center"/>
              <w:ind w:left="674"/>
              <w:spacing w:after="0"/>
              <w:rPr>
                <w:sz w:val="20"/>
                <w:szCs w:val="20"/>
                <w:color w:val="auto"/>
              </w:rPr>
            </w:pPr>
            <w:r>
              <w:rPr>
                <w:rFonts w:ascii="Arial" w:cs="Arial" w:eastAsia="Arial" w:hAnsi="Arial"/>
                <w:sz w:val="14"/>
                <w:szCs w:val="14"/>
                <w:b w:val="1"/>
                <w:bCs w:val="1"/>
                <w:color w:val="auto"/>
                <w:w w:val="85"/>
              </w:rPr>
              <w:t>Revised</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24"/>
                <w:szCs w:val="2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83"/>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160" w:type="dxa"/>
            <w:vAlign w:val="bottom"/>
          </w:tcPr>
          <w:p>
            <w:pPr>
              <w:jc w:val="center"/>
              <w:ind w:right="134"/>
              <w:spacing w:after="0" w:line="176" w:lineRule="exact"/>
              <w:rPr>
                <w:sz w:val="20"/>
                <w:szCs w:val="20"/>
                <w:color w:val="auto"/>
              </w:rPr>
            </w:pPr>
            <w:r>
              <w:rPr>
                <w:rFonts w:ascii="Arial" w:cs="Arial" w:eastAsia="Arial" w:hAnsi="Arial"/>
                <w:sz w:val="13"/>
                <w:szCs w:val="13"/>
                <w:b w:val="1"/>
                <w:bCs w:val="1"/>
                <w:color w:val="auto"/>
              </w:rPr>
              <w:t>Quarter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89"/>
        </w:trPr>
        <w:tc>
          <w:tcPr>
            <w:tcW w:w="5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49,228</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3,422</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10,191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(5,955)</w:t>
            </w: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(22,887)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(19,352)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income (loss) attributable to RDI shareholders</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(5,875)</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(22,702)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(19,228)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 earnings (loss) per share</w:t>
            </w: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(0.27)</w:t>
            </w: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(0.88)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61,493</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76,009</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70,386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68,880</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(2,140)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2,294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801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income (loss) attributable to RDI shareholders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(2,124)</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(27,487)</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 earnings (loss) per share</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(0.09)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0.10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353"/>
        </w:trPr>
        <w:tc>
          <w:tcPr>
            <w:tcW w:w="5140" w:type="dxa"/>
            <w:vAlign w:val="bottom"/>
          </w:tcPr>
          <w:p>
            <w:pPr>
              <w:ind w:left="34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1340" w:type="dxa"/>
            <w:vAlign w:val="bottom"/>
            <w:gridSpan w:val="2"/>
            <w:vMerge w:val="restart"/>
          </w:tcPr>
          <w:p>
            <w:pPr>
              <w:jc w:val="right"/>
              <w:ind w:right="693"/>
              <w:spacing w:after="0"/>
              <w:rPr>
                <w:sz w:val="20"/>
                <w:szCs w:val="20"/>
                <w:color w:val="auto"/>
              </w:rPr>
            </w:pPr>
            <w:r>
              <w:rPr>
                <w:rFonts w:ascii="Arial" w:cs="Arial" w:eastAsia="Arial" w:hAnsi="Arial"/>
                <w:sz w:val="18"/>
                <w:szCs w:val="18"/>
                <w:color w:val="auto"/>
              </w:rPr>
              <w:t>- 122 -</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5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2" w:name="page123"/>
    <w:bookmarkEnd w:id="122"/>
    <w:p>
      <w:pPr>
        <w:ind w:left="660"/>
        <w:spacing w:after="0" w:line="253" w:lineRule="auto"/>
        <w:rPr>
          <w:sz w:val="20"/>
          <w:szCs w:val="20"/>
          <w:color w:val="auto"/>
        </w:rPr>
      </w:pPr>
      <w:r>
        <w:rPr>
          <w:rFonts w:ascii="Arial" w:cs="Arial" w:eastAsia="Arial" w:hAnsi="Arial"/>
          <w:sz w:val="14"/>
          <w:szCs w:val="14"/>
          <w:color w:val="auto"/>
        </w:rPr>
        <w:t>Since previously published financial statements have been corrected, there is no impact on the fourth quarter results for 2019 or for the full year of 2020 and so no data is displayed here.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23 –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On January 24, 2021 we listed for sale our Auburn/Redyard ETC, and this property has been reclassified as Held For Sale during Q1 2021.</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On February 9, 2021 we listed for sale our Royal George Theatre, and this property has been reclassified as Held For Sale during Q1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On March 4, 2021 we closed on the sale of our Manukau land, achieving a sale price of NZ$77.2m (US$56.1 million).</w:t>
      </w:r>
    </w:p>
    <w:p>
      <w:pPr>
        <w:spacing w:after="0" w:line="17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On March 5, 2021, we sold our land holdings in Coachella, California for $11.0 million. As a 50% member in Shadow View Land &amp; Farming LLC, the Company received 50% of the net sale proceeds.</w:t>
      </w:r>
    </w:p>
    <w:p>
      <w:pPr>
        <w:spacing w:after="0" w:line="14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During the period March 1, 2021 to March 5, 2021, SHP loaned our Company the amount of $2.0 million, which was fully repaid on March 5, 2021 together with interest of $1,181 (representing an interest rate of 4.5%).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March 26, 2021, we paid off the $40.6 million construction loan encumbering our 44 Union Square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March 29, 2021, we extended the $5.9 million Village East option closing date to January 1, 2023.</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10" w:right="57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b w:val="1"/>
          <w:bCs w:val="1"/>
          <w:u w:val="single" w:color="auto"/>
          <w:color w:val="auto"/>
        </w:rPr>
        <w:t>Schedule II – Valuation and Qualifying Accounts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Increase</w:t>
            </w:r>
          </w:p>
        </w:tc>
        <w:tc>
          <w:tcPr>
            <w:tcW w:w="15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180" w:type="dxa"/>
            <w:vAlign w:val="bottom"/>
          </w:tcPr>
          <w:p>
            <w:pPr>
              <w:jc w:val="right"/>
              <w:ind w:right="27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8"/>
        </w:trPr>
        <w:tc>
          <w:tcPr>
            <w:tcW w:w="5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2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300" w:type="dxa"/>
            <w:vAlign w:val="bottom"/>
            <w:gridSpan w:val="3"/>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00" w:type="dxa"/>
            <w:vAlign w:val="bottom"/>
            <w:tcBorders>
              <w:top w:val="single" w:sz="8" w:color="auto"/>
            </w:tcBorders>
            <w:shd w:val="clear" w:color="auto" w:fill="CCEEFF"/>
          </w:tcPr>
          <w:p>
            <w:pPr>
              <w:jc w:val="right"/>
              <w:ind w:right="1330"/>
              <w:spacing w:after="0" w:line="189" w:lineRule="exact"/>
              <w:rPr>
                <w:sz w:val="20"/>
                <w:szCs w:val="20"/>
                <w:color w:val="auto"/>
              </w:rPr>
            </w:pPr>
            <w:r>
              <w:rPr>
                <w:rFonts w:ascii="Arial" w:cs="Arial" w:eastAsia="Arial" w:hAnsi="Arial"/>
                <w:sz w:val="18"/>
                <w:szCs w:val="18"/>
                <w:color w:val="auto"/>
              </w:rPr>
              <w:t>2020</w:t>
            </w:r>
          </w:p>
        </w:tc>
        <w:tc>
          <w:tcPr>
            <w:tcW w:w="600" w:type="dxa"/>
            <w:vAlign w:val="bottom"/>
            <w:tcBorders>
              <w:top w:val="single" w:sz="8" w:color="auto"/>
            </w:tcBorders>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189"/>
        </w:trPr>
        <w:tc>
          <w:tcPr>
            <w:tcW w:w="1900" w:type="dxa"/>
            <w:vAlign w:val="bottom"/>
          </w:tcPr>
          <w:p>
            <w:pPr>
              <w:jc w:val="right"/>
              <w:ind w:right="1330"/>
              <w:spacing w:after="0" w:line="189" w:lineRule="exact"/>
              <w:rPr>
                <w:sz w:val="20"/>
                <w:szCs w:val="20"/>
                <w:color w:val="auto"/>
              </w:rPr>
            </w:pPr>
            <w:r>
              <w:rPr>
                <w:rFonts w:ascii="Arial" w:cs="Arial" w:eastAsia="Arial" w:hAnsi="Arial"/>
                <w:sz w:val="18"/>
                <w:szCs w:val="18"/>
                <w:color w:val="auto"/>
              </w:rPr>
              <w:t>2019</w:t>
            </w: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1,048</w:t>
            </w:r>
          </w:p>
        </w:tc>
        <w:tc>
          <w:tcPr>
            <w:tcW w:w="1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1,526</w:t>
            </w: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1,055</w:t>
            </w:r>
          </w:p>
        </w:tc>
        <w:tc>
          <w:tcPr>
            <w:tcW w:w="160" w:type="dxa"/>
            <w:vAlign w:val="bottom"/>
          </w:tcPr>
          <w:p>
            <w:pPr>
              <w:spacing w:after="0"/>
              <w:rPr>
                <w:sz w:val="16"/>
                <w:szCs w:val="16"/>
                <w:color w:val="auto"/>
              </w:rPr>
            </w:pP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jc w:val="right"/>
              <w:ind w:right="1330"/>
              <w:spacing w:after="0" w:line="189" w:lineRule="exact"/>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169"/>
        </w:trPr>
        <w:tc>
          <w:tcPr>
            <w:tcW w:w="5300" w:type="dxa"/>
            <w:vAlign w:val="bottom"/>
            <w:gridSpan w:val="3"/>
          </w:tcPr>
          <w:p>
            <w:pPr>
              <w:spacing w:after="0" w:line="162" w:lineRule="exact"/>
              <w:rPr>
                <w:sz w:val="20"/>
                <w:szCs w:val="20"/>
                <w:color w:val="auto"/>
              </w:rPr>
            </w:pPr>
            <w:r>
              <w:rPr>
                <w:rFonts w:ascii="Arial" w:cs="Arial" w:eastAsia="Arial" w:hAnsi="Arial"/>
                <w:sz w:val="18"/>
                <w:szCs w:val="18"/>
                <w:b w:val="1"/>
                <w:bCs w:val="1"/>
                <w:color w:val="auto"/>
              </w:rPr>
              <w:t>Tax valuation allowance</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00" w:type="dxa"/>
            <w:vAlign w:val="bottom"/>
            <w:tcBorders>
              <w:top w:val="single" w:sz="8" w:color="auto"/>
            </w:tcBorders>
            <w:shd w:val="clear" w:color="auto" w:fill="CCEEFF"/>
          </w:tcPr>
          <w:p>
            <w:pPr>
              <w:jc w:val="right"/>
              <w:ind w:right="1330"/>
              <w:spacing w:after="0" w:line="189" w:lineRule="exact"/>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33,946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13,110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47,056</w:t>
            </w:r>
          </w:p>
        </w:tc>
        <w:tc>
          <w:tcPr>
            <w:tcW w:w="0" w:type="dxa"/>
            <w:vAlign w:val="bottom"/>
          </w:tcPr>
          <w:p>
            <w:pPr>
              <w:spacing w:after="0"/>
              <w:rPr>
                <w:sz w:val="1"/>
                <w:szCs w:val="1"/>
                <w:color w:val="auto"/>
              </w:rPr>
            </w:pPr>
          </w:p>
        </w:tc>
      </w:tr>
      <w:tr>
        <w:trPr>
          <w:trHeight w:val="189"/>
        </w:trPr>
        <w:tc>
          <w:tcPr>
            <w:tcW w:w="1900" w:type="dxa"/>
            <w:vAlign w:val="bottom"/>
          </w:tcPr>
          <w:p>
            <w:pPr>
              <w:jc w:val="right"/>
              <w:ind w:right="1330"/>
              <w:spacing w:after="0" w:line="189" w:lineRule="exact"/>
              <w:rPr>
                <w:sz w:val="20"/>
                <w:szCs w:val="20"/>
                <w:color w:val="auto"/>
              </w:rPr>
            </w:pPr>
            <w:r>
              <w:rPr>
                <w:rFonts w:ascii="Arial" w:cs="Arial" w:eastAsia="Arial" w:hAnsi="Arial"/>
                <w:sz w:val="18"/>
                <w:szCs w:val="18"/>
                <w:color w:val="auto"/>
              </w:rPr>
              <w:t>2019</w:t>
            </w: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6,720</w:t>
            </w:r>
          </w:p>
        </w:tc>
        <w:tc>
          <w:tcPr>
            <w:tcW w:w="1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27,226</w:t>
            </w:r>
          </w:p>
        </w:tc>
        <w:tc>
          <w:tcPr>
            <w:tcW w:w="160" w:type="dxa"/>
            <w:vAlign w:val="bottom"/>
          </w:tcPr>
          <w:p>
            <w:pPr>
              <w:spacing w:after="0"/>
              <w:rPr>
                <w:sz w:val="16"/>
                <w:szCs w:val="16"/>
                <w:color w:val="auto"/>
              </w:rPr>
            </w:pPr>
          </w:p>
        </w:tc>
        <w:tc>
          <w:tcPr>
            <w:tcW w:w="15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33,946</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jc w:val="right"/>
              <w:ind w:right="1330"/>
              <w:spacing w:after="0" w:line="189" w:lineRule="exact"/>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6,870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581"/>
        </w:trPr>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gridSpan w:val="2"/>
          </w:tcPr>
          <w:p>
            <w:pPr>
              <w:jc w:val="right"/>
              <w:ind w:right="695"/>
              <w:spacing w:after="0"/>
              <w:rPr>
                <w:sz w:val="20"/>
                <w:szCs w:val="20"/>
                <w:color w:val="auto"/>
              </w:rPr>
            </w:pPr>
            <w:r>
              <w:rPr>
                <w:rFonts w:ascii="Arial" w:cs="Arial" w:eastAsia="Arial" w:hAnsi="Arial"/>
                <w:sz w:val="18"/>
                <w:szCs w:val="18"/>
                <w:color w:val="auto"/>
              </w:rPr>
              <w:t>- 124 -</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9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b w:val="1"/>
          <w:bCs w:val="1"/>
          <w:u w:val="single" w:color="auto"/>
          <w:color w:val="auto"/>
        </w:rPr>
        <w:t>Item 9 – Change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9A –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 and Attestation of Registered Public Accounting Firm</w:t>
      </w:r>
    </w:p>
    <w:p>
      <w:pPr>
        <w:spacing w:after="0" w:line="17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Our management’s report on internal control over financial reporting and our registered public accounting firm’s audit report on the effectiveness of our internal control over financial reporting are included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13a-15I and 15d – 15I as of the end of the period covered by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fourth quarter of the period covered by this report that have materially affected, or are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15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5"/>
          <w:szCs w:val="25"/>
          <w:b w:val="1"/>
          <w:bCs w:val="1"/>
          <w:u w:val="single" w:color="auto"/>
          <w:color w:val="auto"/>
        </w:rPr>
        <w:t>PART III</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10, 11, 12, 13 and 14</w:t>
      </w:r>
    </w:p>
    <w:p>
      <w:pPr>
        <w:spacing w:after="0" w:line="206"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Information required by Part III (Items 10, 11, 12, 13 and 14) of this Form 10-K is hereby incorporated by reference from Reading International, Inc.’s definitive Proxy Statement for its 2021 Annual Meeting of Stockholders, which the company intends to be filed with the Securities and Exchange Commission, pursuant to Regulation 14A, not later than 120 days after the end of the fiscal year.</w:t>
      </w:r>
    </w:p>
    <w:p>
      <w:pPr>
        <w:spacing w:after="0" w:line="200" w:lineRule="exact"/>
        <w:rPr>
          <w:sz w:val="20"/>
          <w:szCs w:val="20"/>
          <w:color w:val="auto"/>
        </w:rPr>
      </w:pPr>
    </w:p>
    <w:p>
      <w:pPr>
        <w:spacing w:after="0" w:line="292" w:lineRule="exact"/>
        <w:rPr>
          <w:sz w:val="20"/>
          <w:szCs w:val="20"/>
          <w:color w:val="auto"/>
        </w:rPr>
      </w:pPr>
    </w:p>
    <w:tbl>
      <w:tblPr>
        <w:tblLayout w:type="fixed"/>
        <w:tblInd w:w="4760" w:type="dxa"/>
        <w:tblCellMar>
          <w:top w:w="0" w:type="dxa"/>
          <w:left w:w="0" w:type="dxa"/>
          <w:bottom w:w="0" w:type="dxa"/>
          <w:right w:w="0" w:type="dxa"/>
        </w:tblCellMar>
      </w:tblPr>
      <w:tr>
        <w:trPr>
          <w:trHeight w:val="161"/>
        </w:trPr>
        <w:tc>
          <w:tcPr>
            <w:tcW w:w="2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Number of securities to be issued</w:t>
            </w: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Weighted-average exercise price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r>
      <w:tr>
        <w:trPr>
          <w:trHeight w:val="148"/>
        </w:trPr>
        <w:tc>
          <w:tcPr>
            <w:tcW w:w="2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upon exercise of outstanding</w:t>
            </w:r>
          </w:p>
        </w:tc>
        <w:tc>
          <w:tcPr>
            <w:tcW w:w="2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of outstanding options, warrants,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r>
      <w:tr>
        <w:trPr>
          <w:trHeight w:val="178"/>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 warrants, and rights</w:t>
            </w:r>
          </w:p>
        </w:tc>
        <w:tc>
          <w:tcPr>
            <w:tcW w:w="160" w:type="dxa"/>
            <w:vAlign w:val="bottom"/>
          </w:tcPr>
          <w:p>
            <w:pPr>
              <w:spacing w:after="0"/>
              <w:rPr>
                <w:sz w:val="15"/>
                <w:szCs w:val="15"/>
                <w:color w:val="auto"/>
              </w:rPr>
            </w:pPr>
          </w:p>
        </w:tc>
        <w:tc>
          <w:tcPr>
            <w:tcW w:w="20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and rights</w:t>
            </w:r>
          </w:p>
        </w:tc>
        <w:tc>
          <w:tcPr>
            <w:tcW w:w="16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under equity compensation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5"/>
          <w:szCs w:val="25"/>
          <w:b w:val="1"/>
          <w:bCs w:val="1"/>
          <w:u w:val="single" w:color="auto"/>
          <w:color w:val="auto"/>
        </w:rPr>
        <w:t>PART IV</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15 – Exhibits, Financial Statement Schedules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w:t>
      </w:r>
      <w:r>
        <w:rPr>
          <w:rFonts w:ascii="Arial" w:cs="Arial" w:eastAsia="Arial" w:hAnsi="Arial"/>
          <w:sz w:val="17"/>
          <w:szCs w:val="17"/>
          <w:color w:val="auto"/>
        </w:rPr>
        <w:t>The following documents are filed as a part of this report:</w:t>
      </w:r>
    </w:p>
    <w:p>
      <w:pPr>
        <w:spacing w:after="0" w:line="18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8"/>
          <w:szCs w:val="18"/>
          <w:i w:val="1"/>
          <w:iCs w:val="1"/>
          <w:color w:val="auto"/>
        </w:rPr>
        <w:t>Financial Statements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 xml:space="preserve">The following financial statements are filed as part of Part II, Item 8 –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in this Annual Report on</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Form 10-K, as summarized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0"/>
              </w:rPr>
              <w:t>Description</w:t>
            </w:r>
          </w:p>
        </w:tc>
        <w:tc>
          <w:tcPr>
            <w:tcW w:w="8300" w:type="dxa"/>
            <w:vAlign w:val="bottom"/>
            <w:gridSpan w:val="12"/>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9020" w:type="dxa"/>
            <w:vAlign w:val="bottom"/>
            <w:gridSpan w:val="15"/>
            <w:shd w:val="clear" w:color="auto" w:fill="CCEEFF"/>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Management’s Report on Internal Control over Financial Reporting</w:t>
              </w:r>
            </w:hyperlink>
          </w:p>
        </w:tc>
        <w:tc>
          <w:tcPr>
            <w:tcW w:w="1920" w:type="dxa"/>
            <w:vAlign w:val="bottom"/>
            <w:gridSpan w:val="2"/>
            <w:shd w:val="clear" w:color="auto" w:fill="CCEEFF"/>
          </w:tcPr>
          <w:p>
            <w:pPr>
              <w:jc w:val="center"/>
              <w:ind w:left="1570"/>
              <w:spacing w:after="0" w:line="156" w:lineRule="exact"/>
              <w:rPr>
                <w:sz w:val="20"/>
                <w:szCs w:val="20"/>
                <w:color w:val="auto"/>
              </w:rPr>
            </w:pPr>
            <w:r>
              <w:rPr>
                <w:rFonts w:ascii="Arial" w:cs="Arial" w:eastAsia="Arial" w:hAnsi="Arial"/>
                <w:sz w:val="18"/>
                <w:szCs w:val="18"/>
                <w:color w:val="auto"/>
                <w:w w:val="89"/>
              </w:rPr>
              <w:t>68</w:t>
            </w:r>
          </w:p>
        </w:tc>
        <w:tc>
          <w:tcPr>
            <w:tcW w:w="280" w:type="dxa"/>
            <w:vAlign w:val="bottom"/>
            <w:tcBorders>
              <w:left w:val="single" w:sz="8" w:color="CCEEFF"/>
            </w:tcBorders>
            <w:shd w:val="clear" w:color="auto" w:fill="CCEEFF"/>
          </w:tcPr>
          <w:p>
            <w:pPr>
              <w:spacing w:after="0"/>
              <w:rPr>
                <w:sz w:val="13"/>
                <w:szCs w:val="13"/>
                <w:color w:val="auto"/>
              </w:rPr>
            </w:pP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6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9020" w:type="dxa"/>
            <w:vAlign w:val="bottom"/>
            <w:gridSpan w:val="15"/>
          </w:tcPr>
          <w:p>
            <w:pPr>
              <w:spacing w:after="0" w:line="162" w:lineRule="exact"/>
              <w:rPr>
                <w:rFonts w:ascii="Arial" w:cs="Arial" w:eastAsia="Arial" w:hAnsi="Arial"/>
                <w:sz w:val="18"/>
                <w:szCs w:val="18"/>
                <w:color w:val="0000FF"/>
              </w:rPr>
            </w:pPr>
            <w:hyperlink w:anchor="page69">
              <w:r>
                <w:rPr>
                  <w:rFonts w:ascii="Arial" w:cs="Arial" w:eastAsia="Arial" w:hAnsi="Arial"/>
                  <w:sz w:val="18"/>
                  <w:szCs w:val="18"/>
                  <w:color w:val="0000FF"/>
                </w:rPr>
                <w:t>Report of Independent Registered Public Accounting Firm (Consolidated Financial Statements)</w:t>
              </w:r>
            </w:hyperlink>
          </w:p>
        </w:tc>
        <w:tc>
          <w:tcPr>
            <w:tcW w:w="1920" w:type="dxa"/>
            <w:vAlign w:val="bottom"/>
            <w:gridSpan w:val="2"/>
          </w:tcPr>
          <w:p>
            <w:pPr>
              <w:jc w:val="center"/>
              <w:ind w:left="1570"/>
              <w:spacing w:after="0" w:line="162" w:lineRule="exact"/>
              <w:rPr>
                <w:sz w:val="20"/>
                <w:szCs w:val="20"/>
                <w:color w:val="auto"/>
              </w:rPr>
            </w:pPr>
            <w:r>
              <w:rPr>
                <w:rFonts w:ascii="Arial" w:cs="Arial" w:eastAsia="Arial" w:hAnsi="Arial"/>
                <w:sz w:val="18"/>
                <w:szCs w:val="18"/>
                <w:color w:val="auto"/>
                <w:w w:val="89"/>
              </w:rPr>
              <w:t>69</w:t>
            </w:r>
          </w:p>
        </w:tc>
        <w:tc>
          <w:tcPr>
            <w:tcW w:w="28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9020" w:type="dxa"/>
            <w:vAlign w:val="bottom"/>
            <w:gridSpan w:val="15"/>
            <w:shd w:val="clear" w:color="auto" w:fill="CCEEFF"/>
          </w:tcPr>
          <w:p>
            <w:pPr>
              <w:spacing w:after="0" w:line="162" w:lineRule="exact"/>
              <w:rPr>
                <w:rFonts w:ascii="Arial" w:cs="Arial" w:eastAsia="Arial" w:hAnsi="Arial"/>
                <w:sz w:val="18"/>
                <w:szCs w:val="18"/>
                <w:color w:val="0000FF"/>
              </w:rPr>
            </w:pPr>
            <w:hyperlink w:anchor="page72">
              <w:r>
                <w:rPr>
                  <w:rFonts w:ascii="Arial" w:cs="Arial" w:eastAsia="Arial" w:hAnsi="Arial"/>
                  <w:sz w:val="18"/>
                  <w:szCs w:val="18"/>
                  <w:color w:val="0000FF"/>
                </w:rPr>
                <w:t>Report of Independent Registered Public Accounting Firm (Internal Control over Financial Reporting)</w:t>
              </w:r>
            </w:hyperlink>
          </w:p>
        </w:tc>
        <w:tc>
          <w:tcPr>
            <w:tcW w:w="1920" w:type="dxa"/>
            <w:vAlign w:val="bottom"/>
            <w:gridSpan w:val="2"/>
            <w:shd w:val="clear" w:color="auto" w:fill="CCEEFF"/>
          </w:tcPr>
          <w:p>
            <w:pPr>
              <w:jc w:val="center"/>
              <w:ind w:left="1570"/>
              <w:spacing w:after="0" w:line="162" w:lineRule="exact"/>
              <w:rPr>
                <w:sz w:val="20"/>
                <w:szCs w:val="20"/>
                <w:color w:val="auto"/>
              </w:rPr>
            </w:pPr>
            <w:r>
              <w:rPr>
                <w:rFonts w:ascii="Arial" w:cs="Arial" w:eastAsia="Arial" w:hAnsi="Arial"/>
                <w:sz w:val="18"/>
                <w:szCs w:val="18"/>
                <w:color w:val="auto"/>
                <w:w w:val="89"/>
              </w:rPr>
              <w:t>72</w:t>
            </w:r>
          </w:p>
        </w:tc>
        <w:tc>
          <w:tcPr>
            <w:tcW w:w="280" w:type="dxa"/>
            <w:vAlign w:val="bottom"/>
            <w:tcBorders>
              <w:left w:val="single" w:sz="8" w:color="CCEEFF"/>
            </w:tcBorders>
            <w:shd w:val="clear" w:color="auto" w:fill="CCEEFF"/>
          </w:tcPr>
          <w:p>
            <w:pPr>
              <w:spacing w:after="0"/>
              <w:rPr>
                <w:sz w:val="14"/>
                <w:szCs w:val="14"/>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7380" w:type="dxa"/>
            <w:vAlign w:val="bottom"/>
            <w:tcBorders>
              <w:top w:val="single" w:sz="8" w:color="0000FF"/>
            </w:tcBorders>
            <w:gridSpan w:val="14"/>
          </w:tcPr>
          <w:p>
            <w:pPr>
              <w:spacing w:after="0" w:line="162" w:lineRule="exact"/>
              <w:rPr>
                <w:rFonts w:ascii="Arial" w:cs="Arial" w:eastAsia="Arial" w:hAnsi="Arial"/>
                <w:sz w:val="18"/>
                <w:szCs w:val="18"/>
                <w:color w:val="0000FF"/>
              </w:rPr>
            </w:pPr>
            <w:hyperlink w:anchor="page73">
              <w:r>
                <w:rPr>
                  <w:rFonts w:ascii="Arial" w:cs="Arial" w:eastAsia="Arial" w:hAnsi="Arial"/>
                  <w:sz w:val="18"/>
                  <w:szCs w:val="18"/>
                  <w:color w:val="0000FF"/>
                </w:rPr>
                <w:t>Consolidated Balance Sheets as of December 31, 2020 and 2019</w:t>
              </w:r>
            </w:hyperlink>
          </w:p>
        </w:tc>
        <w:tc>
          <w:tcPr>
            <w:tcW w:w="164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gridSpan w:val="2"/>
          </w:tcPr>
          <w:p>
            <w:pPr>
              <w:jc w:val="center"/>
              <w:ind w:left="1570"/>
              <w:spacing w:after="0" w:line="162" w:lineRule="exact"/>
              <w:rPr>
                <w:sz w:val="20"/>
                <w:szCs w:val="20"/>
                <w:color w:val="auto"/>
              </w:rPr>
            </w:pPr>
            <w:r>
              <w:rPr>
                <w:rFonts w:ascii="Arial" w:cs="Arial" w:eastAsia="Arial" w:hAnsi="Arial"/>
                <w:sz w:val="18"/>
                <w:szCs w:val="18"/>
                <w:color w:val="auto"/>
                <w:w w:val="89"/>
              </w:rPr>
              <w:t>73</w:t>
            </w:r>
          </w:p>
        </w:tc>
        <w:tc>
          <w:tcPr>
            <w:tcW w:w="280" w:type="dxa"/>
            <w:vAlign w:val="bottom"/>
            <w:tcBorders>
              <w:top w:val="single" w:sz="8" w:color="CCEEFF"/>
            </w:tcBorders>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960" w:type="dxa"/>
            <w:vAlign w:val="bottom"/>
            <w:tcBorders>
              <w:bottom w:val="single" w:sz="8" w:color="0000FF"/>
            </w:tcBorders>
            <w:gridSpan w:val="9"/>
            <w:shd w:val="clear" w:color="auto" w:fill="CCEEFF"/>
          </w:tcPr>
          <w:p>
            <w:pPr>
              <w:spacing w:after="0" w:line="162"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Consolidated Statements of Income for the Three Years Ended December 31, 2020</w:t>
              </w:r>
            </w:hyperlink>
          </w:p>
        </w:tc>
        <w:tc>
          <w:tcPr>
            <w:tcW w:w="3060" w:type="dxa"/>
            <w:vAlign w:val="bottom"/>
            <w:tcBorders>
              <w:bottom w:val="single" w:sz="8" w:color="CCEEFF"/>
            </w:tcBorders>
            <w:gridSpan w:val="6"/>
            <w:shd w:val="clear" w:color="auto" w:fill="CCEEFF"/>
          </w:tcPr>
          <w:p>
            <w:pPr>
              <w:spacing w:after="0"/>
              <w:rPr>
                <w:sz w:val="14"/>
                <w:szCs w:val="14"/>
                <w:color w:val="auto"/>
              </w:rPr>
            </w:pPr>
          </w:p>
        </w:tc>
        <w:tc>
          <w:tcPr>
            <w:tcW w:w="1920" w:type="dxa"/>
            <w:vAlign w:val="bottom"/>
            <w:tcBorders>
              <w:bottom w:val="single" w:sz="8" w:color="CCEEFF"/>
            </w:tcBorders>
            <w:gridSpan w:val="2"/>
            <w:shd w:val="clear" w:color="auto" w:fill="CCEEFF"/>
          </w:tcPr>
          <w:p>
            <w:pPr>
              <w:jc w:val="center"/>
              <w:ind w:left="1570"/>
              <w:spacing w:after="0" w:line="162" w:lineRule="exact"/>
              <w:rPr>
                <w:sz w:val="20"/>
                <w:szCs w:val="20"/>
                <w:color w:val="auto"/>
              </w:rPr>
            </w:pPr>
            <w:r>
              <w:rPr>
                <w:rFonts w:ascii="Arial" w:cs="Arial" w:eastAsia="Arial" w:hAnsi="Arial"/>
                <w:sz w:val="18"/>
                <w:szCs w:val="18"/>
                <w:color w:val="auto"/>
                <w:w w:val="89"/>
              </w:rPr>
              <w:t>74</w:t>
            </w:r>
          </w:p>
        </w:tc>
        <w:tc>
          <w:tcPr>
            <w:tcW w:w="28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140" w:type="dxa"/>
            <w:vAlign w:val="bottom"/>
            <w:tcBorders>
              <w:bottom w:val="single" w:sz="8" w:color="0000FF"/>
            </w:tcBorders>
            <w:gridSpan w:val="13"/>
          </w:tcPr>
          <w:p>
            <w:pPr>
              <w:spacing w:after="0" w:line="16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Consolidated Statements of Comprehensive Income for the Three Years Ended December 31, 2020</w:t>
              </w:r>
            </w:hyperlink>
          </w:p>
        </w:tc>
        <w:tc>
          <w:tcPr>
            <w:tcW w:w="1880" w:type="dxa"/>
            <w:vAlign w:val="bottom"/>
            <w:gridSpan w:val="2"/>
          </w:tcPr>
          <w:p>
            <w:pPr>
              <w:spacing w:after="0"/>
              <w:rPr>
                <w:sz w:val="14"/>
                <w:szCs w:val="14"/>
                <w:color w:val="auto"/>
              </w:rPr>
            </w:pPr>
          </w:p>
        </w:tc>
        <w:tc>
          <w:tcPr>
            <w:tcW w:w="1920" w:type="dxa"/>
            <w:vAlign w:val="bottom"/>
            <w:gridSpan w:val="2"/>
          </w:tcPr>
          <w:p>
            <w:pPr>
              <w:jc w:val="center"/>
              <w:ind w:left="1570"/>
              <w:spacing w:after="0" w:line="162" w:lineRule="exact"/>
              <w:rPr>
                <w:sz w:val="20"/>
                <w:szCs w:val="20"/>
                <w:color w:val="auto"/>
              </w:rPr>
            </w:pPr>
            <w:r>
              <w:rPr>
                <w:rFonts w:ascii="Arial" w:cs="Arial" w:eastAsia="Arial" w:hAnsi="Arial"/>
                <w:sz w:val="18"/>
                <w:szCs w:val="18"/>
                <w:color w:val="auto"/>
                <w:w w:val="89"/>
              </w:rPr>
              <w:t>75</w:t>
            </w:r>
          </w:p>
        </w:tc>
        <w:tc>
          <w:tcPr>
            <w:tcW w:w="280" w:type="dxa"/>
            <w:vAlign w:val="bottom"/>
          </w:tcPr>
          <w:p>
            <w:pPr>
              <w:spacing w:after="0"/>
              <w:rPr>
                <w:sz w:val="14"/>
                <w:szCs w:val="14"/>
                <w:color w:val="auto"/>
              </w:rPr>
            </w:pPr>
          </w:p>
        </w:tc>
      </w:tr>
      <w:tr>
        <w:trPr>
          <w:trHeight w:val="169"/>
        </w:trPr>
        <w:tc>
          <w:tcPr>
            <w:tcW w:w="20" w:type="dxa"/>
            <w:vAlign w:val="bottom"/>
            <w:shd w:val="clear" w:color="auto" w:fill="CCEEFF"/>
          </w:tcPr>
          <w:p>
            <w:pPr>
              <w:spacing w:after="0"/>
              <w:rPr>
                <w:sz w:val="14"/>
                <w:szCs w:val="14"/>
                <w:color w:val="auto"/>
              </w:rPr>
            </w:pPr>
          </w:p>
        </w:tc>
        <w:tc>
          <w:tcPr>
            <w:tcW w:w="9020" w:type="dxa"/>
            <w:vAlign w:val="bottom"/>
            <w:gridSpan w:val="15"/>
            <w:shd w:val="clear" w:color="auto" w:fill="CCEEFF"/>
          </w:tcPr>
          <w:p>
            <w:pPr>
              <w:spacing w:after="0" w:line="162" w:lineRule="exact"/>
              <w:rPr>
                <w:rFonts w:ascii="Arial" w:cs="Arial" w:eastAsia="Arial" w:hAnsi="Arial"/>
                <w:sz w:val="18"/>
                <w:szCs w:val="18"/>
                <w:color w:val="0000FF"/>
              </w:rPr>
            </w:pPr>
            <w:hyperlink w:anchor="page76">
              <w:r>
                <w:rPr>
                  <w:rFonts w:ascii="Arial" w:cs="Arial" w:eastAsia="Arial" w:hAnsi="Arial"/>
                  <w:sz w:val="18"/>
                  <w:szCs w:val="18"/>
                  <w:color w:val="0000FF"/>
                </w:rPr>
                <w:t>Consolidated Statements of Stockholders’ Equity for the Three Years Ended December 31, 2020</w:t>
              </w:r>
            </w:hyperlink>
          </w:p>
        </w:tc>
        <w:tc>
          <w:tcPr>
            <w:tcW w:w="1920" w:type="dxa"/>
            <w:vAlign w:val="bottom"/>
            <w:gridSpan w:val="2"/>
            <w:shd w:val="clear" w:color="auto" w:fill="CCEEFF"/>
          </w:tcPr>
          <w:p>
            <w:pPr>
              <w:jc w:val="center"/>
              <w:ind w:left="1570"/>
              <w:spacing w:after="0" w:line="162" w:lineRule="exact"/>
              <w:rPr>
                <w:sz w:val="20"/>
                <w:szCs w:val="20"/>
                <w:color w:val="auto"/>
              </w:rPr>
            </w:pPr>
            <w:r>
              <w:rPr>
                <w:rFonts w:ascii="Arial" w:cs="Arial" w:eastAsia="Arial" w:hAnsi="Arial"/>
                <w:sz w:val="18"/>
                <w:szCs w:val="18"/>
                <w:color w:val="auto"/>
                <w:w w:val="89"/>
              </w:rPr>
              <w:t>76</w:t>
            </w:r>
          </w:p>
        </w:tc>
        <w:tc>
          <w:tcPr>
            <w:tcW w:w="280" w:type="dxa"/>
            <w:vAlign w:val="bottom"/>
            <w:tcBorders>
              <w:left w:val="single" w:sz="8" w:color="CCEEFF"/>
            </w:tcBorders>
            <w:shd w:val="clear" w:color="auto" w:fill="CCEEFF"/>
          </w:tcPr>
          <w:p>
            <w:pPr>
              <w:spacing w:after="0"/>
              <w:rPr>
                <w:sz w:val="14"/>
                <w:szCs w:val="14"/>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6940" w:type="dxa"/>
            <w:vAlign w:val="bottom"/>
            <w:tcBorders>
              <w:top w:val="single" w:sz="8" w:color="0000FF"/>
            </w:tcBorders>
            <w:gridSpan w:val="12"/>
          </w:tcPr>
          <w:p>
            <w:pPr>
              <w:spacing w:after="0" w:line="162" w:lineRule="exact"/>
              <w:rPr>
                <w:rFonts w:ascii="Arial" w:cs="Arial" w:eastAsia="Arial" w:hAnsi="Arial"/>
                <w:sz w:val="18"/>
                <w:szCs w:val="18"/>
                <w:color w:val="0000FF"/>
                <w:w w:val="98"/>
              </w:rPr>
            </w:pPr>
            <w:hyperlink w:anchor="page77">
              <w:r>
                <w:rPr>
                  <w:rFonts w:ascii="Arial" w:cs="Arial" w:eastAsia="Arial" w:hAnsi="Arial"/>
                  <w:sz w:val="18"/>
                  <w:szCs w:val="18"/>
                  <w:color w:val="0000FF"/>
                  <w:w w:val="98"/>
                </w:rPr>
                <w:t>Consolidated Statements of Cash Flows for the Three Years Ended December 31, 2020</w:t>
              </w:r>
            </w:hyperlink>
          </w:p>
        </w:tc>
        <w:tc>
          <w:tcPr>
            <w:tcW w:w="2080" w:type="dxa"/>
            <w:vAlign w:val="bottom"/>
            <w:tcBorders>
              <w:top w:val="single" w:sz="8" w:color="CCEEFF"/>
            </w:tcBorders>
            <w:gridSpan w:val="3"/>
          </w:tcPr>
          <w:p>
            <w:pPr>
              <w:spacing w:after="0"/>
              <w:rPr>
                <w:sz w:val="14"/>
                <w:szCs w:val="14"/>
                <w:color w:val="auto"/>
              </w:rPr>
            </w:pPr>
          </w:p>
        </w:tc>
        <w:tc>
          <w:tcPr>
            <w:tcW w:w="1920" w:type="dxa"/>
            <w:vAlign w:val="bottom"/>
            <w:tcBorders>
              <w:top w:val="single" w:sz="8" w:color="CCEEFF"/>
            </w:tcBorders>
            <w:gridSpan w:val="2"/>
          </w:tcPr>
          <w:p>
            <w:pPr>
              <w:jc w:val="center"/>
              <w:ind w:left="1570"/>
              <w:spacing w:after="0" w:line="162" w:lineRule="exact"/>
              <w:rPr>
                <w:sz w:val="20"/>
                <w:szCs w:val="20"/>
                <w:color w:val="auto"/>
              </w:rPr>
            </w:pPr>
            <w:r>
              <w:rPr>
                <w:rFonts w:ascii="Arial" w:cs="Arial" w:eastAsia="Arial" w:hAnsi="Arial"/>
                <w:sz w:val="18"/>
                <w:szCs w:val="18"/>
                <w:color w:val="auto"/>
                <w:w w:val="89"/>
              </w:rPr>
              <w:t>77</w:t>
            </w:r>
          </w:p>
        </w:tc>
        <w:tc>
          <w:tcPr>
            <w:tcW w:w="280" w:type="dxa"/>
            <w:vAlign w:val="bottom"/>
            <w:tcBorders>
              <w:top w:val="single" w:sz="8" w:color="CCEEFF"/>
            </w:tcBorders>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6260" w:type="dxa"/>
            <w:vAlign w:val="bottom"/>
            <w:tcBorders>
              <w:top w:val="single" w:sz="8" w:color="0000FF"/>
            </w:tcBorders>
            <w:gridSpan w:val="10"/>
            <w:shd w:val="clear" w:color="auto" w:fill="CCEEFF"/>
          </w:tcPr>
          <w:p>
            <w:pPr>
              <w:spacing w:after="0" w:line="162" w:lineRule="exact"/>
              <w:rPr>
                <w:rFonts w:ascii="Arial" w:cs="Arial" w:eastAsia="Arial" w:hAnsi="Arial"/>
                <w:sz w:val="18"/>
                <w:szCs w:val="18"/>
                <w:color w:val="0000FF"/>
              </w:rPr>
            </w:pPr>
            <w:hyperlink w:anchor="page78">
              <w:r>
                <w:rPr>
                  <w:rFonts w:ascii="Arial" w:cs="Arial" w:eastAsia="Arial" w:hAnsi="Arial"/>
                  <w:sz w:val="18"/>
                  <w:szCs w:val="18"/>
                  <w:color w:val="0000FF"/>
                </w:rPr>
                <w:t>Notes to Consolidated Financial Statements</w:t>
              </w:r>
            </w:hyperlink>
          </w:p>
        </w:tc>
        <w:tc>
          <w:tcPr>
            <w:tcW w:w="2760" w:type="dxa"/>
            <w:vAlign w:val="bottom"/>
            <w:gridSpan w:val="5"/>
            <w:shd w:val="clear" w:color="auto" w:fill="CCEEFF"/>
          </w:tcPr>
          <w:p>
            <w:pPr>
              <w:spacing w:after="0"/>
              <w:rPr>
                <w:sz w:val="14"/>
                <w:szCs w:val="14"/>
                <w:color w:val="auto"/>
              </w:rPr>
            </w:pPr>
          </w:p>
        </w:tc>
        <w:tc>
          <w:tcPr>
            <w:tcW w:w="1920" w:type="dxa"/>
            <w:vAlign w:val="bottom"/>
            <w:gridSpan w:val="2"/>
            <w:shd w:val="clear" w:color="auto" w:fill="CCEEFF"/>
          </w:tcPr>
          <w:p>
            <w:pPr>
              <w:jc w:val="center"/>
              <w:ind w:left="1570"/>
              <w:spacing w:after="0" w:line="162" w:lineRule="exact"/>
              <w:rPr>
                <w:sz w:val="20"/>
                <w:szCs w:val="20"/>
                <w:color w:val="auto"/>
              </w:rPr>
            </w:pPr>
            <w:r>
              <w:rPr>
                <w:rFonts w:ascii="Arial" w:cs="Arial" w:eastAsia="Arial" w:hAnsi="Arial"/>
                <w:sz w:val="18"/>
                <w:szCs w:val="18"/>
                <w:color w:val="auto"/>
                <w:w w:val="89"/>
              </w:rPr>
              <w:t>78</w:t>
            </w:r>
          </w:p>
        </w:tc>
        <w:tc>
          <w:tcPr>
            <w:tcW w:w="280" w:type="dxa"/>
            <w:vAlign w:val="bottom"/>
            <w:tcBorders>
              <w:left w:val="single" w:sz="8" w:color="CCEEFF"/>
            </w:tcBorders>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6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365"/>
        </w:trPr>
        <w:tc>
          <w:tcPr>
            <w:tcW w:w="20" w:type="dxa"/>
            <w:vAlign w:val="bottom"/>
          </w:tcPr>
          <w:p>
            <w:pPr>
              <w:spacing w:after="0"/>
              <w:rPr>
                <w:sz w:val="24"/>
                <w:szCs w:val="24"/>
                <w:color w:val="auto"/>
              </w:rPr>
            </w:pPr>
          </w:p>
        </w:tc>
        <w:tc>
          <w:tcPr>
            <w:tcW w:w="9020" w:type="dxa"/>
            <w:vAlign w:val="bottom"/>
            <w:gridSpan w:val="15"/>
          </w:tcPr>
          <w:p>
            <w:pPr>
              <w:ind w:left="320"/>
              <w:spacing w:after="0"/>
              <w:rPr>
                <w:sz w:val="20"/>
                <w:szCs w:val="20"/>
                <w:color w:val="auto"/>
              </w:rPr>
            </w:pPr>
            <w:r>
              <w:rPr>
                <w:rFonts w:ascii="Arial" w:cs="Arial" w:eastAsia="Arial" w:hAnsi="Arial"/>
                <w:sz w:val="18"/>
                <w:szCs w:val="18"/>
                <w:i w:val="1"/>
                <w:iCs w:val="1"/>
                <w:color w:val="auto"/>
              </w:rPr>
              <w:t>2. Financial Statements and Schedules for the years ended December 31, 2020, 2019, and 2018</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0"/>
              </w:rPr>
              <w:t>Description</w:t>
            </w:r>
          </w:p>
        </w:tc>
        <w:tc>
          <w:tcPr>
            <w:tcW w:w="8300" w:type="dxa"/>
            <w:vAlign w:val="bottom"/>
            <w:gridSpan w:val="12"/>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9020" w:type="dxa"/>
            <w:vAlign w:val="bottom"/>
            <w:gridSpan w:val="15"/>
            <w:shd w:val="clear" w:color="auto" w:fill="CCEEFF"/>
          </w:tcPr>
          <w:p>
            <w:pPr>
              <w:spacing w:after="0" w:line="156" w:lineRule="exact"/>
              <w:rPr>
                <w:rFonts w:ascii="Arial" w:cs="Arial" w:eastAsia="Arial" w:hAnsi="Arial"/>
                <w:sz w:val="18"/>
                <w:szCs w:val="18"/>
                <w:color w:val="0000FF"/>
              </w:rPr>
            </w:pPr>
            <w:hyperlink w:anchor="page124">
              <w:r>
                <w:rPr>
                  <w:rFonts w:ascii="Arial" w:cs="Arial" w:eastAsia="Arial" w:hAnsi="Arial"/>
                  <w:sz w:val="18"/>
                  <w:szCs w:val="18"/>
                  <w:color w:val="0000FF"/>
                </w:rPr>
                <w:t>Schedule II – Valuation and Qualifying Accounts</w:t>
              </w:r>
            </w:hyperlink>
          </w:p>
        </w:tc>
        <w:tc>
          <w:tcPr>
            <w:tcW w:w="1920" w:type="dxa"/>
            <w:vAlign w:val="bottom"/>
            <w:gridSpan w:val="2"/>
            <w:shd w:val="clear" w:color="auto" w:fill="CCEEFF"/>
          </w:tcPr>
          <w:p>
            <w:pPr>
              <w:jc w:val="center"/>
              <w:ind w:left="1530"/>
              <w:spacing w:after="0" w:line="156" w:lineRule="exact"/>
              <w:rPr>
                <w:sz w:val="20"/>
                <w:szCs w:val="20"/>
                <w:color w:val="auto"/>
              </w:rPr>
            </w:pPr>
            <w:r>
              <w:rPr>
                <w:rFonts w:ascii="Arial" w:cs="Arial" w:eastAsia="Arial" w:hAnsi="Arial"/>
                <w:sz w:val="18"/>
                <w:szCs w:val="18"/>
                <w:color w:val="auto"/>
                <w:w w:val="86"/>
              </w:rPr>
              <w:t>124</w:t>
            </w:r>
          </w:p>
        </w:tc>
        <w:tc>
          <w:tcPr>
            <w:tcW w:w="280" w:type="dxa"/>
            <w:vAlign w:val="bottom"/>
            <w:tcBorders>
              <w:left w:val="single" w:sz="8" w:color="CCEEFF"/>
            </w:tcBorders>
            <w:shd w:val="clear" w:color="auto" w:fill="CCEEFF"/>
          </w:tcPr>
          <w:p>
            <w:pPr>
              <w:spacing w:after="0"/>
              <w:rPr>
                <w:sz w:val="14"/>
                <w:szCs w:val="14"/>
                <w:color w:val="auto"/>
              </w:rPr>
            </w:pPr>
          </w:p>
        </w:tc>
      </w:tr>
      <w:tr>
        <w:trPr>
          <w:trHeight w:val="35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ind w:left="320"/>
              <w:spacing w:after="0"/>
              <w:rPr>
                <w:sz w:val="20"/>
                <w:szCs w:val="20"/>
                <w:color w:val="auto"/>
              </w:rPr>
            </w:pPr>
            <w:r>
              <w:rPr>
                <w:rFonts w:ascii="Arial" w:cs="Arial" w:eastAsia="Arial" w:hAnsi="Arial"/>
                <w:sz w:val="18"/>
                <w:szCs w:val="18"/>
                <w:color w:val="auto"/>
              </w:rPr>
              <w:t>3.</w:t>
            </w:r>
          </w:p>
        </w:tc>
        <w:tc>
          <w:tcPr>
            <w:tcW w:w="3020" w:type="dxa"/>
            <w:vAlign w:val="bottom"/>
            <w:tcBorders>
              <w:top w:val="single" w:sz="8" w:color="0000FF"/>
            </w:tcBorders>
            <w:gridSpan w:val="5"/>
          </w:tcPr>
          <w:p>
            <w:pPr>
              <w:ind w:left="20"/>
              <w:spacing w:after="0"/>
              <w:rPr>
                <w:rFonts w:ascii="Arial" w:cs="Arial" w:eastAsia="Arial" w:hAnsi="Arial"/>
                <w:sz w:val="18"/>
                <w:szCs w:val="18"/>
                <w:i w:val="1"/>
                <w:iCs w:val="1"/>
                <w:color w:val="0000FF"/>
              </w:rPr>
            </w:pPr>
            <w:hyperlink w:anchor="page128">
              <w:r>
                <w:rPr>
                  <w:rFonts w:ascii="Arial" w:cs="Arial" w:eastAsia="Arial" w:hAnsi="Arial"/>
                  <w:sz w:val="18"/>
                  <w:szCs w:val="18"/>
                  <w:i w:val="1"/>
                  <w:iCs w:val="1"/>
                  <w:color w:val="0000FF"/>
                </w:rPr>
                <w:t>Exhibits</w:t>
              </w:r>
            </w:hyperlink>
          </w:p>
        </w:tc>
        <w:tc>
          <w:tcPr>
            <w:tcW w:w="5480" w:type="dxa"/>
            <w:vAlign w:val="bottom"/>
            <w:tcBorders>
              <w:top w:val="single" w:sz="8" w:color="CCEEFF"/>
            </w:tcBorders>
            <w:gridSpan w:val="9"/>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w w:val="81"/>
              </w:rPr>
              <w:t>(b)</w:t>
            </w:r>
          </w:p>
        </w:tc>
        <w:tc>
          <w:tcPr>
            <w:tcW w:w="20" w:type="dxa"/>
            <w:vAlign w:val="bottom"/>
          </w:tcPr>
          <w:p>
            <w:pPr>
              <w:spacing w:after="0"/>
              <w:rPr>
                <w:sz w:val="24"/>
                <w:szCs w:val="24"/>
                <w:color w:val="auto"/>
              </w:rPr>
            </w:pPr>
          </w:p>
        </w:tc>
        <w:tc>
          <w:tcPr>
            <w:tcW w:w="8480" w:type="dxa"/>
            <w:vAlign w:val="bottom"/>
            <w:gridSpan w:val="13"/>
          </w:tcPr>
          <w:p>
            <w:pPr>
              <w:ind w:left="80"/>
              <w:spacing w:after="0"/>
              <w:rPr>
                <w:sz w:val="20"/>
                <w:szCs w:val="20"/>
                <w:color w:val="auto"/>
              </w:rPr>
            </w:pPr>
            <w:r>
              <w:rPr>
                <w:rFonts w:ascii="Arial" w:cs="Arial" w:eastAsia="Arial" w:hAnsi="Arial"/>
                <w:sz w:val="18"/>
                <w:szCs w:val="18"/>
                <w:color w:val="auto"/>
              </w:rPr>
              <w:t>Exhibits</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(a) 3. Above.</w:t>
      </w:r>
    </w:p>
    <w:p>
      <w:pPr>
        <w:spacing w:after="0" w:line="171" w:lineRule="exact"/>
        <w:rPr>
          <w:sz w:val="20"/>
          <w:szCs w:val="20"/>
          <w:color w:val="auto"/>
        </w:rPr>
      </w:pPr>
    </w:p>
    <w:p>
      <w:pPr>
        <w:ind w:left="340" w:right="8620" w:hanging="8"/>
        <w:spacing w:after="0" w:line="553" w:lineRule="auto"/>
        <w:tabs>
          <w:tab w:leader="none" w:pos="4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Financial Statement Schedule See Item (a) 2. Above.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87"/>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29"/>
          </w:tcPr>
          <w:p>
            <w:pPr>
              <w:ind w:left="120"/>
              <w:spacing w:after="0"/>
              <w:rPr>
                <w:sz w:val="20"/>
                <w:szCs w:val="20"/>
                <w:color w:val="auto"/>
              </w:rPr>
            </w:pPr>
            <w:r>
              <w:rPr>
                <w:rFonts w:ascii="Arial" w:cs="Arial" w:eastAsia="Arial" w:hAnsi="Arial"/>
                <w:sz w:val="25"/>
                <w:szCs w:val="25"/>
                <w:b w:val="1"/>
                <w:bCs w:val="1"/>
                <w:color w:val="auto"/>
              </w:rPr>
              <w:t>EXHIBITS</w:t>
            </w:r>
          </w:p>
        </w:tc>
        <w:tc>
          <w:tcPr>
            <w:tcW w:w="0" w:type="dxa"/>
            <w:vAlign w:val="bottom"/>
          </w:tcPr>
          <w:p>
            <w:pPr>
              <w:spacing w:after="0"/>
              <w:rPr>
                <w:sz w:val="1"/>
                <w:szCs w:val="1"/>
                <w:color w:val="auto"/>
              </w:rPr>
            </w:pPr>
          </w:p>
        </w:tc>
      </w:tr>
      <w:tr>
        <w:trPr>
          <w:trHeight w:val="322"/>
        </w:trPr>
        <w:tc>
          <w:tcPr>
            <w:tcW w:w="920" w:type="dxa"/>
            <w:vAlign w:val="bottom"/>
          </w:tcPr>
          <w:p>
            <w:pPr>
              <w:jc w:val="center"/>
              <w:ind w:left="60"/>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20" w:type="dxa"/>
            <w:vAlign w:val="bottom"/>
            <w:gridSpan w:val="6"/>
            <w:vMerge w:val="restart"/>
          </w:tcPr>
          <w:p>
            <w:pPr>
              <w:ind w:left="1040"/>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Borders>
              <w:top w:val="single" w:sz="8" w:color="auto"/>
            </w:tcBorders>
            <w:gridSpan w:val="4"/>
            <w:vMerge w:val="restart"/>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gridSpan w:val="20"/>
            <w:vMerge w:val="restart"/>
          </w:tcPr>
          <w:p>
            <w:pPr>
              <w:ind w:left="160"/>
              <w:spacing w:after="0"/>
              <w:rPr>
                <w:sz w:val="20"/>
                <w:szCs w:val="20"/>
                <w:color w:val="auto"/>
              </w:rPr>
            </w:pPr>
            <w:r>
              <w:rPr>
                <w:rFonts w:ascii="Arial" w:cs="Arial" w:eastAsia="Arial" w:hAnsi="Arial"/>
                <w:sz w:val="14"/>
                <w:szCs w:val="14"/>
                <w:b w:val="1"/>
                <w:bCs w:val="1"/>
                <w:color w:val="auto"/>
              </w:rPr>
              <w:t>Links for Exhibits Incorporated by Reference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6"/>
            <w:vMerge w:val="continue"/>
          </w:tcPr>
          <w:p>
            <w:pPr>
              <w:spacing w:after="0"/>
              <w:rPr>
                <w:sz w:val="15"/>
                <w:szCs w:val="15"/>
                <w:color w:val="auto"/>
              </w:rPr>
            </w:pPr>
          </w:p>
        </w:tc>
        <w:tc>
          <w:tcPr>
            <w:tcW w:w="70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jc w:val="center"/>
              <w:ind w:left="80"/>
              <w:spacing w:after="0" w:line="148" w:lineRule="exact"/>
              <w:rPr>
                <w:sz w:val="20"/>
                <w:szCs w:val="20"/>
                <w:color w:val="auto"/>
              </w:rPr>
            </w:pPr>
            <w:r>
              <w:rPr>
                <w:rFonts w:ascii="Arial" w:cs="Arial" w:eastAsia="Arial" w:hAnsi="Arial"/>
                <w:sz w:val="16"/>
                <w:szCs w:val="16"/>
                <w:color w:val="auto"/>
                <w:w w:val="89"/>
              </w:rPr>
              <w:t>3.1</w:t>
            </w:r>
          </w:p>
        </w:tc>
        <w:tc>
          <w:tcPr>
            <w:tcW w:w="4960" w:type="dxa"/>
            <w:vAlign w:val="bottom"/>
            <w:tcBorders>
              <w:right w:val="single" w:sz="8" w:color="CCEEFF"/>
            </w:tcBorders>
            <w:gridSpan w:val="13"/>
            <w:shd w:val="clear" w:color="auto" w:fill="CCEEFF"/>
          </w:tcPr>
          <w:p>
            <w:pPr>
              <w:ind w:left="140"/>
              <w:spacing w:after="0" w:line="148" w:lineRule="exact"/>
              <w:rPr>
                <w:sz w:val="20"/>
                <w:szCs w:val="20"/>
                <w:color w:val="auto"/>
              </w:rPr>
            </w:pPr>
            <w:r>
              <w:rPr>
                <w:rFonts w:ascii="Arial" w:cs="Arial" w:eastAsia="Arial" w:hAnsi="Arial"/>
                <w:sz w:val="16"/>
                <w:szCs w:val="16"/>
                <w:color w:val="auto"/>
              </w:rPr>
              <w:t>Amended and Restated Articles of Incorporation of Reading</w:t>
            </w:r>
          </w:p>
        </w:tc>
        <w:tc>
          <w:tcPr>
            <w:tcW w:w="5360" w:type="dxa"/>
            <w:vAlign w:val="bottom"/>
            <w:gridSpan w:val="24"/>
            <w:shd w:val="clear" w:color="auto" w:fill="CCEEFF"/>
          </w:tcPr>
          <w:p>
            <w:pPr>
              <w:spacing w:after="0" w:line="148" w:lineRule="exact"/>
              <w:rPr>
                <w:rFonts w:ascii="Arial" w:cs="Arial" w:eastAsia="Arial" w:hAnsi="Arial"/>
                <w:sz w:val="16"/>
                <w:szCs w:val="16"/>
                <w:color w:val="auto"/>
                <w:w w:val="96"/>
              </w:rPr>
            </w:pPr>
            <w:hyperlink r:id="rId168">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3.1 to the Company’s Annual Report on Form 10-K for the</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gridSpan w:val="2"/>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spacing w:after="0"/>
              <w:rPr>
                <w:sz w:val="12"/>
                <w:szCs w:val="12"/>
                <w:color w:val="auto"/>
              </w:rPr>
            </w:pPr>
          </w:p>
        </w:tc>
        <w:tc>
          <w:tcPr>
            <w:tcW w:w="10160" w:type="dxa"/>
            <w:vAlign w:val="bottom"/>
            <w:tcBorders>
              <w:right w:val="single" w:sz="8" w:color="CCEEFF"/>
            </w:tcBorders>
            <w:gridSpan w:val="34"/>
            <w:shd w:val="clear" w:color="auto" w:fill="CCEEFF"/>
          </w:tcPr>
          <w:p>
            <w:pPr>
              <w:ind w:left="140"/>
              <w:spacing w:after="0" w:line="142" w:lineRule="exact"/>
              <w:rPr>
                <w:rFonts w:ascii="Arial" w:cs="Arial" w:eastAsia="Arial" w:hAnsi="Arial"/>
                <w:sz w:val="16"/>
                <w:szCs w:val="16"/>
                <w:color w:val="auto"/>
                <w:w w:val="92"/>
              </w:rPr>
            </w:pPr>
            <w:r>
              <w:rPr>
                <w:rFonts w:ascii="Arial" w:cs="Arial" w:eastAsia="Arial" w:hAnsi="Arial"/>
                <w:sz w:val="16"/>
                <w:szCs w:val="16"/>
                <w:color w:val="auto"/>
                <w:w w:val="92"/>
              </w:rPr>
              <w:t xml:space="preserve">International, Inc., a Nevada corporation, effective as of August 6, 2014  </w:t>
            </w:r>
            <w:hyperlink r:id="rId168">
              <w:r>
                <w:rPr>
                  <w:rFonts w:ascii="Arial" w:cs="Arial" w:eastAsia="Arial" w:hAnsi="Arial"/>
                  <w:sz w:val="16"/>
                  <w:szCs w:val="16"/>
                  <w:b w:val="1"/>
                  <w:bCs w:val="1"/>
                  <w:color w:val="0000FF"/>
                  <w:w w:val="92"/>
                </w:rPr>
                <w:t>year ended December 31, 2015</w:t>
              </w:r>
              <w:r>
                <w:rPr>
                  <w:rFonts w:ascii="Arial" w:cs="Arial" w:eastAsia="Arial" w:hAnsi="Arial"/>
                  <w:sz w:val="16"/>
                  <w:szCs w:val="16"/>
                  <w:color w:val="auto"/>
                  <w:w w:val="92"/>
                </w:rPr>
                <w:t>, filed on April 29, 2016 and incorporated herein</w:t>
              </w:r>
            </w:hyperlink>
          </w:p>
        </w:tc>
        <w:tc>
          <w:tcPr>
            <w:tcW w:w="2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100" w:type="dxa"/>
            <w:vAlign w:val="bottom"/>
            <w:tcBorders>
              <w:top w:val="single" w:sz="8" w:color="0000FF"/>
            </w:tcBorders>
            <w:gridSpan w:val="11"/>
            <w:shd w:val="clear" w:color="auto" w:fill="CCEEFF"/>
          </w:tcPr>
          <w:p>
            <w:pPr>
              <w:spacing w:after="0" w:line="155" w:lineRule="exact"/>
              <w:rPr>
                <w:sz w:val="20"/>
                <w:szCs w:val="20"/>
                <w:color w:val="auto"/>
              </w:rPr>
            </w:pPr>
            <w:r>
              <w:rPr>
                <w:rFonts w:ascii="Arial" w:cs="Arial" w:eastAsia="Arial" w:hAnsi="Arial"/>
                <w:sz w:val="16"/>
                <w:szCs w:val="16"/>
                <w:color w:val="auto"/>
              </w:rPr>
              <w:t>by reference.</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center"/>
              <w:ind w:left="80"/>
              <w:spacing w:after="0" w:line="148" w:lineRule="exact"/>
              <w:rPr>
                <w:sz w:val="20"/>
                <w:szCs w:val="20"/>
                <w:color w:val="auto"/>
              </w:rPr>
            </w:pPr>
            <w:r>
              <w:rPr>
                <w:rFonts w:ascii="Arial" w:cs="Arial" w:eastAsia="Arial" w:hAnsi="Arial"/>
                <w:sz w:val="16"/>
                <w:szCs w:val="16"/>
                <w:color w:val="auto"/>
                <w:w w:val="89"/>
              </w:rPr>
              <w:t>3.2</w:t>
            </w:r>
          </w:p>
        </w:tc>
        <w:tc>
          <w:tcPr>
            <w:tcW w:w="160" w:type="dxa"/>
            <w:vAlign w:val="bottom"/>
          </w:tcPr>
          <w:p>
            <w:pPr>
              <w:spacing w:after="0"/>
              <w:rPr>
                <w:sz w:val="12"/>
                <w:szCs w:val="12"/>
                <w:color w:val="auto"/>
              </w:rPr>
            </w:pPr>
          </w:p>
        </w:tc>
        <w:tc>
          <w:tcPr>
            <w:tcW w:w="4800" w:type="dxa"/>
            <w:vAlign w:val="bottom"/>
            <w:gridSpan w:val="12"/>
          </w:tcPr>
          <w:p>
            <w:pPr>
              <w:spacing w:after="0" w:line="148" w:lineRule="exact"/>
              <w:rPr>
                <w:sz w:val="20"/>
                <w:szCs w:val="20"/>
                <w:color w:val="auto"/>
              </w:rPr>
            </w:pPr>
            <w:r>
              <w:rPr>
                <w:rFonts w:ascii="Arial" w:cs="Arial" w:eastAsia="Arial" w:hAnsi="Arial"/>
                <w:sz w:val="16"/>
                <w:szCs w:val="16"/>
                <w:color w:val="auto"/>
                <w:w w:val="93"/>
              </w:rPr>
              <w:t>Amended and Restated Bylaws of Reading International, Inc., a Nevada</w:t>
            </w:r>
          </w:p>
        </w:tc>
        <w:tc>
          <w:tcPr>
            <w:tcW w:w="5360" w:type="dxa"/>
            <w:vAlign w:val="bottom"/>
            <w:gridSpan w:val="24"/>
          </w:tcPr>
          <w:p>
            <w:pPr>
              <w:spacing w:after="0" w:line="148" w:lineRule="exact"/>
              <w:rPr>
                <w:rFonts w:ascii="Arial" w:cs="Arial" w:eastAsia="Arial" w:hAnsi="Arial"/>
                <w:sz w:val="16"/>
                <w:szCs w:val="16"/>
                <w:color w:val="auto"/>
                <w:w w:val="96"/>
              </w:rPr>
            </w:pPr>
            <w:hyperlink r:id="rId169">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3.2 to the Company’s Annual Report on Form 10-K for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20" w:type="dxa"/>
            <w:vAlign w:val="bottom"/>
            <w:gridSpan w:val="5"/>
            <w:vMerge w:val="restart"/>
          </w:tcPr>
          <w:p>
            <w:pPr>
              <w:jc w:val="right"/>
              <w:ind w:right="720"/>
              <w:spacing w:after="0"/>
              <w:rPr>
                <w:sz w:val="20"/>
                <w:szCs w:val="20"/>
                <w:color w:val="auto"/>
              </w:rPr>
            </w:pPr>
            <w:r>
              <w:rPr>
                <w:rFonts w:ascii="Arial" w:cs="Arial" w:eastAsia="Arial" w:hAnsi="Arial"/>
                <w:sz w:val="13"/>
                <w:szCs w:val="13"/>
                <w:color w:val="auto"/>
              </w:rPr>
              <w:t>(1)</w:t>
            </w: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20" w:type="dxa"/>
            <w:vAlign w:val="bottom"/>
          </w:tcPr>
          <w:p>
            <w:pPr>
              <w:spacing w:after="0"/>
              <w:rPr>
                <w:sz w:val="11"/>
                <w:szCs w:val="11"/>
                <w:color w:val="auto"/>
              </w:rPr>
            </w:pPr>
          </w:p>
        </w:tc>
        <w:tc>
          <w:tcPr>
            <w:tcW w:w="4020" w:type="dxa"/>
            <w:vAlign w:val="bottom"/>
            <w:gridSpan w:val="5"/>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360" w:type="dxa"/>
            <w:vAlign w:val="bottom"/>
            <w:gridSpan w:val="24"/>
          </w:tcPr>
          <w:p>
            <w:pPr>
              <w:spacing w:after="0" w:line="129" w:lineRule="exact"/>
              <w:rPr>
                <w:rFonts w:ascii="Arial" w:cs="Arial" w:eastAsia="Arial" w:hAnsi="Arial"/>
                <w:sz w:val="14"/>
                <w:szCs w:val="14"/>
                <w:b w:val="1"/>
                <w:bCs w:val="1"/>
                <w:color w:val="0000FF"/>
              </w:rPr>
            </w:pPr>
            <w:hyperlink r:id="rId169">
              <w:r>
                <w:rPr>
                  <w:rFonts w:ascii="Arial" w:cs="Arial" w:eastAsia="Arial" w:hAnsi="Arial"/>
                  <w:sz w:val="14"/>
                  <w:szCs w:val="14"/>
                  <w:b w:val="1"/>
                  <w:bCs w:val="1"/>
                  <w:color w:val="0000FF"/>
                </w:rPr>
                <w:t>year ended December 31, 2017</w:t>
              </w:r>
              <w:r>
                <w:rPr>
                  <w:rFonts w:ascii="Arial" w:cs="Arial" w:eastAsia="Arial" w:hAnsi="Arial"/>
                  <w:sz w:val="14"/>
                  <w:szCs w:val="14"/>
                  <w:b w:val="1"/>
                  <w:bCs w:val="1"/>
                  <w:color w:val="000000"/>
                </w:rPr>
                <w:t>,</w:t>
              </w:r>
              <w:r>
                <w:rPr>
                  <w:rFonts w:ascii="Arial" w:cs="Arial" w:eastAsia="Arial" w:hAnsi="Arial"/>
                  <w:sz w:val="14"/>
                  <w:szCs w:val="14"/>
                  <w:b w:val="1"/>
                  <w:bCs w:val="1"/>
                  <w:color w:val="0000FF"/>
                </w:rPr>
                <w:t xml:space="preserve"> </w:t>
              </w:r>
              <w:r>
                <w:rPr>
                  <w:rFonts w:ascii="Arial" w:cs="Arial" w:eastAsia="Arial" w:hAnsi="Arial"/>
                  <w:sz w:val="14"/>
                  <w:szCs w:val="14"/>
                  <w:color w:val="000000"/>
                </w:rPr>
                <w:t>filed on March 16, 2018 and incorporated herein</w:t>
              </w:r>
            </w:hyperlink>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gridSpan w:val="12"/>
          </w:tcPr>
          <w:p>
            <w:pPr>
              <w:spacing w:after="0" w:line="135" w:lineRule="exact"/>
              <w:rPr>
                <w:sz w:val="20"/>
                <w:szCs w:val="20"/>
                <w:color w:val="auto"/>
              </w:rPr>
            </w:pPr>
            <w:r>
              <w:rPr>
                <w:rFonts w:ascii="Arial" w:cs="Arial" w:eastAsia="Arial" w:hAnsi="Arial"/>
                <w:sz w:val="15"/>
                <w:szCs w:val="15"/>
                <w:color w:val="auto"/>
              </w:rPr>
              <w:t>corporation, effective as of November 7, 2017</w:t>
            </w:r>
          </w:p>
        </w:tc>
        <w:tc>
          <w:tcPr>
            <w:tcW w:w="2120" w:type="dxa"/>
            <w:vAlign w:val="bottom"/>
            <w:tcBorders>
              <w:top w:val="single" w:sz="8" w:color="0000FF"/>
            </w:tcBorders>
            <w:gridSpan w:val="12"/>
            <w:vMerge w:val="restart"/>
          </w:tcPr>
          <w:p>
            <w:pPr>
              <w:spacing w:after="0" w:line="162" w:lineRule="exact"/>
              <w:rPr>
                <w:sz w:val="20"/>
                <w:szCs w:val="20"/>
                <w:color w:val="auto"/>
              </w:rPr>
            </w:pPr>
            <w:r>
              <w:rPr>
                <w:rFonts w:ascii="Arial" w:cs="Arial" w:eastAsia="Arial" w:hAnsi="Arial"/>
                <w:sz w:val="16"/>
                <w:szCs w:val="16"/>
                <w:color w:val="auto"/>
              </w:rPr>
              <w:t>by reference.</w:t>
            </w:r>
          </w:p>
        </w:tc>
        <w:tc>
          <w:tcPr>
            <w:tcW w:w="3240" w:type="dxa"/>
            <w:vAlign w:val="bottom"/>
            <w:gridSpan w:val="1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gridSpan w:val="12"/>
            <w:vMerge w:val="continue"/>
          </w:tcPr>
          <w:p>
            <w:pPr>
              <w:spacing w:after="0"/>
              <w:rPr>
                <w:sz w:val="2"/>
                <w:szCs w:val="2"/>
                <w:color w:val="auto"/>
              </w:rPr>
            </w:pPr>
          </w:p>
        </w:tc>
        <w:tc>
          <w:tcPr>
            <w:tcW w:w="3240" w:type="dxa"/>
            <w:vAlign w:val="bottom"/>
            <w:gridSpan w:val="1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20" w:type="dxa"/>
            <w:vAlign w:val="bottom"/>
            <w:shd w:val="clear" w:color="auto" w:fill="CCEEFF"/>
          </w:tcPr>
          <w:p>
            <w:pPr>
              <w:jc w:val="center"/>
              <w:ind w:left="80"/>
              <w:spacing w:after="0" w:line="148" w:lineRule="exact"/>
              <w:rPr>
                <w:sz w:val="20"/>
                <w:szCs w:val="20"/>
                <w:color w:val="auto"/>
              </w:rPr>
            </w:pPr>
            <w:r>
              <w:rPr>
                <w:rFonts w:ascii="Arial" w:cs="Arial" w:eastAsia="Arial" w:hAnsi="Arial"/>
                <w:sz w:val="16"/>
                <w:szCs w:val="16"/>
                <w:color w:val="auto"/>
                <w:w w:val="89"/>
              </w:rPr>
              <w:t>4.1</w:t>
            </w:r>
          </w:p>
        </w:tc>
        <w:tc>
          <w:tcPr>
            <w:tcW w:w="160" w:type="dxa"/>
            <w:vAlign w:val="bottom"/>
            <w:shd w:val="clear" w:color="auto" w:fill="CCEEFF"/>
          </w:tcPr>
          <w:p>
            <w:pPr>
              <w:spacing w:after="0"/>
              <w:rPr>
                <w:sz w:val="12"/>
                <w:szCs w:val="12"/>
                <w:color w:val="auto"/>
              </w:rPr>
            </w:pPr>
          </w:p>
        </w:tc>
        <w:tc>
          <w:tcPr>
            <w:tcW w:w="4800" w:type="dxa"/>
            <w:vAlign w:val="bottom"/>
            <w:tcBorders>
              <w:right w:val="single" w:sz="8" w:color="CCEEFF"/>
            </w:tcBorders>
            <w:gridSpan w:val="12"/>
            <w:shd w:val="clear" w:color="auto" w:fill="CCEEFF"/>
          </w:tcPr>
          <w:p>
            <w:pPr>
              <w:spacing w:after="0" w:line="148" w:lineRule="exact"/>
              <w:rPr>
                <w:sz w:val="20"/>
                <w:szCs w:val="20"/>
                <w:color w:val="auto"/>
              </w:rPr>
            </w:pPr>
            <w:r>
              <w:rPr>
                <w:rFonts w:ascii="Arial" w:cs="Arial" w:eastAsia="Arial" w:hAnsi="Arial"/>
                <w:sz w:val="16"/>
                <w:szCs w:val="16"/>
                <w:color w:val="auto"/>
              </w:rPr>
              <w:t>Form of Preferred Securities Certificate evidencing the preferred</w:t>
            </w:r>
          </w:p>
        </w:tc>
        <w:tc>
          <w:tcPr>
            <w:tcW w:w="5360" w:type="dxa"/>
            <w:vAlign w:val="bottom"/>
            <w:gridSpan w:val="24"/>
            <w:shd w:val="clear" w:color="auto" w:fill="CCEEFF"/>
          </w:tcPr>
          <w:p>
            <w:pPr>
              <w:spacing w:after="0" w:line="148" w:lineRule="exact"/>
              <w:rPr>
                <w:rFonts w:ascii="Arial" w:cs="Arial" w:eastAsia="Arial" w:hAnsi="Arial"/>
                <w:sz w:val="16"/>
                <w:szCs w:val="16"/>
                <w:color w:val="auto"/>
              </w:rPr>
            </w:pPr>
            <w:hyperlink r:id="rId170">
              <w:r>
                <w:rPr>
                  <w:rFonts w:ascii="Arial" w:cs="Arial" w:eastAsia="Arial" w:hAnsi="Arial"/>
                  <w:sz w:val="16"/>
                  <w:szCs w:val="16"/>
                  <w:color w:val="auto"/>
                </w:rPr>
                <w:t xml:space="preserve">Filed as </w:t>
              </w:r>
              <w:r>
                <w:rPr>
                  <w:rFonts w:ascii="Arial" w:cs="Arial" w:eastAsia="Arial" w:hAnsi="Arial"/>
                  <w:sz w:val="16"/>
                  <w:szCs w:val="16"/>
                  <w:b w:val="1"/>
                  <w:bCs w:val="1"/>
                  <w:color w:val="0000FF"/>
                </w:rPr>
                <w:t>Exhibit 4.1 to the Company’s report on Form 8-K filed on</w:t>
              </w:r>
            </w:hyperlink>
          </w:p>
        </w:tc>
        <w:tc>
          <w:tcPr>
            <w:tcW w:w="0" w:type="dxa"/>
            <w:vAlign w:val="bottom"/>
          </w:tcPr>
          <w:p>
            <w:pPr>
              <w:spacing w:after="0"/>
              <w:rPr>
                <w:sz w:val="1"/>
                <w:szCs w:val="1"/>
                <w:color w:val="auto"/>
              </w:rPr>
            </w:pPr>
          </w:p>
        </w:tc>
      </w:tr>
      <w:tr>
        <w:trPr>
          <w:trHeight w:val="142"/>
        </w:trPr>
        <w:tc>
          <w:tcPr>
            <w:tcW w:w="9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0" w:type="dxa"/>
            <w:vAlign w:val="bottom"/>
            <w:tcBorders>
              <w:top w:val="single" w:sz="8" w:color="CCEEFF"/>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rPr>
              <w:t>securities of Reading International Trust I</w:t>
            </w:r>
          </w:p>
        </w:tc>
        <w:tc>
          <w:tcPr>
            <w:tcW w:w="580" w:type="dxa"/>
            <w:vAlign w:val="bottom"/>
            <w:tcBorders>
              <w:top w:val="single" w:sz="8" w:color="CCEEFF"/>
              <w:right w:val="single" w:sz="8" w:color="CCEEFF"/>
            </w:tcBorders>
            <w:gridSpan w:val="3"/>
            <w:shd w:val="clear" w:color="auto" w:fill="CCEEFF"/>
          </w:tcPr>
          <w:p>
            <w:pPr>
              <w:spacing w:after="0" w:line="142" w:lineRule="exact"/>
              <w:rPr>
                <w:rFonts w:ascii="Arial" w:cs="Arial" w:eastAsia="Arial" w:hAnsi="Arial"/>
                <w:sz w:val="16"/>
                <w:szCs w:val="16"/>
                <w:b w:val="1"/>
                <w:bCs w:val="1"/>
                <w:color w:val="0000FF"/>
                <w:w w:val="78"/>
              </w:rPr>
            </w:pPr>
            <w:hyperlink r:id="rId170">
              <w:r>
                <w:rPr>
                  <w:rFonts w:ascii="Arial" w:cs="Arial" w:eastAsia="Arial" w:hAnsi="Arial"/>
                  <w:sz w:val="16"/>
                  <w:szCs w:val="16"/>
                  <w:b w:val="1"/>
                  <w:bCs w:val="1"/>
                  <w:color w:val="0000FF"/>
                  <w:w w:val="78"/>
                </w:rPr>
                <w:t>February</w:t>
              </w:r>
            </w:hyperlink>
          </w:p>
        </w:tc>
        <w:tc>
          <w:tcPr>
            <w:tcW w:w="4000" w:type="dxa"/>
            <w:vAlign w:val="bottom"/>
            <w:tcBorders>
              <w:top w:val="single" w:sz="8" w:color="0000FF"/>
            </w:tcBorders>
            <w:gridSpan w:val="13"/>
            <w:shd w:val="clear" w:color="auto" w:fill="CCEEFF"/>
          </w:tcPr>
          <w:p>
            <w:pPr>
              <w:ind w:left="120"/>
              <w:spacing w:after="0" w:line="142" w:lineRule="exact"/>
              <w:rPr>
                <w:rFonts w:ascii="Arial" w:cs="Arial" w:eastAsia="Arial" w:hAnsi="Arial"/>
                <w:sz w:val="16"/>
                <w:szCs w:val="16"/>
                <w:b w:val="1"/>
                <w:bCs w:val="1"/>
                <w:color w:val="0000FF"/>
              </w:rPr>
            </w:pPr>
            <w:hyperlink r:id="rId170">
              <w:r>
                <w:rPr>
                  <w:rFonts w:ascii="Arial" w:cs="Arial" w:eastAsia="Arial" w:hAnsi="Arial"/>
                  <w:sz w:val="16"/>
                  <w:szCs w:val="16"/>
                  <w:b w:val="1"/>
                  <w:bCs w:val="1"/>
                  <w:color w:val="0000FF"/>
                </w:rPr>
                <w:t>9, 2007</w:t>
              </w:r>
              <w:r>
                <w:rPr>
                  <w:rFonts w:ascii="Arial" w:cs="Arial" w:eastAsia="Arial" w:hAnsi="Arial"/>
                  <w:sz w:val="16"/>
                  <w:szCs w:val="16"/>
                  <w:color w:val="000000"/>
                </w:rPr>
                <w:t>, and incorporated herein by reference.</w:t>
              </w:r>
            </w:hyperlink>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1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tcPr>
          <w:p>
            <w:pPr>
              <w:jc w:val="center"/>
              <w:ind w:left="80"/>
              <w:spacing w:after="0" w:line="142" w:lineRule="exact"/>
              <w:rPr>
                <w:sz w:val="20"/>
                <w:szCs w:val="20"/>
                <w:color w:val="auto"/>
              </w:rPr>
            </w:pPr>
            <w:r>
              <w:rPr>
                <w:rFonts w:ascii="Arial" w:cs="Arial" w:eastAsia="Arial" w:hAnsi="Arial"/>
                <w:sz w:val="16"/>
                <w:szCs w:val="16"/>
                <w:color w:val="auto"/>
                <w:w w:val="89"/>
              </w:rPr>
              <w:t>4.2</w:t>
            </w:r>
          </w:p>
        </w:tc>
        <w:tc>
          <w:tcPr>
            <w:tcW w:w="160" w:type="dxa"/>
            <w:vAlign w:val="bottom"/>
          </w:tcPr>
          <w:p>
            <w:pPr>
              <w:spacing w:after="0"/>
              <w:rPr>
                <w:sz w:val="12"/>
                <w:szCs w:val="12"/>
                <w:color w:val="auto"/>
              </w:rPr>
            </w:pPr>
          </w:p>
        </w:tc>
        <w:tc>
          <w:tcPr>
            <w:tcW w:w="10160" w:type="dxa"/>
            <w:vAlign w:val="bottom"/>
            <w:gridSpan w:val="36"/>
          </w:tcPr>
          <w:p>
            <w:pPr>
              <w:spacing w:after="0" w:line="142" w:lineRule="exact"/>
              <w:rPr>
                <w:rFonts w:ascii="Arial" w:cs="Arial" w:eastAsia="Arial" w:hAnsi="Arial"/>
                <w:sz w:val="16"/>
                <w:szCs w:val="16"/>
                <w:color w:val="auto"/>
              </w:rPr>
            </w:pPr>
            <w:r>
              <w:rPr>
                <w:rFonts w:ascii="Arial" w:cs="Arial" w:eastAsia="Arial" w:hAnsi="Arial"/>
                <w:sz w:val="16"/>
                <w:szCs w:val="16"/>
                <w:color w:val="auto"/>
              </w:rPr>
              <w:t xml:space="preserve">Form of Common Securities Certificate evidencing common securities of </w:t>
            </w:r>
            <w:hyperlink r:id="rId171">
              <w:r>
                <w:rPr>
                  <w:rFonts w:ascii="Arial" w:cs="Arial" w:eastAsia="Arial" w:hAnsi="Arial"/>
                  <w:sz w:val="16"/>
                  <w:szCs w:val="16"/>
                  <w:color w:val="auto"/>
                </w:rPr>
                <w:t xml:space="preserve">Filed as </w:t>
              </w:r>
              <w:r>
                <w:rPr>
                  <w:rFonts w:ascii="Arial" w:cs="Arial" w:eastAsia="Arial" w:hAnsi="Arial"/>
                  <w:sz w:val="16"/>
                  <w:szCs w:val="16"/>
                  <w:b w:val="1"/>
                  <w:bCs w:val="1"/>
                  <w:color w:val="0000FF"/>
                </w:rPr>
                <w:t>Exhibit 4.2 to the Company’s report on Form 8-K filed on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2"/>
          </w:tcPr>
          <w:p>
            <w:pPr>
              <w:spacing w:after="0" w:line="142" w:lineRule="exact"/>
              <w:rPr>
                <w:sz w:val="20"/>
                <w:szCs w:val="20"/>
                <w:color w:val="auto"/>
              </w:rPr>
            </w:pPr>
            <w:r>
              <w:rPr>
                <w:rFonts w:ascii="Arial" w:cs="Arial" w:eastAsia="Arial" w:hAnsi="Arial"/>
                <w:sz w:val="16"/>
                <w:szCs w:val="16"/>
                <w:color w:val="auto"/>
              </w:rPr>
              <w:t>Reading International Trust I</w:t>
            </w:r>
          </w:p>
        </w:tc>
        <w:tc>
          <w:tcPr>
            <w:tcW w:w="580" w:type="dxa"/>
            <w:vAlign w:val="bottom"/>
            <w:gridSpan w:val="3"/>
          </w:tcPr>
          <w:p>
            <w:pPr>
              <w:spacing w:after="0" w:line="142" w:lineRule="exact"/>
              <w:rPr>
                <w:rFonts w:ascii="Arial" w:cs="Arial" w:eastAsia="Arial" w:hAnsi="Arial"/>
                <w:sz w:val="16"/>
                <w:szCs w:val="16"/>
                <w:b w:val="1"/>
                <w:bCs w:val="1"/>
                <w:color w:val="0000FF"/>
                <w:w w:val="78"/>
              </w:rPr>
            </w:pPr>
            <w:hyperlink r:id="rId171">
              <w:r>
                <w:rPr>
                  <w:rFonts w:ascii="Arial" w:cs="Arial" w:eastAsia="Arial" w:hAnsi="Arial"/>
                  <w:sz w:val="16"/>
                  <w:szCs w:val="16"/>
                  <w:b w:val="1"/>
                  <w:bCs w:val="1"/>
                  <w:color w:val="0000FF"/>
                  <w:w w:val="78"/>
                </w:rPr>
                <w:t>February</w:t>
              </w:r>
            </w:hyperlink>
          </w:p>
        </w:tc>
        <w:tc>
          <w:tcPr>
            <w:tcW w:w="4000" w:type="dxa"/>
            <w:vAlign w:val="bottom"/>
            <w:tcBorders>
              <w:top w:val="single" w:sz="8" w:color="0000FF"/>
            </w:tcBorders>
            <w:gridSpan w:val="13"/>
          </w:tcPr>
          <w:p>
            <w:pPr>
              <w:ind w:left="120"/>
              <w:spacing w:after="0" w:line="142" w:lineRule="exact"/>
              <w:rPr>
                <w:rFonts w:ascii="Arial" w:cs="Arial" w:eastAsia="Arial" w:hAnsi="Arial"/>
                <w:sz w:val="16"/>
                <w:szCs w:val="16"/>
                <w:b w:val="1"/>
                <w:bCs w:val="1"/>
                <w:color w:val="0000FF"/>
              </w:rPr>
            </w:pPr>
            <w:hyperlink r:id="rId171">
              <w:r>
                <w:rPr>
                  <w:rFonts w:ascii="Arial" w:cs="Arial" w:eastAsia="Arial" w:hAnsi="Arial"/>
                  <w:sz w:val="16"/>
                  <w:szCs w:val="16"/>
                  <w:b w:val="1"/>
                  <w:bCs w:val="1"/>
                  <w:color w:val="0000FF"/>
                </w:rPr>
                <w:t>9, 2007</w:t>
              </w:r>
              <w:r>
                <w:rPr>
                  <w:rFonts w:ascii="Arial" w:cs="Arial" w:eastAsia="Arial" w:hAnsi="Arial"/>
                  <w:sz w:val="16"/>
                  <w:szCs w:val="16"/>
                  <w:color w:val="000000"/>
                </w:rPr>
                <w:t>, and incorporated herein by reference.</w:t>
              </w:r>
            </w:hyperlink>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jc w:val="center"/>
              <w:ind w:left="80"/>
              <w:spacing w:after="0" w:line="142" w:lineRule="exact"/>
              <w:rPr>
                <w:sz w:val="20"/>
                <w:szCs w:val="20"/>
                <w:color w:val="auto"/>
              </w:rPr>
            </w:pPr>
            <w:r>
              <w:rPr>
                <w:rFonts w:ascii="Arial" w:cs="Arial" w:eastAsia="Arial" w:hAnsi="Arial"/>
                <w:sz w:val="16"/>
                <w:szCs w:val="16"/>
                <w:color w:val="auto"/>
                <w:w w:val="89"/>
              </w:rPr>
              <w:t>4.3</w:t>
            </w:r>
          </w:p>
        </w:tc>
        <w:tc>
          <w:tcPr>
            <w:tcW w:w="160" w:type="dxa"/>
            <w:vAlign w:val="bottom"/>
            <w:shd w:val="clear" w:color="auto" w:fill="CCEEFF"/>
          </w:tcPr>
          <w:p>
            <w:pPr>
              <w:spacing w:after="0"/>
              <w:rPr>
                <w:sz w:val="12"/>
                <w:szCs w:val="12"/>
                <w:color w:val="auto"/>
              </w:rPr>
            </w:pPr>
          </w:p>
        </w:tc>
        <w:tc>
          <w:tcPr>
            <w:tcW w:w="4800" w:type="dxa"/>
            <w:vAlign w:val="bottom"/>
            <w:tcBorders>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w w:val="94"/>
              </w:rPr>
              <w:t>Form of Reading International, Inc. and Reading New Zealand, Limited,</w:t>
            </w:r>
          </w:p>
        </w:tc>
        <w:tc>
          <w:tcPr>
            <w:tcW w:w="5360" w:type="dxa"/>
            <w:vAlign w:val="bottom"/>
            <w:gridSpan w:val="24"/>
            <w:shd w:val="clear" w:color="auto" w:fill="CCEEFF"/>
          </w:tcPr>
          <w:p>
            <w:pPr>
              <w:spacing w:after="0" w:line="142" w:lineRule="exact"/>
              <w:rPr>
                <w:rFonts w:ascii="Arial" w:cs="Arial" w:eastAsia="Arial" w:hAnsi="Arial"/>
                <w:sz w:val="16"/>
                <w:szCs w:val="16"/>
                <w:color w:val="auto"/>
              </w:rPr>
            </w:pPr>
            <w:hyperlink r:id="rId172">
              <w:r>
                <w:rPr>
                  <w:rFonts w:ascii="Arial" w:cs="Arial" w:eastAsia="Arial" w:hAnsi="Arial"/>
                  <w:sz w:val="16"/>
                  <w:szCs w:val="16"/>
                  <w:color w:val="auto"/>
                </w:rPr>
                <w:t xml:space="preserve">Filed as </w:t>
              </w:r>
              <w:r>
                <w:rPr>
                  <w:rFonts w:ascii="Arial" w:cs="Arial" w:eastAsia="Arial" w:hAnsi="Arial"/>
                  <w:sz w:val="16"/>
                  <w:szCs w:val="16"/>
                  <w:b w:val="1"/>
                  <w:bCs w:val="1"/>
                  <w:color w:val="0000FF"/>
                </w:rPr>
                <w:t>Exhibit 4.3 to the Company’s report on Form 8-K filed on</w:t>
              </w:r>
            </w:hyperlink>
          </w:p>
        </w:tc>
        <w:tc>
          <w:tcPr>
            <w:tcW w:w="0" w:type="dxa"/>
            <w:vAlign w:val="bottom"/>
          </w:tcPr>
          <w:p>
            <w:pPr>
              <w:spacing w:after="0"/>
              <w:rPr>
                <w:sz w:val="1"/>
                <w:szCs w:val="1"/>
                <w:color w:val="auto"/>
              </w:rPr>
            </w:pPr>
          </w:p>
        </w:tc>
      </w:tr>
      <w:tr>
        <w:trPr>
          <w:trHeight w:val="142"/>
        </w:trPr>
        <w:tc>
          <w:tcPr>
            <w:tcW w:w="9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0" w:type="dxa"/>
            <w:vAlign w:val="bottom"/>
            <w:tcBorders>
              <w:top w:val="single" w:sz="8" w:color="CCEEFF"/>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rPr>
              <w:t>Junior Subordinated Note due 2027</w:t>
            </w:r>
          </w:p>
        </w:tc>
        <w:tc>
          <w:tcPr>
            <w:tcW w:w="580" w:type="dxa"/>
            <w:vAlign w:val="bottom"/>
            <w:tcBorders>
              <w:top w:val="single" w:sz="8" w:color="CCEEFF"/>
              <w:right w:val="single" w:sz="8" w:color="CCEEFF"/>
            </w:tcBorders>
            <w:gridSpan w:val="3"/>
            <w:shd w:val="clear" w:color="auto" w:fill="CCEEFF"/>
          </w:tcPr>
          <w:p>
            <w:pPr>
              <w:spacing w:after="0" w:line="142" w:lineRule="exact"/>
              <w:rPr>
                <w:rFonts w:ascii="Arial" w:cs="Arial" w:eastAsia="Arial" w:hAnsi="Arial"/>
                <w:sz w:val="16"/>
                <w:szCs w:val="16"/>
                <w:b w:val="1"/>
                <w:bCs w:val="1"/>
                <w:color w:val="0000FF"/>
                <w:w w:val="78"/>
              </w:rPr>
            </w:pPr>
            <w:hyperlink r:id="rId172">
              <w:r>
                <w:rPr>
                  <w:rFonts w:ascii="Arial" w:cs="Arial" w:eastAsia="Arial" w:hAnsi="Arial"/>
                  <w:sz w:val="16"/>
                  <w:szCs w:val="16"/>
                  <w:b w:val="1"/>
                  <w:bCs w:val="1"/>
                  <w:color w:val="0000FF"/>
                  <w:w w:val="78"/>
                </w:rPr>
                <w:t>February</w:t>
              </w:r>
            </w:hyperlink>
          </w:p>
        </w:tc>
        <w:tc>
          <w:tcPr>
            <w:tcW w:w="4000" w:type="dxa"/>
            <w:vAlign w:val="bottom"/>
            <w:tcBorders>
              <w:top w:val="single" w:sz="8" w:color="0000FF"/>
            </w:tcBorders>
            <w:gridSpan w:val="13"/>
            <w:shd w:val="clear" w:color="auto" w:fill="CCEEFF"/>
          </w:tcPr>
          <w:p>
            <w:pPr>
              <w:ind w:left="120"/>
              <w:spacing w:after="0" w:line="142" w:lineRule="exact"/>
              <w:rPr>
                <w:rFonts w:ascii="Arial" w:cs="Arial" w:eastAsia="Arial" w:hAnsi="Arial"/>
                <w:sz w:val="16"/>
                <w:szCs w:val="16"/>
                <w:b w:val="1"/>
                <w:bCs w:val="1"/>
                <w:color w:val="0000FF"/>
              </w:rPr>
            </w:pPr>
            <w:hyperlink r:id="rId172">
              <w:r>
                <w:rPr>
                  <w:rFonts w:ascii="Arial" w:cs="Arial" w:eastAsia="Arial" w:hAnsi="Arial"/>
                  <w:sz w:val="16"/>
                  <w:szCs w:val="16"/>
                  <w:b w:val="1"/>
                  <w:bCs w:val="1"/>
                  <w:color w:val="0000FF"/>
                </w:rPr>
                <w:t>9, 2007</w:t>
              </w:r>
              <w:r>
                <w:rPr>
                  <w:rFonts w:ascii="Arial" w:cs="Arial" w:eastAsia="Arial" w:hAnsi="Arial"/>
                  <w:sz w:val="16"/>
                  <w:szCs w:val="16"/>
                  <w:color w:val="000000"/>
                </w:rPr>
                <w:t>, and incorporated herein by reference.</w:t>
              </w:r>
            </w:hyperlink>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1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tcPr>
          <w:p>
            <w:pPr>
              <w:jc w:val="center"/>
              <w:ind w:left="80"/>
              <w:spacing w:after="0" w:line="142" w:lineRule="exact"/>
              <w:rPr>
                <w:sz w:val="20"/>
                <w:szCs w:val="20"/>
                <w:color w:val="auto"/>
              </w:rPr>
            </w:pPr>
            <w:r>
              <w:rPr>
                <w:rFonts w:ascii="Arial" w:cs="Arial" w:eastAsia="Arial" w:hAnsi="Arial"/>
                <w:sz w:val="16"/>
                <w:szCs w:val="16"/>
                <w:color w:val="auto"/>
                <w:w w:val="89"/>
              </w:rPr>
              <w:t>4.4</w:t>
            </w:r>
          </w:p>
        </w:tc>
        <w:tc>
          <w:tcPr>
            <w:tcW w:w="160" w:type="dxa"/>
            <w:vAlign w:val="bottom"/>
          </w:tcPr>
          <w:p>
            <w:pPr>
              <w:spacing w:after="0"/>
              <w:rPr>
                <w:sz w:val="12"/>
                <w:szCs w:val="12"/>
                <w:color w:val="auto"/>
              </w:rPr>
            </w:pPr>
          </w:p>
        </w:tc>
        <w:tc>
          <w:tcPr>
            <w:tcW w:w="4800" w:type="dxa"/>
            <w:vAlign w:val="bottom"/>
            <w:gridSpan w:val="12"/>
          </w:tcPr>
          <w:p>
            <w:pPr>
              <w:spacing w:after="0" w:line="142" w:lineRule="exact"/>
              <w:rPr>
                <w:sz w:val="20"/>
                <w:szCs w:val="20"/>
                <w:color w:val="auto"/>
              </w:rPr>
            </w:pPr>
            <w:r>
              <w:rPr>
                <w:rFonts w:ascii="Arial" w:cs="Arial" w:eastAsia="Arial" w:hAnsi="Arial"/>
                <w:sz w:val="16"/>
                <w:szCs w:val="16"/>
                <w:color w:val="auto"/>
                <w:w w:val="99"/>
              </w:rPr>
              <w:t>Indenture among Reading International, Inc., Reading New Zealand</w:t>
            </w:r>
          </w:p>
        </w:tc>
        <w:tc>
          <w:tcPr>
            <w:tcW w:w="5360" w:type="dxa"/>
            <w:vAlign w:val="bottom"/>
            <w:gridSpan w:val="24"/>
          </w:tcPr>
          <w:p>
            <w:pPr>
              <w:spacing w:after="0" w:line="142" w:lineRule="exact"/>
              <w:rPr>
                <w:rFonts w:ascii="Arial" w:cs="Arial" w:eastAsia="Arial" w:hAnsi="Arial"/>
                <w:sz w:val="16"/>
                <w:szCs w:val="16"/>
                <w:color w:val="auto"/>
              </w:rPr>
            </w:pPr>
            <w:hyperlink r:id="rId173">
              <w:r>
                <w:rPr>
                  <w:rFonts w:ascii="Arial" w:cs="Arial" w:eastAsia="Arial" w:hAnsi="Arial"/>
                  <w:sz w:val="16"/>
                  <w:szCs w:val="16"/>
                  <w:color w:val="auto"/>
                </w:rPr>
                <w:t xml:space="preserve">Filed as </w:t>
              </w:r>
              <w:r>
                <w:rPr>
                  <w:rFonts w:ascii="Arial" w:cs="Arial" w:eastAsia="Arial" w:hAnsi="Arial"/>
                  <w:sz w:val="16"/>
                  <w:szCs w:val="16"/>
                  <w:b w:val="1"/>
                  <w:bCs w:val="1"/>
                  <w:color w:val="0000FF"/>
                </w:rPr>
                <w:t>Exhibit 10.4 to the Company’s report on Form 8-K dated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2"/>
          </w:tcPr>
          <w:p>
            <w:pPr>
              <w:spacing w:after="0" w:line="142" w:lineRule="exact"/>
              <w:rPr>
                <w:sz w:val="20"/>
                <w:szCs w:val="20"/>
                <w:color w:val="auto"/>
              </w:rPr>
            </w:pPr>
            <w:r>
              <w:rPr>
                <w:rFonts w:ascii="Arial" w:cs="Arial" w:eastAsia="Arial" w:hAnsi="Arial"/>
                <w:sz w:val="16"/>
                <w:szCs w:val="16"/>
                <w:color w:val="auto"/>
              </w:rPr>
              <w:t>Limited, and Wells Fargo Bank, N.A., as indenture trustee.</w:t>
            </w:r>
          </w:p>
        </w:tc>
        <w:tc>
          <w:tcPr>
            <w:tcW w:w="580" w:type="dxa"/>
            <w:vAlign w:val="bottom"/>
            <w:gridSpan w:val="3"/>
          </w:tcPr>
          <w:p>
            <w:pPr>
              <w:spacing w:after="0" w:line="142" w:lineRule="exact"/>
              <w:rPr>
                <w:rFonts w:ascii="Arial" w:cs="Arial" w:eastAsia="Arial" w:hAnsi="Arial"/>
                <w:sz w:val="16"/>
                <w:szCs w:val="16"/>
                <w:b w:val="1"/>
                <w:bCs w:val="1"/>
                <w:color w:val="0000FF"/>
                <w:w w:val="78"/>
              </w:rPr>
            </w:pPr>
            <w:hyperlink r:id="rId173">
              <w:r>
                <w:rPr>
                  <w:rFonts w:ascii="Arial" w:cs="Arial" w:eastAsia="Arial" w:hAnsi="Arial"/>
                  <w:sz w:val="16"/>
                  <w:szCs w:val="16"/>
                  <w:b w:val="1"/>
                  <w:bCs w:val="1"/>
                  <w:color w:val="0000FF"/>
                  <w:w w:val="78"/>
                </w:rPr>
                <w:t>February</w:t>
              </w:r>
            </w:hyperlink>
          </w:p>
        </w:tc>
        <w:tc>
          <w:tcPr>
            <w:tcW w:w="3960" w:type="dxa"/>
            <w:vAlign w:val="bottom"/>
            <w:tcBorders>
              <w:top w:val="single" w:sz="8" w:color="0000FF"/>
            </w:tcBorders>
            <w:gridSpan w:val="12"/>
          </w:tcPr>
          <w:p>
            <w:pPr>
              <w:ind w:left="120"/>
              <w:spacing w:after="0" w:line="142" w:lineRule="exact"/>
              <w:rPr>
                <w:rFonts w:ascii="Arial" w:cs="Arial" w:eastAsia="Arial" w:hAnsi="Arial"/>
                <w:sz w:val="16"/>
                <w:szCs w:val="16"/>
                <w:b w:val="1"/>
                <w:bCs w:val="1"/>
                <w:color w:val="0000FF"/>
              </w:rPr>
            </w:pPr>
            <w:hyperlink r:id="rId173">
              <w:r>
                <w:rPr>
                  <w:rFonts w:ascii="Arial" w:cs="Arial" w:eastAsia="Arial" w:hAnsi="Arial"/>
                  <w:sz w:val="16"/>
                  <w:szCs w:val="16"/>
                  <w:b w:val="1"/>
                  <w:bCs w:val="1"/>
                  <w:color w:val="0000FF"/>
                </w:rPr>
                <w:t>5, 2007</w:t>
              </w:r>
              <w:r>
                <w:rPr>
                  <w:rFonts w:ascii="Arial" w:cs="Arial" w:eastAsia="Arial" w:hAnsi="Arial"/>
                  <w:sz w:val="16"/>
                  <w:szCs w:val="16"/>
                  <w:color w:val="000000"/>
                </w:rPr>
                <w:t>, and incorporated herein by reference.</w:t>
              </w:r>
            </w:hyperlink>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jc w:val="center"/>
              <w:ind w:left="80"/>
              <w:spacing w:after="0" w:line="142" w:lineRule="exact"/>
              <w:rPr>
                <w:sz w:val="20"/>
                <w:szCs w:val="20"/>
                <w:color w:val="auto"/>
              </w:rPr>
            </w:pPr>
            <w:r>
              <w:rPr>
                <w:rFonts w:ascii="Arial" w:cs="Arial" w:eastAsia="Arial" w:hAnsi="Arial"/>
                <w:sz w:val="16"/>
                <w:szCs w:val="16"/>
                <w:color w:val="auto"/>
                <w:w w:val="89"/>
              </w:rPr>
              <w:t>4.5</w:t>
            </w:r>
          </w:p>
        </w:tc>
        <w:tc>
          <w:tcPr>
            <w:tcW w:w="160" w:type="dxa"/>
            <w:vAlign w:val="bottom"/>
            <w:shd w:val="clear" w:color="auto" w:fill="CCEEFF"/>
          </w:tcPr>
          <w:p>
            <w:pPr>
              <w:spacing w:after="0"/>
              <w:rPr>
                <w:sz w:val="12"/>
                <w:szCs w:val="12"/>
                <w:color w:val="auto"/>
              </w:rPr>
            </w:pPr>
          </w:p>
        </w:tc>
        <w:tc>
          <w:tcPr>
            <w:tcW w:w="4800" w:type="dxa"/>
            <w:vAlign w:val="bottom"/>
            <w:tcBorders>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rPr>
              <w:t>Form of Indenture</w:t>
            </w:r>
          </w:p>
        </w:tc>
        <w:tc>
          <w:tcPr>
            <w:tcW w:w="5360" w:type="dxa"/>
            <w:vAlign w:val="bottom"/>
            <w:gridSpan w:val="24"/>
            <w:shd w:val="clear" w:color="auto" w:fill="CCEEFF"/>
          </w:tcPr>
          <w:p>
            <w:pPr>
              <w:spacing w:after="0" w:line="142" w:lineRule="exact"/>
              <w:rPr>
                <w:rFonts w:ascii="Arial" w:cs="Arial" w:eastAsia="Arial" w:hAnsi="Arial"/>
                <w:sz w:val="16"/>
                <w:szCs w:val="16"/>
                <w:color w:val="auto"/>
                <w:w w:val="98"/>
              </w:rPr>
            </w:pPr>
            <w:hyperlink r:id="rId174">
              <w:r>
                <w:rPr>
                  <w:rFonts w:ascii="Arial" w:cs="Arial" w:eastAsia="Arial" w:hAnsi="Arial"/>
                  <w:sz w:val="16"/>
                  <w:szCs w:val="16"/>
                  <w:color w:val="auto"/>
                  <w:w w:val="98"/>
                </w:rPr>
                <w:t xml:space="preserve">Filed as </w:t>
              </w:r>
              <w:r>
                <w:rPr>
                  <w:rFonts w:ascii="Arial" w:cs="Arial" w:eastAsia="Arial" w:hAnsi="Arial"/>
                  <w:sz w:val="16"/>
                  <w:szCs w:val="16"/>
                  <w:b w:val="1"/>
                  <w:bCs w:val="1"/>
                  <w:color w:val="0000FF"/>
                  <w:w w:val="98"/>
                </w:rPr>
                <w:t>Exhibit 4.4 to the Company’s report on Form S-3 on October 20,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gridSpan w:val="2"/>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tcBorders>
              <w:right w:val="single" w:sz="8" w:color="CCEEFF"/>
            </w:tcBorders>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040" w:type="dxa"/>
            <w:vAlign w:val="bottom"/>
            <w:gridSpan w:val="19"/>
            <w:shd w:val="clear" w:color="auto" w:fill="CCEEFF"/>
          </w:tcPr>
          <w:p>
            <w:pPr>
              <w:spacing w:after="0" w:line="142" w:lineRule="exact"/>
              <w:rPr>
                <w:rFonts w:ascii="Arial" w:cs="Arial" w:eastAsia="Arial" w:hAnsi="Arial"/>
                <w:sz w:val="16"/>
                <w:szCs w:val="16"/>
                <w:b w:val="1"/>
                <w:bCs w:val="1"/>
                <w:color w:val="0000FF"/>
              </w:rPr>
            </w:pPr>
            <w:hyperlink r:id="rId174">
              <w:r>
                <w:rPr>
                  <w:rFonts w:ascii="Arial" w:cs="Arial" w:eastAsia="Arial" w:hAnsi="Arial"/>
                  <w:sz w:val="16"/>
                  <w:szCs w:val="16"/>
                  <w:b w:val="1"/>
                  <w:bCs w:val="1"/>
                  <w:color w:val="0000FF"/>
                </w:rPr>
                <w:t>2009</w:t>
              </w:r>
              <w:r>
                <w:rPr>
                  <w:rFonts w:ascii="Arial" w:cs="Arial" w:eastAsia="Arial" w:hAnsi="Arial"/>
                  <w:sz w:val="16"/>
                  <w:szCs w:val="16"/>
                  <w:color w:val="000000"/>
                </w:rPr>
                <w:t>, and incorporated herein by reference.</w:t>
              </w:r>
            </w:hyperlink>
          </w:p>
        </w:tc>
        <w:tc>
          <w:tcPr>
            <w:tcW w:w="80" w:type="dxa"/>
            <w:vAlign w:val="bottom"/>
            <w:vMerge w:val="continue"/>
            <w:shd w:val="clear" w:color="auto" w:fill="CCEEFF"/>
          </w:tcPr>
          <w:p>
            <w:pPr>
              <w:spacing w:after="0"/>
              <w:rPr>
                <w:sz w:val="12"/>
                <w:szCs w:val="12"/>
                <w:color w:val="auto"/>
              </w:rPr>
            </w:pPr>
          </w:p>
        </w:tc>
        <w:tc>
          <w:tcPr>
            <w:tcW w:w="80" w:type="dxa"/>
            <w:vAlign w:val="bottom"/>
            <w:tcBorders>
              <w:right w:val="single" w:sz="8" w:color="CCEEFF"/>
            </w:tcBorders>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120" w:type="dxa"/>
            <w:vAlign w:val="bottom"/>
            <w:tcBorders>
              <w:left w:val="single" w:sz="8" w:color="CCEEFF"/>
              <w:right w:val="single" w:sz="8" w:color="CCEEFF"/>
            </w:tcBorders>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1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tcPr>
          <w:p>
            <w:pPr>
              <w:jc w:val="center"/>
              <w:ind w:left="60"/>
              <w:spacing w:after="0" w:line="142" w:lineRule="exact"/>
              <w:rPr>
                <w:sz w:val="20"/>
                <w:szCs w:val="20"/>
                <w:color w:val="auto"/>
              </w:rPr>
            </w:pPr>
            <w:r>
              <w:rPr>
                <w:rFonts w:ascii="Arial" w:cs="Arial" w:eastAsia="Arial" w:hAnsi="Arial"/>
                <w:sz w:val="16"/>
                <w:szCs w:val="16"/>
                <w:color w:val="auto"/>
                <w:w w:val="94"/>
              </w:rPr>
              <w:t>4.6+</w:t>
            </w:r>
          </w:p>
        </w:tc>
        <w:tc>
          <w:tcPr>
            <w:tcW w:w="160" w:type="dxa"/>
            <w:vAlign w:val="bottom"/>
          </w:tcPr>
          <w:p>
            <w:pPr>
              <w:spacing w:after="0"/>
              <w:rPr>
                <w:sz w:val="12"/>
                <w:szCs w:val="12"/>
                <w:color w:val="auto"/>
              </w:rPr>
            </w:pPr>
          </w:p>
        </w:tc>
        <w:tc>
          <w:tcPr>
            <w:tcW w:w="10160" w:type="dxa"/>
            <w:vAlign w:val="bottom"/>
            <w:gridSpan w:val="36"/>
          </w:tcPr>
          <w:p>
            <w:pPr>
              <w:spacing w:after="0" w:line="142" w:lineRule="exact"/>
              <w:rPr>
                <w:rFonts w:ascii="Arial" w:cs="Arial" w:eastAsia="Arial" w:hAnsi="Arial"/>
                <w:sz w:val="16"/>
                <w:szCs w:val="16"/>
                <w:b w:val="1"/>
                <w:bCs w:val="1"/>
                <w:color w:val="0000FF"/>
              </w:rPr>
            </w:pPr>
            <w:hyperlink w:anchor="page132">
              <w:r>
                <w:rPr>
                  <w:rFonts w:ascii="Arial" w:cs="Arial" w:eastAsia="Arial" w:hAnsi="Arial"/>
                  <w:sz w:val="16"/>
                  <w:szCs w:val="16"/>
                  <w:b w:val="1"/>
                  <w:bCs w:val="1"/>
                  <w:color w:val="0000FF"/>
                </w:rPr>
                <w:t xml:space="preserve">Description of Registrant’s Securities Registered Pursuant to Section </w:t>
              </w:r>
            </w:hyperlink>
            <w:r>
              <w:rPr>
                <w:rFonts w:ascii="Arial" w:cs="Arial" w:eastAsia="Arial" w:hAnsi="Arial"/>
                <w:sz w:val="16"/>
                <w:szCs w:val="16"/>
                <w:color w:val="000000"/>
              </w:rPr>
              <w:t>N/A</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tcBorders>
            <w:gridSpan w:val="11"/>
          </w:tcPr>
          <w:p>
            <w:pPr>
              <w:spacing w:after="0" w:line="142" w:lineRule="exact"/>
              <w:rPr>
                <w:rFonts w:ascii="Arial" w:cs="Arial" w:eastAsia="Arial" w:hAnsi="Arial"/>
                <w:sz w:val="16"/>
                <w:szCs w:val="16"/>
                <w:b w:val="1"/>
                <w:bCs w:val="1"/>
                <w:color w:val="0000FF"/>
              </w:rPr>
            </w:pPr>
            <w:hyperlink w:anchor="page132">
              <w:r>
                <w:rPr>
                  <w:rFonts w:ascii="Arial" w:cs="Arial" w:eastAsia="Arial" w:hAnsi="Arial"/>
                  <w:sz w:val="16"/>
                  <w:szCs w:val="16"/>
                  <w:b w:val="1"/>
                  <w:bCs w:val="1"/>
                  <w:color w:val="0000FF"/>
                </w:rPr>
                <w:t>12 of the Securities Exchange Act of 1934</w:t>
              </w:r>
            </w:hyperlink>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jc w:val="center"/>
              <w:ind w:left="80"/>
              <w:spacing w:after="0" w:line="142" w:lineRule="exact"/>
              <w:rPr>
                <w:sz w:val="20"/>
                <w:szCs w:val="20"/>
                <w:color w:val="auto"/>
              </w:rPr>
            </w:pPr>
            <w:r>
              <w:rPr>
                <w:rFonts w:ascii="Arial" w:cs="Arial" w:eastAsia="Arial" w:hAnsi="Arial"/>
                <w:sz w:val="16"/>
                <w:szCs w:val="16"/>
                <w:color w:val="auto"/>
                <w:w w:val="96"/>
              </w:rPr>
              <w:t>10.1*</w:t>
            </w:r>
          </w:p>
        </w:tc>
        <w:tc>
          <w:tcPr>
            <w:tcW w:w="160" w:type="dxa"/>
            <w:vAlign w:val="bottom"/>
            <w:shd w:val="clear" w:color="auto" w:fill="CCEEFF"/>
          </w:tcPr>
          <w:p>
            <w:pPr>
              <w:spacing w:after="0"/>
              <w:rPr>
                <w:sz w:val="12"/>
                <w:szCs w:val="12"/>
                <w:color w:val="auto"/>
              </w:rPr>
            </w:pPr>
          </w:p>
        </w:tc>
        <w:tc>
          <w:tcPr>
            <w:tcW w:w="4800" w:type="dxa"/>
            <w:vAlign w:val="bottom"/>
            <w:tcBorders>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rPr>
              <w:t>Restated 2010 Stock Incentive Plan, as of November 7, 2017</w:t>
            </w:r>
          </w:p>
        </w:tc>
        <w:tc>
          <w:tcPr>
            <w:tcW w:w="5360" w:type="dxa"/>
            <w:vAlign w:val="bottom"/>
            <w:gridSpan w:val="24"/>
            <w:shd w:val="clear" w:color="auto" w:fill="CCEEFF"/>
          </w:tcPr>
          <w:p>
            <w:pPr>
              <w:spacing w:after="0" w:line="142" w:lineRule="exact"/>
              <w:rPr>
                <w:rFonts w:ascii="Arial" w:cs="Arial" w:eastAsia="Arial" w:hAnsi="Arial"/>
                <w:sz w:val="16"/>
                <w:szCs w:val="16"/>
                <w:color w:val="auto"/>
                <w:w w:val="94"/>
              </w:rPr>
            </w:pPr>
            <w:hyperlink r:id="rId175">
              <w:r>
                <w:rPr>
                  <w:rFonts w:ascii="Arial" w:cs="Arial" w:eastAsia="Arial" w:hAnsi="Arial"/>
                  <w:sz w:val="16"/>
                  <w:szCs w:val="16"/>
                  <w:color w:val="auto"/>
                  <w:w w:val="94"/>
                </w:rPr>
                <w:t xml:space="preserve">Filed as </w:t>
              </w:r>
              <w:r>
                <w:rPr>
                  <w:rFonts w:ascii="Arial" w:cs="Arial" w:eastAsia="Arial" w:hAnsi="Arial"/>
                  <w:sz w:val="16"/>
                  <w:szCs w:val="16"/>
                  <w:b w:val="1"/>
                  <w:bCs w:val="1"/>
                  <w:color w:val="0000FF"/>
                  <w:w w:val="94"/>
                </w:rPr>
                <w:t>Exhibit 10.1 to the Company’s Annual Report on Form 10-K for the</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0000FF"/>
            </w:tcBorders>
            <w:gridSpan w:val="3"/>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CCEEFF"/>
            </w:tcBorders>
            <w:shd w:val="clear" w:color="auto" w:fill="0000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340" w:type="dxa"/>
            <w:vAlign w:val="bottom"/>
            <w:tcBorders>
              <w:right w:val="single" w:sz="8" w:color="CCEEFF"/>
            </w:tcBorders>
            <w:gridSpan w:val="23"/>
            <w:shd w:val="clear" w:color="auto" w:fill="CCEEFF"/>
          </w:tcPr>
          <w:p>
            <w:pPr>
              <w:spacing w:after="0" w:line="142" w:lineRule="exact"/>
              <w:rPr>
                <w:rFonts w:ascii="Arial" w:cs="Arial" w:eastAsia="Arial" w:hAnsi="Arial"/>
                <w:sz w:val="16"/>
                <w:szCs w:val="16"/>
                <w:b w:val="1"/>
                <w:bCs w:val="1"/>
                <w:color w:val="0000FF"/>
                <w:w w:val="90"/>
              </w:rPr>
            </w:pPr>
            <w:hyperlink r:id="rId175">
              <w:r>
                <w:rPr>
                  <w:rFonts w:ascii="Arial" w:cs="Arial" w:eastAsia="Arial" w:hAnsi="Arial"/>
                  <w:sz w:val="16"/>
                  <w:szCs w:val="16"/>
                  <w:b w:val="1"/>
                  <w:bCs w:val="1"/>
                  <w:color w:val="0000FF"/>
                  <w:w w:val="90"/>
                </w:rPr>
                <w:t>year ended December 31, 2017</w:t>
              </w:r>
              <w:r>
                <w:rPr>
                  <w:rFonts w:ascii="Arial" w:cs="Arial" w:eastAsia="Arial" w:hAnsi="Arial"/>
                  <w:sz w:val="16"/>
                  <w:szCs w:val="16"/>
                  <w:b w:val="1"/>
                  <w:bCs w:val="1"/>
                  <w:color w:val="000000"/>
                  <w:w w:val="90"/>
                </w:rPr>
                <w:t>,</w:t>
              </w:r>
              <w:r>
                <w:rPr>
                  <w:rFonts w:ascii="Arial" w:cs="Arial" w:eastAsia="Arial" w:hAnsi="Arial"/>
                  <w:sz w:val="16"/>
                  <w:szCs w:val="16"/>
                  <w:b w:val="1"/>
                  <w:bCs w:val="1"/>
                  <w:color w:val="0000FF"/>
                  <w:w w:val="90"/>
                </w:rPr>
                <w:t xml:space="preserve"> </w:t>
              </w:r>
              <w:r>
                <w:rPr>
                  <w:rFonts w:ascii="Arial" w:cs="Arial" w:eastAsia="Arial" w:hAnsi="Arial"/>
                  <w:sz w:val="16"/>
                  <w:szCs w:val="16"/>
                  <w:color w:val="000000"/>
                  <w:w w:val="90"/>
                </w:rPr>
                <w:t>filed on March 16, 2018 and incorporated herein</w:t>
              </w:r>
            </w:hyperlink>
          </w:p>
        </w:tc>
        <w:tc>
          <w:tcPr>
            <w:tcW w:w="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120" w:type="dxa"/>
            <w:vAlign w:val="bottom"/>
            <w:tcBorders>
              <w:top w:val="single" w:sz="8" w:color="0000FF"/>
            </w:tcBorders>
            <w:gridSpan w:val="12"/>
            <w:shd w:val="clear" w:color="auto" w:fill="CCEEFF"/>
          </w:tcPr>
          <w:p>
            <w:pPr>
              <w:spacing w:after="0" w:line="155" w:lineRule="exact"/>
              <w:rPr>
                <w:sz w:val="20"/>
                <w:szCs w:val="20"/>
                <w:color w:val="auto"/>
              </w:rPr>
            </w:pPr>
            <w:r>
              <w:rPr>
                <w:rFonts w:ascii="Arial" w:cs="Arial" w:eastAsia="Arial" w:hAnsi="Arial"/>
                <w:sz w:val="16"/>
                <w:szCs w:val="16"/>
                <w:color w:val="auto"/>
              </w:rPr>
              <w:t>by reference.</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380" w:type="dxa"/>
            <w:vAlign w:val="bottom"/>
            <w:tcBorders>
              <w:top w:val="single" w:sz="8" w:color="CCEEFF"/>
              <w:left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center"/>
              <w:ind w:left="80"/>
              <w:spacing w:after="0" w:line="148" w:lineRule="exact"/>
              <w:rPr>
                <w:sz w:val="20"/>
                <w:szCs w:val="20"/>
                <w:color w:val="auto"/>
              </w:rPr>
            </w:pPr>
            <w:r>
              <w:rPr>
                <w:rFonts w:ascii="Arial" w:cs="Arial" w:eastAsia="Arial" w:hAnsi="Arial"/>
                <w:sz w:val="16"/>
                <w:szCs w:val="16"/>
                <w:color w:val="auto"/>
                <w:w w:val="96"/>
              </w:rPr>
              <w:t>10.2*</w:t>
            </w:r>
          </w:p>
        </w:tc>
        <w:tc>
          <w:tcPr>
            <w:tcW w:w="160" w:type="dxa"/>
            <w:vAlign w:val="bottom"/>
          </w:tcPr>
          <w:p>
            <w:pPr>
              <w:spacing w:after="0"/>
              <w:rPr>
                <w:sz w:val="12"/>
                <w:szCs w:val="12"/>
                <w:color w:val="auto"/>
              </w:rPr>
            </w:pPr>
          </w:p>
        </w:tc>
        <w:tc>
          <w:tcPr>
            <w:tcW w:w="4800" w:type="dxa"/>
            <w:vAlign w:val="bottom"/>
            <w:gridSpan w:val="12"/>
          </w:tcPr>
          <w:p>
            <w:pPr>
              <w:spacing w:after="0" w:line="148" w:lineRule="exact"/>
              <w:rPr>
                <w:sz w:val="20"/>
                <w:szCs w:val="20"/>
                <w:color w:val="auto"/>
              </w:rPr>
            </w:pPr>
            <w:r>
              <w:rPr>
                <w:rFonts w:ascii="Arial" w:cs="Arial" w:eastAsia="Arial" w:hAnsi="Arial"/>
                <w:sz w:val="16"/>
                <w:szCs w:val="16"/>
                <w:color w:val="auto"/>
              </w:rPr>
              <w:t>Award forms under the 2010 Stock Incentive Plan (i) Stock Option</w:t>
            </w:r>
          </w:p>
        </w:tc>
        <w:tc>
          <w:tcPr>
            <w:tcW w:w="5360" w:type="dxa"/>
            <w:vAlign w:val="bottom"/>
            <w:gridSpan w:val="24"/>
          </w:tcPr>
          <w:p>
            <w:pPr>
              <w:spacing w:after="0" w:line="148" w:lineRule="exact"/>
              <w:rPr>
                <w:rFonts w:ascii="Arial" w:cs="Arial" w:eastAsia="Arial" w:hAnsi="Arial"/>
                <w:sz w:val="16"/>
                <w:szCs w:val="16"/>
                <w:color w:val="auto"/>
                <w:w w:val="95"/>
              </w:rPr>
            </w:pPr>
            <w:r>
              <w:rPr>
                <w:rFonts w:ascii="Arial" w:cs="Arial" w:eastAsia="Arial" w:hAnsi="Arial"/>
                <w:sz w:val="16"/>
                <w:szCs w:val="16"/>
                <w:color w:val="auto"/>
                <w:w w:val="95"/>
              </w:rPr>
              <w:t xml:space="preserve">Filed as Exhibits </w:t>
            </w:r>
            <w:hyperlink r:id="rId176">
              <w:r>
                <w:rPr>
                  <w:rFonts w:ascii="Arial" w:cs="Arial" w:eastAsia="Arial" w:hAnsi="Arial"/>
                  <w:sz w:val="16"/>
                  <w:szCs w:val="16"/>
                  <w:b w:val="1"/>
                  <w:bCs w:val="1"/>
                  <w:color w:val="0000FF"/>
                  <w:w w:val="95"/>
                </w:rPr>
                <w:t>4.2</w:t>
              </w:r>
            </w:hyperlink>
            <w:r>
              <w:rPr>
                <w:rFonts w:ascii="Arial" w:cs="Arial" w:eastAsia="Arial" w:hAnsi="Arial"/>
                <w:sz w:val="16"/>
                <w:szCs w:val="16"/>
                <w:color w:val="auto"/>
                <w:w w:val="95"/>
              </w:rPr>
              <w:t xml:space="preserve">, </w:t>
            </w:r>
            <w:hyperlink r:id="rId177">
              <w:r>
                <w:rPr>
                  <w:rFonts w:ascii="Arial" w:cs="Arial" w:eastAsia="Arial" w:hAnsi="Arial"/>
                  <w:sz w:val="16"/>
                  <w:szCs w:val="16"/>
                  <w:b w:val="1"/>
                  <w:bCs w:val="1"/>
                  <w:color w:val="0000FF"/>
                  <w:w w:val="95"/>
                </w:rPr>
                <w:t>4.3</w:t>
              </w:r>
            </w:hyperlink>
            <w:r>
              <w:rPr>
                <w:rFonts w:ascii="Arial" w:cs="Arial" w:eastAsia="Arial" w:hAnsi="Arial"/>
                <w:sz w:val="16"/>
                <w:szCs w:val="16"/>
                <w:color w:val="auto"/>
                <w:w w:val="95"/>
              </w:rPr>
              <w:t xml:space="preserve">, </w:t>
            </w:r>
            <w:hyperlink r:id="rId178">
              <w:r>
                <w:rPr>
                  <w:rFonts w:ascii="Arial" w:cs="Arial" w:eastAsia="Arial" w:hAnsi="Arial"/>
                  <w:sz w:val="16"/>
                  <w:szCs w:val="16"/>
                  <w:b w:val="1"/>
                  <w:bCs w:val="1"/>
                  <w:color w:val="0000FF"/>
                  <w:w w:val="95"/>
                </w:rPr>
                <w:t>4.4</w:t>
              </w:r>
              <w:r>
                <w:rPr>
                  <w:rFonts w:ascii="Arial" w:cs="Arial" w:eastAsia="Arial" w:hAnsi="Arial"/>
                  <w:sz w:val="16"/>
                  <w:szCs w:val="16"/>
                  <w:color w:val="auto"/>
                  <w:w w:val="95"/>
                </w:rPr>
                <w:t xml:space="preserve"> </w:t>
              </w:r>
            </w:hyperlink>
            <w:r>
              <w:rPr>
                <w:rFonts w:ascii="Arial" w:cs="Arial" w:eastAsia="Arial" w:hAnsi="Arial"/>
                <w:sz w:val="16"/>
                <w:szCs w:val="16"/>
                <w:color w:val="auto"/>
                <w:w w:val="95"/>
              </w:rPr>
              <w:t xml:space="preserve">and </w:t>
            </w:r>
            <w:hyperlink r:id="rId179">
              <w:r>
                <w:rPr>
                  <w:rFonts w:ascii="Arial" w:cs="Arial" w:eastAsia="Arial" w:hAnsi="Arial"/>
                  <w:sz w:val="16"/>
                  <w:szCs w:val="16"/>
                  <w:b w:val="1"/>
                  <w:bCs w:val="1"/>
                  <w:color w:val="0000FF"/>
                  <w:w w:val="95"/>
                </w:rPr>
                <w:t>4.5</w:t>
              </w:r>
            </w:hyperlink>
            <w:r>
              <w:rPr>
                <w:rFonts w:ascii="Arial" w:cs="Arial" w:eastAsia="Arial" w:hAnsi="Arial"/>
                <w:sz w:val="16"/>
                <w:szCs w:val="16"/>
                <w:color w:val="auto"/>
                <w:w w:val="95"/>
              </w:rPr>
              <w:t>, respectively, to the Company’s report 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0" w:type="dxa"/>
            <w:vAlign w:val="bottom"/>
            <w:gridSpan w:val="12"/>
            <w:vMerge w:val="restart"/>
          </w:tcPr>
          <w:p>
            <w:pPr>
              <w:spacing w:after="0" w:line="152" w:lineRule="exact"/>
              <w:rPr>
                <w:sz w:val="20"/>
                <w:szCs w:val="20"/>
                <w:color w:val="auto"/>
              </w:rPr>
            </w:pPr>
            <w:r>
              <w:rPr>
                <w:rFonts w:ascii="Arial" w:cs="Arial" w:eastAsia="Arial" w:hAnsi="Arial"/>
                <w:sz w:val="16"/>
                <w:szCs w:val="16"/>
                <w:color w:val="auto"/>
              </w:rPr>
              <w:t>Agreement, (ii) Stock Bonus Agreement, (iii) Restricted Stock Unit</w:t>
            </w:r>
          </w:p>
        </w:tc>
        <w:tc>
          <w:tcPr>
            <w:tcW w:w="1120" w:type="dxa"/>
            <w:vAlign w:val="bottom"/>
            <w:gridSpan w:val="4"/>
            <w:vMerge w:val="restart"/>
          </w:tcPr>
          <w:p>
            <w:pPr>
              <w:spacing w:after="0" w:line="152" w:lineRule="exact"/>
              <w:rPr>
                <w:sz w:val="20"/>
                <w:szCs w:val="20"/>
                <w:color w:val="auto"/>
              </w:rPr>
            </w:pPr>
            <w:r>
              <w:rPr>
                <w:rFonts w:ascii="Arial" w:cs="Arial" w:eastAsia="Arial" w:hAnsi="Arial"/>
                <w:sz w:val="16"/>
                <w:szCs w:val="16"/>
                <w:color w:val="auto"/>
                <w:w w:val="87"/>
              </w:rPr>
              <w:t>Form S-8 on May</w:t>
            </w: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8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4800" w:type="dxa"/>
            <w:vAlign w:val="bottom"/>
            <w:gridSpan w:val="12"/>
            <w:vMerge w:val="continue"/>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4240" w:type="dxa"/>
            <w:vAlign w:val="bottom"/>
            <w:gridSpan w:val="20"/>
          </w:tcPr>
          <w:p>
            <w:pPr>
              <w:ind w:left="80"/>
              <w:spacing w:after="0" w:line="132" w:lineRule="exact"/>
              <w:rPr>
                <w:sz w:val="20"/>
                <w:szCs w:val="20"/>
                <w:color w:val="auto"/>
              </w:rPr>
            </w:pPr>
            <w:r>
              <w:rPr>
                <w:rFonts w:ascii="Arial" w:cs="Arial" w:eastAsia="Arial" w:hAnsi="Arial"/>
                <w:sz w:val="15"/>
                <w:szCs w:val="15"/>
                <w:color w:val="auto"/>
              </w:rPr>
              <w:t>26, 2010, and incorporated herein by reference.</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12"/>
          </w:tcPr>
          <w:p>
            <w:pPr>
              <w:spacing w:after="0"/>
              <w:rPr>
                <w:sz w:val="20"/>
                <w:szCs w:val="20"/>
                <w:color w:val="auto"/>
              </w:rPr>
            </w:pPr>
            <w:r>
              <w:rPr>
                <w:rFonts w:ascii="Arial" w:cs="Arial" w:eastAsia="Arial" w:hAnsi="Arial"/>
                <w:sz w:val="16"/>
                <w:szCs w:val="16"/>
                <w:color w:val="auto"/>
              </w:rPr>
              <w:t>Agreement, and (iv) Stock Appreciation Right Agreement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jc w:val="center"/>
              <w:ind w:left="80"/>
              <w:spacing w:after="0" w:line="148" w:lineRule="exact"/>
              <w:rPr>
                <w:sz w:val="20"/>
                <w:szCs w:val="20"/>
                <w:color w:val="auto"/>
              </w:rPr>
            </w:pPr>
            <w:r>
              <w:rPr>
                <w:rFonts w:ascii="Arial" w:cs="Arial" w:eastAsia="Arial" w:hAnsi="Arial"/>
                <w:sz w:val="16"/>
                <w:szCs w:val="16"/>
                <w:color w:val="auto"/>
                <w:w w:val="96"/>
              </w:rPr>
              <w:t>10.3*</w:t>
            </w:r>
          </w:p>
        </w:tc>
        <w:tc>
          <w:tcPr>
            <w:tcW w:w="160" w:type="dxa"/>
            <w:vAlign w:val="bottom"/>
            <w:shd w:val="clear" w:color="auto" w:fill="CCEEFF"/>
          </w:tcPr>
          <w:p>
            <w:pPr>
              <w:spacing w:after="0"/>
              <w:rPr>
                <w:sz w:val="12"/>
                <w:szCs w:val="12"/>
                <w:color w:val="auto"/>
              </w:rPr>
            </w:pPr>
          </w:p>
        </w:tc>
        <w:tc>
          <w:tcPr>
            <w:tcW w:w="4800" w:type="dxa"/>
            <w:vAlign w:val="bottom"/>
            <w:tcBorders>
              <w:right w:val="single" w:sz="8" w:color="CCEEFF"/>
            </w:tcBorders>
            <w:gridSpan w:val="12"/>
            <w:shd w:val="clear" w:color="auto" w:fill="CCEEFF"/>
          </w:tcPr>
          <w:p>
            <w:pPr>
              <w:spacing w:after="0" w:line="148" w:lineRule="exact"/>
              <w:rPr>
                <w:sz w:val="20"/>
                <w:szCs w:val="20"/>
                <w:color w:val="auto"/>
              </w:rPr>
            </w:pPr>
            <w:r>
              <w:rPr>
                <w:rFonts w:ascii="Arial" w:cs="Arial" w:eastAsia="Arial" w:hAnsi="Arial"/>
                <w:sz w:val="16"/>
                <w:szCs w:val="16"/>
                <w:color w:val="auto"/>
              </w:rPr>
              <w:t>Form of Restricted Stock Unit Agreement (with Grant Notice)</w:t>
            </w:r>
          </w:p>
        </w:tc>
        <w:tc>
          <w:tcPr>
            <w:tcW w:w="5360" w:type="dxa"/>
            <w:vAlign w:val="bottom"/>
            <w:gridSpan w:val="24"/>
            <w:shd w:val="clear" w:color="auto" w:fill="CCEEFF"/>
          </w:tcPr>
          <w:p>
            <w:pPr>
              <w:spacing w:after="0" w:line="148" w:lineRule="exact"/>
              <w:rPr>
                <w:rFonts w:ascii="Arial" w:cs="Arial" w:eastAsia="Arial" w:hAnsi="Arial"/>
                <w:sz w:val="16"/>
                <w:szCs w:val="16"/>
                <w:color w:val="auto"/>
                <w:w w:val="97"/>
              </w:rPr>
            </w:pPr>
            <w:hyperlink r:id="rId180">
              <w:r>
                <w:rPr>
                  <w:rFonts w:ascii="Arial" w:cs="Arial" w:eastAsia="Arial" w:hAnsi="Arial"/>
                  <w:sz w:val="16"/>
                  <w:szCs w:val="16"/>
                  <w:color w:val="auto"/>
                  <w:w w:val="97"/>
                </w:rPr>
                <w:t xml:space="preserve">Filed as </w:t>
              </w:r>
              <w:r>
                <w:rPr>
                  <w:rFonts w:ascii="Arial" w:cs="Arial" w:eastAsia="Arial" w:hAnsi="Arial"/>
                  <w:sz w:val="16"/>
                  <w:szCs w:val="16"/>
                  <w:color w:val="0000EE"/>
                  <w:w w:val="97"/>
                </w:rPr>
                <w:t>Exhibit 10.1 to the Company’s Quarterly Report on Form 10-Q for the</w:t>
              </w:r>
            </w:hyperlink>
          </w:p>
        </w:tc>
        <w:tc>
          <w:tcPr>
            <w:tcW w:w="0" w:type="dxa"/>
            <w:vAlign w:val="bottom"/>
          </w:tcPr>
          <w:p>
            <w:pPr>
              <w:spacing w:after="0"/>
              <w:rPr>
                <w:sz w:val="1"/>
                <w:szCs w:val="1"/>
                <w:color w:val="auto"/>
              </w:rPr>
            </w:pPr>
          </w:p>
        </w:tc>
      </w:tr>
      <w:tr>
        <w:trPr>
          <w:trHeight w:val="142"/>
        </w:trPr>
        <w:tc>
          <w:tcPr>
            <w:tcW w:w="9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0" w:type="dxa"/>
            <w:vAlign w:val="bottom"/>
            <w:tcBorders>
              <w:top w:val="single" w:sz="8" w:color="CCEEFF"/>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rPr>
              <w:t>(Employees/Executive Officers/Contractors) under the 2010 Stock</w:t>
            </w:r>
          </w:p>
        </w:tc>
        <w:tc>
          <w:tcPr>
            <w:tcW w:w="580" w:type="dxa"/>
            <w:vAlign w:val="bottom"/>
            <w:tcBorders>
              <w:top w:val="single" w:sz="8" w:color="CCEEFF"/>
              <w:right w:val="single" w:sz="8" w:color="CCEEFF"/>
            </w:tcBorders>
            <w:gridSpan w:val="3"/>
            <w:shd w:val="clear" w:color="auto" w:fill="CCEEFF"/>
          </w:tcPr>
          <w:p>
            <w:pPr>
              <w:spacing w:after="0" w:line="142" w:lineRule="exact"/>
              <w:rPr>
                <w:rFonts w:ascii="Arial" w:cs="Arial" w:eastAsia="Arial" w:hAnsi="Arial"/>
                <w:sz w:val="16"/>
                <w:szCs w:val="16"/>
                <w:color w:val="0000EE"/>
              </w:rPr>
            </w:pPr>
            <w:hyperlink r:id="rId180">
              <w:r>
                <w:rPr>
                  <w:rFonts w:ascii="Arial" w:cs="Arial" w:eastAsia="Arial" w:hAnsi="Arial"/>
                  <w:sz w:val="16"/>
                  <w:szCs w:val="16"/>
                  <w:color w:val="0000EE"/>
                </w:rPr>
                <w:t>quarter</w:t>
              </w:r>
            </w:hyperlink>
          </w:p>
        </w:tc>
        <w:tc>
          <w:tcPr>
            <w:tcW w:w="4620" w:type="dxa"/>
            <w:vAlign w:val="bottom"/>
            <w:tcBorders>
              <w:top w:val="single" w:sz="8" w:color="0000EE"/>
              <w:right w:val="single" w:sz="8" w:color="CCEEFF"/>
            </w:tcBorders>
            <w:gridSpan w:val="18"/>
            <w:shd w:val="clear" w:color="auto" w:fill="CCEEFF"/>
          </w:tcPr>
          <w:p>
            <w:pPr>
              <w:spacing w:after="0" w:line="142" w:lineRule="exact"/>
              <w:rPr>
                <w:rFonts w:ascii="Arial" w:cs="Arial" w:eastAsia="Arial" w:hAnsi="Arial"/>
                <w:sz w:val="16"/>
                <w:szCs w:val="16"/>
                <w:color w:val="0000EE"/>
              </w:rPr>
            </w:pPr>
            <w:hyperlink r:id="rId180">
              <w:r>
                <w:rPr>
                  <w:rFonts w:ascii="Arial" w:cs="Arial" w:eastAsia="Arial" w:hAnsi="Arial"/>
                  <w:sz w:val="16"/>
                  <w:szCs w:val="16"/>
                  <w:color w:val="0000EE"/>
                </w:rPr>
                <w:t>ended March 31, 2020</w:t>
              </w:r>
              <w:r>
                <w:rPr>
                  <w:rFonts w:ascii="Arial" w:cs="Arial" w:eastAsia="Arial" w:hAnsi="Arial"/>
                  <w:sz w:val="16"/>
                  <w:szCs w:val="16"/>
                  <w:color w:val="000000"/>
                </w:rPr>
                <w:t>, and incorporated herein by reference.</w:t>
              </w:r>
            </w:hyperlink>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800" w:type="dxa"/>
            <w:vAlign w:val="bottom"/>
            <w:tcBorders>
              <w:top w:val="single" w:sz="8" w:color="CCEEFF"/>
              <w:right w:val="single" w:sz="8" w:color="CCEEFF"/>
            </w:tcBorders>
            <w:gridSpan w:val="12"/>
            <w:shd w:val="clear" w:color="auto" w:fill="CCEEFF"/>
          </w:tcPr>
          <w:p>
            <w:pPr>
              <w:spacing w:after="0" w:line="155" w:lineRule="exact"/>
              <w:rPr>
                <w:sz w:val="20"/>
                <w:szCs w:val="20"/>
                <w:color w:val="auto"/>
              </w:rPr>
            </w:pPr>
            <w:r>
              <w:rPr>
                <w:rFonts w:ascii="Arial" w:cs="Arial" w:eastAsia="Arial" w:hAnsi="Arial"/>
                <w:sz w:val="16"/>
                <w:szCs w:val="16"/>
                <w:color w:val="auto"/>
              </w:rPr>
              <w:t>Incentive Plan</w:t>
            </w:r>
          </w:p>
        </w:tc>
        <w:tc>
          <w:tcPr>
            <w:tcW w:w="320" w:type="dxa"/>
            <w:vAlign w:val="bottom"/>
            <w:tcBorders>
              <w:top w:val="single" w:sz="8" w:color="0000EE"/>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right w:val="single" w:sz="8" w:color="CCEEFF"/>
            </w:tcBorders>
            <w:shd w:val="clear" w:color="auto" w:fill="CCEEFF"/>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240" w:type="dxa"/>
            <w:vAlign w:val="bottom"/>
            <w:tcBorders>
              <w:top w:val="single" w:sz="8" w:color="0000EE"/>
              <w:left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80" w:type="dxa"/>
            <w:vAlign w:val="bottom"/>
            <w:tcBorders>
              <w:top w:val="single" w:sz="8" w:color="0000EE"/>
              <w:right w:val="single" w:sz="8" w:color="CCEEFF"/>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ind w:left="80"/>
              <w:spacing w:after="0" w:line="148" w:lineRule="exact"/>
              <w:rPr>
                <w:sz w:val="20"/>
                <w:szCs w:val="20"/>
                <w:color w:val="auto"/>
              </w:rPr>
            </w:pPr>
            <w:r>
              <w:rPr>
                <w:rFonts w:ascii="Arial" w:cs="Arial" w:eastAsia="Arial" w:hAnsi="Arial"/>
                <w:sz w:val="16"/>
                <w:szCs w:val="16"/>
                <w:color w:val="auto"/>
                <w:w w:val="96"/>
              </w:rPr>
              <w:t>10.4*</w:t>
            </w:r>
          </w:p>
        </w:tc>
        <w:tc>
          <w:tcPr>
            <w:tcW w:w="160" w:type="dxa"/>
            <w:vAlign w:val="bottom"/>
          </w:tcPr>
          <w:p>
            <w:pPr>
              <w:spacing w:after="0"/>
              <w:rPr>
                <w:sz w:val="12"/>
                <w:szCs w:val="12"/>
                <w:color w:val="auto"/>
              </w:rPr>
            </w:pPr>
          </w:p>
        </w:tc>
        <w:tc>
          <w:tcPr>
            <w:tcW w:w="4800" w:type="dxa"/>
            <w:vAlign w:val="bottom"/>
            <w:gridSpan w:val="12"/>
          </w:tcPr>
          <w:p>
            <w:pPr>
              <w:spacing w:after="0" w:line="148" w:lineRule="exact"/>
              <w:rPr>
                <w:sz w:val="20"/>
                <w:szCs w:val="20"/>
                <w:color w:val="auto"/>
              </w:rPr>
            </w:pPr>
            <w:r>
              <w:rPr>
                <w:rFonts w:ascii="Arial" w:cs="Arial" w:eastAsia="Arial" w:hAnsi="Arial"/>
                <w:sz w:val="16"/>
                <w:szCs w:val="16"/>
                <w:color w:val="auto"/>
              </w:rPr>
              <w:t>Form of Restricted Stock Unit Agreement (with Grant Notice) (Non-</w:t>
            </w:r>
          </w:p>
        </w:tc>
        <w:tc>
          <w:tcPr>
            <w:tcW w:w="5360" w:type="dxa"/>
            <w:vAlign w:val="bottom"/>
            <w:gridSpan w:val="24"/>
          </w:tcPr>
          <w:p>
            <w:pPr>
              <w:spacing w:after="0" w:line="148" w:lineRule="exact"/>
              <w:rPr>
                <w:rFonts w:ascii="Arial" w:cs="Arial" w:eastAsia="Arial" w:hAnsi="Arial"/>
                <w:sz w:val="16"/>
                <w:szCs w:val="16"/>
                <w:color w:val="auto"/>
                <w:w w:val="96"/>
              </w:rPr>
            </w:pPr>
            <w:hyperlink r:id="rId180">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10.2 to the Company’s Quarterly Report on Form 10-Q for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0" w:type="dxa"/>
            <w:vAlign w:val="bottom"/>
            <w:gridSpan w:val="12"/>
            <w:vMerge w:val="restart"/>
          </w:tcPr>
          <w:p>
            <w:pPr>
              <w:spacing w:after="0" w:line="162" w:lineRule="exact"/>
              <w:rPr>
                <w:sz w:val="20"/>
                <w:szCs w:val="20"/>
                <w:color w:val="auto"/>
              </w:rPr>
            </w:pPr>
            <w:r>
              <w:rPr>
                <w:rFonts w:ascii="Arial" w:cs="Arial" w:eastAsia="Arial" w:hAnsi="Arial"/>
                <w:sz w:val="16"/>
                <w:szCs w:val="16"/>
                <w:color w:val="auto"/>
              </w:rPr>
              <w:t>Employee Directors) under the 2010 Stock Incentive Plan</w:t>
            </w:r>
          </w:p>
        </w:tc>
        <w:tc>
          <w:tcPr>
            <w:tcW w:w="580" w:type="dxa"/>
            <w:vAlign w:val="bottom"/>
            <w:tcBorders>
              <w:right w:val="single" w:sz="8" w:color="0000FF"/>
            </w:tcBorders>
            <w:gridSpan w:val="3"/>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2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4800" w:type="dxa"/>
            <w:vAlign w:val="bottom"/>
            <w:gridSpan w:val="12"/>
            <w:vMerge w:val="continue"/>
          </w:tcPr>
          <w:p>
            <w:pPr>
              <w:spacing w:after="0"/>
              <w:rPr>
                <w:sz w:val="12"/>
                <w:szCs w:val="12"/>
                <w:color w:val="auto"/>
              </w:rPr>
            </w:pPr>
          </w:p>
        </w:tc>
        <w:tc>
          <w:tcPr>
            <w:tcW w:w="5220" w:type="dxa"/>
            <w:vAlign w:val="bottom"/>
            <w:gridSpan w:val="22"/>
          </w:tcPr>
          <w:p>
            <w:pPr>
              <w:spacing w:after="0" w:line="142" w:lineRule="exact"/>
              <w:rPr>
                <w:rFonts w:ascii="Arial" w:cs="Arial" w:eastAsia="Arial" w:hAnsi="Arial"/>
                <w:sz w:val="16"/>
                <w:szCs w:val="16"/>
                <w:b w:val="1"/>
                <w:bCs w:val="1"/>
                <w:color w:val="0000FF"/>
                <w:w w:val="97"/>
              </w:rPr>
            </w:pPr>
            <w:hyperlink r:id="rId180">
              <w:r>
                <w:rPr>
                  <w:rFonts w:ascii="Arial" w:cs="Arial" w:eastAsia="Arial" w:hAnsi="Arial"/>
                  <w:sz w:val="16"/>
                  <w:szCs w:val="16"/>
                  <w:b w:val="1"/>
                  <w:bCs w:val="1"/>
                  <w:color w:val="0000FF"/>
                  <w:w w:val="97"/>
                </w:rPr>
                <w:t>the quarter ended March 31, 2020</w:t>
              </w:r>
              <w:r>
                <w:rPr>
                  <w:rFonts w:ascii="Arial" w:cs="Arial" w:eastAsia="Arial" w:hAnsi="Arial"/>
                  <w:sz w:val="16"/>
                  <w:szCs w:val="16"/>
                  <w:color w:val="000000"/>
                  <w:w w:val="97"/>
                </w:rPr>
                <w:t>, and incorporated herein by reference.</w:t>
              </w:r>
            </w:hyperlink>
          </w:p>
        </w:tc>
        <w:tc>
          <w:tcPr>
            <w:tcW w:w="1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jc w:val="center"/>
              <w:ind w:left="80"/>
              <w:spacing w:after="0" w:line="142" w:lineRule="exact"/>
              <w:rPr>
                <w:sz w:val="20"/>
                <w:szCs w:val="20"/>
                <w:color w:val="auto"/>
              </w:rPr>
            </w:pPr>
            <w:r>
              <w:rPr>
                <w:rFonts w:ascii="Arial" w:cs="Arial" w:eastAsia="Arial" w:hAnsi="Arial"/>
                <w:sz w:val="16"/>
                <w:szCs w:val="16"/>
                <w:color w:val="auto"/>
                <w:w w:val="96"/>
              </w:rPr>
              <w:t>10.5*</w:t>
            </w:r>
          </w:p>
        </w:tc>
        <w:tc>
          <w:tcPr>
            <w:tcW w:w="160" w:type="dxa"/>
            <w:vAlign w:val="bottom"/>
            <w:shd w:val="clear" w:color="auto" w:fill="CCEEFF"/>
          </w:tcPr>
          <w:p>
            <w:pPr>
              <w:spacing w:after="0"/>
              <w:rPr>
                <w:sz w:val="12"/>
                <w:szCs w:val="12"/>
                <w:color w:val="auto"/>
              </w:rPr>
            </w:pPr>
          </w:p>
        </w:tc>
        <w:tc>
          <w:tcPr>
            <w:tcW w:w="4800" w:type="dxa"/>
            <w:vAlign w:val="bottom"/>
            <w:tcBorders>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w w:val="94"/>
              </w:rPr>
              <w:t>Form of Stock Option Agreement (Non-Directors) under the 2010 Stock</w:t>
            </w:r>
          </w:p>
        </w:tc>
        <w:tc>
          <w:tcPr>
            <w:tcW w:w="5360" w:type="dxa"/>
            <w:vAlign w:val="bottom"/>
            <w:gridSpan w:val="24"/>
            <w:shd w:val="clear" w:color="auto" w:fill="CCEEFF"/>
          </w:tcPr>
          <w:p>
            <w:pPr>
              <w:spacing w:after="0" w:line="142" w:lineRule="exact"/>
              <w:rPr>
                <w:rFonts w:ascii="Arial" w:cs="Arial" w:eastAsia="Arial" w:hAnsi="Arial"/>
                <w:sz w:val="16"/>
                <w:szCs w:val="16"/>
                <w:color w:val="auto"/>
                <w:w w:val="96"/>
              </w:rPr>
            </w:pPr>
            <w:hyperlink r:id="rId180">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10.3 to the Company’s Quarterly Report on Form 10-Q for</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0" w:type="dxa"/>
            <w:vAlign w:val="bottom"/>
            <w:tcBorders>
              <w:right w:val="single" w:sz="8" w:color="CCEEFF"/>
            </w:tcBorders>
            <w:gridSpan w:val="12"/>
            <w:vMerge w:val="restart"/>
            <w:shd w:val="clear" w:color="auto" w:fill="CCEEFF"/>
          </w:tcPr>
          <w:p>
            <w:pPr>
              <w:spacing w:after="0" w:line="162" w:lineRule="exact"/>
              <w:rPr>
                <w:sz w:val="20"/>
                <w:szCs w:val="20"/>
                <w:color w:val="auto"/>
              </w:rPr>
            </w:pPr>
            <w:r>
              <w:rPr>
                <w:rFonts w:ascii="Arial" w:cs="Arial" w:eastAsia="Arial" w:hAnsi="Arial"/>
                <w:sz w:val="16"/>
                <w:szCs w:val="16"/>
                <w:color w:val="auto"/>
              </w:rPr>
              <w:t>Incentive Plan</w:t>
            </w:r>
          </w:p>
        </w:tc>
        <w:tc>
          <w:tcPr>
            <w:tcW w:w="580" w:type="dxa"/>
            <w:vAlign w:val="bottom"/>
            <w:tcBorders>
              <w:right w:val="single" w:sz="8" w:color="0000FF"/>
            </w:tcBorders>
            <w:gridSpan w:val="3"/>
            <w:shd w:val="clear" w:color="auto" w:fill="CCEE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4800" w:type="dxa"/>
            <w:vAlign w:val="bottom"/>
            <w:tcBorders>
              <w:right w:val="single" w:sz="8" w:color="CCEEFF"/>
            </w:tcBorders>
            <w:gridSpan w:val="12"/>
            <w:vMerge w:val="continue"/>
            <w:shd w:val="clear" w:color="auto" w:fill="CCEEFF"/>
          </w:tcPr>
          <w:p>
            <w:pPr>
              <w:spacing w:after="0"/>
              <w:rPr>
                <w:sz w:val="12"/>
                <w:szCs w:val="12"/>
                <w:color w:val="auto"/>
              </w:rPr>
            </w:pPr>
          </w:p>
        </w:tc>
        <w:tc>
          <w:tcPr>
            <w:tcW w:w="5220" w:type="dxa"/>
            <w:vAlign w:val="bottom"/>
            <w:gridSpan w:val="22"/>
            <w:shd w:val="clear" w:color="auto" w:fill="CCEEFF"/>
          </w:tcPr>
          <w:p>
            <w:pPr>
              <w:spacing w:after="0" w:line="142" w:lineRule="exact"/>
              <w:rPr>
                <w:rFonts w:ascii="Arial" w:cs="Arial" w:eastAsia="Arial" w:hAnsi="Arial"/>
                <w:sz w:val="16"/>
                <w:szCs w:val="16"/>
                <w:b w:val="1"/>
                <w:bCs w:val="1"/>
                <w:color w:val="0000FF"/>
                <w:w w:val="97"/>
              </w:rPr>
            </w:pPr>
            <w:hyperlink r:id="rId180">
              <w:r>
                <w:rPr>
                  <w:rFonts w:ascii="Arial" w:cs="Arial" w:eastAsia="Arial" w:hAnsi="Arial"/>
                  <w:sz w:val="16"/>
                  <w:szCs w:val="16"/>
                  <w:b w:val="1"/>
                  <w:bCs w:val="1"/>
                  <w:color w:val="0000FF"/>
                  <w:w w:val="97"/>
                </w:rPr>
                <w:t>the quarter ended March 31, 2020</w:t>
              </w:r>
              <w:r>
                <w:rPr>
                  <w:rFonts w:ascii="Arial" w:cs="Arial" w:eastAsia="Arial" w:hAnsi="Arial"/>
                  <w:sz w:val="16"/>
                  <w:szCs w:val="16"/>
                  <w:color w:val="000000"/>
                  <w:w w:val="97"/>
                </w:rPr>
                <w:t>, and incorporated herein by reference.</w:t>
              </w:r>
            </w:hyperlink>
          </w:p>
        </w:tc>
        <w:tc>
          <w:tcPr>
            <w:tcW w:w="120" w:type="dxa"/>
            <w:vAlign w:val="bottom"/>
            <w:tcBorders>
              <w:left w:val="single" w:sz="8" w:color="CCEEFF"/>
              <w:right w:val="single" w:sz="8" w:color="CCEEFF"/>
            </w:tcBorders>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tcPr>
          <w:p>
            <w:pPr>
              <w:jc w:val="center"/>
              <w:ind w:left="80"/>
              <w:spacing w:after="0" w:line="155" w:lineRule="exact"/>
              <w:rPr>
                <w:sz w:val="20"/>
                <w:szCs w:val="20"/>
                <w:color w:val="auto"/>
              </w:rPr>
            </w:pPr>
            <w:r>
              <w:rPr>
                <w:rFonts w:ascii="Arial" w:cs="Arial" w:eastAsia="Arial" w:hAnsi="Arial"/>
                <w:sz w:val="16"/>
                <w:szCs w:val="16"/>
                <w:color w:val="auto"/>
                <w:w w:val="96"/>
              </w:rPr>
              <w:t>10.6*</w:t>
            </w:r>
          </w:p>
        </w:tc>
        <w:tc>
          <w:tcPr>
            <w:tcW w:w="160" w:type="dxa"/>
            <w:vAlign w:val="bottom"/>
          </w:tcPr>
          <w:p>
            <w:pPr>
              <w:spacing w:after="0"/>
              <w:rPr>
                <w:sz w:val="13"/>
                <w:szCs w:val="13"/>
                <w:color w:val="auto"/>
              </w:rPr>
            </w:pPr>
          </w:p>
        </w:tc>
        <w:tc>
          <w:tcPr>
            <w:tcW w:w="4800" w:type="dxa"/>
            <w:vAlign w:val="bottom"/>
            <w:gridSpan w:val="12"/>
          </w:tcPr>
          <w:p>
            <w:pPr>
              <w:spacing w:after="0" w:line="155" w:lineRule="exact"/>
              <w:rPr>
                <w:sz w:val="20"/>
                <w:szCs w:val="20"/>
                <w:color w:val="auto"/>
              </w:rPr>
            </w:pPr>
            <w:r>
              <w:rPr>
                <w:rFonts w:ascii="Arial" w:cs="Arial" w:eastAsia="Arial" w:hAnsi="Arial"/>
                <w:sz w:val="16"/>
                <w:szCs w:val="16"/>
                <w:color w:val="auto"/>
              </w:rPr>
              <w:t>2020 Stock Incentive Plan</w:t>
            </w:r>
          </w:p>
        </w:tc>
        <w:tc>
          <w:tcPr>
            <w:tcW w:w="5360" w:type="dxa"/>
            <w:vAlign w:val="bottom"/>
            <w:gridSpan w:val="24"/>
          </w:tcPr>
          <w:p>
            <w:pPr>
              <w:spacing w:after="0" w:line="155" w:lineRule="exact"/>
              <w:rPr>
                <w:rFonts w:ascii="Arial" w:cs="Arial" w:eastAsia="Arial" w:hAnsi="Arial"/>
                <w:sz w:val="16"/>
                <w:szCs w:val="16"/>
                <w:color w:val="auto"/>
                <w:w w:val="91"/>
              </w:rPr>
            </w:pPr>
            <w:hyperlink r:id="rId181">
              <w:r>
                <w:rPr>
                  <w:rFonts w:ascii="Arial" w:cs="Arial" w:eastAsia="Arial" w:hAnsi="Arial"/>
                  <w:sz w:val="16"/>
                  <w:szCs w:val="16"/>
                  <w:color w:val="auto"/>
                  <w:w w:val="91"/>
                </w:rPr>
                <w:t xml:space="preserve">Filed as </w:t>
              </w:r>
              <w:r>
                <w:rPr>
                  <w:rFonts w:ascii="Arial" w:cs="Arial" w:eastAsia="Arial" w:hAnsi="Arial"/>
                  <w:sz w:val="16"/>
                  <w:szCs w:val="16"/>
                  <w:b w:val="1"/>
                  <w:bCs w:val="1"/>
                  <w:color w:val="0000FF"/>
                  <w:w w:val="91"/>
                </w:rPr>
                <w:t>Appendix A to the Company’s Proxy Statement filed on November 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restart"/>
          </w:tcPr>
          <w:p>
            <w:pPr>
              <w:jc w:val="center"/>
              <w:ind w:left="60"/>
              <w:spacing w:after="0"/>
              <w:rPr>
                <w:sz w:val="20"/>
                <w:szCs w:val="20"/>
                <w:color w:val="auto"/>
              </w:rPr>
            </w:pPr>
            <w:r>
              <w:rPr>
                <w:rFonts w:ascii="Arial" w:cs="Arial" w:eastAsia="Arial" w:hAnsi="Arial"/>
                <w:sz w:val="16"/>
                <w:szCs w:val="16"/>
                <w:color w:val="auto"/>
                <w:w w:val="98"/>
              </w:rPr>
              <w:t>10.7*+</w:t>
            </w:r>
          </w:p>
        </w:tc>
        <w:tc>
          <w:tcPr>
            <w:tcW w:w="160" w:type="dxa"/>
            <w:vAlign w:val="bottom"/>
          </w:tcPr>
          <w:p>
            <w:pPr>
              <w:spacing w:after="0"/>
              <w:rPr>
                <w:sz w:val="14"/>
                <w:szCs w:val="14"/>
                <w:color w:val="auto"/>
              </w:rPr>
            </w:pPr>
          </w:p>
        </w:tc>
        <w:tc>
          <w:tcPr>
            <w:tcW w:w="4800" w:type="dxa"/>
            <w:vAlign w:val="bottom"/>
            <w:gridSpan w:val="12"/>
            <w:vMerge w:val="restart"/>
          </w:tcPr>
          <w:p>
            <w:pPr>
              <w:spacing w:after="0"/>
              <w:rPr>
                <w:rFonts w:ascii="Arial" w:cs="Arial" w:eastAsia="Arial" w:hAnsi="Arial"/>
                <w:sz w:val="16"/>
                <w:szCs w:val="16"/>
                <w:b w:val="1"/>
                <w:bCs w:val="1"/>
                <w:color w:val="0000FF"/>
                <w:w w:val="93"/>
              </w:rPr>
            </w:pPr>
            <w:hyperlink w:anchor="page136">
              <w:r>
                <w:rPr>
                  <w:rFonts w:ascii="Arial" w:cs="Arial" w:eastAsia="Arial" w:hAnsi="Arial"/>
                  <w:sz w:val="16"/>
                  <w:szCs w:val="16"/>
                  <w:b w:val="1"/>
                  <w:bCs w:val="1"/>
                  <w:color w:val="0000FF"/>
                  <w:w w:val="93"/>
                </w:rPr>
                <w:t>Form of Restricted Stock Unit Agreement (with Grant Notice) (Non-</w:t>
              </w:r>
            </w:hyperlink>
          </w:p>
        </w:tc>
        <w:tc>
          <w:tcPr>
            <w:tcW w:w="5340" w:type="dxa"/>
            <w:vAlign w:val="bottom"/>
            <w:gridSpan w:val="23"/>
          </w:tcPr>
          <w:p>
            <w:pPr>
              <w:spacing w:after="0" w:line="169" w:lineRule="exact"/>
              <w:rPr>
                <w:rFonts w:ascii="Arial" w:cs="Arial" w:eastAsia="Arial" w:hAnsi="Arial"/>
                <w:sz w:val="16"/>
                <w:szCs w:val="16"/>
                <w:b w:val="1"/>
                <w:bCs w:val="1"/>
                <w:color w:val="0000FF"/>
              </w:rPr>
            </w:pPr>
            <w:hyperlink r:id="rId181">
              <w:r>
                <w:rPr>
                  <w:rFonts w:ascii="Arial" w:cs="Arial" w:eastAsia="Arial" w:hAnsi="Arial"/>
                  <w:sz w:val="16"/>
                  <w:szCs w:val="16"/>
                  <w:b w:val="1"/>
                  <w:bCs w:val="1"/>
                  <w:color w:val="0000FF"/>
                </w:rPr>
                <w:t>2020</w:t>
              </w:r>
              <w:r>
                <w:rPr>
                  <w:rFonts w:ascii="Arial" w:cs="Arial" w:eastAsia="Arial" w:hAnsi="Arial"/>
                  <w:sz w:val="16"/>
                  <w:szCs w:val="16"/>
                  <w:color w:val="000000"/>
                </w:rPr>
                <w:t>, and incorporated herein by reference.</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gridSpan w:val="12"/>
            <w:vMerge w:val="continue"/>
          </w:tcPr>
          <w:p>
            <w:pPr>
              <w:spacing w:after="0"/>
              <w:rPr>
                <w:sz w:val="13"/>
                <w:szCs w:val="13"/>
                <w:color w:val="auto"/>
              </w:rPr>
            </w:pPr>
          </w:p>
        </w:tc>
        <w:tc>
          <w:tcPr>
            <w:tcW w:w="320" w:type="dxa"/>
            <w:vAlign w:val="bottom"/>
            <w:tcBorders>
              <w:top w:val="single" w:sz="8" w:color="0000FF"/>
            </w:tcBorders>
          </w:tcPr>
          <w:p>
            <w:pPr>
              <w:spacing w:after="0" w:line="155" w:lineRule="exact"/>
              <w:rPr>
                <w:sz w:val="20"/>
                <w:szCs w:val="20"/>
                <w:color w:val="auto"/>
              </w:rPr>
            </w:pPr>
            <w:r>
              <w:rPr>
                <w:rFonts w:ascii="Arial" w:cs="Arial" w:eastAsia="Arial" w:hAnsi="Arial"/>
                <w:sz w:val="16"/>
                <w:szCs w:val="16"/>
                <w:color w:val="auto"/>
              </w:rPr>
              <w:t>N/A</w:t>
            </w:r>
          </w:p>
        </w:tc>
        <w:tc>
          <w:tcPr>
            <w:tcW w:w="1040" w:type="dxa"/>
            <w:vAlign w:val="bottom"/>
            <w:gridSpan w:val="4"/>
          </w:tcPr>
          <w:p>
            <w:pPr>
              <w:spacing w:after="0"/>
              <w:rPr>
                <w:sz w:val="13"/>
                <w:szCs w:val="13"/>
                <w:color w:val="auto"/>
              </w:rPr>
            </w:pPr>
          </w:p>
        </w:tc>
        <w:tc>
          <w:tcPr>
            <w:tcW w:w="440" w:type="dxa"/>
            <w:vAlign w:val="bottom"/>
            <w:gridSpan w:val="3"/>
          </w:tcPr>
          <w:p>
            <w:pPr>
              <w:spacing w:after="0"/>
              <w:rPr>
                <w:sz w:val="13"/>
                <w:szCs w:val="13"/>
                <w:color w:val="auto"/>
              </w:rPr>
            </w:pPr>
          </w:p>
        </w:tc>
        <w:tc>
          <w:tcPr>
            <w:tcW w:w="2940" w:type="dxa"/>
            <w:vAlign w:val="bottom"/>
            <w:gridSpan w:val="9"/>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jc w:val="center"/>
              <w:ind w:left="60"/>
              <w:spacing w:after="0"/>
              <w:rPr>
                <w:sz w:val="20"/>
                <w:szCs w:val="20"/>
                <w:color w:val="auto"/>
              </w:rPr>
            </w:pPr>
            <w:r>
              <w:rPr>
                <w:rFonts w:ascii="Arial" w:cs="Arial" w:eastAsia="Arial" w:hAnsi="Arial"/>
                <w:sz w:val="16"/>
                <w:szCs w:val="16"/>
                <w:color w:val="auto"/>
                <w:w w:val="98"/>
              </w:rPr>
              <w:t>10.8*+</w:t>
            </w:r>
          </w:p>
        </w:tc>
        <w:tc>
          <w:tcPr>
            <w:tcW w:w="16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39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b w:val="1"/>
                <w:bCs w:val="1"/>
                <w:color w:val="0000FF"/>
                <w:w w:val="90"/>
              </w:rPr>
            </w:pPr>
            <w:hyperlink w:anchor="page136">
              <w:r>
                <w:rPr>
                  <w:rFonts w:ascii="Arial" w:cs="Arial" w:eastAsia="Arial" w:hAnsi="Arial"/>
                  <w:sz w:val="16"/>
                  <w:szCs w:val="16"/>
                  <w:b w:val="1"/>
                  <w:bCs w:val="1"/>
                  <w:color w:val="0000FF"/>
                  <w:w w:val="90"/>
                </w:rPr>
                <w:t>Employee Directors) under the 2020 Stock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740" w:type="dxa"/>
            <w:vAlign w:val="bottom"/>
            <w:tcBorders>
              <w:top w:val="single" w:sz="8" w:color="0000FF"/>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4"/>
            <w:vMerge w:val="restart"/>
          </w:tcPr>
          <w:p>
            <w:pP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2"/>
          </w:tcPr>
          <w:p>
            <w:pPr>
              <w:spacing w:after="0" w:line="142" w:lineRule="exact"/>
              <w:rPr>
                <w:rFonts w:ascii="Arial" w:cs="Arial" w:eastAsia="Arial" w:hAnsi="Arial"/>
                <w:sz w:val="16"/>
                <w:szCs w:val="16"/>
                <w:b w:val="1"/>
                <w:bCs w:val="1"/>
                <w:color w:val="0000FF"/>
              </w:rPr>
            </w:pPr>
            <w:hyperlink w:anchor="page145">
              <w:r>
                <w:rPr>
                  <w:rFonts w:ascii="Arial" w:cs="Arial" w:eastAsia="Arial" w:hAnsi="Arial"/>
                  <w:sz w:val="16"/>
                  <w:szCs w:val="16"/>
                  <w:b w:val="1"/>
                  <w:bCs w:val="1"/>
                  <w:color w:val="0000FF"/>
                </w:rPr>
                <w:t>Form of Restricted Stock Unit Agreement (with Grant Notice)</w:t>
              </w:r>
            </w:hyperlink>
          </w:p>
        </w:tc>
        <w:tc>
          <w:tcPr>
            <w:tcW w:w="5360" w:type="dxa"/>
            <w:vAlign w:val="bottom"/>
            <w:gridSpan w:val="2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38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b w:val="1"/>
                <w:bCs w:val="1"/>
                <w:color w:val="0000FF"/>
                <w:w w:val="91"/>
              </w:rPr>
            </w:pPr>
            <w:hyperlink w:anchor="page145">
              <w:r>
                <w:rPr>
                  <w:rFonts w:ascii="Arial" w:cs="Arial" w:eastAsia="Arial" w:hAnsi="Arial"/>
                  <w:sz w:val="16"/>
                  <w:szCs w:val="16"/>
                  <w:b w:val="1"/>
                  <w:bCs w:val="1"/>
                  <w:color w:val="0000FF"/>
                  <w:w w:val="91"/>
                </w:rPr>
                <w:t>(Executive Officer) under the 2020 Stock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440" w:type="dxa"/>
            <w:vAlign w:val="bottom"/>
            <w:tcBorders>
              <w:top w:val="single" w:sz="8" w:color="0000FF"/>
            </w:tcBorders>
            <w:gridSpan w:val="4"/>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jc w:val="center"/>
              <w:ind w:left="60"/>
              <w:spacing w:after="0" w:line="142" w:lineRule="exact"/>
              <w:rPr>
                <w:sz w:val="20"/>
                <w:szCs w:val="20"/>
                <w:color w:val="auto"/>
              </w:rPr>
            </w:pPr>
            <w:r>
              <w:rPr>
                <w:rFonts w:ascii="Arial" w:cs="Arial" w:eastAsia="Arial" w:hAnsi="Arial"/>
                <w:sz w:val="16"/>
                <w:szCs w:val="16"/>
                <w:color w:val="auto"/>
                <w:w w:val="98"/>
              </w:rPr>
              <w:t>10.9*+</w:t>
            </w:r>
          </w:p>
        </w:tc>
        <w:tc>
          <w:tcPr>
            <w:tcW w:w="160" w:type="dxa"/>
            <w:vAlign w:val="bottom"/>
          </w:tcPr>
          <w:p>
            <w:pPr>
              <w:spacing w:after="0"/>
              <w:rPr>
                <w:sz w:val="12"/>
                <w:szCs w:val="12"/>
                <w:color w:val="auto"/>
              </w:rPr>
            </w:pPr>
          </w:p>
        </w:tc>
        <w:tc>
          <w:tcPr>
            <w:tcW w:w="3880" w:type="dxa"/>
            <w:vAlign w:val="bottom"/>
            <w:gridSpan w:val="5"/>
          </w:tcPr>
          <w:p>
            <w:pPr>
              <w:spacing w:after="0" w:line="142" w:lineRule="exact"/>
              <w:rPr>
                <w:rFonts w:ascii="Arial" w:cs="Arial" w:eastAsia="Arial" w:hAnsi="Arial"/>
                <w:sz w:val="16"/>
                <w:szCs w:val="16"/>
                <w:b w:val="1"/>
                <w:bCs w:val="1"/>
                <w:color w:val="0000FF"/>
                <w:w w:val="95"/>
              </w:rPr>
            </w:pPr>
            <w:hyperlink w:anchor="page158">
              <w:r>
                <w:rPr>
                  <w:rFonts w:ascii="Arial" w:cs="Arial" w:eastAsia="Arial" w:hAnsi="Arial"/>
                  <w:sz w:val="16"/>
                  <w:szCs w:val="16"/>
                  <w:b w:val="1"/>
                  <w:bCs w:val="1"/>
                  <w:color w:val="0000FF"/>
                  <w:w w:val="95"/>
                </w:rPr>
                <w:t>Form of Stock Option Agreement (Director) under the</w:t>
              </w:r>
            </w:hyperlink>
          </w:p>
        </w:tc>
        <w:tc>
          <w:tcPr>
            <w:tcW w:w="920" w:type="dxa"/>
            <w:vAlign w:val="bottom"/>
            <w:gridSpan w:val="7"/>
          </w:tcPr>
          <w:p>
            <w:pPr>
              <w:spacing w:after="0" w:line="142" w:lineRule="exact"/>
              <w:rPr>
                <w:rFonts w:ascii="Arial" w:cs="Arial" w:eastAsia="Arial" w:hAnsi="Arial"/>
                <w:sz w:val="16"/>
                <w:szCs w:val="16"/>
                <w:b w:val="1"/>
                <w:bCs w:val="1"/>
                <w:color w:val="0000FF"/>
              </w:rPr>
            </w:pPr>
            <w:hyperlink w:anchor="page158">
              <w:r>
                <w:rPr>
                  <w:rFonts w:ascii="Arial" w:cs="Arial" w:eastAsia="Arial" w:hAnsi="Arial"/>
                  <w:sz w:val="16"/>
                  <w:szCs w:val="16"/>
                  <w:b w:val="1"/>
                  <w:bCs w:val="1"/>
                  <w:color w:val="0000FF"/>
                </w:rPr>
                <w:t>2020 Stock</w:t>
              </w:r>
            </w:hyperlink>
          </w:p>
        </w:tc>
        <w:tc>
          <w:tcPr>
            <w:tcW w:w="5360" w:type="dxa"/>
            <w:vAlign w:val="bottom"/>
            <w:gridSpan w:val="24"/>
          </w:tcPr>
          <w:p>
            <w:pPr>
              <w:spacing w:after="0" w:line="142"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9"/>
          </w:tcPr>
          <w:p>
            <w:pPr>
              <w:spacing w:after="0" w:line="142" w:lineRule="exact"/>
              <w:rPr>
                <w:rFonts w:ascii="Arial" w:cs="Arial" w:eastAsia="Arial" w:hAnsi="Arial"/>
                <w:sz w:val="16"/>
                <w:szCs w:val="16"/>
                <w:b w:val="1"/>
                <w:bCs w:val="1"/>
                <w:color w:val="0000FF"/>
              </w:rPr>
            </w:pPr>
            <w:hyperlink w:anchor="page158">
              <w:r>
                <w:rPr>
                  <w:rFonts w:ascii="Arial" w:cs="Arial" w:eastAsia="Arial" w:hAnsi="Arial"/>
                  <w:sz w:val="16"/>
                  <w:szCs w:val="16"/>
                  <w:b w:val="1"/>
                  <w:bCs w:val="1"/>
                  <w:color w:val="0000FF"/>
                </w:rPr>
                <w:t>Incentive Plan</w:t>
              </w:r>
            </w:hyperlink>
          </w:p>
        </w:tc>
        <w:tc>
          <w:tcPr>
            <w:tcW w:w="22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jc w:val="center"/>
              <w:ind w:left="80"/>
              <w:spacing w:after="0" w:line="142" w:lineRule="exact"/>
              <w:rPr>
                <w:sz w:val="20"/>
                <w:szCs w:val="20"/>
                <w:color w:val="auto"/>
              </w:rPr>
            </w:pPr>
            <w:r>
              <w:rPr>
                <w:rFonts w:ascii="Arial" w:cs="Arial" w:eastAsia="Arial" w:hAnsi="Arial"/>
                <w:sz w:val="16"/>
                <w:szCs w:val="16"/>
                <w:color w:val="auto"/>
                <w:w w:val="89"/>
              </w:rPr>
              <w:t>10.10</w:t>
            </w:r>
          </w:p>
        </w:tc>
        <w:tc>
          <w:tcPr>
            <w:tcW w:w="160" w:type="dxa"/>
            <w:vAlign w:val="bottom"/>
            <w:shd w:val="clear" w:color="auto" w:fill="CCEEFF"/>
          </w:tcPr>
          <w:p>
            <w:pPr>
              <w:spacing w:after="0"/>
              <w:rPr>
                <w:sz w:val="12"/>
                <w:szCs w:val="12"/>
                <w:color w:val="auto"/>
              </w:rPr>
            </w:pPr>
          </w:p>
        </w:tc>
        <w:tc>
          <w:tcPr>
            <w:tcW w:w="4800" w:type="dxa"/>
            <w:vAlign w:val="bottom"/>
            <w:tcBorders>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w w:val="92"/>
              </w:rPr>
              <w:t>Amended and Restated Lease Agreement, dated as of July 28, 2000, as</w:t>
            </w:r>
          </w:p>
        </w:tc>
        <w:tc>
          <w:tcPr>
            <w:tcW w:w="5360" w:type="dxa"/>
            <w:vAlign w:val="bottom"/>
            <w:gridSpan w:val="24"/>
            <w:shd w:val="clear" w:color="auto" w:fill="CCEEFF"/>
          </w:tcPr>
          <w:p>
            <w:pPr>
              <w:spacing w:after="0" w:line="142" w:lineRule="exact"/>
              <w:rPr>
                <w:rFonts w:ascii="Arial" w:cs="Arial" w:eastAsia="Arial" w:hAnsi="Arial"/>
                <w:sz w:val="16"/>
                <w:szCs w:val="16"/>
                <w:color w:val="auto"/>
                <w:w w:val="93"/>
              </w:rPr>
            </w:pPr>
            <w:r>
              <w:rPr>
                <w:rFonts w:ascii="Arial" w:cs="Arial" w:eastAsia="Arial" w:hAnsi="Arial"/>
                <w:sz w:val="16"/>
                <w:szCs w:val="16"/>
                <w:color w:val="auto"/>
                <w:w w:val="93"/>
              </w:rPr>
              <w:t xml:space="preserve">Filed as </w:t>
            </w:r>
            <w:hyperlink r:id="rId182">
              <w:r>
                <w:rPr>
                  <w:rFonts w:ascii="Arial" w:cs="Arial" w:eastAsia="Arial" w:hAnsi="Arial"/>
                  <w:sz w:val="16"/>
                  <w:szCs w:val="16"/>
                  <w:b w:val="1"/>
                  <w:bCs w:val="1"/>
                  <w:color w:val="0000FF"/>
                  <w:w w:val="93"/>
                </w:rPr>
                <w:t>Exhibit 10.40 to the Company’s Annual Report on Form 10-K</w:t>
              </w:r>
              <w:r>
                <w:rPr>
                  <w:rFonts w:ascii="Arial" w:cs="Arial" w:eastAsia="Arial" w:hAnsi="Arial"/>
                  <w:sz w:val="16"/>
                  <w:szCs w:val="16"/>
                  <w:color w:val="auto"/>
                  <w:w w:val="93"/>
                </w:rPr>
                <w:t xml:space="preserve"> </w:t>
              </w:r>
            </w:hyperlink>
            <w:r>
              <w:rPr>
                <w:rFonts w:ascii="Arial" w:cs="Arial" w:eastAsia="Arial" w:hAnsi="Arial"/>
                <w:sz w:val="16"/>
                <w:szCs w:val="16"/>
                <w:color w:val="auto"/>
                <w:w w:val="93"/>
              </w:rPr>
              <w:t>for the</w:t>
            </w: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0" w:type="dxa"/>
            <w:vAlign w:val="bottom"/>
            <w:tcBorders>
              <w:right w:val="single" w:sz="8" w:color="CCEEFF"/>
            </w:tcBorders>
            <w:gridSpan w:val="12"/>
            <w:vMerge w:val="restart"/>
            <w:shd w:val="clear" w:color="auto" w:fill="CCEEFF"/>
          </w:tcPr>
          <w:p>
            <w:pPr>
              <w:spacing w:after="0" w:line="152" w:lineRule="exact"/>
              <w:rPr>
                <w:sz w:val="20"/>
                <w:szCs w:val="20"/>
                <w:color w:val="auto"/>
              </w:rPr>
            </w:pPr>
            <w:r>
              <w:rPr>
                <w:rFonts w:ascii="Arial" w:cs="Arial" w:eastAsia="Arial" w:hAnsi="Arial"/>
                <w:sz w:val="16"/>
                <w:szCs w:val="16"/>
                <w:color w:val="auto"/>
              </w:rPr>
              <w:t>amended and restated as of January 29, 2002, between Sutton Hill</w:t>
            </w:r>
          </w:p>
        </w:tc>
        <w:tc>
          <w:tcPr>
            <w:tcW w:w="580" w:type="dxa"/>
            <w:vAlign w:val="bottom"/>
            <w:tcBorders>
              <w:right w:val="single" w:sz="8" w:color="0000FF"/>
            </w:tcBorders>
            <w:gridSpan w:val="3"/>
            <w:shd w:val="clear" w:color="auto" w:fill="CCEE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vMerge w:val="restart"/>
            <w:shd w:val="clear" w:color="auto" w:fill="CCEEFF"/>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140" w:type="dxa"/>
            <w:vAlign w:val="bottom"/>
            <w:tcBorders>
              <w:left w:val="single" w:sz="8" w:color="CCEEFF"/>
            </w:tcBorders>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0" w:type="dxa"/>
            <w:vAlign w:val="bottom"/>
            <w:tcBorders>
              <w:right w:val="single" w:sz="8" w:color="CCEEFF"/>
            </w:tcBorders>
            <w:gridSpan w:val="12"/>
            <w:vMerge w:val="continue"/>
            <w:shd w:val="clear" w:color="auto" w:fill="CCEEFF"/>
          </w:tcPr>
          <w:p>
            <w:pPr>
              <w:spacing w:after="0"/>
              <w:rPr>
                <w:sz w:val="11"/>
                <w:szCs w:val="11"/>
                <w:color w:val="auto"/>
              </w:rPr>
            </w:pPr>
          </w:p>
        </w:tc>
        <w:tc>
          <w:tcPr>
            <w:tcW w:w="4820" w:type="dxa"/>
            <w:vAlign w:val="bottom"/>
            <w:gridSpan w:val="18"/>
            <w:shd w:val="clear" w:color="auto" w:fill="CCEEFF"/>
          </w:tcPr>
          <w:p>
            <w:pPr>
              <w:spacing w:after="0" w:line="132" w:lineRule="exact"/>
              <w:rPr>
                <w:sz w:val="20"/>
                <w:szCs w:val="20"/>
                <w:color w:val="auto"/>
              </w:rPr>
            </w:pPr>
            <w:r>
              <w:rPr>
                <w:rFonts w:ascii="Arial" w:cs="Arial" w:eastAsia="Arial" w:hAnsi="Arial"/>
                <w:sz w:val="15"/>
                <w:szCs w:val="15"/>
                <w:color w:val="auto"/>
              </w:rPr>
              <w:t>year ended December 31, 2002 and incorporated herein by reference.</w:t>
            </w:r>
          </w:p>
        </w:tc>
        <w:tc>
          <w:tcPr>
            <w:tcW w:w="300" w:type="dxa"/>
            <w:vAlign w:val="bottom"/>
            <w:gridSpan w:val="2"/>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140" w:type="dxa"/>
            <w:vAlign w:val="bottom"/>
            <w:tcBorders>
              <w:left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0" w:type="dxa"/>
            <w:vAlign w:val="bottom"/>
            <w:tcBorders>
              <w:right w:val="single" w:sz="8" w:color="CCEEFF"/>
            </w:tcBorders>
            <w:gridSpan w:val="12"/>
            <w:shd w:val="clear" w:color="auto" w:fill="CCEEFF"/>
          </w:tcPr>
          <w:p>
            <w:pPr>
              <w:spacing w:after="0"/>
              <w:rPr>
                <w:sz w:val="20"/>
                <w:szCs w:val="20"/>
                <w:color w:val="auto"/>
              </w:rPr>
            </w:pPr>
            <w:r>
              <w:rPr>
                <w:rFonts w:ascii="Arial" w:cs="Arial" w:eastAsia="Arial" w:hAnsi="Arial"/>
                <w:sz w:val="16"/>
                <w:szCs w:val="16"/>
                <w:color w:val="auto"/>
              </w:rPr>
              <w:t>Capital, L.L.C. and Citadel Cinemas, Inc.</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center"/>
              <w:ind w:left="80"/>
              <w:spacing w:after="0" w:line="148" w:lineRule="exact"/>
              <w:rPr>
                <w:sz w:val="20"/>
                <w:szCs w:val="20"/>
                <w:color w:val="auto"/>
              </w:rPr>
            </w:pPr>
            <w:r>
              <w:rPr>
                <w:rFonts w:ascii="Arial" w:cs="Arial" w:eastAsia="Arial" w:hAnsi="Arial"/>
                <w:sz w:val="16"/>
                <w:szCs w:val="16"/>
                <w:color w:val="auto"/>
                <w:w w:val="89"/>
              </w:rPr>
              <w:t>10.11</w:t>
            </w:r>
          </w:p>
        </w:tc>
        <w:tc>
          <w:tcPr>
            <w:tcW w:w="160" w:type="dxa"/>
            <w:vAlign w:val="bottom"/>
          </w:tcPr>
          <w:p>
            <w:pPr>
              <w:spacing w:after="0"/>
              <w:rPr>
                <w:sz w:val="12"/>
                <w:szCs w:val="12"/>
                <w:color w:val="auto"/>
              </w:rPr>
            </w:pPr>
          </w:p>
        </w:tc>
        <w:tc>
          <w:tcPr>
            <w:tcW w:w="4800" w:type="dxa"/>
            <w:vAlign w:val="bottom"/>
            <w:gridSpan w:val="12"/>
          </w:tcPr>
          <w:p>
            <w:pPr>
              <w:spacing w:after="0" w:line="148" w:lineRule="exact"/>
              <w:rPr>
                <w:sz w:val="20"/>
                <w:szCs w:val="20"/>
                <w:color w:val="auto"/>
              </w:rPr>
            </w:pPr>
            <w:r>
              <w:rPr>
                <w:rFonts w:ascii="Arial" w:cs="Arial" w:eastAsia="Arial" w:hAnsi="Arial"/>
                <w:sz w:val="16"/>
                <w:szCs w:val="16"/>
                <w:color w:val="auto"/>
                <w:w w:val="93"/>
              </w:rPr>
              <w:t>Second Amendment to Amended and Restated Master Operating Lease</w:t>
            </w:r>
          </w:p>
        </w:tc>
        <w:tc>
          <w:tcPr>
            <w:tcW w:w="5360" w:type="dxa"/>
            <w:vAlign w:val="bottom"/>
            <w:gridSpan w:val="24"/>
          </w:tcPr>
          <w:p>
            <w:pPr>
              <w:spacing w:after="0" w:line="148" w:lineRule="exact"/>
              <w:rPr>
                <w:rFonts w:ascii="Arial" w:cs="Arial" w:eastAsia="Arial" w:hAnsi="Arial"/>
                <w:sz w:val="16"/>
                <w:szCs w:val="16"/>
                <w:color w:val="auto"/>
              </w:rPr>
            </w:pPr>
            <w:hyperlink r:id="rId183">
              <w:r>
                <w:rPr>
                  <w:rFonts w:ascii="Arial" w:cs="Arial" w:eastAsia="Arial" w:hAnsi="Arial"/>
                  <w:sz w:val="16"/>
                  <w:szCs w:val="16"/>
                  <w:color w:val="auto"/>
                </w:rPr>
                <w:t xml:space="preserve">Filed as </w:t>
              </w:r>
              <w:r>
                <w:rPr>
                  <w:rFonts w:ascii="Arial" w:cs="Arial" w:eastAsia="Arial" w:hAnsi="Arial"/>
                  <w:sz w:val="16"/>
                  <w:szCs w:val="16"/>
                  <w:b w:val="1"/>
                  <w:bCs w:val="1"/>
                  <w:color w:val="0000FF"/>
                </w:rPr>
                <w:t>Exhibit 10.58 to the Company’s report on Form 8-K filed 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gridSpan w:val="12"/>
            <w:vMerge w:val="restart"/>
          </w:tcPr>
          <w:p>
            <w:pPr>
              <w:spacing w:after="0" w:line="162" w:lineRule="exact"/>
              <w:rPr>
                <w:sz w:val="20"/>
                <w:szCs w:val="20"/>
                <w:color w:val="auto"/>
              </w:rPr>
            </w:pPr>
            <w:r>
              <w:rPr>
                <w:rFonts w:ascii="Arial" w:cs="Arial" w:eastAsia="Arial" w:hAnsi="Arial"/>
                <w:sz w:val="16"/>
                <w:szCs w:val="16"/>
                <w:color w:val="auto"/>
              </w:rPr>
              <w:t>dated as of September 1, 2005</w:t>
            </w:r>
          </w:p>
        </w:tc>
        <w:tc>
          <w:tcPr>
            <w:tcW w:w="580" w:type="dxa"/>
            <w:vAlign w:val="bottom"/>
            <w:tcBorders>
              <w:right w:val="single" w:sz="8" w:color="0000FF"/>
            </w:tcBorders>
            <w:gridSpan w:val="3"/>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380" w:type="dxa"/>
            <w:vAlign w:val="bottom"/>
            <w:gridSpan w:val="3"/>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2"/>
            <w:vMerge w:val="continue"/>
          </w:tcPr>
          <w:p>
            <w:pPr>
              <w:spacing w:after="0"/>
              <w:rPr>
                <w:sz w:val="12"/>
                <w:szCs w:val="12"/>
                <w:color w:val="auto"/>
              </w:rPr>
            </w:pPr>
          </w:p>
        </w:tc>
        <w:tc>
          <w:tcPr>
            <w:tcW w:w="4740" w:type="dxa"/>
            <w:vAlign w:val="bottom"/>
            <w:gridSpan w:val="17"/>
          </w:tcPr>
          <w:p>
            <w:pPr>
              <w:spacing w:after="0" w:line="142" w:lineRule="exact"/>
              <w:rPr>
                <w:rFonts w:ascii="Arial" w:cs="Arial" w:eastAsia="Arial" w:hAnsi="Arial"/>
                <w:sz w:val="16"/>
                <w:szCs w:val="16"/>
                <w:b w:val="1"/>
                <w:bCs w:val="1"/>
                <w:color w:val="0000FF"/>
              </w:rPr>
            </w:pPr>
            <w:hyperlink r:id="rId183">
              <w:r>
                <w:rPr>
                  <w:rFonts w:ascii="Arial" w:cs="Arial" w:eastAsia="Arial" w:hAnsi="Arial"/>
                  <w:sz w:val="16"/>
                  <w:szCs w:val="16"/>
                  <w:b w:val="1"/>
                  <w:bCs w:val="1"/>
                  <w:color w:val="0000FF"/>
                </w:rPr>
                <w:t>September 21, 2005</w:t>
              </w:r>
              <w:r>
                <w:rPr>
                  <w:rFonts w:ascii="Arial" w:cs="Arial" w:eastAsia="Arial" w:hAnsi="Arial"/>
                  <w:sz w:val="16"/>
                  <w:szCs w:val="16"/>
                  <w:color w:val="000000"/>
                </w:rPr>
                <w:t>, and incorporated herein by reference.</w:t>
              </w:r>
            </w:hyperlink>
          </w:p>
        </w:tc>
        <w:tc>
          <w:tcPr>
            <w:tcW w:w="380" w:type="dxa"/>
            <w:vAlign w:val="bottom"/>
            <w:gridSpan w:val="3"/>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jc w:val="center"/>
              <w:ind w:left="80"/>
              <w:spacing w:after="0" w:line="142" w:lineRule="exact"/>
              <w:rPr>
                <w:sz w:val="20"/>
                <w:szCs w:val="20"/>
                <w:color w:val="auto"/>
              </w:rPr>
            </w:pPr>
            <w:r>
              <w:rPr>
                <w:rFonts w:ascii="Arial" w:cs="Arial" w:eastAsia="Arial" w:hAnsi="Arial"/>
                <w:sz w:val="16"/>
                <w:szCs w:val="16"/>
                <w:color w:val="auto"/>
                <w:w w:val="89"/>
              </w:rPr>
              <w:t>10.12</w:t>
            </w:r>
          </w:p>
        </w:tc>
        <w:tc>
          <w:tcPr>
            <w:tcW w:w="160" w:type="dxa"/>
            <w:vAlign w:val="bottom"/>
            <w:shd w:val="clear" w:color="auto" w:fill="CCEEFF"/>
          </w:tcPr>
          <w:p>
            <w:pPr>
              <w:spacing w:after="0"/>
              <w:rPr>
                <w:sz w:val="12"/>
                <w:szCs w:val="12"/>
                <w:color w:val="auto"/>
              </w:rPr>
            </w:pPr>
          </w:p>
        </w:tc>
        <w:tc>
          <w:tcPr>
            <w:tcW w:w="10160" w:type="dxa"/>
            <w:vAlign w:val="bottom"/>
            <w:gridSpan w:val="36"/>
            <w:shd w:val="clear" w:color="auto" w:fill="CCEEFF"/>
          </w:tcPr>
          <w:p>
            <w:pPr>
              <w:spacing w:after="0" w:line="142" w:lineRule="exact"/>
              <w:rPr>
                <w:rFonts w:ascii="Arial" w:cs="Arial" w:eastAsia="Arial" w:hAnsi="Arial"/>
                <w:sz w:val="16"/>
                <w:szCs w:val="16"/>
                <w:color w:val="auto"/>
                <w:w w:val="98"/>
              </w:rPr>
            </w:pPr>
            <w:r>
              <w:rPr>
                <w:rFonts w:ascii="Arial" w:cs="Arial" w:eastAsia="Arial" w:hAnsi="Arial"/>
                <w:sz w:val="16"/>
                <w:szCs w:val="16"/>
                <w:color w:val="auto"/>
                <w:w w:val="98"/>
              </w:rPr>
              <w:t xml:space="preserve">Assignment and Assumption of Lease between Sutton Hill Capital L.L.C. </w:t>
            </w:r>
            <w:hyperlink r:id="rId184">
              <w:r>
                <w:rPr>
                  <w:rFonts w:ascii="Arial" w:cs="Arial" w:eastAsia="Arial" w:hAnsi="Arial"/>
                  <w:sz w:val="16"/>
                  <w:szCs w:val="16"/>
                  <w:color w:val="auto"/>
                  <w:w w:val="98"/>
                </w:rPr>
                <w:t xml:space="preserve">Filed as </w:t>
              </w:r>
              <w:r>
                <w:rPr>
                  <w:rFonts w:ascii="Arial" w:cs="Arial" w:eastAsia="Arial" w:hAnsi="Arial"/>
                  <w:sz w:val="16"/>
                  <w:szCs w:val="16"/>
                  <w:b w:val="1"/>
                  <w:bCs w:val="1"/>
                  <w:color w:val="0000FF"/>
                  <w:w w:val="98"/>
                </w:rPr>
                <w:t>Exhibit 10.56 to the Company’s report on Form 8-K filed on</w:t>
              </w:r>
            </w:hyperlink>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0" w:type="dxa"/>
            <w:vAlign w:val="bottom"/>
            <w:tcBorders>
              <w:right w:val="single" w:sz="8" w:color="CCEEFF"/>
            </w:tcBorders>
            <w:gridSpan w:val="12"/>
            <w:vMerge w:val="restart"/>
            <w:shd w:val="clear" w:color="auto" w:fill="CCEEFF"/>
          </w:tcPr>
          <w:p>
            <w:pPr>
              <w:spacing w:after="0" w:line="162" w:lineRule="exact"/>
              <w:rPr>
                <w:sz w:val="20"/>
                <w:szCs w:val="20"/>
                <w:color w:val="auto"/>
              </w:rPr>
            </w:pPr>
            <w:r>
              <w:rPr>
                <w:rFonts w:ascii="Arial" w:cs="Arial" w:eastAsia="Arial" w:hAnsi="Arial"/>
                <w:sz w:val="16"/>
                <w:szCs w:val="16"/>
                <w:color w:val="auto"/>
              </w:rPr>
              <w:t>and Sutton Hill Properties, LLC dated as of September 19, 2005</w:t>
            </w:r>
          </w:p>
        </w:tc>
        <w:tc>
          <w:tcPr>
            <w:tcW w:w="580" w:type="dxa"/>
            <w:vAlign w:val="bottom"/>
            <w:tcBorders>
              <w:right w:val="single" w:sz="8" w:color="0000FF"/>
            </w:tcBorders>
            <w:gridSpan w:val="3"/>
            <w:shd w:val="clear" w:color="auto" w:fill="CCEEFF"/>
          </w:tcPr>
          <w:p>
            <w:pPr>
              <w:spacing w:after="0" w:line="20" w:lineRule="exact"/>
              <w:rPr>
                <w:sz w:val="1"/>
                <w:szCs w:val="1"/>
                <w:color w:val="auto"/>
              </w:rPr>
            </w:pPr>
          </w:p>
        </w:tc>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380" w:type="dxa"/>
            <w:vAlign w:val="bottom"/>
            <w:gridSpan w:val="3"/>
            <w:vMerge w:val="restart"/>
            <w:shd w:val="clear" w:color="auto" w:fill="CCEEFF"/>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140" w:type="dxa"/>
            <w:vAlign w:val="bottom"/>
            <w:tcBorders>
              <w:left w:val="single" w:sz="8" w:color="CCEEFF"/>
            </w:tcBorders>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0" w:type="dxa"/>
            <w:vAlign w:val="bottom"/>
            <w:tcBorders>
              <w:right w:val="single" w:sz="8" w:color="CCEEFF"/>
            </w:tcBorders>
            <w:gridSpan w:val="12"/>
            <w:vMerge w:val="continue"/>
            <w:shd w:val="clear" w:color="auto" w:fill="CCEEFF"/>
          </w:tcPr>
          <w:p>
            <w:pPr>
              <w:spacing w:after="0"/>
              <w:rPr>
                <w:sz w:val="12"/>
                <w:szCs w:val="12"/>
                <w:color w:val="auto"/>
              </w:rPr>
            </w:pPr>
          </w:p>
        </w:tc>
        <w:tc>
          <w:tcPr>
            <w:tcW w:w="4740" w:type="dxa"/>
            <w:vAlign w:val="bottom"/>
            <w:gridSpan w:val="17"/>
            <w:shd w:val="clear" w:color="auto" w:fill="CCEEFF"/>
          </w:tcPr>
          <w:p>
            <w:pPr>
              <w:spacing w:after="0" w:line="142" w:lineRule="exact"/>
              <w:rPr>
                <w:rFonts w:ascii="Arial" w:cs="Arial" w:eastAsia="Arial" w:hAnsi="Arial"/>
                <w:sz w:val="16"/>
                <w:szCs w:val="16"/>
                <w:b w:val="1"/>
                <w:bCs w:val="1"/>
                <w:color w:val="0000FF"/>
              </w:rPr>
            </w:pPr>
            <w:hyperlink r:id="rId184">
              <w:r>
                <w:rPr>
                  <w:rFonts w:ascii="Arial" w:cs="Arial" w:eastAsia="Arial" w:hAnsi="Arial"/>
                  <w:sz w:val="16"/>
                  <w:szCs w:val="16"/>
                  <w:b w:val="1"/>
                  <w:bCs w:val="1"/>
                  <w:color w:val="0000FF"/>
                </w:rPr>
                <w:t>September 21, 2005</w:t>
              </w:r>
              <w:r>
                <w:rPr>
                  <w:rFonts w:ascii="Arial" w:cs="Arial" w:eastAsia="Arial" w:hAnsi="Arial"/>
                  <w:sz w:val="16"/>
                  <w:szCs w:val="16"/>
                  <w:color w:val="000000"/>
                </w:rPr>
                <w:t>, and incorporated herein by reference.</w:t>
              </w:r>
            </w:hyperlink>
          </w:p>
        </w:tc>
        <w:tc>
          <w:tcPr>
            <w:tcW w:w="380" w:type="dxa"/>
            <w:vAlign w:val="bottom"/>
            <w:gridSpan w:val="3"/>
            <w:vMerge w:val="continue"/>
            <w:shd w:val="clear" w:color="auto" w:fill="CCEEFF"/>
          </w:tcPr>
          <w:p>
            <w:pPr>
              <w:spacing w:after="0"/>
              <w:rPr>
                <w:sz w:val="12"/>
                <w:szCs w:val="12"/>
                <w:color w:val="auto"/>
              </w:rPr>
            </w:pPr>
          </w:p>
        </w:tc>
        <w:tc>
          <w:tcPr>
            <w:tcW w:w="100" w:type="dxa"/>
            <w:vAlign w:val="bottom"/>
            <w:gridSpan w:val="2"/>
            <w:vMerge w:val="continue"/>
            <w:shd w:val="clear" w:color="auto" w:fill="CCEEFF"/>
          </w:tcPr>
          <w:p>
            <w:pPr>
              <w:spacing w:after="0"/>
              <w:rPr>
                <w:sz w:val="12"/>
                <w:szCs w:val="12"/>
                <w:color w:val="auto"/>
              </w:rPr>
            </w:pPr>
          </w:p>
        </w:tc>
        <w:tc>
          <w:tcPr>
            <w:tcW w:w="140" w:type="dxa"/>
            <w:vAlign w:val="bottom"/>
            <w:tcBorders>
              <w:left w:val="single" w:sz="8" w:color="CCEEFF"/>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1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tcPr>
          <w:p>
            <w:pPr>
              <w:jc w:val="center"/>
              <w:ind w:left="80"/>
              <w:spacing w:after="0" w:line="142" w:lineRule="exact"/>
              <w:rPr>
                <w:sz w:val="20"/>
                <w:szCs w:val="20"/>
                <w:color w:val="auto"/>
              </w:rPr>
            </w:pPr>
            <w:r>
              <w:rPr>
                <w:rFonts w:ascii="Arial" w:cs="Arial" w:eastAsia="Arial" w:hAnsi="Arial"/>
                <w:sz w:val="16"/>
                <w:szCs w:val="16"/>
                <w:color w:val="auto"/>
                <w:w w:val="89"/>
              </w:rPr>
              <w:t>10.13</w:t>
            </w:r>
          </w:p>
        </w:tc>
        <w:tc>
          <w:tcPr>
            <w:tcW w:w="160" w:type="dxa"/>
            <w:vAlign w:val="bottom"/>
          </w:tcPr>
          <w:p>
            <w:pPr>
              <w:spacing w:after="0"/>
              <w:rPr>
                <w:sz w:val="12"/>
                <w:szCs w:val="12"/>
                <w:color w:val="auto"/>
              </w:rPr>
            </w:pPr>
          </w:p>
        </w:tc>
        <w:tc>
          <w:tcPr>
            <w:tcW w:w="4800" w:type="dxa"/>
            <w:vAlign w:val="bottom"/>
            <w:gridSpan w:val="12"/>
          </w:tcPr>
          <w:p>
            <w:pPr>
              <w:spacing w:after="0" w:line="142" w:lineRule="exact"/>
              <w:rPr>
                <w:sz w:val="20"/>
                <w:szCs w:val="20"/>
                <w:color w:val="auto"/>
              </w:rPr>
            </w:pPr>
            <w:r>
              <w:rPr>
                <w:rFonts w:ascii="Arial" w:cs="Arial" w:eastAsia="Arial" w:hAnsi="Arial"/>
                <w:sz w:val="16"/>
                <w:szCs w:val="16"/>
                <w:color w:val="auto"/>
                <w:w w:val="96"/>
              </w:rPr>
              <w:t>Third Amendment to Amended and Restated Master Operating Lease</w:t>
            </w:r>
          </w:p>
        </w:tc>
        <w:tc>
          <w:tcPr>
            <w:tcW w:w="5360" w:type="dxa"/>
            <w:vAlign w:val="bottom"/>
            <w:gridSpan w:val="24"/>
          </w:tcPr>
          <w:p>
            <w:pPr>
              <w:spacing w:after="0" w:line="142" w:lineRule="exact"/>
              <w:rPr>
                <w:rFonts w:ascii="Arial" w:cs="Arial" w:eastAsia="Arial" w:hAnsi="Arial"/>
                <w:sz w:val="16"/>
                <w:szCs w:val="16"/>
                <w:color w:val="auto"/>
                <w:w w:val="97"/>
              </w:rPr>
            </w:pPr>
            <w:hyperlink r:id="rId185">
              <w:r>
                <w:rPr>
                  <w:rFonts w:ascii="Arial" w:cs="Arial" w:eastAsia="Arial" w:hAnsi="Arial"/>
                  <w:sz w:val="16"/>
                  <w:szCs w:val="16"/>
                  <w:color w:val="auto"/>
                  <w:w w:val="97"/>
                </w:rPr>
                <w:t xml:space="preserve">Filed as </w:t>
              </w:r>
              <w:r>
                <w:rPr>
                  <w:rFonts w:ascii="Arial" w:cs="Arial" w:eastAsia="Arial" w:hAnsi="Arial"/>
                  <w:sz w:val="16"/>
                  <w:szCs w:val="16"/>
                  <w:b w:val="1"/>
                  <w:bCs w:val="1"/>
                  <w:color w:val="0000FF"/>
                  <w:w w:val="97"/>
                </w:rPr>
                <w:t>Exhibit 10.21 to the Company’s report on Form 10-K for the year</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380" w:type="dxa"/>
            <w:vAlign w:val="bottom"/>
            <w:gridSpan w:val="15"/>
          </w:tcPr>
          <w:p>
            <w:pPr>
              <w:spacing w:after="0" w:line="142" w:lineRule="exact"/>
              <w:rPr>
                <w:rFonts w:ascii="Arial" w:cs="Arial" w:eastAsia="Arial" w:hAnsi="Arial"/>
                <w:sz w:val="16"/>
                <w:szCs w:val="16"/>
                <w:color w:val="auto"/>
                <w:w w:val="93"/>
              </w:rPr>
            </w:pPr>
            <w:r>
              <w:rPr>
                <w:rFonts w:ascii="Arial" w:cs="Arial" w:eastAsia="Arial" w:hAnsi="Arial"/>
                <w:sz w:val="16"/>
                <w:szCs w:val="16"/>
                <w:color w:val="auto"/>
                <w:w w:val="93"/>
              </w:rPr>
              <w:t xml:space="preserve">Agreement, dated June 29, 2010, between Sutton Hill Capital, L.L.C. and </w:t>
            </w:r>
            <w:hyperlink r:id="rId185">
              <w:r>
                <w:rPr>
                  <w:rFonts w:ascii="Arial" w:cs="Arial" w:eastAsia="Arial" w:hAnsi="Arial"/>
                  <w:sz w:val="16"/>
                  <w:szCs w:val="16"/>
                  <w:b w:val="1"/>
                  <w:bCs w:val="1"/>
                  <w:color w:val="0000FF"/>
                  <w:w w:val="93"/>
                </w:rPr>
                <w:t>ended</w:t>
              </w:r>
            </w:hyperlink>
          </w:p>
        </w:tc>
        <w:tc>
          <w:tcPr>
            <w:tcW w:w="4540" w:type="dxa"/>
            <w:vAlign w:val="bottom"/>
            <w:tcBorders>
              <w:top w:val="single" w:sz="8" w:color="0000FF"/>
            </w:tcBorders>
            <w:gridSpan w:val="17"/>
          </w:tcPr>
          <w:p>
            <w:pPr>
              <w:spacing w:after="0" w:line="142" w:lineRule="exact"/>
              <w:rPr>
                <w:rFonts w:ascii="Arial" w:cs="Arial" w:eastAsia="Arial" w:hAnsi="Arial"/>
                <w:sz w:val="16"/>
                <w:szCs w:val="16"/>
                <w:b w:val="1"/>
                <w:bCs w:val="1"/>
                <w:color w:val="0000FF"/>
              </w:rPr>
            </w:pPr>
            <w:hyperlink r:id="rId185">
              <w:r>
                <w:rPr>
                  <w:rFonts w:ascii="Arial" w:cs="Arial" w:eastAsia="Arial" w:hAnsi="Arial"/>
                  <w:sz w:val="16"/>
                  <w:szCs w:val="16"/>
                  <w:b w:val="1"/>
                  <w:bCs w:val="1"/>
                  <w:color w:val="0000FF"/>
                </w:rPr>
                <w:t>December 31, 2010</w:t>
              </w:r>
              <w:r>
                <w:rPr>
                  <w:rFonts w:ascii="Arial" w:cs="Arial" w:eastAsia="Arial" w:hAnsi="Arial"/>
                  <w:sz w:val="16"/>
                  <w:szCs w:val="16"/>
                  <w:color w:val="000000"/>
                </w:rPr>
                <w:t>, and incorporated herein by reference.</w:t>
              </w:r>
            </w:hyperlink>
          </w:p>
        </w:tc>
        <w:tc>
          <w:tcPr>
            <w:tcW w:w="10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20" w:type="dxa"/>
            <w:vAlign w:val="bottom"/>
            <w:vMerge w:val="restart"/>
          </w:tcPr>
          <w:p>
            <w:pPr>
              <w:jc w:val="center"/>
              <w:ind w:left="80"/>
              <w:spacing w:after="0"/>
              <w:rPr>
                <w:sz w:val="20"/>
                <w:szCs w:val="20"/>
                <w:color w:val="auto"/>
              </w:rPr>
            </w:pPr>
            <w:r>
              <w:rPr>
                <w:rFonts w:ascii="Arial" w:cs="Arial" w:eastAsia="Arial" w:hAnsi="Arial"/>
                <w:sz w:val="16"/>
                <w:szCs w:val="16"/>
                <w:color w:val="auto"/>
                <w:w w:val="89"/>
              </w:rPr>
              <w:t>10.14</w:t>
            </w:r>
          </w:p>
        </w:tc>
        <w:tc>
          <w:tcPr>
            <w:tcW w:w="160" w:type="dxa"/>
            <w:vAlign w:val="bottom"/>
          </w:tcPr>
          <w:p>
            <w:pPr>
              <w:spacing w:after="0"/>
              <w:rPr>
                <w:sz w:val="11"/>
                <w:szCs w:val="11"/>
                <w:color w:val="auto"/>
              </w:rPr>
            </w:pPr>
          </w:p>
        </w:tc>
        <w:tc>
          <w:tcPr>
            <w:tcW w:w="4800" w:type="dxa"/>
            <w:vAlign w:val="bottom"/>
            <w:gridSpan w:val="12"/>
          </w:tcPr>
          <w:p>
            <w:pPr>
              <w:spacing w:after="0" w:line="129" w:lineRule="exact"/>
              <w:rPr>
                <w:sz w:val="20"/>
                <w:szCs w:val="20"/>
                <w:color w:val="auto"/>
              </w:rPr>
            </w:pPr>
            <w:r>
              <w:rPr>
                <w:rFonts w:ascii="Arial" w:cs="Arial" w:eastAsia="Arial" w:hAnsi="Arial"/>
                <w:sz w:val="14"/>
                <w:szCs w:val="14"/>
                <w:color w:val="auto"/>
              </w:rPr>
              <w:t>Citadel Cinemas, Inc.</w:t>
            </w:r>
          </w:p>
        </w:tc>
        <w:tc>
          <w:tcPr>
            <w:tcW w:w="3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160" w:type="dxa"/>
            <w:vAlign w:val="bottom"/>
            <w:gridSpan w:val="36"/>
          </w:tcPr>
          <w:p>
            <w:pPr>
              <w:spacing w:after="0" w:line="175" w:lineRule="exact"/>
              <w:rPr>
                <w:rFonts w:ascii="Arial" w:cs="Arial" w:eastAsia="Arial" w:hAnsi="Arial"/>
                <w:sz w:val="16"/>
                <w:szCs w:val="16"/>
                <w:color w:val="auto"/>
                <w:w w:val="92"/>
              </w:rPr>
            </w:pPr>
            <w:r>
              <w:rPr>
                <w:rFonts w:ascii="Arial" w:cs="Arial" w:eastAsia="Arial" w:hAnsi="Arial"/>
                <w:sz w:val="16"/>
                <w:szCs w:val="16"/>
                <w:color w:val="auto"/>
                <w:w w:val="92"/>
              </w:rPr>
              <w:t xml:space="preserve">Omnibus Amendment Agreement, dated as of October 22, 2003, between </w:t>
            </w:r>
            <w:hyperlink r:id="rId186">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10.49 to the Company’s report on Form 10-Q for the period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2"/>
          </w:tcPr>
          <w:p>
            <w:pPr>
              <w:spacing w:after="0" w:line="142" w:lineRule="exact"/>
              <w:rPr>
                <w:sz w:val="20"/>
                <w:szCs w:val="20"/>
                <w:color w:val="auto"/>
              </w:rPr>
            </w:pPr>
            <w:r>
              <w:rPr>
                <w:rFonts w:ascii="Arial" w:cs="Arial" w:eastAsia="Arial" w:hAnsi="Arial"/>
                <w:sz w:val="16"/>
                <w:szCs w:val="16"/>
                <w:color w:val="auto"/>
                <w:w w:val="96"/>
              </w:rPr>
              <w:t>Citadel Cinemas, Inc., Sutton Hill Capital, L.L.C., Nationwide Theatres</w:t>
            </w:r>
          </w:p>
        </w:tc>
        <w:tc>
          <w:tcPr>
            <w:tcW w:w="580" w:type="dxa"/>
            <w:vAlign w:val="bottom"/>
            <w:gridSpan w:val="3"/>
          </w:tcPr>
          <w:p>
            <w:pPr>
              <w:spacing w:after="0" w:line="142" w:lineRule="exact"/>
              <w:rPr>
                <w:rFonts w:ascii="Arial" w:cs="Arial" w:eastAsia="Arial" w:hAnsi="Arial"/>
                <w:sz w:val="16"/>
                <w:szCs w:val="16"/>
                <w:b w:val="1"/>
                <w:bCs w:val="1"/>
                <w:color w:val="0000FF"/>
              </w:rPr>
            </w:pPr>
            <w:hyperlink r:id="rId186">
              <w:r>
                <w:rPr>
                  <w:rFonts w:ascii="Arial" w:cs="Arial" w:eastAsia="Arial" w:hAnsi="Arial"/>
                  <w:sz w:val="16"/>
                  <w:szCs w:val="16"/>
                  <w:b w:val="1"/>
                  <w:bCs w:val="1"/>
                  <w:color w:val="0000FF"/>
                </w:rPr>
                <w:t>ended</w:t>
              </w:r>
            </w:hyperlink>
          </w:p>
        </w:tc>
        <w:tc>
          <w:tcPr>
            <w:tcW w:w="4640" w:type="dxa"/>
            <w:vAlign w:val="bottom"/>
            <w:tcBorders>
              <w:top w:val="single" w:sz="8" w:color="0000FF"/>
            </w:tcBorders>
            <w:gridSpan w:val="19"/>
          </w:tcPr>
          <w:p>
            <w:pPr>
              <w:spacing w:after="0" w:line="142" w:lineRule="exact"/>
              <w:rPr>
                <w:rFonts w:ascii="Arial" w:cs="Arial" w:eastAsia="Arial" w:hAnsi="Arial"/>
                <w:sz w:val="16"/>
                <w:szCs w:val="16"/>
                <w:b w:val="1"/>
                <w:bCs w:val="1"/>
                <w:color w:val="0000FF"/>
              </w:rPr>
            </w:pPr>
            <w:hyperlink r:id="rId186">
              <w:r>
                <w:rPr>
                  <w:rFonts w:ascii="Arial" w:cs="Arial" w:eastAsia="Arial" w:hAnsi="Arial"/>
                  <w:sz w:val="16"/>
                  <w:szCs w:val="16"/>
                  <w:b w:val="1"/>
                  <w:bCs w:val="1"/>
                  <w:color w:val="0000FF"/>
                </w:rPr>
                <w:t>September 30, 2003</w:t>
              </w:r>
              <w:r>
                <w:rPr>
                  <w:rFonts w:ascii="Arial" w:cs="Arial" w:eastAsia="Arial" w:hAnsi="Arial"/>
                  <w:sz w:val="16"/>
                  <w:szCs w:val="16"/>
                  <w:color w:val="000000"/>
                </w:rPr>
                <w:t>, and incorporated herein by reference.</w:t>
              </w:r>
            </w:hyperlink>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2"/>
          </w:tcPr>
          <w:p>
            <w:pPr>
              <w:spacing w:after="0" w:line="144" w:lineRule="exact"/>
              <w:rPr>
                <w:sz w:val="20"/>
                <w:szCs w:val="20"/>
                <w:color w:val="auto"/>
              </w:rPr>
            </w:pPr>
            <w:r>
              <w:rPr>
                <w:rFonts w:ascii="Arial" w:cs="Arial" w:eastAsia="Arial" w:hAnsi="Arial"/>
                <w:sz w:val="16"/>
                <w:szCs w:val="16"/>
                <w:color w:val="auto"/>
              </w:rPr>
              <w:t>Corp., Sutton Hill Associates, and Reading International, Inc.</w:t>
            </w:r>
          </w:p>
        </w:tc>
        <w:tc>
          <w:tcPr>
            <w:tcW w:w="3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08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4"/>
        </w:trPr>
        <w:tc>
          <w:tcPr>
            <w:tcW w:w="900" w:type="dxa"/>
            <w:vAlign w:val="bottom"/>
          </w:tcPr>
          <w:p>
            <w:pPr>
              <w:jc w:val="right"/>
              <w:ind w:right="99"/>
              <w:spacing w:after="0"/>
              <w:rPr>
                <w:sz w:val="20"/>
                <w:szCs w:val="20"/>
                <w:color w:val="auto"/>
              </w:rPr>
            </w:pPr>
            <w:r>
              <w:rPr>
                <w:rFonts w:ascii="Arial" w:cs="Arial" w:eastAsia="Arial" w:hAnsi="Arial"/>
                <w:sz w:val="16"/>
                <w:szCs w:val="16"/>
                <w:color w:val="auto"/>
              </w:rPr>
              <w:t>10.15</w:t>
            </w:r>
          </w:p>
        </w:tc>
        <w:tc>
          <w:tcPr>
            <w:tcW w:w="4980" w:type="dxa"/>
            <w:vAlign w:val="bottom"/>
          </w:tcPr>
          <w:p>
            <w:pPr>
              <w:ind w:left="180"/>
              <w:spacing w:after="0"/>
              <w:rPr>
                <w:sz w:val="20"/>
                <w:szCs w:val="20"/>
                <w:color w:val="auto"/>
              </w:rPr>
            </w:pPr>
            <w:r>
              <w:rPr>
                <w:rFonts w:ascii="Arial" w:cs="Arial" w:eastAsia="Arial" w:hAnsi="Arial"/>
                <w:sz w:val="16"/>
                <w:szCs w:val="16"/>
                <w:color w:val="auto"/>
                <w:w w:val="97"/>
              </w:rPr>
              <w:t>Amended and Restated Declaration of Trust, dated February 5, 2007,</w:t>
            </w:r>
          </w:p>
        </w:tc>
        <w:tc>
          <w:tcPr>
            <w:tcW w:w="5360" w:type="dxa"/>
            <w:vAlign w:val="bottom"/>
            <w:gridSpan w:val="10"/>
          </w:tcPr>
          <w:p>
            <w:pPr>
              <w:spacing w:after="0"/>
              <w:rPr>
                <w:rFonts w:ascii="Arial" w:cs="Arial" w:eastAsia="Arial" w:hAnsi="Arial"/>
                <w:sz w:val="16"/>
                <w:szCs w:val="16"/>
                <w:color w:val="auto"/>
              </w:rPr>
            </w:pPr>
            <w:hyperlink r:id="rId189">
              <w:r>
                <w:rPr>
                  <w:rFonts w:ascii="Arial" w:cs="Arial" w:eastAsia="Arial" w:hAnsi="Arial"/>
                  <w:sz w:val="16"/>
                  <w:szCs w:val="16"/>
                  <w:color w:val="auto"/>
                </w:rPr>
                <w:t xml:space="preserve">Filed as </w:t>
              </w:r>
              <w:r>
                <w:rPr>
                  <w:rFonts w:ascii="Arial" w:cs="Arial" w:eastAsia="Arial" w:hAnsi="Arial"/>
                  <w:sz w:val="16"/>
                  <w:szCs w:val="16"/>
                  <w:b w:val="1"/>
                  <w:bCs w:val="1"/>
                  <w:color w:val="0000FF"/>
                </w:rPr>
                <w:t>Exhibit 10.2 to the Company’s report on Form 8-K dated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w w:val="92"/>
              </w:rPr>
              <w:t>among Reading International Inc., as sponsor, the Administrators named</w:t>
            </w:r>
          </w:p>
        </w:tc>
        <w:tc>
          <w:tcPr>
            <w:tcW w:w="540" w:type="dxa"/>
            <w:vAlign w:val="bottom"/>
            <w:gridSpan w:val="2"/>
          </w:tcPr>
          <w:p>
            <w:pPr>
              <w:spacing w:after="0" w:line="142" w:lineRule="exact"/>
              <w:rPr>
                <w:rFonts w:ascii="Arial" w:cs="Arial" w:eastAsia="Arial" w:hAnsi="Arial"/>
                <w:sz w:val="16"/>
                <w:szCs w:val="16"/>
                <w:b w:val="1"/>
                <w:bCs w:val="1"/>
                <w:color w:val="0000FF"/>
                <w:w w:val="75"/>
              </w:rPr>
            </w:pPr>
            <w:hyperlink r:id="rId189">
              <w:r>
                <w:rPr>
                  <w:rFonts w:ascii="Arial" w:cs="Arial" w:eastAsia="Arial" w:hAnsi="Arial"/>
                  <w:sz w:val="16"/>
                  <w:szCs w:val="16"/>
                  <w:b w:val="1"/>
                  <w:bCs w:val="1"/>
                  <w:color w:val="0000FF"/>
                  <w:w w:val="75"/>
                </w:rPr>
                <w:t>February</w:t>
              </w:r>
            </w:hyperlink>
          </w:p>
        </w:tc>
        <w:tc>
          <w:tcPr>
            <w:tcW w:w="4000" w:type="dxa"/>
            <w:vAlign w:val="bottom"/>
            <w:tcBorders>
              <w:top w:val="single" w:sz="8" w:color="0000FF"/>
            </w:tcBorders>
            <w:gridSpan w:val="6"/>
          </w:tcPr>
          <w:p>
            <w:pPr>
              <w:ind w:left="160"/>
              <w:spacing w:after="0" w:line="142" w:lineRule="exact"/>
              <w:rPr>
                <w:rFonts w:ascii="Arial" w:cs="Arial" w:eastAsia="Arial" w:hAnsi="Arial"/>
                <w:sz w:val="16"/>
                <w:szCs w:val="16"/>
                <w:b w:val="1"/>
                <w:bCs w:val="1"/>
                <w:color w:val="0000FF"/>
              </w:rPr>
            </w:pPr>
            <w:hyperlink r:id="rId189">
              <w:r>
                <w:rPr>
                  <w:rFonts w:ascii="Arial" w:cs="Arial" w:eastAsia="Arial" w:hAnsi="Arial"/>
                  <w:sz w:val="16"/>
                  <w:szCs w:val="16"/>
                  <w:b w:val="1"/>
                  <w:bCs w:val="1"/>
                  <w:color w:val="0000FF"/>
                </w:rPr>
                <w:t>5, 2007</w:t>
              </w:r>
              <w:r>
                <w:rPr>
                  <w:rFonts w:ascii="Arial" w:cs="Arial" w:eastAsia="Arial" w:hAnsi="Arial"/>
                  <w:sz w:val="16"/>
                  <w:szCs w:val="16"/>
                  <w:color w:val="000000"/>
                </w:rPr>
                <w:t>, and incorporated herein by reference.</w:t>
              </w:r>
            </w:hyperlink>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4980" w:type="dxa"/>
            <w:vAlign w:val="bottom"/>
          </w:tcPr>
          <w:p>
            <w:pPr>
              <w:ind w:left="180"/>
              <w:spacing w:after="0" w:line="132" w:lineRule="exact"/>
              <w:rPr>
                <w:sz w:val="20"/>
                <w:szCs w:val="20"/>
                <w:color w:val="auto"/>
              </w:rPr>
            </w:pPr>
            <w:r>
              <w:rPr>
                <w:rFonts w:ascii="Arial" w:cs="Arial" w:eastAsia="Arial" w:hAnsi="Arial"/>
                <w:sz w:val="15"/>
                <w:szCs w:val="15"/>
                <w:color w:val="auto"/>
                <w:w w:val="97"/>
              </w:rPr>
              <w:t>therein, and Wells Fargo Bank, N.A., as property trustee, and Wells Fargo</w:t>
            </w:r>
          </w:p>
        </w:tc>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900" w:type="dxa"/>
            <w:vAlign w:val="bottom"/>
          </w:tcPr>
          <w:p>
            <w:pPr>
              <w:spacing w:after="0"/>
              <w:rPr>
                <w:sz w:val="16"/>
                <w:szCs w:val="16"/>
                <w:color w:val="auto"/>
              </w:rPr>
            </w:pPr>
          </w:p>
        </w:tc>
        <w:tc>
          <w:tcPr>
            <w:tcW w:w="4980" w:type="dxa"/>
            <w:vAlign w:val="bottom"/>
          </w:tcPr>
          <w:p>
            <w:pPr>
              <w:ind w:left="180"/>
              <w:spacing w:after="0"/>
              <w:rPr>
                <w:sz w:val="20"/>
                <w:szCs w:val="20"/>
                <w:color w:val="auto"/>
              </w:rPr>
            </w:pPr>
            <w:r>
              <w:rPr>
                <w:rFonts w:ascii="Arial" w:cs="Arial" w:eastAsia="Arial" w:hAnsi="Arial"/>
                <w:sz w:val="16"/>
                <w:szCs w:val="16"/>
                <w:color w:val="auto"/>
              </w:rPr>
              <w:t>Delaware Trust Company as Delaware trustee</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00" w:type="dxa"/>
            <w:vAlign w:val="bottom"/>
            <w:shd w:val="clear" w:color="auto" w:fill="CCEEFF"/>
          </w:tcPr>
          <w:p>
            <w:pPr>
              <w:jc w:val="right"/>
              <w:ind w:right="99"/>
              <w:spacing w:after="0" w:line="148" w:lineRule="exact"/>
              <w:rPr>
                <w:sz w:val="20"/>
                <w:szCs w:val="20"/>
                <w:color w:val="auto"/>
              </w:rPr>
            </w:pPr>
            <w:r>
              <w:rPr>
                <w:rFonts w:ascii="Arial" w:cs="Arial" w:eastAsia="Arial" w:hAnsi="Arial"/>
                <w:sz w:val="16"/>
                <w:szCs w:val="16"/>
                <w:color w:val="auto"/>
              </w:rPr>
              <w:t>10.16</w:t>
            </w:r>
          </w:p>
        </w:tc>
        <w:tc>
          <w:tcPr>
            <w:tcW w:w="4980" w:type="dxa"/>
            <w:vAlign w:val="bottom"/>
            <w:shd w:val="clear" w:color="auto" w:fill="CCEEFF"/>
          </w:tcPr>
          <w:p>
            <w:pPr>
              <w:ind w:left="180"/>
              <w:spacing w:after="0" w:line="148" w:lineRule="exact"/>
              <w:rPr>
                <w:sz w:val="20"/>
                <w:szCs w:val="20"/>
                <w:color w:val="auto"/>
              </w:rPr>
            </w:pPr>
            <w:r>
              <w:rPr>
                <w:rFonts w:ascii="Arial" w:cs="Arial" w:eastAsia="Arial" w:hAnsi="Arial"/>
                <w:sz w:val="16"/>
                <w:szCs w:val="16"/>
                <w:color w:val="auto"/>
                <w:w w:val="99"/>
              </w:rPr>
              <w:t>Amended and Restated Corporate Markets Loan &amp; Bank Guarantee</w:t>
            </w:r>
          </w:p>
        </w:tc>
        <w:tc>
          <w:tcPr>
            <w:tcW w:w="5360" w:type="dxa"/>
            <w:vAlign w:val="bottom"/>
            <w:tcBorders>
              <w:right w:val="single" w:sz="8" w:color="CCEEFF"/>
            </w:tcBorders>
            <w:gridSpan w:val="10"/>
            <w:shd w:val="clear" w:color="auto" w:fill="CCEEFF"/>
          </w:tcPr>
          <w:p>
            <w:pPr>
              <w:spacing w:after="0" w:line="148" w:lineRule="exact"/>
              <w:rPr>
                <w:rFonts w:ascii="Arial" w:cs="Arial" w:eastAsia="Arial" w:hAnsi="Arial"/>
                <w:sz w:val="16"/>
                <w:szCs w:val="16"/>
                <w:color w:val="auto"/>
                <w:w w:val="94"/>
              </w:rPr>
            </w:pPr>
            <w:hyperlink r:id="rId190">
              <w:r>
                <w:rPr>
                  <w:rFonts w:ascii="Arial" w:cs="Arial" w:eastAsia="Arial" w:hAnsi="Arial"/>
                  <w:sz w:val="16"/>
                  <w:szCs w:val="16"/>
                  <w:color w:val="auto"/>
                  <w:w w:val="94"/>
                </w:rPr>
                <w:t xml:space="preserve">Filed as </w:t>
              </w:r>
              <w:r>
                <w:rPr>
                  <w:rFonts w:ascii="Arial" w:cs="Arial" w:eastAsia="Arial" w:hAnsi="Arial"/>
                  <w:sz w:val="16"/>
                  <w:szCs w:val="16"/>
                  <w:b w:val="1"/>
                  <w:bCs w:val="1"/>
                  <w:color w:val="0000FF"/>
                  <w:w w:val="94"/>
                </w:rPr>
                <w:t>Exhibit 10.9 to the Company’s Annual Report on Form 10-K for the</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vMerge w:val="restart"/>
            <w:shd w:val="clear" w:color="auto" w:fill="CCEEFF"/>
          </w:tcPr>
          <w:p>
            <w:pPr>
              <w:ind w:left="180"/>
              <w:spacing w:after="0" w:line="162" w:lineRule="exact"/>
              <w:rPr>
                <w:sz w:val="20"/>
                <w:szCs w:val="20"/>
                <w:color w:val="auto"/>
              </w:rPr>
            </w:pPr>
            <w:r>
              <w:rPr>
                <w:rFonts w:ascii="Arial" w:cs="Arial" w:eastAsia="Arial" w:hAnsi="Arial"/>
                <w:sz w:val="16"/>
                <w:szCs w:val="16"/>
                <w:color w:val="auto"/>
              </w:rPr>
              <w:t>Facility Agreement dated December 23, 2015, among Reading</w:t>
            </w:r>
          </w:p>
        </w:tc>
        <w:tc>
          <w:tcPr>
            <w:tcW w:w="540" w:type="dxa"/>
            <w:vAlign w:val="bottom"/>
            <w:gridSpan w:val="2"/>
            <w:shd w:val="clear" w:color="auto" w:fill="CCEE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CCEE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4980" w:type="dxa"/>
            <w:vAlign w:val="bottom"/>
            <w:vMerge w:val="continue"/>
            <w:shd w:val="clear" w:color="auto" w:fill="CCEEFF"/>
          </w:tcPr>
          <w:p>
            <w:pPr>
              <w:spacing w:after="0"/>
              <w:rPr>
                <w:sz w:val="12"/>
                <w:szCs w:val="12"/>
                <w:color w:val="auto"/>
              </w:rPr>
            </w:pPr>
          </w:p>
        </w:tc>
        <w:tc>
          <w:tcPr>
            <w:tcW w:w="5360" w:type="dxa"/>
            <w:vAlign w:val="bottom"/>
            <w:tcBorders>
              <w:right w:val="single" w:sz="8" w:color="CCEEFF"/>
            </w:tcBorders>
            <w:gridSpan w:val="10"/>
            <w:shd w:val="clear" w:color="auto" w:fill="CCEEFF"/>
          </w:tcPr>
          <w:p>
            <w:pPr>
              <w:spacing w:after="0" w:line="142" w:lineRule="exact"/>
              <w:rPr>
                <w:rFonts w:ascii="Arial" w:cs="Arial" w:eastAsia="Arial" w:hAnsi="Arial"/>
                <w:sz w:val="16"/>
                <w:szCs w:val="16"/>
                <w:b w:val="1"/>
                <w:bCs w:val="1"/>
                <w:color w:val="0000FF"/>
                <w:w w:val="93"/>
              </w:rPr>
            </w:pPr>
            <w:hyperlink r:id="rId190">
              <w:r>
                <w:rPr>
                  <w:rFonts w:ascii="Arial" w:cs="Arial" w:eastAsia="Arial" w:hAnsi="Arial"/>
                  <w:sz w:val="16"/>
                  <w:szCs w:val="16"/>
                  <w:b w:val="1"/>
                  <w:bCs w:val="1"/>
                  <w:color w:val="0000FF"/>
                  <w:w w:val="93"/>
                </w:rPr>
                <w:t>year ended December 31, 2015</w:t>
              </w:r>
              <w:r>
                <w:rPr>
                  <w:rFonts w:ascii="Arial" w:cs="Arial" w:eastAsia="Arial" w:hAnsi="Arial"/>
                  <w:sz w:val="16"/>
                  <w:szCs w:val="16"/>
                  <w:color w:val="000000"/>
                  <w:w w:val="93"/>
                </w:rPr>
                <w:t>, filed on April 29, 2016 and incorporated herein</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vMerge w:val="restart"/>
            <w:shd w:val="clear" w:color="auto" w:fill="CCEEFF"/>
          </w:tcPr>
          <w:p>
            <w:pPr>
              <w:ind w:left="180"/>
              <w:spacing w:after="0" w:line="175" w:lineRule="exact"/>
              <w:rPr>
                <w:sz w:val="20"/>
                <w:szCs w:val="20"/>
                <w:color w:val="auto"/>
              </w:rPr>
            </w:pPr>
            <w:r>
              <w:rPr>
                <w:rFonts w:ascii="Arial" w:cs="Arial" w:eastAsia="Arial" w:hAnsi="Arial"/>
                <w:sz w:val="16"/>
                <w:szCs w:val="16"/>
                <w:color w:val="auto"/>
                <w:w w:val="99"/>
              </w:rPr>
              <w:t>Entertainment Australia Pty Ltd and National Australia Bank Limited</w:t>
            </w:r>
          </w:p>
        </w:tc>
        <w:tc>
          <w:tcPr>
            <w:tcW w:w="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580" w:type="dxa"/>
            <w:vAlign w:val="bottom"/>
            <w:gridSpan w:val="2"/>
            <w:vMerge w:val="restart"/>
            <w:shd w:val="clear" w:color="auto" w:fill="CCEEFF"/>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 w:type="dxa"/>
            <w:vAlign w:val="bottom"/>
            <w:shd w:val="clear" w:color="auto" w:fill="CCEEFF"/>
          </w:tcPr>
          <w:p>
            <w:pPr>
              <w:spacing w:after="0"/>
              <w:rPr>
                <w:sz w:val="13"/>
                <w:szCs w:val="13"/>
                <w:color w:val="auto"/>
              </w:rPr>
            </w:pPr>
          </w:p>
        </w:tc>
        <w:tc>
          <w:tcPr>
            <w:tcW w:w="4980" w:type="dxa"/>
            <w:vAlign w:val="bottom"/>
            <w:vMerge w:val="continue"/>
            <w:shd w:val="clear" w:color="auto" w:fill="CCEEFF"/>
          </w:tcPr>
          <w:p>
            <w:pPr>
              <w:spacing w:after="0"/>
              <w:rPr>
                <w:sz w:val="13"/>
                <w:szCs w:val="13"/>
                <w:color w:val="auto"/>
              </w:rPr>
            </w:pPr>
          </w:p>
        </w:tc>
        <w:tc>
          <w:tcPr>
            <w:tcW w:w="2100" w:type="dxa"/>
            <w:vAlign w:val="bottom"/>
            <w:gridSpan w:val="5"/>
            <w:shd w:val="clear" w:color="auto" w:fill="CCEEFF"/>
          </w:tcPr>
          <w:p>
            <w:pPr>
              <w:spacing w:after="0" w:line="155" w:lineRule="exact"/>
              <w:rPr>
                <w:sz w:val="20"/>
                <w:szCs w:val="20"/>
                <w:color w:val="auto"/>
              </w:rPr>
            </w:pPr>
            <w:r>
              <w:rPr>
                <w:rFonts w:ascii="Arial" w:cs="Arial" w:eastAsia="Arial" w:hAnsi="Arial"/>
                <w:sz w:val="16"/>
                <w:szCs w:val="16"/>
                <w:color w:val="auto"/>
              </w:rPr>
              <w:t>by reference.</w:t>
            </w:r>
          </w:p>
        </w:tc>
        <w:tc>
          <w:tcPr>
            <w:tcW w:w="120" w:type="dxa"/>
            <w:vAlign w:val="bottom"/>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580" w:type="dxa"/>
            <w:vAlign w:val="bottom"/>
            <w:gridSpan w:val="2"/>
            <w:vMerge w:val="continue"/>
            <w:shd w:val="clear" w:color="auto" w:fill="CCEEFF"/>
          </w:tcPr>
          <w:p>
            <w:pPr>
              <w:spacing w:after="0"/>
              <w:rPr>
                <w:sz w:val="13"/>
                <w:szCs w:val="13"/>
                <w:color w:val="auto"/>
              </w:rPr>
            </w:pPr>
          </w:p>
        </w:tc>
        <w:tc>
          <w:tcPr>
            <w:tcW w:w="14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right"/>
              <w:ind w:right="99"/>
              <w:spacing w:after="0" w:line="148" w:lineRule="exact"/>
              <w:rPr>
                <w:sz w:val="20"/>
                <w:szCs w:val="20"/>
                <w:color w:val="auto"/>
              </w:rPr>
            </w:pPr>
            <w:r>
              <w:rPr>
                <w:rFonts w:ascii="Arial" w:cs="Arial" w:eastAsia="Arial" w:hAnsi="Arial"/>
                <w:sz w:val="16"/>
                <w:szCs w:val="16"/>
                <w:color w:val="auto"/>
              </w:rPr>
              <w:t>10.17</w:t>
            </w:r>
          </w:p>
        </w:tc>
        <w:tc>
          <w:tcPr>
            <w:tcW w:w="4980" w:type="dxa"/>
            <w:vAlign w:val="bottom"/>
          </w:tcPr>
          <w:p>
            <w:pPr>
              <w:ind w:left="180"/>
              <w:spacing w:after="0" w:line="148" w:lineRule="exact"/>
              <w:rPr>
                <w:sz w:val="20"/>
                <w:szCs w:val="20"/>
                <w:color w:val="auto"/>
              </w:rPr>
            </w:pPr>
            <w:r>
              <w:rPr>
                <w:rFonts w:ascii="Arial" w:cs="Arial" w:eastAsia="Arial" w:hAnsi="Arial"/>
                <w:sz w:val="16"/>
                <w:szCs w:val="16"/>
                <w:color w:val="auto"/>
                <w:w w:val="92"/>
              </w:rPr>
              <w:t>Amendment Deed dated June 12, 2018 between National Australia Bank</w:t>
            </w:r>
          </w:p>
        </w:tc>
        <w:tc>
          <w:tcPr>
            <w:tcW w:w="5360" w:type="dxa"/>
            <w:vAlign w:val="bottom"/>
            <w:gridSpan w:val="10"/>
          </w:tcPr>
          <w:p>
            <w:pPr>
              <w:spacing w:after="0" w:line="148"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10.1.2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rPr>
              <w:t>Limited and Reading Entertainment Australia Pty Ltd.</w:t>
            </w:r>
          </w:p>
        </w:tc>
        <w:tc>
          <w:tcPr>
            <w:tcW w:w="540" w:type="dxa"/>
            <w:vAlign w:val="bottom"/>
            <w:gridSpan w:val="2"/>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tcBorders>
            <w:gridSpan w:val="8"/>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10.18</w:t>
            </w:r>
          </w:p>
        </w:tc>
        <w:tc>
          <w:tcPr>
            <w:tcW w:w="49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w w:val="98"/>
              </w:rPr>
              <w:t>Amendment Deed dated March 27, 2019 between National Australia</w:t>
            </w:r>
          </w:p>
        </w:tc>
        <w:tc>
          <w:tcPr>
            <w:tcW w:w="5360" w:type="dxa"/>
            <w:vAlign w:val="bottom"/>
            <w:tcBorders>
              <w:right w:val="single" w:sz="8" w:color="CCEEFF"/>
            </w:tcBorders>
            <w:gridSpan w:val="10"/>
            <w:shd w:val="clear" w:color="auto" w:fill="CCEEFF"/>
          </w:tcPr>
          <w:p>
            <w:pPr>
              <w:spacing w:after="0" w:line="142"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10.1.3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498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6"/>
                <w:szCs w:val="16"/>
                <w:color w:val="auto"/>
              </w:rPr>
              <w:t>Bank Limited and Reading Entertainment Australia Pty Ltd.</w:t>
            </w:r>
          </w:p>
        </w:tc>
        <w:tc>
          <w:tcPr>
            <w:tcW w:w="540" w:type="dxa"/>
            <w:vAlign w:val="bottom"/>
            <w:tcBorders>
              <w:top w:val="single" w:sz="8" w:color="CCEEFF"/>
            </w:tcBorders>
            <w:gridSpan w:val="2"/>
            <w:shd w:val="clear" w:color="auto" w:fill="CCEEFF"/>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right w:val="single" w:sz="8" w:color="CCEEFF"/>
            </w:tcBorders>
            <w:gridSpan w:val="8"/>
            <w:shd w:val="clear" w:color="auto" w:fill="CCEEFF"/>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tcPr>
          <w:p>
            <w:pPr>
              <w:jc w:val="right"/>
              <w:ind w:right="99"/>
              <w:spacing w:after="0" w:line="142" w:lineRule="exact"/>
              <w:rPr>
                <w:sz w:val="20"/>
                <w:szCs w:val="20"/>
                <w:color w:val="auto"/>
              </w:rPr>
            </w:pPr>
            <w:r>
              <w:rPr>
                <w:rFonts w:ascii="Arial" w:cs="Arial" w:eastAsia="Arial" w:hAnsi="Arial"/>
                <w:sz w:val="16"/>
                <w:szCs w:val="16"/>
                <w:color w:val="auto"/>
              </w:rPr>
              <w:t>10.19</w:t>
            </w: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w w:val="98"/>
              </w:rPr>
              <w:t>Letter of Waiver dated April 9, 2020 between National Australia Bank</w:t>
            </w:r>
          </w:p>
        </w:tc>
        <w:tc>
          <w:tcPr>
            <w:tcW w:w="5360" w:type="dxa"/>
            <w:vAlign w:val="bottom"/>
            <w:gridSpan w:val="10"/>
          </w:tcPr>
          <w:p>
            <w:pPr>
              <w:spacing w:after="0" w:line="142"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10.1.4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rPr>
              <w:t>Limited and Reading Entertainment Australia Pty Ltd.</w:t>
            </w:r>
          </w:p>
        </w:tc>
        <w:tc>
          <w:tcPr>
            <w:tcW w:w="540" w:type="dxa"/>
            <w:vAlign w:val="bottom"/>
            <w:gridSpan w:val="2"/>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tcBorders>
            <w:gridSpan w:val="8"/>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10.20</w:t>
            </w:r>
          </w:p>
        </w:tc>
        <w:tc>
          <w:tcPr>
            <w:tcW w:w="49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w w:val="97"/>
              </w:rPr>
              <w:t>Amendment Letter dated August 6, 2020 between National Australian</w:t>
            </w:r>
          </w:p>
        </w:tc>
        <w:tc>
          <w:tcPr>
            <w:tcW w:w="5360" w:type="dxa"/>
            <w:vAlign w:val="bottom"/>
            <w:tcBorders>
              <w:right w:val="single" w:sz="8" w:color="CCEEFF"/>
            </w:tcBorders>
            <w:gridSpan w:val="10"/>
            <w:shd w:val="clear" w:color="auto" w:fill="CCEEFF"/>
          </w:tcPr>
          <w:p>
            <w:pPr>
              <w:spacing w:after="0" w:line="142" w:lineRule="exact"/>
              <w:rPr>
                <w:rFonts w:ascii="Arial" w:cs="Arial" w:eastAsia="Arial" w:hAnsi="Arial"/>
                <w:sz w:val="16"/>
                <w:szCs w:val="16"/>
                <w:color w:val="auto"/>
                <w:w w:val="96"/>
              </w:rPr>
            </w:pPr>
            <w:hyperlink r:id="rId192">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10.2 to the Company’s Quarterly Report on Form 10-Q for</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vMerge w:val="restart"/>
            <w:shd w:val="clear" w:color="auto" w:fill="CCEEFF"/>
          </w:tcPr>
          <w:p>
            <w:pPr>
              <w:ind w:left="180"/>
              <w:spacing w:after="0" w:line="162" w:lineRule="exact"/>
              <w:rPr>
                <w:sz w:val="20"/>
                <w:szCs w:val="20"/>
                <w:color w:val="auto"/>
              </w:rPr>
            </w:pPr>
            <w:r>
              <w:rPr>
                <w:rFonts w:ascii="Arial" w:cs="Arial" w:eastAsia="Arial" w:hAnsi="Arial"/>
                <w:sz w:val="16"/>
                <w:szCs w:val="16"/>
                <w:color w:val="auto"/>
              </w:rPr>
              <w:t>Bank Limited and Reading Entertainment Australia Pty. Ltd.</w:t>
            </w:r>
          </w:p>
        </w:tc>
        <w:tc>
          <w:tcPr>
            <w:tcW w:w="540" w:type="dxa"/>
            <w:vAlign w:val="bottom"/>
            <w:gridSpan w:val="2"/>
            <w:shd w:val="clear" w:color="auto" w:fill="CCEE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4980" w:type="dxa"/>
            <w:vAlign w:val="bottom"/>
            <w:vMerge w:val="continue"/>
            <w:shd w:val="clear" w:color="auto" w:fill="CCEEFF"/>
          </w:tcPr>
          <w:p>
            <w:pPr>
              <w:spacing w:after="0"/>
              <w:rPr>
                <w:sz w:val="12"/>
                <w:szCs w:val="12"/>
                <w:color w:val="auto"/>
              </w:rPr>
            </w:pPr>
          </w:p>
        </w:tc>
        <w:tc>
          <w:tcPr>
            <w:tcW w:w="5220" w:type="dxa"/>
            <w:vAlign w:val="bottom"/>
            <w:gridSpan w:val="9"/>
            <w:shd w:val="clear" w:color="auto" w:fill="CCEEFF"/>
          </w:tcPr>
          <w:p>
            <w:pPr>
              <w:spacing w:after="0" w:line="142" w:lineRule="exact"/>
              <w:rPr>
                <w:rFonts w:ascii="Arial" w:cs="Arial" w:eastAsia="Arial" w:hAnsi="Arial"/>
                <w:sz w:val="16"/>
                <w:szCs w:val="16"/>
                <w:b w:val="1"/>
                <w:bCs w:val="1"/>
                <w:color w:val="0000FF"/>
              </w:rPr>
            </w:pPr>
            <w:hyperlink r:id="rId192">
              <w:r>
                <w:rPr>
                  <w:rFonts w:ascii="Arial" w:cs="Arial" w:eastAsia="Arial" w:hAnsi="Arial"/>
                  <w:sz w:val="16"/>
                  <w:szCs w:val="16"/>
                  <w:b w:val="1"/>
                  <w:bCs w:val="1"/>
                  <w:color w:val="0000FF"/>
                </w:rPr>
                <w:t>the quarter ended June 30, 2020</w:t>
              </w:r>
              <w:r>
                <w:rPr>
                  <w:rFonts w:ascii="Arial" w:cs="Arial" w:eastAsia="Arial" w:hAnsi="Arial"/>
                  <w:sz w:val="16"/>
                  <w:szCs w:val="16"/>
                  <w:b w:val="1"/>
                  <w:bCs w:val="1"/>
                  <w:color w:val="000000"/>
                </w:rPr>
                <w:t>,</w:t>
              </w:r>
              <w:r>
                <w:rPr>
                  <w:rFonts w:ascii="Arial" w:cs="Arial" w:eastAsia="Arial" w:hAnsi="Arial"/>
                  <w:sz w:val="16"/>
                  <w:szCs w:val="16"/>
                  <w:b w:val="1"/>
                  <w:bCs w:val="1"/>
                  <w:color w:val="0000FF"/>
                </w:rPr>
                <w:t xml:space="preserve"> </w:t>
              </w:r>
              <w:r>
                <w:rPr>
                  <w:rFonts w:ascii="Arial" w:cs="Arial" w:eastAsia="Arial" w:hAnsi="Arial"/>
                  <w:sz w:val="16"/>
                  <w:szCs w:val="16"/>
                  <w:color w:val="000000"/>
                </w:rPr>
                <w:t>and incorporated herein by reference.</w:t>
              </w:r>
            </w:hyperlink>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tcPr>
          <w:p>
            <w:pPr>
              <w:jc w:val="right"/>
              <w:ind w:right="99"/>
              <w:spacing w:after="0" w:line="142" w:lineRule="exact"/>
              <w:rPr>
                <w:sz w:val="20"/>
                <w:szCs w:val="20"/>
                <w:color w:val="auto"/>
              </w:rPr>
            </w:pPr>
            <w:r>
              <w:rPr>
                <w:rFonts w:ascii="Arial" w:cs="Arial" w:eastAsia="Arial" w:hAnsi="Arial"/>
                <w:sz w:val="16"/>
                <w:szCs w:val="16"/>
                <w:color w:val="auto"/>
              </w:rPr>
              <w:t>10.21</w:t>
            </w: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w w:val="92"/>
              </w:rPr>
              <w:t>Amendment Deed dated June 12, 2018 between National Australia Bank</w:t>
            </w:r>
          </w:p>
        </w:tc>
        <w:tc>
          <w:tcPr>
            <w:tcW w:w="5360" w:type="dxa"/>
            <w:vAlign w:val="bottom"/>
            <w:gridSpan w:val="10"/>
          </w:tcPr>
          <w:p>
            <w:pPr>
              <w:spacing w:after="0" w:line="142"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10.1.2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rPr>
              <w:t>Limited and Reading Entertainment Australia Pty Ltd.</w:t>
            </w:r>
          </w:p>
        </w:tc>
        <w:tc>
          <w:tcPr>
            <w:tcW w:w="540" w:type="dxa"/>
            <w:vAlign w:val="bottom"/>
            <w:gridSpan w:val="2"/>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tcBorders>
            <w:gridSpan w:val="8"/>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10.22</w:t>
            </w:r>
          </w:p>
        </w:tc>
        <w:tc>
          <w:tcPr>
            <w:tcW w:w="49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w w:val="99"/>
              </w:rPr>
              <w:t>Wholesale Term Loan Facility dated May 21, 2015, among Reading</w:t>
            </w:r>
          </w:p>
        </w:tc>
        <w:tc>
          <w:tcPr>
            <w:tcW w:w="5360" w:type="dxa"/>
            <w:vAlign w:val="bottom"/>
            <w:tcBorders>
              <w:right w:val="single" w:sz="8" w:color="CCEEFF"/>
            </w:tcBorders>
            <w:gridSpan w:val="10"/>
            <w:shd w:val="clear" w:color="auto" w:fill="CCEEFF"/>
          </w:tcPr>
          <w:p>
            <w:pPr>
              <w:spacing w:after="0" w:line="142" w:lineRule="exact"/>
              <w:rPr>
                <w:rFonts w:ascii="Arial" w:cs="Arial" w:eastAsia="Arial" w:hAnsi="Arial"/>
                <w:sz w:val="16"/>
                <w:szCs w:val="16"/>
                <w:color w:val="auto"/>
                <w:w w:val="92"/>
              </w:rPr>
            </w:pPr>
            <w:hyperlink r:id="rId193">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10.10 to the Company’s Annual Report on Form 10-K for the</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vMerge w:val="restart"/>
            <w:shd w:val="clear" w:color="auto" w:fill="CCEEFF"/>
          </w:tcPr>
          <w:p>
            <w:pPr>
              <w:ind w:left="180"/>
              <w:spacing w:after="0" w:line="162" w:lineRule="exact"/>
              <w:rPr>
                <w:sz w:val="20"/>
                <w:szCs w:val="20"/>
                <w:color w:val="auto"/>
              </w:rPr>
            </w:pPr>
            <w:r>
              <w:rPr>
                <w:rFonts w:ascii="Arial" w:cs="Arial" w:eastAsia="Arial" w:hAnsi="Arial"/>
                <w:sz w:val="16"/>
                <w:szCs w:val="16"/>
                <w:color w:val="auto"/>
              </w:rPr>
              <w:t>Courtenay Central Limited and Westpac New Zealand Limited</w:t>
            </w:r>
          </w:p>
        </w:tc>
        <w:tc>
          <w:tcPr>
            <w:tcW w:w="540" w:type="dxa"/>
            <w:vAlign w:val="bottom"/>
            <w:gridSpan w:val="2"/>
            <w:shd w:val="clear" w:color="auto" w:fill="CCEE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4980" w:type="dxa"/>
            <w:vAlign w:val="bottom"/>
            <w:vMerge w:val="continue"/>
            <w:shd w:val="clear" w:color="auto" w:fill="CCEEFF"/>
          </w:tcPr>
          <w:p>
            <w:pPr>
              <w:spacing w:after="0"/>
              <w:rPr>
                <w:sz w:val="12"/>
                <w:szCs w:val="12"/>
                <w:color w:val="auto"/>
              </w:rPr>
            </w:pPr>
          </w:p>
        </w:tc>
        <w:tc>
          <w:tcPr>
            <w:tcW w:w="5360" w:type="dxa"/>
            <w:vAlign w:val="bottom"/>
            <w:tcBorders>
              <w:right w:val="single" w:sz="8" w:color="CCEEFF"/>
            </w:tcBorders>
            <w:gridSpan w:val="10"/>
            <w:shd w:val="clear" w:color="auto" w:fill="CCEEFF"/>
          </w:tcPr>
          <w:p>
            <w:pPr>
              <w:spacing w:after="0" w:line="142" w:lineRule="exact"/>
              <w:rPr>
                <w:rFonts w:ascii="Arial" w:cs="Arial" w:eastAsia="Arial" w:hAnsi="Arial"/>
                <w:sz w:val="16"/>
                <w:szCs w:val="16"/>
                <w:b w:val="1"/>
                <w:bCs w:val="1"/>
                <w:color w:val="0000FF"/>
                <w:w w:val="93"/>
              </w:rPr>
            </w:pPr>
            <w:hyperlink r:id="rId193">
              <w:r>
                <w:rPr>
                  <w:rFonts w:ascii="Arial" w:cs="Arial" w:eastAsia="Arial" w:hAnsi="Arial"/>
                  <w:sz w:val="16"/>
                  <w:szCs w:val="16"/>
                  <w:b w:val="1"/>
                  <w:bCs w:val="1"/>
                  <w:color w:val="0000FF"/>
                  <w:w w:val="93"/>
                </w:rPr>
                <w:t>year ended December 31, 2015</w:t>
              </w:r>
              <w:r>
                <w:rPr>
                  <w:rFonts w:ascii="Arial" w:cs="Arial" w:eastAsia="Arial" w:hAnsi="Arial"/>
                  <w:sz w:val="16"/>
                  <w:szCs w:val="16"/>
                  <w:color w:val="000000"/>
                  <w:w w:val="93"/>
                </w:rPr>
                <w:t>, filed on April 29, 2016 and incorporated herein</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540" w:type="dxa"/>
            <w:vAlign w:val="bottom"/>
            <w:gridSpan w:val="2"/>
            <w:vMerge w:val="restart"/>
            <w:shd w:val="clear" w:color="auto" w:fill="CCEEFF"/>
          </w:tcPr>
          <w:p>
            <w:pPr>
              <w:spacing w:after="0" w:line="20" w:lineRule="exact"/>
              <w:rPr>
                <w:sz w:val="1"/>
                <w:szCs w:val="1"/>
                <w:color w:val="auto"/>
              </w:rPr>
            </w:pPr>
          </w:p>
        </w:tc>
        <w:tc>
          <w:tcPr>
            <w:tcW w:w="2720" w:type="dxa"/>
            <w:vAlign w:val="bottom"/>
            <w:tcBorders>
              <w:right w:val="single" w:sz="8" w:color="CCEEFF"/>
            </w:tcBorders>
            <w:gridSpan w:val="3"/>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2100" w:type="dxa"/>
            <w:vAlign w:val="bottom"/>
            <w:gridSpan w:val="5"/>
            <w:shd w:val="clear" w:color="auto" w:fill="CCEEFF"/>
          </w:tcPr>
          <w:p>
            <w:pPr>
              <w:spacing w:after="0" w:line="155" w:lineRule="exact"/>
              <w:rPr>
                <w:sz w:val="20"/>
                <w:szCs w:val="20"/>
                <w:color w:val="auto"/>
              </w:rPr>
            </w:pPr>
            <w:r>
              <w:rPr>
                <w:rFonts w:ascii="Arial" w:cs="Arial" w:eastAsia="Arial" w:hAnsi="Arial"/>
                <w:sz w:val="16"/>
                <w:szCs w:val="16"/>
                <w:color w:val="auto"/>
              </w:rPr>
              <w:t>by reference.</w:t>
            </w:r>
          </w:p>
        </w:tc>
        <w:tc>
          <w:tcPr>
            <w:tcW w:w="540" w:type="dxa"/>
            <w:vAlign w:val="bottom"/>
            <w:gridSpan w:val="2"/>
            <w:vMerge w:val="continue"/>
            <w:shd w:val="clear" w:color="auto" w:fill="CCEEFF"/>
          </w:tcPr>
          <w:p>
            <w:pPr>
              <w:spacing w:after="0"/>
              <w:rPr>
                <w:sz w:val="13"/>
                <w:szCs w:val="13"/>
                <w:color w:val="auto"/>
              </w:rPr>
            </w:pPr>
          </w:p>
        </w:tc>
        <w:tc>
          <w:tcPr>
            <w:tcW w:w="2720" w:type="dxa"/>
            <w:vAlign w:val="bottom"/>
            <w:tcBorders>
              <w:right w:val="single" w:sz="8" w:color="CCEEFF"/>
            </w:tcBorders>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right"/>
              <w:ind w:right="99"/>
              <w:spacing w:after="0" w:line="148" w:lineRule="exact"/>
              <w:rPr>
                <w:sz w:val="20"/>
                <w:szCs w:val="20"/>
                <w:color w:val="auto"/>
              </w:rPr>
            </w:pPr>
            <w:r>
              <w:rPr>
                <w:rFonts w:ascii="Arial" w:cs="Arial" w:eastAsia="Arial" w:hAnsi="Arial"/>
                <w:sz w:val="16"/>
                <w:szCs w:val="16"/>
                <w:color w:val="auto"/>
              </w:rPr>
              <w:t>10.23</w:t>
            </w:r>
          </w:p>
        </w:tc>
        <w:tc>
          <w:tcPr>
            <w:tcW w:w="4980" w:type="dxa"/>
            <w:vAlign w:val="bottom"/>
          </w:tcPr>
          <w:p>
            <w:pPr>
              <w:ind w:left="180"/>
              <w:spacing w:after="0" w:line="148" w:lineRule="exact"/>
              <w:rPr>
                <w:sz w:val="20"/>
                <w:szCs w:val="20"/>
                <w:color w:val="auto"/>
              </w:rPr>
            </w:pPr>
            <w:r>
              <w:rPr>
                <w:rFonts w:ascii="Arial" w:cs="Arial" w:eastAsia="Arial" w:hAnsi="Arial"/>
                <w:sz w:val="16"/>
                <w:szCs w:val="16"/>
                <w:color w:val="auto"/>
                <w:w w:val="95"/>
              </w:rPr>
              <w:t>Guarantee &amp; Indemnity dated May 21, 2015, among certain affiliates of</w:t>
            </w:r>
          </w:p>
        </w:tc>
        <w:tc>
          <w:tcPr>
            <w:tcW w:w="5360" w:type="dxa"/>
            <w:vAlign w:val="bottom"/>
            <w:gridSpan w:val="10"/>
          </w:tcPr>
          <w:p>
            <w:pPr>
              <w:spacing w:after="0" w:line="148"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10.3.2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rPr>
              <w:t>the Company in favor of Westpac New Zealand Limited.</w:t>
            </w:r>
          </w:p>
        </w:tc>
        <w:tc>
          <w:tcPr>
            <w:tcW w:w="540" w:type="dxa"/>
            <w:vAlign w:val="bottom"/>
            <w:gridSpan w:val="2"/>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tcBorders>
            <w:gridSpan w:val="8"/>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10.24</w:t>
            </w:r>
          </w:p>
        </w:tc>
        <w:tc>
          <w:tcPr>
            <w:tcW w:w="49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w w:val="93"/>
              </w:rPr>
              <w:t>Westpac Corporate Credit Facility Extension Letter dated December 20,</w:t>
            </w:r>
          </w:p>
        </w:tc>
        <w:tc>
          <w:tcPr>
            <w:tcW w:w="5360" w:type="dxa"/>
            <w:vAlign w:val="bottom"/>
            <w:tcBorders>
              <w:right w:val="single" w:sz="8" w:color="CCEEFF"/>
            </w:tcBorders>
            <w:gridSpan w:val="10"/>
            <w:shd w:val="clear" w:color="auto" w:fill="CCEEFF"/>
          </w:tcPr>
          <w:p>
            <w:pPr>
              <w:spacing w:after="0" w:line="142"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10.3.3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5520" w:type="dxa"/>
            <w:vAlign w:val="bottom"/>
            <w:tcBorders>
              <w:top w:val="single" w:sz="8" w:color="CCEEFF"/>
            </w:tcBorders>
            <w:gridSpan w:val="3"/>
            <w:shd w:val="clear" w:color="auto" w:fill="CCEEFF"/>
          </w:tcPr>
          <w:p>
            <w:pPr>
              <w:ind w:left="180"/>
              <w:spacing w:after="0" w:line="142" w:lineRule="exact"/>
              <w:rPr>
                <w:rFonts w:ascii="Arial" w:cs="Arial" w:eastAsia="Arial" w:hAnsi="Arial"/>
                <w:sz w:val="16"/>
                <w:szCs w:val="16"/>
                <w:color w:val="auto"/>
                <w:w w:val="91"/>
              </w:rPr>
            </w:pPr>
            <w:r>
              <w:rPr>
                <w:rFonts w:ascii="Arial" w:cs="Arial" w:eastAsia="Arial" w:hAnsi="Arial"/>
                <w:sz w:val="16"/>
                <w:szCs w:val="16"/>
                <w:color w:val="auto"/>
                <w:w w:val="91"/>
              </w:rPr>
              <w:t xml:space="preserve">2018, among Westpac New Zealand Limited, Reading Courtenay Central </w:t>
            </w: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right w:val="single" w:sz="8" w:color="CCEEFF"/>
            </w:tcBorders>
            <w:gridSpan w:val="8"/>
            <w:shd w:val="clear" w:color="auto" w:fill="CCEEFF"/>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156"/>
        </w:trPr>
        <w:tc>
          <w:tcPr>
            <w:tcW w:w="900" w:type="dxa"/>
            <w:vAlign w:val="bottom"/>
            <w:tcBorders>
              <w:top w:val="single" w:sz="8" w:color="CCEEFF"/>
            </w:tcBorders>
            <w:shd w:val="clear" w:color="auto" w:fill="CCEEFF"/>
          </w:tcPr>
          <w:p>
            <w:pPr>
              <w:spacing w:after="0"/>
              <w:rPr>
                <w:sz w:val="13"/>
                <w:szCs w:val="13"/>
                <w:color w:val="auto"/>
              </w:rPr>
            </w:pPr>
          </w:p>
        </w:tc>
        <w:tc>
          <w:tcPr>
            <w:tcW w:w="4980" w:type="dxa"/>
            <w:vAlign w:val="bottom"/>
            <w:tcBorders>
              <w:top w:val="single" w:sz="8" w:color="CCEEFF"/>
            </w:tcBorders>
            <w:shd w:val="clear" w:color="auto" w:fill="CCEEFF"/>
          </w:tcPr>
          <w:p>
            <w:pPr>
              <w:ind w:left="180"/>
              <w:spacing w:after="0" w:line="155" w:lineRule="exact"/>
              <w:rPr>
                <w:sz w:val="20"/>
                <w:szCs w:val="20"/>
                <w:color w:val="auto"/>
              </w:rPr>
            </w:pPr>
            <w:r>
              <w:rPr>
                <w:rFonts w:ascii="Arial" w:cs="Arial" w:eastAsia="Arial" w:hAnsi="Arial"/>
                <w:sz w:val="16"/>
                <w:szCs w:val="16"/>
                <w:color w:val="auto"/>
              </w:rPr>
              <w:t>Limited and certain affiliates of the Company.</w:t>
            </w: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right"/>
              <w:ind w:right="99"/>
              <w:spacing w:after="0" w:line="148" w:lineRule="exact"/>
              <w:rPr>
                <w:sz w:val="20"/>
                <w:szCs w:val="20"/>
                <w:color w:val="auto"/>
              </w:rPr>
            </w:pPr>
            <w:r>
              <w:rPr>
                <w:rFonts w:ascii="Arial" w:cs="Arial" w:eastAsia="Arial" w:hAnsi="Arial"/>
                <w:sz w:val="16"/>
                <w:szCs w:val="16"/>
                <w:color w:val="auto"/>
              </w:rPr>
              <w:t>10.25</w:t>
            </w:r>
          </w:p>
        </w:tc>
        <w:tc>
          <w:tcPr>
            <w:tcW w:w="4980" w:type="dxa"/>
            <w:vAlign w:val="bottom"/>
          </w:tcPr>
          <w:p>
            <w:pPr>
              <w:ind w:left="180"/>
              <w:spacing w:after="0" w:line="148" w:lineRule="exact"/>
              <w:rPr>
                <w:sz w:val="20"/>
                <w:szCs w:val="20"/>
                <w:color w:val="auto"/>
              </w:rPr>
            </w:pPr>
            <w:r>
              <w:rPr>
                <w:rFonts w:ascii="Arial" w:cs="Arial" w:eastAsia="Arial" w:hAnsi="Arial"/>
                <w:sz w:val="16"/>
                <w:szCs w:val="16"/>
                <w:color w:val="auto"/>
                <w:w w:val="95"/>
              </w:rPr>
              <w:t>Letter of Variation dated July 27, 2020 between Westpac New Zealand</w:t>
            </w:r>
          </w:p>
        </w:tc>
        <w:tc>
          <w:tcPr>
            <w:tcW w:w="5360" w:type="dxa"/>
            <w:vAlign w:val="bottom"/>
            <w:gridSpan w:val="10"/>
          </w:tcPr>
          <w:p>
            <w:pPr>
              <w:spacing w:after="0" w:line="148" w:lineRule="exact"/>
              <w:rPr>
                <w:rFonts w:ascii="Arial" w:cs="Arial" w:eastAsia="Arial" w:hAnsi="Arial"/>
                <w:sz w:val="16"/>
                <w:szCs w:val="16"/>
                <w:color w:val="auto"/>
                <w:w w:val="96"/>
              </w:rPr>
            </w:pPr>
            <w:hyperlink r:id="rId192">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80" w:type="dxa"/>
            <w:vAlign w:val="bottom"/>
            <w:vMerge w:val="restart"/>
          </w:tcPr>
          <w:p>
            <w:pPr>
              <w:ind w:left="180"/>
              <w:spacing w:after="0" w:line="162" w:lineRule="exact"/>
              <w:rPr>
                <w:sz w:val="20"/>
                <w:szCs w:val="20"/>
                <w:color w:val="auto"/>
              </w:rPr>
            </w:pPr>
            <w:r>
              <w:rPr>
                <w:rFonts w:ascii="Arial" w:cs="Arial" w:eastAsia="Arial" w:hAnsi="Arial"/>
                <w:sz w:val="16"/>
                <w:szCs w:val="16"/>
                <w:color w:val="auto"/>
              </w:rPr>
              <w:t>Limited and Reading Courtenay Central Limited</w:t>
            </w:r>
          </w:p>
        </w:tc>
        <w:tc>
          <w:tcPr>
            <w:tcW w:w="540" w:type="dxa"/>
            <w:vAlign w:val="bottom"/>
            <w:gridSpan w:val="2"/>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vMerge w:val="continue"/>
          </w:tcPr>
          <w:p>
            <w:pPr>
              <w:spacing w:after="0"/>
              <w:rPr>
                <w:sz w:val="12"/>
                <w:szCs w:val="12"/>
                <w:color w:val="auto"/>
              </w:rPr>
            </w:pPr>
          </w:p>
        </w:tc>
        <w:tc>
          <w:tcPr>
            <w:tcW w:w="5220" w:type="dxa"/>
            <w:vAlign w:val="bottom"/>
            <w:gridSpan w:val="9"/>
          </w:tcPr>
          <w:p>
            <w:pPr>
              <w:spacing w:after="0" w:line="142" w:lineRule="exact"/>
              <w:rPr>
                <w:rFonts w:ascii="Arial" w:cs="Arial" w:eastAsia="Arial" w:hAnsi="Arial"/>
                <w:sz w:val="16"/>
                <w:szCs w:val="16"/>
                <w:b w:val="1"/>
                <w:bCs w:val="1"/>
                <w:color w:val="0000FF"/>
              </w:rPr>
            </w:pPr>
            <w:hyperlink r:id="rId192">
              <w:r>
                <w:rPr>
                  <w:rFonts w:ascii="Arial" w:cs="Arial" w:eastAsia="Arial" w:hAnsi="Arial"/>
                  <w:sz w:val="16"/>
                  <w:szCs w:val="16"/>
                  <w:b w:val="1"/>
                  <w:bCs w:val="1"/>
                  <w:color w:val="0000FF"/>
                </w:rPr>
                <w:t>the quarter ended June 30, 2020</w:t>
              </w:r>
              <w:r>
                <w:rPr>
                  <w:rFonts w:ascii="Arial" w:cs="Arial" w:eastAsia="Arial" w:hAnsi="Arial"/>
                  <w:sz w:val="16"/>
                  <w:szCs w:val="16"/>
                  <w:color w:val="000000"/>
                </w:rPr>
                <w:t>, and incorporated herein by reference.</w:t>
              </w:r>
            </w:hyperlink>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10.26</w:t>
            </w:r>
          </w:p>
        </w:tc>
        <w:tc>
          <w:tcPr>
            <w:tcW w:w="49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w w:val="97"/>
              </w:rPr>
              <w:t>Letter of Variation dated September 15, 2020 between Westpac New</w:t>
            </w:r>
          </w:p>
        </w:tc>
        <w:tc>
          <w:tcPr>
            <w:tcW w:w="5360" w:type="dxa"/>
            <w:vAlign w:val="bottom"/>
            <w:tcBorders>
              <w:right w:val="single" w:sz="8" w:color="CCEEFF"/>
            </w:tcBorders>
            <w:gridSpan w:val="10"/>
            <w:shd w:val="clear" w:color="auto" w:fill="CCEEFF"/>
          </w:tcPr>
          <w:p>
            <w:pPr>
              <w:spacing w:after="0" w:line="142" w:lineRule="exact"/>
              <w:rPr>
                <w:rFonts w:ascii="Arial" w:cs="Arial" w:eastAsia="Arial" w:hAnsi="Arial"/>
                <w:sz w:val="16"/>
                <w:szCs w:val="16"/>
                <w:color w:val="auto"/>
                <w:w w:val="96"/>
              </w:rPr>
            </w:pPr>
            <w:hyperlink r:id="rId194">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5520" w:type="dxa"/>
            <w:vAlign w:val="bottom"/>
            <w:gridSpan w:val="3"/>
            <w:shd w:val="clear" w:color="auto" w:fill="CCEE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10200" w:type="dxa"/>
            <w:vAlign w:val="bottom"/>
            <w:gridSpan w:val="10"/>
            <w:shd w:val="clear" w:color="auto" w:fill="CCEEFF"/>
          </w:tcPr>
          <w:p>
            <w:pPr>
              <w:ind w:left="180"/>
              <w:spacing w:after="0" w:line="142" w:lineRule="exact"/>
              <w:rPr>
                <w:rFonts w:ascii="Arial" w:cs="Arial" w:eastAsia="Arial" w:hAnsi="Arial"/>
                <w:sz w:val="16"/>
                <w:szCs w:val="16"/>
                <w:color w:val="auto"/>
                <w:w w:val="91"/>
              </w:rPr>
            </w:pPr>
            <w:r>
              <w:rPr>
                <w:rFonts w:ascii="Arial" w:cs="Arial" w:eastAsia="Arial" w:hAnsi="Arial"/>
                <w:sz w:val="16"/>
                <w:szCs w:val="16"/>
                <w:color w:val="auto"/>
                <w:w w:val="91"/>
              </w:rPr>
              <w:t xml:space="preserve">Zealand Limited and Reading Courtenay Central Limited, filed herewith. </w:t>
            </w:r>
            <w:hyperlink r:id="rId194">
              <w:r>
                <w:rPr>
                  <w:rFonts w:ascii="Arial" w:cs="Arial" w:eastAsia="Arial" w:hAnsi="Arial"/>
                  <w:sz w:val="16"/>
                  <w:szCs w:val="16"/>
                  <w:b w:val="1"/>
                  <w:bCs w:val="1"/>
                  <w:color w:val="0000FF"/>
                  <w:w w:val="91"/>
                </w:rPr>
                <w:t>the quarter ended September 30, 2020</w:t>
              </w:r>
              <w:r>
                <w:rPr>
                  <w:rFonts w:ascii="Arial" w:cs="Arial" w:eastAsia="Arial" w:hAnsi="Arial"/>
                  <w:sz w:val="16"/>
                  <w:szCs w:val="16"/>
                  <w:color w:val="auto"/>
                  <w:w w:val="91"/>
                </w:rPr>
                <w:t>, and incorporated herein by reference.in</w:t>
              </w:r>
            </w:hyperlink>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2720" w:type="dxa"/>
            <w:vAlign w:val="bottom"/>
            <w:tcBorders>
              <w:right w:val="single" w:sz="8" w:color="CCEEFF"/>
            </w:tcBorders>
            <w:gridSpan w:val="3"/>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2640" w:type="dxa"/>
            <w:vAlign w:val="bottom"/>
            <w:gridSpan w:val="7"/>
            <w:shd w:val="clear" w:color="auto" w:fill="CCEEFF"/>
          </w:tcPr>
          <w:p>
            <w:pPr>
              <w:spacing w:after="0" w:line="155" w:lineRule="exact"/>
              <w:rPr>
                <w:sz w:val="20"/>
                <w:szCs w:val="20"/>
                <w:color w:val="auto"/>
              </w:rPr>
            </w:pPr>
            <w:r>
              <w:rPr>
                <w:rFonts w:ascii="Arial" w:cs="Arial" w:eastAsia="Arial" w:hAnsi="Arial"/>
                <w:sz w:val="16"/>
                <w:szCs w:val="16"/>
                <w:color w:val="auto"/>
              </w:rPr>
              <w:t>by reference.</w:t>
            </w:r>
          </w:p>
        </w:tc>
        <w:tc>
          <w:tcPr>
            <w:tcW w:w="2720" w:type="dxa"/>
            <w:vAlign w:val="bottom"/>
            <w:tcBorders>
              <w:right w:val="single" w:sz="8" w:color="CCEEFF"/>
            </w:tcBorders>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right"/>
              <w:ind w:right="99"/>
              <w:spacing w:after="0" w:line="148" w:lineRule="exact"/>
              <w:rPr>
                <w:sz w:val="20"/>
                <w:szCs w:val="20"/>
                <w:color w:val="auto"/>
              </w:rPr>
            </w:pPr>
            <w:r>
              <w:rPr>
                <w:rFonts w:ascii="Arial" w:cs="Arial" w:eastAsia="Arial" w:hAnsi="Arial"/>
                <w:sz w:val="16"/>
                <w:szCs w:val="16"/>
                <w:color w:val="auto"/>
              </w:rPr>
              <w:t>10.27</w:t>
            </w:r>
          </w:p>
        </w:tc>
        <w:tc>
          <w:tcPr>
            <w:tcW w:w="4980" w:type="dxa"/>
            <w:vAlign w:val="bottom"/>
          </w:tcPr>
          <w:p>
            <w:pPr>
              <w:ind w:left="180"/>
              <w:spacing w:after="0" w:line="148" w:lineRule="exact"/>
              <w:rPr>
                <w:sz w:val="20"/>
                <w:szCs w:val="20"/>
                <w:color w:val="auto"/>
              </w:rPr>
            </w:pPr>
            <w:r>
              <w:rPr>
                <w:rFonts w:ascii="Arial" w:cs="Arial" w:eastAsia="Arial" w:hAnsi="Arial"/>
                <w:sz w:val="16"/>
                <w:szCs w:val="16"/>
                <w:color w:val="auto"/>
                <w:w w:val="93"/>
              </w:rPr>
              <w:t>Second Amended and Restated Credit Agreement dated March 6, 2020,</w:t>
            </w:r>
          </w:p>
        </w:tc>
        <w:tc>
          <w:tcPr>
            <w:tcW w:w="5360" w:type="dxa"/>
            <w:vAlign w:val="bottom"/>
            <w:gridSpan w:val="10"/>
          </w:tcPr>
          <w:p>
            <w:pPr>
              <w:spacing w:after="0" w:line="148"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10.2.1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w w:val="94"/>
              </w:rPr>
              <w:t>among Consolidated Amusement Holdings, LLC, certain affiliates of the</w:t>
            </w:r>
          </w:p>
        </w:tc>
        <w:tc>
          <w:tcPr>
            <w:tcW w:w="540" w:type="dxa"/>
            <w:vAlign w:val="bottom"/>
            <w:gridSpan w:val="2"/>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tcBorders>
            <w:gridSpan w:val="8"/>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4980" w:type="dxa"/>
            <w:vAlign w:val="bottom"/>
          </w:tcPr>
          <w:p>
            <w:pPr>
              <w:ind w:left="180"/>
              <w:spacing w:after="0" w:line="132" w:lineRule="exact"/>
              <w:rPr>
                <w:sz w:val="20"/>
                <w:szCs w:val="20"/>
                <w:color w:val="auto"/>
              </w:rPr>
            </w:pPr>
            <w:r>
              <w:rPr>
                <w:rFonts w:ascii="Arial" w:cs="Arial" w:eastAsia="Arial" w:hAnsi="Arial"/>
                <w:sz w:val="15"/>
                <w:szCs w:val="15"/>
                <w:color w:val="auto"/>
              </w:rPr>
              <w:t>Company, the financial institutions party thereto and Bank of America,</w:t>
            </w:r>
          </w:p>
        </w:tc>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900" w:type="dxa"/>
            <w:vAlign w:val="bottom"/>
          </w:tcPr>
          <w:p>
            <w:pPr>
              <w:spacing w:after="0"/>
              <w:rPr>
                <w:sz w:val="16"/>
                <w:szCs w:val="16"/>
                <w:color w:val="auto"/>
              </w:rPr>
            </w:pPr>
          </w:p>
        </w:tc>
        <w:tc>
          <w:tcPr>
            <w:tcW w:w="4980" w:type="dxa"/>
            <w:vAlign w:val="bottom"/>
          </w:tcPr>
          <w:p>
            <w:pPr>
              <w:ind w:left="180"/>
              <w:spacing w:after="0"/>
              <w:rPr>
                <w:sz w:val="20"/>
                <w:szCs w:val="20"/>
                <w:color w:val="auto"/>
              </w:rPr>
            </w:pPr>
            <w:r>
              <w:rPr>
                <w:rFonts w:ascii="Arial" w:cs="Arial" w:eastAsia="Arial" w:hAnsi="Arial"/>
                <w:sz w:val="16"/>
                <w:szCs w:val="16"/>
                <w:color w:val="auto"/>
              </w:rPr>
              <w:t>N.A., as administrative agent.</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00" w:type="dxa"/>
            <w:vAlign w:val="bottom"/>
            <w:shd w:val="clear" w:color="auto" w:fill="CCEEFF"/>
          </w:tcPr>
          <w:p>
            <w:pPr>
              <w:jc w:val="right"/>
              <w:ind w:right="99"/>
              <w:spacing w:after="0" w:line="148" w:lineRule="exact"/>
              <w:rPr>
                <w:sz w:val="20"/>
                <w:szCs w:val="20"/>
                <w:color w:val="auto"/>
              </w:rPr>
            </w:pPr>
            <w:r>
              <w:rPr>
                <w:rFonts w:ascii="Arial" w:cs="Arial" w:eastAsia="Arial" w:hAnsi="Arial"/>
                <w:sz w:val="16"/>
                <w:szCs w:val="16"/>
                <w:color w:val="auto"/>
              </w:rPr>
              <w:t>10.28</w:t>
            </w:r>
          </w:p>
        </w:tc>
        <w:tc>
          <w:tcPr>
            <w:tcW w:w="4980" w:type="dxa"/>
            <w:vAlign w:val="bottom"/>
            <w:shd w:val="clear" w:color="auto" w:fill="CCEEFF"/>
          </w:tcPr>
          <w:p>
            <w:pPr>
              <w:ind w:left="180"/>
              <w:spacing w:after="0" w:line="148" w:lineRule="exact"/>
              <w:rPr>
                <w:sz w:val="20"/>
                <w:szCs w:val="20"/>
                <w:color w:val="auto"/>
              </w:rPr>
            </w:pPr>
            <w:r>
              <w:rPr>
                <w:rFonts w:ascii="Arial" w:cs="Arial" w:eastAsia="Arial" w:hAnsi="Arial"/>
                <w:sz w:val="16"/>
                <w:szCs w:val="16"/>
                <w:color w:val="auto"/>
                <w:w w:val="94"/>
              </w:rPr>
              <w:t>Waiver and First Amendment to Second Amended and Restated Credit</w:t>
            </w:r>
          </w:p>
        </w:tc>
        <w:tc>
          <w:tcPr>
            <w:tcW w:w="5360" w:type="dxa"/>
            <w:vAlign w:val="bottom"/>
            <w:tcBorders>
              <w:right w:val="single" w:sz="8" w:color="CCEEFF"/>
            </w:tcBorders>
            <w:gridSpan w:val="10"/>
            <w:shd w:val="clear" w:color="auto" w:fill="CCEEFF"/>
          </w:tcPr>
          <w:p>
            <w:pPr>
              <w:spacing w:after="0" w:line="148"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10.2.2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498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6"/>
                <w:szCs w:val="16"/>
                <w:color w:val="auto"/>
              </w:rPr>
              <w:t>Agreement dated May 15, 2020, among Consolidated Amusement</w:t>
            </w:r>
          </w:p>
        </w:tc>
        <w:tc>
          <w:tcPr>
            <w:tcW w:w="540" w:type="dxa"/>
            <w:vAlign w:val="bottom"/>
            <w:tcBorders>
              <w:top w:val="single" w:sz="8" w:color="CCEEFF"/>
            </w:tcBorders>
            <w:gridSpan w:val="2"/>
            <w:shd w:val="clear" w:color="auto" w:fill="CCEEFF"/>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right w:val="single" w:sz="8" w:color="CCEEFF"/>
            </w:tcBorders>
            <w:gridSpan w:val="8"/>
            <w:shd w:val="clear" w:color="auto" w:fill="CCEEFF"/>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132"/>
        </w:trPr>
        <w:tc>
          <w:tcPr>
            <w:tcW w:w="900" w:type="dxa"/>
            <w:vAlign w:val="bottom"/>
            <w:tcBorders>
              <w:top w:val="single" w:sz="8" w:color="CCEEFF"/>
            </w:tcBorders>
            <w:shd w:val="clear" w:color="auto" w:fill="CCEEFF"/>
          </w:tcPr>
          <w:p>
            <w:pPr>
              <w:spacing w:after="0"/>
              <w:rPr>
                <w:sz w:val="11"/>
                <w:szCs w:val="11"/>
                <w:color w:val="auto"/>
              </w:rPr>
            </w:pPr>
          </w:p>
        </w:tc>
        <w:tc>
          <w:tcPr>
            <w:tcW w:w="4980" w:type="dxa"/>
            <w:vAlign w:val="bottom"/>
            <w:tcBorders>
              <w:top w:val="single" w:sz="8" w:color="CCEEFF"/>
            </w:tcBorders>
            <w:shd w:val="clear" w:color="auto" w:fill="CCEEFF"/>
          </w:tcPr>
          <w:p>
            <w:pPr>
              <w:ind w:left="180"/>
              <w:spacing w:after="0" w:line="132" w:lineRule="exact"/>
              <w:rPr>
                <w:sz w:val="20"/>
                <w:szCs w:val="20"/>
                <w:color w:val="auto"/>
              </w:rPr>
            </w:pPr>
            <w:r>
              <w:rPr>
                <w:rFonts w:ascii="Arial" w:cs="Arial" w:eastAsia="Arial" w:hAnsi="Arial"/>
                <w:sz w:val="15"/>
                <w:szCs w:val="15"/>
                <w:color w:val="auto"/>
              </w:rPr>
              <w:t>Holdings, LLC, certain affiliates of the Company, the financial</w:t>
            </w:r>
          </w:p>
        </w:tc>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9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00" w:type="dxa"/>
            <w:vAlign w:val="bottom"/>
            <w:shd w:val="clear" w:color="auto" w:fill="CCEEFF"/>
          </w:tcPr>
          <w:p>
            <w:pPr>
              <w:spacing w:after="0"/>
              <w:rPr>
                <w:sz w:val="14"/>
                <w:szCs w:val="14"/>
                <w:color w:val="auto"/>
              </w:rPr>
            </w:pPr>
          </w:p>
        </w:tc>
        <w:tc>
          <w:tcPr>
            <w:tcW w:w="498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7"/>
              </w:rPr>
              <w:t>institutions party thereto and Bank of America, N.A., as administrative</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00" w:type="dxa"/>
            <w:vAlign w:val="bottom"/>
            <w:shd w:val="clear" w:color="auto" w:fill="CCEEFF"/>
          </w:tcPr>
          <w:p>
            <w:pPr>
              <w:spacing w:after="0"/>
              <w:rPr>
                <w:sz w:val="16"/>
                <w:szCs w:val="16"/>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agent.</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right"/>
              <w:ind w:right="99"/>
              <w:spacing w:after="0" w:line="148" w:lineRule="exact"/>
              <w:rPr>
                <w:sz w:val="20"/>
                <w:szCs w:val="20"/>
                <w:color w:val="auto"/>
              </w:rPr>
            </w:pPr>
            <w:r>
              <w:rPr>
                <w:rFonts w:ascii="Arial" w:cs="Arial" w:eastAsia="Arial" w:hAnsi="Arial"/>
                <w:sz w:val="16"/>
                <w:szCs w:val="16"/>
                <w:color w:val="auto"/>
              </w:rPr>
              <w:t>10.29</w:t>
            </w:r>
          </w:p>
        </w:tc>
        <w:tc>
          <w:tcPr>
            <w:tcW w:w="10340" w:type="dxa"/>
            <w:vAlign w:val="bottom"/>
            <w:gridSpan w:val="11"/>
          </w:tcPr>
          <w:p>
            <w:pPr>
              <w:ind w:left="180"/>
              <w:spacing w:after="0" w:line="148" w:lineRule="exact"/>
              <w:rPr>
                <w:rFonts w:ascii="Arial" w:cs="Arial" w:eastAsia="Arial" w:hAnsi="Arial"/>
                <w:sz w:val="16"/>
                <w:szCs w:val="16"/>
                <w:color w:val="auto"/>
                <w:w w:val="93"/>
              </w:rPr>
            </w:pPr>
            <w:r>
              <w:rPr>
                <w:rFonts w:ascii="Arial" w:cs="Arial" w:eastAsia="Arial" w:hAnsi="Arial"/>
                <w:sz w:val="16"/>
                <w:szCs w:val="16"/>
                <w:color w:val="auto"/>
                <w:w w:val="93"/>
              </w:rPr>
              <w:t xml:space="preserve">Waiver and Second Amendment to Second Amended and Restated Credit </w:t>
            </w:r>
            <w:hyperlink r:id="rId192">
              <w:r>
                <w:rPr>
                  <w:rFonts w:ascii="Arial" w:cs="Arial" w:eastAsia="Arial" w:hAnsi="Arial"/>
                  <w:sz w:val="16"/>
                  <w:szCs w:val="16"/>
                  <w:color w:val="auto"/>
                  <w:w w:val="93"/>
                </w:rPr>
                <w:t xml:space="preserve">Filed as </w:t>
              </w:r>
              <w:r>
                <w:rPr>
                  <w:rFonts w:ascii="Arial" w:cs="Arial" w:eastAsia="Arial" w:hAnsi="Arial"/>
                  <w:sz w:val="16"/>
                  <w:szCs w:val="16"/>
                  <w:b w:val="1"/>
                  <w:bCs w:val="1"/>
                  <w:color w:val="0000FF"/>
                  <w:w w:val="93"/>
                </w:rPr>
                <w:t>Exhibit 10.3 to the Company’s Quarterly Report on Form 10-Q for</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80" w:type="dxa"/>
            <w:vAlign w:val="bottom"/>
            <w:vMerge w:val="restart"/>
          </w:tcPr>
          <w:p>
            <w:pPr>
              <w:ind w:left="180"/>
              <w:spacing w:after="0" w:line="162" w:lineRule="exact"/>
              <w:rPr>
                <w:sz w:val="20"/>
                <w:szCs w:val="20"/>
                <w:color w:val="auto"/>
              </w:rPr>
            </w:pPr>
            <w:r>
              <w:rPr>
                <w:rFonts w:ascii="Arial" w:cs="Arial" w:eastAsia="Arial" w:hAnsi="Arial"/>
                <w:sz w:val="16"/>
                <w:szCs w:val="16"/>
                <w:color w:val="auto"/>
                <w:w w:val="98"/>
              </w:rPr>
              <w:t>Agreement dated August 7, 2020 between Consolidated Amusement</w:t>
            </w:r>
          </w:p>
        </w:tc>
        <w:tc>
          <w:tcPr>
            <w:tcW w:w="540" w:type="dxa"/>
            <w:vAlign w:val="bottom"/>
            <w:gridSpan w:val="2"/>
          </w:tcPr>
          <w:p>
            <w:pPr>
              <w:spacing w:after="0" w:line="20" w:lineRule="exact"/>
              <w:rPr>
                <w:sz w:val="1"/>
                <w:szCs w:val="1"/>
                <w:color w:val="auto"/>
              </w:rPr>
            </w:pPr>
          </w:p>
        </w:tc>
        <w:tc>
          <w:tcPr>
            <w:tcW w:w="4680" w:type="dxa"/>
            <w:vAlign w:val="bottom"/>
            <w:gridSpan w:val="7"/>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vMerge w:val="continue"/>
          </w:tcPr>
          <w:p>
            <w:pPr>
              <w:spacing w:after="0"/>
              <w:rPr>
                <w:sz w:val="12"/>
                <w:szCs w:val="12"/>
                <w:color w:val="auto"/>
              </w:rPr>
            </w:pPr>
          </w:p>
        </w:tc>
        <w:tc>
          <w:tcPr>
            <w:tcW w:w="5220" w:type="dxa"/>
            <w:vAlign w:val="bottom"/>
            <w:gridSpan w:val="9"/>
          </w:tcPr>
          <w:p>
            <w:pPr>
              <w:spacing w:after="0" w:line="142" w:lineRule="exact"/>
              <w:rPr>
                <w:rFonts w:ascii="Arial" w:cs="Arial" w:eastAsia="Arial" w:hAnsi="Arial"/>
                <w:sz w:val="16"/>
                <w:szCs w:val="16"/>
                <w:b w:val="1"/>
                <w:bCs w:val="1"/>
                <w:color w:val="0000FF"/>
              </w:rPr>
            </w:pPr>
            <w:hyperlink r:id="rId192">
              <w:r>
                <w:rPr>
                  <w:rFonts w:ascii="Arial" w:cs="Arial" w:eastAsia="Arial" w:hAnsi="Arial"/>
                  <w:sz w:val="16"/>
                  <w:szCs w:val="16"/>
                  <w:b w:val="1"/>
                  <w:bCs w:val="1"/>
                  <w:color w:val="0000FF"/>
                </w:rPr>
                <w:t>the quarter ended June 30, 2020</w:t>
              </w:r>
              <w:r>
                <w:rPr>
                  <w:rFonts w:ascii="Arial" w:cs="Arial" w:eastAsia="Arial" w:hAnsi="Arial"/>
                  <w:sz w:val="16"/>
                  <w:szCs w:val="16"/>
                  <w:color w:val="000000"/>
                </w:rPr>
                <w:t>, and incorporated herein by reference.</w:t>
              </w:r>
            </w:hyperlink>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4980" w:type="dxa"/>
            <w:vAlign w:val="bottom"/>
          </w:tcPr>
          <w:p>
            <w:pPr>
              <w:ind w:left="180"/>
              <w:spacing w:after="0" w:line="155" w:lineRule="exact"/>
              <w:rPr>
                <w:sz w:val="20"/>
                <w:szCs w:val="20"/>
                <w:color w:val="auto"/>
              </w:rPr>
            </w:pPr>
            <w:r>
              <w:rPr>
                <w:rFonts w:ascii="Arial" w:cs="Arial" w:eastAsia="Arial" w:hAnsi="Arial"/>
                <w:sz w:val="16"/>
                <w:szCs w:val="16"/>
                <w:color w:val="auto"/>
              </w:rPr>
              <w:t>Holdings, LLC, and Bank of America, N.A.</w:t>
            </w:r>
          </w:p>
        </w:tc>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0" w:type="dxa"/>
            <w:vAlign w:val="bottom"/>
            <w:shd w:val="clear" w:color="auto" w:fill="CCEEFF"/>
          </w:tcPr>
          <w:p>
            <w:pPr>
              <w:jc w:val="right"/>
              <w:ind w:right="99"/>
              <w:spacing w:after="0" w:line="148" w:lineRule="exact"/>
              <w:rPr>
                <w:sz w:val="20"/>
                <w:szCs w:val="20"/>
                <w:color w:val="auto"/>
              </w:rPr>
            </w:pPr>
            <w:r>
              <w:rPr>
                <w:rFonts w:ascii="Arial" w:cs="Arial" w:eastAsia="Arial" w:hAnsi="Arial"/>
                <w:sz w:val="16"/>
                <w:szCs w:val="16"/>
                <w:color w:val="auto"/>
              </w:rPr>
              <w:t>10.30</w:t>
            </w:r>
          </w:p>
        </w:tc>
        <w:tc>
          <w:tcPr>
            <w:tcW w:w="4980" w:type="dxa"/>
            <w:vAlign w:val="bottom"/>
            <w:shd w:val="clear" w:color="auto" w:fill="CCEEFF"/>
          </w:tcPr>
          <w:p>
            <w:pPr>
              <w:ind w:left="180"/>
              <w:spacing w:after="0" w:line="148" w:lineRule="exact"/>
              <w:rPr>
                <w:sz w:val="20"/>
                <w:szCs w:val="20"/>
                <w:color w:val="auto"/>
              </w:rPr>
            </w:pPr>
            <w:r>
              <w:rPr>
                <w:rFonts w:ascii="Arial" w:cs="Arial" w:eastAsia="Arial" w:hAnsi="Arial"/>
                <w:sz w:val="16"/>
                <w:szCs w:val="16"/>
                <w:color w:val="auto"/>
                <w:w w:val="93"/>
              </w:rPr>
              <w:t>Consolidated, Amended and Restated Mortgage Promissory Note dated</w:t>
            </w:r>
          </w:p>
        </w:tc>
        <w:tc>
          <w:tcPr>
            <w:tcW w:w="5360" w:type="dxa"/>
            <w:vAlign w:val="bottom"/>
            <w:tcBorders>
              <w:right w:val="single" w:sz="8" w:color="CCEEFF"/>
            </w:tcBorders>
            <w:gridSpan w:val="10"/>
            <w:shd w:val="clear" w:color="auto" w:fill="CCEEFF"/>
          </w:tcPr>
          <w:p>
            <w:pPr>
              <w:spacing w:after="0" w:line="148"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10.4.1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498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6"/>
                <w:szCs w:val="16"/>
                <w:color w:val="auto"/>
              </w:rPr>
              <w:t>March 13, 2020, between Sutton Hill Properties, LLC and Valley</w:t>
            </w:r>
          </w:p>
        </w:tc>
        <w:tc>
          <w:tcPr>
            <w:tcW w:w="540" w:type="dxa"/>
            <w:vAlign w:val="bottom"/>
            <w:tcBorders>
              <w:top w:val="single" w:sz="8" w:color="CCEEFF"/>
            </w:tcBorders>
            <w:gridSpan w:val="2"/>
            <w:shd w:val="clear" w:color="auto" w:fill="CCEEFF"/>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right w:val="single" w:sz="8" w:color="CCEEFF"/>
            </w:tcBorders>
            <w:gridSpan w:val="8"/>
            <w:shd w:val="clear" w:color="auto" w:fill="CCEEFF"/>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156"/>
        </w:trPr>
        <w:tc>
          <w:tcPr>
            <w:tcW w:w="900" w:type="dxa"/>
            <w:vAlign w:val="bottom"/>
            <w:tcBorders>
              <w:top w:val="single" w:sz="8" w:color="CCEEFF"/>
            </w:tcBorders>
            <w:shd w:val="clear" w:color="auto" w:fill="CCEEFF"/>
          </w:tcPr>
          <w:p>
            <w:pPr>
              <w:spacing w:after="0"/>
              <w:rPr>
                <w:sz w:val="13"/>
                <w:szCs w:val="13"/>
                <w:color w:val="auto"/>
              </w:rPr>
            </w:pPr>
          </w:p>
        </w:tc>
        <w:tc>
          <w:tcPr>
            <w:tcW w:w="4980" w:type="dxa"/>
            <w:vAlign w:val="bottom"/>
            <w:tcBorders>
              <w:top w:val="single" w:sz="8" w:color="CCEEFF"/>
            </w:tcBorders>
            <w:shd w:val="clear" w:color="auto" w:fill="CCEEFF"/>
          </w:tcPr>
          <w:p>
            <w:pPr>
              <w:ind w:left="180"/>
              <w:spacing w:after="0" w:line="155" w:lineRule="exact"/>
              <w:rPr>
                <w:sz w:val="20"/>
                <w:szCs w:val="20"/>
                <w:color w:val="auto"/>
              </w:rPr>
            </w:pPr>
            <w:r>
              <w:rPr>
                <w:rFonts w:ascii="Arial" w:cs="Arial" w:eastAsia="Arial" w:hAnsi="Arial"/>
                <w:sz w:val="16"/>
                <w:szCs w:val="16"/>
                <w:color w:val="auto"/>
              </w:rPr>
              <w:t>National Bank.</w:t>
            </w: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right"/>
              <w:ind w:right="99"/>
              <w:spacing w:after="0" w:line="148" w:lineRule="exact"/>
              <w:rPr>
                <w:sz w:val="20"/>
                <w:szCs w:val="20"/>
                <w:color w:val="auto"/>
              </w:rPr>
            </w:pPr>
            <w:r>
              <w:rPr>
                <w:rFonts w:ascii="Arial" w:cs="Arial" w:eastAsia="Arial" w:hAnsi="Arial"/>
                <w:sz w:val="16"/>
                <w:szCs w:val="16"/>
                <w:color w:val="auto"/>
              </w:rPr>
              <w:t>10.31</w:t>
            </w:r>
          </w:p>
        </w:tc>
        <w:tc>
          <w:tcPr>
            <w:tcW w:w="4980" w:type="dxa"/>
            <w:vAlign w:val="bottom"/>
          </w:tcPr>
          <w:p>
            <w:pPr>
              <w:ind w:left="180"/>
              <w:spacing w:after="0" w:line="148" w:lineRule="exact"/>
              <w:rPr>
                <w:sz w:val="20"/>
                <w:szCs w:val="20"/>
                <w:color w:val="auto"/>
              </w:rPr>
            </w:pPr>
            <w:r>
              <w:rPr>
                <w:rFonts w:ascii="Arial" w:cs="Arial" w:eastAsia="Arial" w:hAnsi="Arial"/>
                <w:sz w:val="16"/>
                <w:szCs w:val="16"/>
                <w:color w:val="auto"/>
                <w:w w:val="96"/>
              </w:rPr>
              <w:t>Mortgage Consolidation, Modification and Extension Agreement dated</w:t>
            </w:r>
          </w:p>
        </w:tc>
        <w:tc>
          <w:tcPr>
            <w:tcW w:w="5360" w:type="dxa"/>
            <w:vAlign w:val="bottom"/>
            <w:gridSpan w:val="10"/>
          </w:tcPr>
          <w:p>
            <w:pPr>
              <w:spacing w:after="0" w:line="148"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10.4.2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rPr>
              <w:t>March 13, 2020, between Sutton Hill Properties, LLC and Valley</w:t>
            </w:r>
          </w:p>
        </w:tc>
        <w:tc>
          <w:tcPr>
            <w:tcW w:w="540" w:type="dxa"/>
            <w:vAlign w:val="bottom"/>
            <w:gridSpan w:val="2"/>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tcBorders>
            <w:gridSpan w:val="8"/>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4980" w:type="dxa"/>
            <w:vAlign w:val="bottom"/>
          </w:tcPr>
          <w:p>
            <w:pPr>
              <w:ind w:left="180"/>
              <w:spacing w:after="0" w:line="155" w:lineRule="exact"/>
              <w:rPr>
                <w:sz w:val="20"/>
                <w:szCs w:val="20"/>
                <w:color w:val="auto"/>
              </w:rPr>
            </w:pPr>
            <w:r>
              <w:rPr>
                <w:rFonts w:ascii="Arial" w:cs="Arial" w:eastAsia="Arial" w:hAnsi="Arial"/>
                <w:sz w:val="16"/>
                <w:szCs w:val="16"/>
                <w:color w:val="auto"/>
              </w:rPr>
              <w:t>National Bank.</w:t>
            </w:r>
          </w:p>
        </w:tc>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shd w:val="clear" w:color="auto" w:fill="CCEEFF"/>
          </w:tcPr>
          <w:p>
            <w:pPr>
              <w:jc w:val="right"/>
              <w:ind w:right="99"/>
              <w:spacing w:after="0" w:line="148" w:lineRule="exact"/>
              <w:rPr>
                <w:sz w:val="20"/>
                <w:szCs w:val="20"/>
                <w:color w:val="auto"/>
              </w:rPr>
            </w:pPr>
            <w:r>
              <w:rPr>
                <w:rFonts w:ascii="Arial" w:cs="Arial" w:eastAsia="Arial" w:hAnsi="Arial"/>
                <w:sz w:val="16"/>
                <w:szCs w:val="16"/>
                <w:color w:val="auto"/>
              </w:rPr>
              <w:t>10.32</w:t>
            </w:r>
          </w:p>
        </w:tc>
        <w:tc>
          <w:tcPr>
            <w:tcW w:w="4980" w:type="dxa"/>
            <w:vAlign w:val="bottom"/>
            <w:shd w:val="clear" w:color="auto" w:fill="CCEEFF"/>
          </w:tcPr>
          <w:p>
            <w:pPr>
              <w:ind w:left="180"/>
              <w:spacing w:after="0" w:line="148" w:lineRule="exact"/>
              <w:rPr>
                <w:sz w:val="20"/>
                <w:szCs w:val="20"/>
                <w:color w:val="auto"/>
              </w:rPr>
            </w:pPr>
            <w:r>
              <w:rPr>
                <w:rFonts w:ascii="Arial" w:cs="Arial" w:eastAsia="Arial" w:hAnsi="Arial"/>
                <w:sz w:val="16"/>
                <w:szCs w:val="16"/>
                <w:color w:val="auto"/>
                <w:w w:val="94"/>
              </w:rPr>
              <w:t>Pledge and Security Agreement dated March 13, 2020, between Sutton</w:t>
            </w:r>
          </w:p>
        </w:tc>
        <w:tc>
          <w:tcPr>
            <w:tcW w:w="5360" w:type="dxa"/>
            <w:vAlign w:val="bottom"/>
            <w:tcBorders>
              <w:right w:val="single" w:sz="8" w:color="CCEEFF"/>
            </w:tcBorders>
            <w:gridSpan w:val="10"/>
            <w:shd w:val="clear" w:color="auto" w:fill="CCEEFF"/>
          </w:tcPr>
          <w:p>
            <w:pPr>
              <w:spacing w:after="0" w:line="148"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10.4.3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498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6"/>
                <w:szCs w:val="16"/>
                <w:color w:val="auto"/>
              </w:rPr>
              <w:t>Hill Properties, LLC and Valley National Bank.</w:t>
            </w:r>
          </w:p>
        </w:tc>
        <w:tc>
          <w:tcPr>
            <w:tcW w:w="540" w:type="dxa"/>
            <w:vAlign w:val="bottom"/>
            <w:tcBorders>
              <w:top w:val="single" w:sz="8" w:color="CCEEFF"/>
            </w:tcBorders>
            <w:gridSpan w:val="2"/>
            <w:shd w:val="clear" w:color="auto" w:fill="CCEEFF"/>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right w:val="single" w:sz="8" w:color="CCEEFF"/>
            </w:tcBorders>
            <w:gridSpan w:val="8"/>
            <w:shd w:val="clear" w:color="auto" w:fill="CCEEFF"/>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tcPr>
          <w:p>
            <w:pPr>
              <w:jc w:val="right"/>
              <w:ind w:right="99"/>
              <w:spacing w:after="0" w:line="142" w:lineRule="exact"/>
              <w:rPr>
                <w:sz w:val="20"/>
                <w:szCs w:val="20"/>
                <w:color w:val="auto"/>
              </w:rPr>
            </w:pPr>
            <w:r>
              <w:rPr>
                <w:rFonts w:ascii="Arial" w:cs="Arial" w:eastAsia="Arial" w:hAnsi="Arial"/>
                <w:sz w:val="16"/>
                <w:szCs w:val="16"/>
                <w:color w:val="auto"/>
              </w:rPr>
              <w:t>10.33</w:t>
            </w: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w w:val="97"/>
              </w:rPr>
              <w:t>ADA and Environmental Indemnity Agreement dated March 13, 2020,</w:t>
            </w:r>
          </w:p>
        </w:tc>
        <w:tc>
          <w:tcPr>
            <w:tcW w:w="5360" w:type="dxa"/>
            <w:vAlign w:val="bottom"/>
            <w:gridSpan w:val="10"/>
          </w:tcPr>
          <w:p>
            <w:pPr>
              <w:spacing w:after="0" w:line="142"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10.4.4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980" w:type="dxa"/>
            <w:vAlign w:val="bottom"/>
          </w:tcPr>
          <w:p>
            <w:pPr>
              <w:ind w:left="180"/>
              <w:spacing w:after="0" w:line="142" w:lineRule="exact"/>
              <w:rPr>
                <w:sz w:val="20"/>
                <w:szCs w:val="20"/>
                <w:color w:val="auto"/>
              </w:rPr>
            </w:pPr>
            <w:r>
              <w:rPr>
                <w:rFonts w:ascii="Arial" w:cs="Arial" w:eastAsia="Arial" w:hAnsi="Arial"/>
                <w:sz w:val="16"/>
                <w:szCs w:val="16"/>
                <w:color w:val="auto"/>
                <w:w w:val="95"/>
              </w:rPr>
              <w:t>executed by Sutton Hill Properties, LLC and Reading International, Inc.</w:t>
            </w:r>
          </w:p>
        </w:tc>
        <w:tc>
          <w:tcPr>
            <w:tcW w:w="540" w:type="dxa"/>
            <w:vAlign w:val="bottom"/>
            <w:gridSpan w:val="2"/>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tcBorders>
            <w:gridSpan w:val="8"/>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4980" w:type="dxa"/>
            <w:vAlign w:val="bottom"/>
          </w:tcPr>
          <w:p>
            <w:pPr>
              <w:ind w:left="180"/>
              <w:spacing w:after="0" w:line="155" w:lineRule="exact"/>
              <w:rPr>
                <w:sz w:val="20"/>
                <w:szCs w:val="20"/>
                <w:color w:val="auto"/>
              </w:rPr>
            </w:pPr>
            <w:r>
              <w:rPr>
                <w:rFonts w:ascii="Arial" w:cs="Arial" w:eastAsia="Arial" w:hAnsi="Arial"/>
                <w:sz w:val="16"/>
                <w:szCs w:val="16"/>
                <w:color w:val="auto"/>
              </w:rPr>
              <w:t>in favor of Valley National Bank.</w:t>
            </w:r>
          </w:p>
        </w:tc>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shd w:val="clear" w:color="auto" w:fill="CCEEFF"/>
          </w:tcPr>
          <w:p>
            <w:pPr>
              <w:jc w:val="right"/>
              <w:ind w:right="99"/>
              <w:spacing w:after="0" w:line="148" w:lineRule="exact"/>
              <w:rPr>
                <w:sz w:val="20"/>
                <w:szCs w:val="20"/>
                <w:color w:val="auto"/>
              </w:rPr>
            </w:pPr>
            <w:r>
              <w:rPr>
                <w:rFonts w:ascii="Arial" w:cs="Arial" w:eastAsia="Arial" w:hAnsi="Arial"/>
                <w:sz w:val="16"/>
                <w:szCs w:val="16"/>
                <w:color w:val="auto"/>
              </w:rPr>
              <w:t>10.34</w:t>
            </w:r>
          </w:p>
        </w:tc>
        <w:tc>
          <w:tcPr>
            <w:tcW w:w="4980" w:type="dxa"/>
            <w:vAlign w:val="bottom"/>
            <w:shd w:val="clear" w:color="auto" w:fill="CCEEFF"/>
          </w:tcPr>
          <w:p>
            <w:pPr>
              <w:ind w:left="180"/>
              <w:spacing w:after="0" w:line="148" w:lineRule="exact"/>
              <w:rPr>
                <w:sz w:val="20"/>
                <w:szCs w:val="20"/>
                <w:color w:val="auto"/>
              </w:rPr>
            </w:pPr>
            <w:r>
              <w:rPr>
                <w:rFonts w:ascii="Arial" w:cs="Arial" w:eastAsia="Arial" w:hAnsi="Arial"/>
                <w:sz w:val="16"/>
                <w:szCs w:val="16"/>
                <w:color w:val="auto"/>
                <w:w w:val="97"/>
              </w:rPr>
              <w:t>Assignment of Rents and Leases dated March 13, 2020, executed by</w:t>
            </w:r>
          </w:p>
        </w:tc>
        <w:tc>
          <w:tcPr>
            <w:tcW w:w="5360" w:type="dxa"/>
            <w:vAlign w:val="bottom"/>
            <w:tcBorders>
              <w:right w:val="single" w:sz="8" w:color="CCEEFF"/>
            </w:tcBorders>
            <w:gridSpan w:val="10"/>
            <w:shd w:val="clear" w:color="auto" w:fill="CCEEFF"/>
          </w:tcPr>
          <w:p>
            <w:pPr>
              <w:spacing w:after="0" w:line="148"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10.4.5 to the Company’s report on Form 8-K (file no. 1-8625),</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498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6"/>
                <w:szCs w:val="16"/>
                <w:color w:val="auto"/>
              </w:rPr>
              <w:t>Sutton Hill Properties, LLC in favor of Valley National Bank.</w:t>
            </w:r>
          </w:p>
        </w:tc>
        <w:tc>
          <w:tcPr>
            <w:tcW w:w="540" w:type="dxa"/>
            <w:vAlign w:val="bottom"/>
            <w:tcBorders>
              <w:top w:val="single" w:sz="8" w:color="CCEEFF"/>
            </w:tcBorders>
            <w:gridSpan w:val="2"/>
            <w:shd w:val="clear" w:color="auto" w:fill="CCEEFF"/>
          </w:tcPr>
          <w:p>
            <w:pPr>
              <w:spacing w:after="0" w:line="142" w:lineRule="exact"/>
              <w:rPr>
                <w:rFonts w:ascii="Arial" w:cs="Arial" w:eastAsia="Arial" w:hAnsi="Arial"/>
                <w:sz w:val="16"/>
                <w:szCs w:val="16"/>
                <w:b w:val="1"/>
                <w:bCs w:val="1"/>
                <w:color w:val="0000FF"/>
                <w:w w:val="91"/>
              </w:rPr>
            </w:pPr>
            <w:hyperlink r:id="rId191">
              <w:r>
                <w:rPr>
                  <w:rFonts w:ascii="Arial" w:cs="Arial" w:eastAsia="Arial" w:hAnsi="Arial"/>
                  <w:sz w:val="16"/>
                  <w:szCs w:val="16"/>
                  <w:b w:val="1"/>
                  <w:bCs w:val="1"/>
                  <w:color w:val="0000FF"/>
                  <w:w w:val="91"/>
                </w:rPr>
                <w:t>filed on</w:t>
              </w:r>
            </w:hyperlink>
          </w:p>
        </w:tc>
        <w:tc>
          <w:tcPr>
            <w:tcW w:w="4820" w:type="dxa"/>
            <w:vAlign w:val="bottom"/>
            <w:tcBorders>
              <w:top w:val="single" w:sz="8" w:color="0000FF"/>
              <w:right w:val="single" w:sz="8" w:color="CCEEFF"/>
            </w:tcBorders>
            <w:gridSpan w:val="8"/>
            <w:shd w:val="clear" w:color="auto" w:fill="CCEEFF"/>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0" w:type="dxa"/>
            <w:vAlign w:val="bottom"/>
          </w:tcPr>
          <w:p>
            <w:pPr>
              <w:spacing w:after="0"/>
              <w:rPr>
                <w:sz w:val="1"/>
                <w:szCs w:val="1"/>
                <w:color w:val="auto"/>
              </w:rPr>
            </w:pPr>
          </w:p>
        </w:tc>
      </w:tr>
      <w:tr>
        <w:trPr>
          <w:trHeight w:val="224"/>
        </w:trPr>
        <w:tc>
          <w:tcPr>
            <w:tcW w:w="900" w:type="dxa"/>
            <w:vAlign w:val="bottom"/>
            <w:tcBorders>
              <w:top w:val="single" w:sz="8" w:color="CCEEFF"/>
            </w:tcBorders>
          </w:tcPr>
          <w:p>
            <w:pPr>
              <w:spacing w:after="0"/>
              <w:rPr>
                <w:sz w:val="19"/>
                <w:szCs w:val="19"/>
                <w:color w:val="auto"/>
              </w:rPr>
            </w:pPr>
          </w:p>
        </w:tc>
        <w:tc>
          <w:tcPr>
            <w:tcW w:w="4980" w:type="dxa"/>
            <w:vAlign w:val="bottom"/>
            <w:tcBorders>
              <w:top w:val="single" w:sz="8" w:color="CCEEFF"/>
            </w:tcBorders>
          </w:tcPr>
          <w:p>
            <w:pPr>
              <w:ind w:left="4480"/>
              <w:spacing w:after="0"/>
              <w:rPr>
                <w:sz w:val="20"/>
                <w:szCs w:val="20"/>
                <w:color w:val="auto"/>
              </w:rPr>
            </w:pPr>
            <w:r>
              <w:rPr>
                <w:rFonts w:ascii="Arial" w:cs="Arial" w:eastAsia="Arial" w:hAnsi="Arial"/>
                <w:sz w:val="18"/>
                <w:szCs w:val="18"/>
                <w:color w:val="auto"/>
                <w:w w:val="92"/>
              </w:rPr>
              <w:t>- 129 -</w:t>
            </w:r>
          </w:p>
        </w:tc>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90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9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84"/>
        </w:trPr>
        <w:tc>
          <w:tcPr>
            <w:tcW w:w="1080" w:type="dxa"/>
            <w:vAlign w:val="bottom"/>
          </w:tcPr>
          <w:p>
            <w:pPr>
              <w:jc w:val="center"/>
              <w:spacing w:after="0"/>
              <w:rPr>
                <w:sz w:val="20"/>
                <w:szCs w:val="20"/>
                <w:color w:val="auto"/>
              </w:rPr>
            </w:pPr>
            <w:r>
              <w:rPr>
                <w:rFonts w:ascii="Arial" w:cs="Arial" w:eastAsia="Arial" w:hAnsi="Arial"/>
                <w:sz w:val="16"/>
                <w:szCs w:val="16"/>
                <w:color w:val="auto"/>
                <w:w w:val="89"/>
              </w:rPr>
              <w:t>10.35</w:t>
            </w:r>
          </w:p>
        </w:tc>
        <w:tc>
          <w:tcPr>
            <w:tcW w:w="4820" w:type="dxa"/>
            <w:vAlign w:val="bottom"/>
            <w:gridSpan w:val="12"/>
          </w:tcPr>
          <w:p>
            <w:pPr>
              <w:spacing w:after="0"/>
              <w:rPr>
                <w:sz w:val="20"/>
                <w:szCs w:val="20"/>
                <w:color w:val="auto"/>
              </w:rPr>
            </w:pPr>
            <w:r>
              <w:rPr>
                <w:rFonts w:ascii="Arial" w:cs="Arial" w:eastAsia="Arial" w:hAnsi="Arial"/>
                <w:sz w:val="16"/>
                <w:szCs w:val="16"/>
                <w:color w:val="auto"/>
                <w:w w:val="94"/>
              </w:rPr>
              <w:t>Guaranty of Payment and Performance dated March 13, 2020 executed</w:t>
            </w:r>
          </w:p>
        </w:tc>
        <w:tc>
          <w:tcPr>
            <w:tcW w:w="5340" w:type="dxa"/>
            <w:vAlign w:val="bottom"/>
            <w:gridSpan w:val="7"/>
          </w:tcPr>
          <w:p>
            <w:pPr>
              <w:spacing w:after="0"/>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10.4.6 to the Company’s report on Form 8-K (file no. 1-8625),</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820" w:type="dxa"/>
            <w:vAlign w:val="bottom"/>
            <w:gridSpan w:val="12"/>
          </w:tcPr>
          <w:p>
            <w:pPr>
              <w:spacing w:after="0" w:line="142" w:lineRule="exact"/>
              <w:rPr>
                <w:sz w:val="20"/>
                <w:szCs w:val="20"/>
                <w:color w:val="auto"/>
              </w:rPr>
            </w:pPr>
            <w:r>
              <w:rPr>
                <w:rFonts w:ascii="Arial" w:cs="Arial" w:eastAsia="Arial" w:hAnsi="Arial"/>
                <w:sz w:val="16"/>
                <w:szCs w:val="16"/>
                <w:color w:val="auto"/>
              </w:rPr>
              <w:t>by Reading International, Inc. in favor of Valley National Bank.</w:t>
            </w:r>
          </w:p>
        </w:tc>
        <w:tc>
          <w:tcPr>
            <w:tcW w:w="520" w:type="dxa"/>
            <w:vAlign w:val="bottom"/>
          </w:tcPr>
          <w:p>
            <w:pPr>
              <w:spacing w:after="0" w:line="142" w:lineRule="exact"/>
              <w:rPr>
                <w:rFonts w:ascii="Arial" w:cs="Arial" w:eastAsia="Arial" w:hAnsi="Arial"/>
                <w:sz w:val="16"/>
                <w:szCs w:val="16"/>
                <w:b w:val="1"/>
                <w:bCs w:val="1"/>
                <w:color w:val="0000FF"/>
                <w:w w:val="87"/>
              </w:rPr>
            </w:pPr>
            <w:hyperlink r:id="rId191">
              <w:r>
                <w:rPr>
                  <w:rFonts w:ascii="Arial" w:cs="Arial" w:eastAsia="Arial" w:hAnsi="Arial"/>
                  <w:sz w:val="16"/>
                  <w:szCs w:val="16"/>
                  <w:b w:val="1"/>
                  <w:bCs w:val="1"/>
                  <w:color w:val="0000FF"/>
                  <w:w w:val="87"/>
                </w:rPr>
                <w:t>filed on</w:t>
              </w:r>
            </w:hyperlink>
          </w:p>
        </w:tc>
        <w:tc>
          <w:tcPr>
            <w:tcW w:w="4800" w:type="dxa"/>
            <w:vAlign w:val="bottom"/>
            <w:tcBorders>
              <w:top w:val="single" w:sz="8" w:color="0000FF"/>
            </w:tcBorders>
            <w:gridSpan w:val="5"/>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10.36</w:t>
            </w:r>
          </w:p>
        </w:tc>
        <w:tc>
          <w:tcPr>
            <w:tcW w:w="4820" w:type="dxa"/>
            <w:vAlign w:val="bottom"/>
            <w:tcBorders>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rPr>
              <w:t>Carveout Guaranty dated March 13, 2020 executed by Reading</w:t>
            </w:r>
          </w:p>
        </w:tc>
        <w:tc>
          <w:tcPr>
            <w:tcW w:w="5340" w:type="dxa"/>
            <w:vAlign w:val="bottom"/>
            <w:gridSpan w:val="7"/>
            <w:shd w:val="clear" w:color="auto" w:fill="CCEEFF"/>
          </w:tcPr>
          <w:p>
            <w:pPr>
              <w:spacing w:after="0" w:line="142"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10.4.7 to the Company’s report on Form 8-K (file no. 1-8625),</w:t>
              </w:r>
            </w:hyperlink>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tcBorders>
            <w:shd w:val="clear" w:color="auto" w:fill="CCEEFF"/>
          </w:tcPr>
          <w:p>
            <w:pPr>
              <w:spacing w:after="0"/>
              <w:rPr>
                <w:sz w:val="12"/>
                <w:szCs w:val="12"/>
                <w:color w:val="auto"/>
              </w:rPr>
            </w:pPr>
          </w:p>
        </w:tc>
        <w:tc>
          <w:tcPr>
            <w:tcW w:w="4820" w:type="dxa"/>
            <w:vAlign w:val="bottom"/>
            <w:tcBorders>
              <w:top w:val="single" w:sz="8" w:color="CCEEFF"/>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rPr>
              <w:t>International, Inc. in favor of Valley National Bank.</w:t>
            </w:r>
          </w:p>
        </w:tc>
        <w:tc>
          <w:tcPr>
            <w:tcW w:w="520" w:type="dxa"/>
            <w:vAlign w:val="bottom"/>
            <w:tcBorders>
              <w:top w:val="single" w:sz="8" w:color="CCEEFF"/>
            </w:tcBorders>
            <w:shd w:val="clear" w:color="auto" w:fill="CCEEFF"/>
          </w:tcPr>
          <w:p>
            <w:pPr>
              <w:spacing w:after="0" w:line="142" w:lineRule="exact"/>
              <w:rPr>
                <w:rFonts w:ascii="Arial" w:cs="Arial" w:eastAsia="Arial" w:hAnsi="Arial"/>
                <w:sz w:val="16"/>
                <w:szCs w:val="16"/>
                <w:b w:val="1"/>
                <w:bCs w:val="1"/>
                <w:color w:val="0000FF"/>
                <w:w w:val="87"/>
              </w:rPr>
            </w:pPr>
            <w:hyperlink r:id="rId191">
              <w:r>
                <w:rPr>
                  <w:rFonts w:ascii="Arial" w:cs="Arial" w:eastAsia="Arial" w:hAnsi="Arial"/>
                  <w:sz w:val="16"/>
                  <w:szCs w:val="16"/>
                  <w:b w:val="1"/>
                  <w:bCs w:val="1"/>
                  <w:color w:val="0000FF"/>
                  <w:w w:val="87"/>
                </w:rPr>
                <w:t>filed on</w:t>
              </w:r>
            </w:hyperlink>
          </w:p>
        </w:tc>
        <w:tc>
          <w:tcPr>
            <w:tcW w:w="4800" w:type="dxa"/>
            <w:vAlign w:val="bottom"/>
            <w:tcBorders>
              <w:top w:val="single" w:sz="8" w:color="0000FF"/>
            </w:tcBorders>
            <w:gridSpan w:val="5"/>
            <w:shd w:val="clear" w:color="auto" w:fill="CCEEFF"/>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tcPr>
          <w:p>
            <w:pPr>
              <w:jc w:val="center"/>
              <w:spacing w:after="0" w:line="142" w:lineRule="exact"/>
              <w:rPr>
                <w:sz w:val="20"/>
                <w:szCs w:val="20"/>
                <w:color w:val="auto"/>
              </w:rPr>
            </w:pPr>
            <w:r>
              <w:rPr>
                <w:rFonts w:ascii="Arial" w:cs="Arial" w:eastAsia="Arial" w:hAnsi="Arial"/>
                <w:sz w:val="16"/>
                <w:szCs w:val="16"/>
                <w:color w:val="auto"/>
                <w:w w:val="89"/>
              </w:rPr>
              <w:t>10.37</w:t>
            </w:r>
          </w:p>
        </w:tc>
        <w:tc>
          <w:tcPr>
            <w:tcW w:w="4820" w:type="dxa"/>
            <w:vAlign w:val="bottom"/>
            <w:gridSpan w:val="12"/>
          </w:tcPr>
          <w:p>
            <w:pPr>
              <w:spacing w:after="0" w:line="142" w:lineRule="exact"/>
              <w:rPr>
                <w:sz w:val="20"/>
                <w:szCs w:val="20"/>
                <w:color w:val="auto"/>
              </w:rPr>
            </w:pPr>
            <w:r>
              <w:rPr>
                <w:rFonts w:ascii="Arial" w:cs="Arial" w:eastAsia="Arial" w:hAnsi="Arial"/>
                <w:sz w:val="16"/>
                <w:szCs w:val="16"/>
                <w:color w:val="auto"/>
                <w:w w:val="94"/>
              </w:rPr>
              <w:t>Guaranty dated March 13, 2020 executed by Reading International, Inc.</w:t>
            </w:r>
          </w:p>
        </w:tc>
        <w:tc>
          <w:tcPr>
            <w:tcW w:w="5340" w:type="dxa"/>
            <w:vAlign w:val="bottom"/>
            <w:gridSpan w:val="7"/>
          </w:tcPr>
          <w:p>
            <w:pPr>
              <w:spacing w:after="0" w:line="142" w:lineRule="exact"/>
              <w:rPr>
                <w:rFonts w:ascii="Arial" w:cs="Arial" w:eastAsia="Arial" w:hAnsi="Arial"/>
                <w:sz w:val="16"/>
                <w:szCs w:val="16"/>
                <w:color w:val="auto"/>
                <w:w w:val="92"/>
              </w:rPr>
            </w:pPr>
            <w:hyperlink r:id="rId191">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10.4.8 to the Company’s report on Form 8-K (file no. 1-8625),</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820" w:type="dxa"/>
            <w:vAlign w:val="bottom"/>
            <w:gridSpan w:val="12"/>
          </w:tcPr>
          <w:p>
            <w:pPr>
              <w:spacing w:after="0" w:line="142" w:lineRule="exact"/>
              <w:rPr>
                <w:sz w:val="20"/>
                <w:szCs w:val="20"/>
                <w:color w:val="auto"/>
              </w:rPr>
            </w:pPr>
            <w:r>
              <w:rPr>
                <w:rFonts w:ascii="Arial" w:cs="Arial" w:eastAsia="Arial" w:hAnsi="Arial"/>
                <w:sz w:val="16"/>
                <w:szCs w:val="16"/>
                <w:color w:val="auto"/>
              </w:rPr>
              <w:t>in favor of Valley National Bank.</w:t>
            </w:r>
          </w:p>
        </w:tc>
        <w:tc>
          <w:tcPr>
            <w:tcW w:w="520" w:type="dxa"/>
            <w:vAlign w:val="bottom"/>
          </w:tcPr>
          <w:p>
            <w:pPr>
              <w:spacing w:after="0" w:line="142" w:lineRule="exact"/>
              <w:rPr>
                <w:rFonts w:ascii="Arial" w:cs="Arial" w:eastAsia="Arial" w:hAnsi="Arial"/>
                <w:sz w:val="16"/>
                <w:szCs w:val="16"/>
                <w:b w:val="1"/>
                <w:bCs w:val="1"/>
                <w:color w:val="0000FF"/>
                <w:w w:val="87"/>
              </w:rPr>
            </w:pPr>
            <w:hyperlink r:id="rId191">
              <w:r>
                <w:rPr>
                  <w:rFonts w:ascii="Arial" w:cs="Arial" w:eastAsia="Arial" w:hAnsi="Arial"/>
                  <w:sz w:val="16"/>
                  <w:szCs w:val="16"/>
                  <w:b w:val="1"/>
                  <w:bCs w:val="1"/>
                  <w:color w:val="0000FF"/>
                  <w:w w:val="87"/>
                </w:rPr>
                <w:t>filed on</w:t>
              </w:r>
            </w:hyperlink>
          </w:p>
        </w:tc>
        <w:tc>
          <w:tcPr>
            <w:tcW w:w="4800" w:type="dxa"/>
            <w:vAlign w:val="bottom"/>
            <w:tcBorders>
              <w:top w:val="single" w:sz="8" w:color="0000FF"/>
            </w:tcBorders>
            <w:gridSpan w:val="5"/>
          </w:tcPr>
          <w:p>
            <w:pPr>
              <w:ind w:left="20"/>
              <w:spacing w:after="0" w:line="142" w:lineRule="exact"/>
              <w:rPr>
                <w:rFonts w:ascii="Arial" w:cs="Arial" w:eastAsia="Arial" w:hAnsi="Arial"/>
                <w:sz w:val="16"/>
                <w:szCs w:val="16"/>
                <w:b w:val="1"/>
                <w:bCs w:val="1"/>
                <w:color w:val="0000FF"/>
              </w:rPr>
            </w:pPr>
            <w:hyperlink r:id="rId191">
              <w:r>
                <w:rPr>
                  <w:rFonts w:ascii="Arial" w:cs="Arial" w:eastAsia="Arial" w:hAnsi="Arial"/>
                  <w:sz w:val="16"/>
                  <w:szCs w:val="16"/>
                  <w:b w:val="1"/>
                  <w:bCs w:val="1"/>
                  <w:color w:val="0000FF"/>
                </w:rPr>
                <w:t>June 2, 2020</w:t>
              </w:r>
              <w:r>
                <w:rPr>
                  <w:rFonts w:ascii="Arial" w:cs="Arial" w:eastAsia="Arial" w:hAnsi="Arial"/>
                  <w:sz w:val="16"/>
                  <w:szCs w:val="16"/>
                  <w:color w:val="000000"/>
                </w:rPr>
                <w:t>, and incorporated herein by reference.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95"/>
              </w:rPr>
              <w:t>10.38*</w:t>
            </w:r>
          </w:p>
        </w:tc>
        <w:tc>
          <w:tcPr>
            <w:tcW w:w="4820" w:type="dxa"/>
            <w:vAlign w:val="bottom"/>
            <w:tcBorders>
              <w:right w:val="single" w:sz="8" w:color="CCEEFF"/>
            </w:tcBorders>
            <w:gridSpan w:val="12"/>
            <w:shd w:val="clear" w:color="auto" w:fill="CCEEFF"/>
          </w:tcPr>
          <w:p>
            <w:pPr>
              <w:spacing w:after="0" w:line="142" w:lineRule="exact"/>
              <w:rPr>
                <w:sz w:val="20"/>
                <w:szCs w:val="20"/>
                <w:color w:val="auto"/>
              </w:rPr>
            </w:pPr>
            <w:r>
              <w:rPr>
                <w:rFonts w:ascii="Arial" w:cs="Arial" w:eastAsia="Arial" w:hAnsi="Arial"/>
                <w:sz w:val="16"/>
                <w:szCs w:val="16"/>
                <w:color w:val="auto"/>
              </w:rPr>
              <w:t>Form of Indemnification Agreement, as routinely granted to the</w:t>
            </w:r>
          </w:p>
        </w:tc>
        <w:tc>
          <w:tcPr>
            <w:tcW w:w="5340" w:type="dxa"/>
            <w:vAlign w:val="bottom"/>
            <w:gridSpan w:val="7"/>
            <w:shd w:val="clear" w:color="auto" w:fill="CCEEFF"/>
          </w:tcPr>
          <w:p>
            <w:pPr>
              <w:spacing w:after="0" w:line="142" w:lineRule="exact"/>
              <w:rPr>
                <w:rFonts w:ascii="Arial" w:cs="Arial" w:eastAsia="Arial" w:hAnsi="Arial"/>
                <w:sz w:val="16"/>
                <w:szCs w:val="16"/>
                <w:color w:val="auto"/>
                <w:w w:val="96"/>
              </w:rPr>
            </w:pPr>
            <w:hyperlink r:id="rId180">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10.4 to the Company’s Quarterly Report on Form 10-Q for</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4820" w:type="dxa"/>
            <w:vAlign w:val="bottom"/>
            <w:tcBorders>
              <w:right w:val="single" w:sz="8" w:color="CCEEFF"/>
            </w:tcBorders>
            <w:gridSpan w:val="12"/>
            <w:vMerge w:val="restart"/>
            <w:shd w:val="clear" w:color="auto" w:fill="CCEEFF"/>
          </w:tcPr>
          <w:p>
            <w:pPr>
              <w:spacing w:after="0" w:line="162" w:lineRule="exact"/>
              <w:rPr>
                <w:sz w:val="20"/>
                <w:szCs w:val="20"/>
                <w:color w:val="auto"/>
              </w:rPr>
            </w:pPr>
            <w:r>
              <w:rPr>
                <w:rFonts w:ascii="Arial" w:cs="Arial" w:eastAsia="Arial" w:hAnsi="Arial"/>
                <w:sz w:val="16"/>
                <w:szCs w:val="16"/>
                <w:color w:val="auto"/>
              </w:rPr>
              <w:t>Company’s Officers and Directors</w:t>
            </w:r>
          </w:p>
        </w:tc>
        <w:tc>
          <w:tcPr>
            <w:tcW w:w="520" w:type="dxa"/>
            <w:vAlign w:val="bottom"/>
            <w:shd w:val="clear" w:color="auto" w:fill="CCEE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shd w:val="clear" w:color="auto" w:fill="CCEEFF"/>
          </w:tcPr>
          <w:p>
            <w:pPr>
              <w:spacing w:after="0"/>
              <w:rPr>
                <w:sz w:val="12"/>
                <w:szCs w:val="12"/>
                <w:color w:val="auto"/>
              </w:rPr>
            </w:pPr>
          </w:p>
        </w:tc>
        <w:tc>
          <w:tcPr>
            <w:tcW w:w="4820" w:type="dxa"/>
            <w:vAlign w:val="bottom"/>
            <w:tcBorders>
              <w:right w:val="single" w:sz="8" w:color="CCEEFF"/>
            </w:tcBorders>
            <w:gridSpan w:val="12"/>
            <w:vMerge w:val="continue"/>
            <w:shd w:val="clear" w:color="auto" w:fill="CCEEFF"/>
          </w:tcPr>
          <w:p>
            <w:pPr>
              <w:spacing w:after="0"/>
              <w:rPr>
                <w:sz w:val="12"/>
                <w:szCs w:val="12"/>
                <w:color w:val="auto"/>
              </w:rPr>
            </w:pPr>
          </w:p>
        </w:tc>
        <w:tc>
          <w:tcPr>
            <w:tcW w:w="5200" w:type="dxa"/>
            <w:vAlign w:val="bottom"/>
            <w:tcBorders>
              <w:right w:val="single" w:sz="8" w:color="CCEEFF"/>
            </w:tcBorders>
            <w:gridSpan w:val="5"/>
            <w:shd w:val="clear" w:color="auto" w:fill="CCEEFF"/>
          </w:tcPr>
          <w:p>
            <w:pPr>
              <w:spacing w:after="0" w:line="142" w:lineRule="exact"/>
              <w:rPr>
                <w:rFonts w:ascii="Arial" w:cs="Arial" w:eastAsia="Arial" w:hAnsi="Arial"/>
                <w:sz w:val="16"/>
                <w:szCs w:val="16"/>
                <w:b w:val="1"/>
                <w:bCs w:val="1"/>
                <w:color w:val="0000FF"/>
                <w:w w:val="97"/>
              </w:rPr>
            </w:pPr>
            <w:hyperlink r:id="rId180">
              <w:r>
                <w:rPr>
                  <w:rFonts w:ascii="Arial" w:cs="Arial" w:eastAsia="Arial" w:hAnsi="Arial"/>
                  <w:sz w:val="16"/>
                  <w:szCs w:val="16"/>
                  <w:b w:val="1"/>
                  <w:bCs w:val="1"/>
                  <w:color w:val="0000FF"/>
                  <w:w w:val="97"/>
                </w:rPr>
                <w:t>the quarter ended March 31, 2020</w:t>
              </w:r>
              <w:r>
                <w:rPr>
                  <w:rFonts w:ascii="Arial" w:cs="Arial" w:eastAsia="Arial" w:hAnsi="Arial"/>
                  <w:sz w:val="16"/>
                  <w:szCs w:val="16"/>
                  <w:color w:val="000000"/>
                  <w:w w:val="97"/>
                </w:rPr>
                <w:t>, and incorporated herein by reference.</w:t>
              </w:r>
            </w:hyperlink>
          </w:p>
        </w:tc>
        <w:tc>
          <w:tcPr>
            <w:tcW w:w="1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tcPr>
          <w:p>
            <w:pPr>
              <w:jc w:val="center"/>
              <w:spacing w:after="0" w:line="142" w:lineRule="exact"/>
              <w:rPr>
                <w:sz w:val="20"/>
                <w:szCs w:val="20"/>
                <w:color w:val="auto"/>
              </w:rPr>
            </w:pPr>
            <w:r>
              <w:rPr>
                <w:rFonts w:ascii="Arial" w:cs="Arial" w:eastAsia="Arial" w:hAnsi="Arial"/>
                <w:sz w:val="16"/>
                <w:szCs w:val="16"/>
                <w:color w:val="auto"/>
                <w:w w:val="89"/>
              </w:rPr>
              <w:t>10.39</w:t>
            </w:r>
          </w:p>
        </w:tc>
        <w:tc>
          <w:tcPr>
            <w:tcW w:w="4820" w:type="dxa"/>
            <w:vAlign w:val="bottom"/>
            <w:gridSpan w:val="12"/>
          </w:tcPr>
          <w:p>
            <w:pPr>
              <w:spacing w:after="0" w:line="142" w:lineRule="exact"/>
              <w:rPr>
                <w:sz w:val="20"/>
                <w:szCs w:val="20"/>
                <w:color w:val="auto"/>
              </w:rPr>
            </w:pPr>
            <w:r>
              <w:rPr>
                <w:rFonts w:ascii="Arial" w:cs="Arial" w:eastAsia="Arial" w:hAnsi="Arial"/>
                <w:sz w:val="16"/>
                <w:szCs w:val="16"/>
                <w:color w:val="auto"/>
              </w:rPr>
              <w:t>OBI Termination Agreement and Release</w:t>
            </w:r>
          </w:p>
        </w:tc>
        <w:tc>
          <w:tcPr>
            <w:tcW w:w="5340" w:type="dxa"/>
            <w:vAlign w:val="bottom"/>
            <w:gridSpan w:val="7"/>
          </w:tcPr>
          <w:p>
            <w:pPr>
              <w:spacing w:after="0" w:line="142" w:lineRule="exact"/>
              <w:rPr>
                <w:rFonts w:ascii="Arial" w:cs="Arial" w:eastAsia="Arial" w:hAnsi="Arial"/>
                <w:sz w:val="16"/>
                <w:szCs w:val="16"/>
                <w:color w:val="auto"/>
                <w:w w:val="92"/>
              </w:rPr>
            </w:pPr>
            <w:hyperlink r:id="rId197">
              <w:r>
                <w:rPr>
                  <w:rFonts w:ascii="Arial" w:cs="Arial" w:eastAsia="Arial" w:hAnsi="Arial"/>
                  <w:sz w:val="16"/>
                  <w:szCs w:val="16"/>
                  <w:color w:val="auto"/>
                  <w:w w:val="92"/>
                </w:rPr>
                <w:t xml:space="preserve">Filed as </w:t>
              </w:r>
              <w:r>
                <w:rPr>
                  <w:rFonts w:ascii="Arial" w:cs="Arial" w:eastAsia="Arial" w:hAnsi="Arial"/>
                  <w:sz w:val="16"/>
                  <w:szCs w:val="16"/>
                  <w:b w:val="1"/>
                  <w:bCs w:val="1"/>
                  <w:color w:val="0000FF"/>
                  <w:w w:val="92"/>
                </w:rPr>
                <w:t>Exhibit 10.24 to the Company’s Annual Report on Form 10-K for the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20" w:type="dxa"/>
            <w:vAlign w:val="bottom"/>
            <w:gridSpan w:val="6"/>
          </w:tcPr>
          <w:p>
            <w:pPr>
              <w:spacing w:after="0" w:line="142" w:lineRule="exact"/>
              <w:rPr>
                <w:rFonts w:ascii="Arial" w:cs="Arial" w:eastAsia="Arial" w:hAnsi="Arial"/>
                <w:sz w:val="16"/>
                <w:szCs w:val="16"/>
                <w:b w:val="1"/>
                <w:bCs w:val="1"/>
                <w:color w:val="0000FF"/>
                <w:w w:val="92"/>
              </w:rPr>
            </w:pPr>
            <w:hyperlink r:id="rId197">
              <w:r>
                <w:rPr>
                  <w:rFonts w:ascii="Arial" w:cs="Arial" w:eastAsia="Arial" w:hAnsi="Arial"/>
                  <w:sz w:val="16"/>
                  <w:szCs w:val="16"/>
                  <w:b w:val="1"/>
                  <w:bCs w:val="1"/>
                  <w:color w:val="0000FF"/>
                  <w:w w:val="92"/>
                </w:rPr>
                <w:t>year ended December 31, 2015</w:t>
              </w:r>
              <w:r>
                <w:rPr>
                  <w:rFonts w:ascii="Arial" w:cs="Arial" w:eastAsia="Arial" w:hAnsi="Arial"/>
                  <w:sz w:val="16"/>
                  <w:szCs w:val="16"/>
                  <w:color w:val="000000"/>
                  <w:w w:val="92"/>
                </w:rPr>
                <w:t>, filed on April 29, 2016 and incorporated herein</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120" w:type="dxa"/>
            <w:vAlign w:val="bottom"/>
            <w:gridSpan w:val="2"/>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3"/>
          </w:tcPr>
          <w:p>
            <w:pPr>
              <w:spacing w:after="0" w:line="155" w:lineRule="exact"/>
              <w:rPr>
                <w:sz w:val="20"/>
                <w:szCs w:val="20"/>
                <w:color w:val="auto"/>
              </w:rPr>
            </w:pPr>
            <w:r>
              <w:rPr>
                <w:rFonts w:ascii="Arial" w:cs="Arial" w:eastAsia="Arial" w:hAnsi="Arial"/>
                <w:sz w:val="16"/>
                <w:szCs w:val="16"/>
                <w:color w:val="auto"/>
              </w:rPr>
              <w:t>by reference.</w:t>
            </w:r>
          </w:p>
        </w:tc>
        <w:tc>
          <w:tcPr>
            <w:tcW w:w="3120" w:type="dxa"/>
            <w:vAlign w:val="bottom"/>
            <w:gridSpan w:val="2"/>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jc w:val="center"/>
              <w:spacing w:after="0" w:line="148" w:lineRule="exact"/>
              <w:rPr>
                <w:sz w:val="20"/>
                <w:szCs w:val="20"/>
                <w:color w:val="auto"/>
              </w:rPr>
            </w:pPr>
            <w:r>
              <w:rPr>
                <w:rFonts w:ascii="Arial" w:cs="Arial" w:eastAsia="Arial" w:hAnsi="Arial"/>
                <w:sz w:val="16"/>
                <w:szCs w:val="16"/>
                <w:color w:val="auto"/>
                <w:w w:val="89"/>
              </w:rPr>
              <w:t>18</w:t>
            </w:r>
          </w:p>
        </w:tc>
        <w:tc>
          <w:tcPr>
            <w:tcW w:w="4820" w:type="dxa"/>
            <w:vAlign w:val="bottom"/>
            <w:tcBorders>
              <w:right w:val="single" w:sz="8" w:color="CCEEFF"/>
            </w:tcBorders>
            <w:gridSpan w:val="12"/>
            <w:shd w:val="clear" w:color="auto" w:fill="CCEEFF"/>
          </w:tcPr>
          <w:p>
            <w:pPr>
              <w:spacing w:after="0" w:line="148" w:lineRule="exact"/>
              <w:rPr>
                <w:sz w:val="20"/>
                <w:szCs w:val="20"/>
                <w:color w:val="auto"/>
              </w:rPr>
            </w:pPr>
            <w:r>
              <w:rPr>
                <w:rFonts w:ascii="Arial" w:cs="Arial" w:eastAsia="Arial" w:hAnsi="Arial"/>
                <w:sz w:val="16"/>
                <w:szCs w:val="16"/>
                <w:color w:val="auto"/>
              </w:rPr>
              <w:t>Preferability Letter from Independent Registered Public Accounting</w:t>
            </w:r>
          </w:p>
        </w:tc>
        <w:tc>
          <w:tcPr>
            <w:tcW w:w="5340" w:type="dxa"/>
            <w:vAlign w:val="bottom"/>
            <w:gridSpan w:val="7"/>
            <w:shd w:val="clear" w:color="auto" w:fill="CCEEFF"/>
          </w:tcPr>
          <w:p>
            <w:pPr>
              <w:spacing w:after="0" w:line="148" w:lineRule="exact"/>
              <w:rPr>
                <w:rFonts w:ascii="Arial" w:cs="Arial" w:eastAsia="Arial" w:hAnsi="Arial"/>
                <w:sz w:val="16"/>
                <w:szCs w:val="16"/>
                <w:color w:val="auto"/>
                <w:w w:val="96"/>
              </w:rPr>
            </w:pPr>
            <w:hyperlink r:id="rId198">
              <w:r>
                <w:rPr>
                  <w:rFonts w:ascii="Arial" w:cs="Arial" w:eastAsia="Arial" w:hAnsi="Arial"/>
                  <w:sz w:val="16"/>
                  <w:szCs w:val="16"/>
                  <w:color w:val="auto"/>
                  <w:w w:val="96"/>
                </w:rPr>
                <w:t xml:space="preserve">Filed as </w:t>
              </w:r>
              <w:r>
                <w:rPr>
                  <w:rFonts w:ascii="Arial" w:cs="Arial" w:eastAsia="Arial" w:hAnsi="Arial"/>
                  <w:sz w:val="16"/>
                  <w:szCs w:val="16"/>
                  <w:b w:val="1"/>
                  <w:bCs w:val="1"/>
                  <w:color w:val="0000FF"/>
                  <w:w w:val="96"/>
                </w:rPr>
                <w:t>Exhibit 18 to the Company’s Annual Report on Form 10-K for the</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4820" w:type="dxa"/>
            <w:vAlign w:val="bottom"/>
            <w:tcBorders>
              <w:right w:val="single" w:sz="8" w:color="CCEEFF"/>
            </w:tcBorders>
            <w:gridSpan w:val="12"/>
            <w:vMerge w:val="restart"/>
            <w:shd w:val="clear" w:color="auto" w:fill="CCEEFF"/>
          </w:tcPr>
          <w:p>
            <w:pPr>
              <w:spacing w:after="0" w:line="162" w:lineRule="exact"/>
              <w:rPr>
                <w:sz w:val="20"/>
                <w:szCs w:val="20"/>
                <w:color w:val="auto"/>
              </w:rPr>
            </w:pPr>
            <w:r>
              <w:rPr>
                <w:rFonts w:ascii="Arial" w:cs="Arial" w:eastAsia="Arial" w:hAnsi="Arial"/>
                <w:sz w:val="16"/>
                <w:szCs w:val="16"/>
                <w:color w:val="auto"/>
              </w:rPr>
              <w:t>Firm, Grant Thornton LLP.</w:t>
            </w:r>
          </w:p>
        </w:tc>
        <w:tc>
          <w:tcPr>
            <w:tcW w:w="520" w:type="dxa"/>
            <w:vAlign w:val="bottom"/>
            <w:shd w:val="clear" w:color="auto" w:fill="CCEEFF"/>
          </w:tcPr>
          <w:p>
            <w:pPr>
              <w:spacing w:after="0" w:line="20" w:lineRule="exact"/>
              <w:rPr>
                <w:sz w:val="1"/>
                <w:szCs w:val="1"/>
                <w:color w:val="auto"/>
              </w:rPr>
            </w:pPr>
          </w:p>
        </w:tc>
        <w:tc>
          <w:tcPr>
            <w:tcW w:w="4680" w:type="dxa"/>
            <w:vAlign w:val="bottom"/>
            <w:tcBorders>
              <w:right w:val="single" w:sz="8" w:color="CCEEFF"/>
            </w:tcBorders>
            <w:gridSpan w:val="4"/>
            <w:shd w:val="clear" w:color="auto" w:fill="0000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shd w:val="clear" w:color="auto" w:fill="CCEEFF"/>
          </w:tcPr>
          <w:p>
            <w:pPr>
              <w:spacing w:after="0"/>
              <w:rPr>
                <w:sz w:val="12"/>
                <w:szCs w:val="12"/>
                <w:color w:val="auto"/>
              </w:rPr>
            </w:pPr>
          </w:p>
        </w:tc>
        <w:tc>
          <w:tcPr>
            <w:tcW w:w="4820" w:type="dxa"/>
            <w:vAlign w:val="bottom"/>
            <w:tcBorders>
              <w:right w:val="single" w:sz="8" w:color="CCEEFF"/>
            </w:tcBorders>
            <w:gridSpan w:val="12"/>
            <w:vMerge w:val="continue"/>
            <w:shd w:val="clear" w:color="auto" w:fill="CCEEFF"/>
          </w:tcPr>
          <w:p>
            <w:pPr>
              <w:spacing w:after="0"/>
              <w:rPr>
                <w:sz w:val="12"/>
                <w:szCs w:val="12"/>
                <w:color w:val="auto"/>
              </w:rPr>
            </w:pPr>
          </w:p>
        </w:tc>
        <w:tc>
          <w:tcPr>
            <w:tcW w:w="5340" w:type="dxa"/>
            <w:vAlign w:val="bottom"/>
            <w:gridSpan w:val="7"/>
            <w:shd w:val="clear" w:color="auto" w:fill="CCEEFF"/>
          </w:tcPr>
          <w:p>
            <w:pPr>
              <w:spacing w:after="0" w:line="142" w:lineRule="exact"/>
              <w:rPr>
                <w:rFonts w:ascii="Arial" w:cs="Arial" w:eastAsia="Arial" w:hAnsi="Arial"/>
                <w:sz w:val="16"/>
                <w:szCs w:val="16"/>
                <w:b w:val="1"/>
                <w:bCs w:val="1"/>
                <w:color w:val="0000FF"/>
                <w:w w:val="92"/>
              </w:rPr>
            </w:pPr>
            <w:hyperlink r:id="rId198">
              <w:r>
                <w:rPr>
                  <w:rFonts w:ascii="Arial" w:cs="Arial" w:eastAsia="Arial" w:hAnsi="Arial"/>
                  <w:sz w:val="16"/>
                  <w:szCs w:val="16"/>
                  <w:b w:val="1"/>
                  <w:bCs w:val="1"/>
                  <w:color w:val="0000FF"/>
                  <w:w w:val="92"/>
                </w:rPr>
                <w:t xml:space="preserve">year ended December 31, 2016 </w:t>
              </w:r>
              <w:r>
                <w:rPr>
                  <w:rFonts w:ascii="Arial" w:cs="Arial" w:eastAsia="Arial" w:hAnsi="Arial"/>
                  <w:sz w:val="16"/>
                  <w:szCs w:val="16"/>
                  <w:color w:val="000000"/>
                  <w:w w:val="92"/>
                </w:rPr>
                <w:t>filed on March 13, 2017 and incorporated herein</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260" w:type="dxa"/>
            <w:vAlign w:val="bottom"/>
            <w:gridSpan w:val="4"/>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08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by reference</w:t>
            </w:r>
          </w:p>
        </w:tc>
        <w:tc>
          <w:tcPr>
            <w:tcW w:w="3260" w:type="dxa"/>
            <w:vAlign w:val="bottom"/>
            <w:gridSpan w:val="4"/>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jc w:val="center"/>
              <w:spacing w:after="0" w:line="148" w:lineRule="exact"/>
              <w:rPr>
                <w:sz w:val="20"/>
                <w:szCs w:val="20"/>
                <w:color w:val="auto"/>
              </w:rPr>
            </w:pPr>
            <w:r>
              <w:rPr>
                <w:rFonts w:ascii="Arial" w:cs="Arial" w:eastAsia="Arial" w:hAnsi="Arial"/>
                <w:sz w:val="16"/>
                <w:szCs w:val="16"/>
                <w:color w:val="auto"/>
                <w:w w:val="95"/>
              </w:rPr>
              <w:t>21+</w:t>
            </w:r>
          </w:p>
        </w:tc>
        <w:tc>
          <w:tcPr>
            <w:tcW w:w="4820" w:type="dxa"/>
            <w:vAlign w:val="bottom"/>
            <w:gridSpan w:val="12"/>
          </w:tcPr>
          <w:p>
            <w:pPr>
              <w:spacing w:after="0" w:line="148" w:lineRule="exact"/>
              <w:rPr>
                <w:rFonts w:ascii="Arial" w:cs="Arial" w:eastAsia="Arial" w:hAnsi="Arial"/>
                <w:sz w:val="16"/>
                <w:szCs w:val="16"/>
                <w:b w:val="1"/>
                <w:bCs w:val="1"/>
                <w:color w:val="0000FF"/>
              </w:rPr>
            </w:pPr>
            <w:hyperlink w:anchor="page168">
              <w:r>
                <w:rPr>
                  <w:rFonts w:ascii="Arial" w:cs="Arial" w:eastAsia="Arial" w:hAnsi="Arial"/>
                  <w:sz w:val="16"/>
                  <w:szCs w:val="16"/>
                  <w:b w:val="1"/>
                  <w:bCs w:val="1"/>
                  <w:color w:val="0000FF"/>
                </w:rPr>
                <w:t>List of Subsidiaries</w:t>
              </w:r>
            </w:hyperlink>
            <w:r>
              <w:rPr>
                <w:rFonts w:ascii="Arial" w:cs="Arial" w:eastAsia="Arial" w:hAnsi="Arial"/>
                <w:sz w:val="16"/>
                <w:szCs w:val="16"/>
                <w:color w:val="000000"/>
              </w:rPr>
              <w:t>,</w:t>
            </w:r>
          </w:p>
        </w:tc>
        <w:tc>
          <w:tcPr>
            <w:tcW w:w="5340" w:type="dxa"/>
            <w:vAlign w:val="bottom"/>
            <w:gridSpan w:val="7"/>
          </w:tcPr>
          <w:p>
            <w:pPr>
              <w:spacing w:after="0" w:line="148"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93"/>
              </w:rPr>
              <w:t>23.1+</w:t>
            </w:r>
          </w:p>
        </w:tc>
        <w:tc>
          <w:tcPr>
            <w:tcW w:w="4820" w:type="dxa"/>
            <w:vAlign w:val="bottom"/>
            <w:tcBorders>
              <w:right w:val="single" w:sz="8" w:color="CCEEFF"/>
            </w:tcBorders>
            <w:gridSpan w:val="12"/>
            <w:shd w:val="clear" w:color="auto" w:fill="CCEEFF"/>
          </w:tcPr>
          <w:p>
            <w:pPr>
              <w:spacing w:after="0" w:line="142" w:lineRule="exact"/>
              <w:rPr>
                <w:rFonts w:ascii="Arial" w:cs="Arial" w:eastAsia="Arial" w:hAnsi="Arial"/>
                <w:sz w:val="16"/>
                <w:szCs w:val="16"/>
                <w:b w:val="1"/>
                <w:bCs w:val="1"/>
                <w:color w:val="0000FF"/>
                <w:w w:val="94"/>
              </w:rPr>
            </w:pPr>
            <w:hyperlink w:anchor="page172">
              <w:r>
                <w:rPr>
                  <w:rFonts w:ascii="Arial" w:cs="Arial" w:eastAsia="Arial" w:hAnsi="Arial"/>
                  <w:sz w:val="16"/>
                  <w:szCs w:val="16"/>
                  <w:b w:val="1"/>
                  <w:bCs w:val="1"/>
                  <w:color w:val="0000FF"/>
                  <w:w w:val="94"/>
                </w:rPr>
                <w:t>Consent of Independent Registered Public Accounting Firm, Grant</w:t>
              </w:r>
            </w:hyperlink>
          </w:p>
        </w:tc>
        <w:tc>
          <w:tcPr>
            <w:tcW w:w="5340" w:type="dxa"/>
            <w:vAlign w:val="bottom"/>
            <w:gridSpan w:val="7"/>
            <w:shd w:val="clear" w:color="auto" w:fill="CCEEFF"/>
          </w:tcPr>
          <w:p>
            <w:pPr>
              <w:spacing w:after="0" w:line="142"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60" w:type="dxa"/>
            <w:vAlign w:val="bottom"/>
            <w:tcBorders>
              <w:top w:val="single" w:sz="8" w:color="0000FF"/>
            </w:tcBorders>
            <w:gridSpan w:val="9"/>
            <w:shd w:val="clear" w:color="auto" w:fill="CCEEFF"/>
          </w:tcPr>
          <w:p>
            <w:pPr>
              <w:spacing w:after="0" w:line="142" w:lineRule="exact"/>
              <w:rPr>
                <w:rFonts w:ascii="Arial" w:cs="Arial" w:eastAsia="Arial" w:hAnsi="Arial"/>
                <w:sz w:val="16"/>
                <w:szCs w:val="16"/>
                <w:b w:val="1"/>
                <w:bCs w:val="1"/>
                <w:color w:val="0000FF"/>
              </w:rPr>
            </w:pPr>
            <w:hyperlink w:anchor="page172">
              <w:r>
                <w:rPr>
                  <w:rFonts w:ascii="Arial" w:cs="Arial" w:eastAsia="Arial" w:hAnsi="Arial"/>
                  <w:sz w:val="16"/>
                  <w:szCs w:val="16"/>
                  <w:b w:val="1"/>
                  <w:bCs w:val="1"/>
                  <w:color w:val="0000FF"/>
                </w:rPr>
                <w:t>Thornton LLP</w:t>
              </w:r>
              <w:r>
                <w:rPr>
                  <w:rFonts w:ascii="Arial" w:cs="Arial" w:eastAsia="Arial" w:hAnsi="Arial"/>
                  <w:sz w:val="16"/>
                  <w:szCs w:val="16"/>
                  <w:color w:val="000000"/>
                </w:rPr>
                <w:t>.</w:t>
              </w:r>
            </w:hyperlink>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tcPr>
          <w:p>
            <w:pPr>
              <w:jc w:val="center"/>
              <w:spacing w:after="0" w:line="142" w:lineRule="exact"/>
              <w:rPr>
                <w:sz w:val="20"/>
                <w:szCs w:val="20"/>
                <w:color w:val="auto"/>
              </w:rPr>
            </w:pPr>
            <w:r>
              <w:rPr>
                <w:rFonts w:ascii="Arial" w:cs="Arial" w:eastAsia="Arial" w:hAnsi="Arial"/>
                <w:sz w:val="16"/>
                <w:szCs w:val="16"/>
                <w:color w:val="auto"/>
                <w:w w:val="93"/>
              </w:rPr>
              <w:t>31.1+</w:t>
            </w:r>
          </w:p>
        </w:tc>
        <w:tc>
          <w:tcPr>
            <w:tcW w:w="4820" w:type="dxa"/>
            <w:vAlign w:val="bottom"/>
            <w:gridSpan w:val="12"/>
          </w:tcPr>
          <w:p>
            <w:pPr>
              <w:spacing w:after="0" w:line="142" w:lineRule="exact"/>
              <w:rPr>
                <w:rFonts w:ascii="Arial" w:cs="Arial" w:eastAsia="Arial" w:hAnsi="Arial"/>
                <w:sz w:val="16"/>
                <w:szCs w:val="16"/>
                <w:b w:val="1"/>
                <w:bCs w:val="1"/>
                <w:color w:val="0000FF"/>
                <w:w w:val="94"/>
              </w:rPr>
            </w:pPr>
            <w:hyperlink w:anchor="page173">
              <w:r>
                <w:rPr>
                  <w:rFonts w:ascii="Arial" w:cs="Arial" w:eastAsia="Arial" w:hAnsi="Arial"/>
                  <w:sz w:val="16"/>
                  <w:szCs w:val="16"/>
                  <w:b w:val="1"/>
                  <w:bCs w:val="1"/>
                  <w:color w:val="0000FF"/>
                  <w:w w:val="94"/>
                </w:rPr>
                <w:t>Certification of Principal Executive Officer pursuant to Section 302</w:t>
              </w:r>
            </w:hyperlink>
          </w:p>
        </w:tc>
        <w:tc>
          <w:tcPr>
            <w:tcW w:w="5340" w:type="dxa"/>
            <w:vAlign w:val="bottom"/>
            <w:gridSpan w:val="7"/>
          </w:tcPr>
          <w:p>
            <w:pPr>
              <w:spacing w:after="0" w:line="142"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tcBorders>
            <w:gridSpan w:val="10"/>
          </w:tcPr>
          <w:p>
            <w:pPr>
              <w:spacing w:after="0" w:line="142" w:lineRule="exact"/>
              <w:rPr>
                <w:rFonts w:ascii="Arial" w:cs="Arial" w:eastAsia="Arial" w:hAnsi="Arial"/>
                <w:sz w:val="16"/>
                <w:szCs w:val="16"/>
                <w:b w:val="1"/>
                <w:bCs w:val="1"/>
                <w:color w:val="0000FF"/>
              </w:rPr>
            </w:pPr>
            <w:hyperlink w:anchor="page173">
              <w:r>
                <w:rPr>
                  <w:rFonts w:ascii="Arial" w:cs="Arial" w:eastAsia="Arial" w:hAnsi="Arial"/>
                  <w:sz w:val="16"/>
                  <w:szCs w:val="16"/>
                  <w:b w:val="1"/>
                  <w:bCs w:val="1"/>
                  <w:color w:val="0000FF"/>
                </w:rPr>
                <w:t>of the Sarbanes-Oxley Act of 2002</w:t>
              </w:r>
              <w:r>
                <w:rPr>
                  <w:rFonts w:ascii="Arial" w:cs="Arial" w:eastAsia="Arial" w:hAnsi="Arial"/>
                  <w:sz w:val="16"/>
                  <w:szCs w:val="16"/>
                  <w:color w:val="000000"/>
                </w:rPr>
                <w:t>,</w:t>
              </w:r>
            </w:hyperlink>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93"/>
              </w:rPr>
              <w:t>31.2+</w:t>
            </w:r>
          </w:p>
        </w:tc>
        <w:tc>
          <w:tcPr>
            <w:tcW w:w="4820" w:type="dxa"/>
            <w:vAlign w:val="bottom"/>
            <w:tcBorders>
              <w:right w:val="single" w:sz="8" w:color="CCEEFF"/>
            </w:tcBorders>
            <w:gridSpan w:val="12"/>
            <w:shd w:val="clear" w:color="auto" w:fill="CCEEFF"/>
          </w:tcPr>
          <w:p>
            <w:pPr>
              <w:spacing w:after="0" w:line="142" w:lineRule="exact"/>
              <w:rPr>
                <w:rFonts w:ascii="Arial" w:cs="Arial" w:eastAsia="Arial" w:hAnsi="Arial"/>
                <w:sz w:val="16"/>
                <w:szCs w:val="16"/>
                <w:b w:val="1"/>
                <w:bCs w:val="1"/>
                <w:color w:val="0000FF"/>
                <w:w w:val="95"/>
              </w:rPr>
            </w:pPr>
            <w:hyperlink w:anchor="page174">
              <w:r>
                <w:rPr>
                  <w:rFonts w:ascii="Arial" w:cs="Arial" w:eastAsia="Arial" w:hAnsi="Arial"/>
                  <w:sz w:val="16"/>
                  <w:szCs w:val="16"/>
                  <w:b w:val="1"/>
                  <w:bCs w:val="1"/>
                  <w:color w:val="0000FF"/>
                  <w:w w:val="95"/>
                </w:rPr>
                <w:t>Certification of Principal Financial Officer pursuant to Section 302</w:t>
              </w:r>
            </w:hyperlink>
          </w:p>
        </w:tc>
        <w:tc>
          <w:tcPr>
            <w:tcW w:w="5340" w:type="dxa"/>
            <w:vAlign w:val="bottom"/>
            <w:gridSpan w:val="7"/>
            <w:shd w:val="clear" w:color="auto" w:fill="CCEEFF"/>
          </w:tcPr>
          <w:p>
            <w:pPr>
              <w:spacing w:after="0" w:line="142"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40" w:type="dxa"/>
            <w:vAlign w:val="bottom"/>
            <w:tcBorders>
              <w:top w:val="single" w:sz="8" w:color="0000FF"/>
            </w:tcBorders>
            <w:gridSpan w:val="8"/>
            <w:shd w:val="clear" w:color="auto" w:fill="CCEEFF"/>
          </w:tcPr>
          <w:p>
            <w:pPr>
              <w:spacing w:after="0" w:line="142" w:lineRule="exact"/>
              <w:rPr>
                <w:rFonts w:ascii="Arial" w:cs="Arial" w:eastAsia="Arial" w:hAnsi="Arial"/>
                <w:sz w:val="16"/>
                <w:szCs w:val="16"/>
                <w:b w:val="1"/>
                <w:bCs w:val="1"/>
                <w:color w:val="0000FF"/>
              </w:rPr>
            </w:pPr>
            <w:hyperlink w:anchor="page174">
              <w:r>
                <w:rPr>
                  <w:rFonts w:ascii="Arial" w:cs="Arial" w:eastAsia="Arial" w:hAnsi="Arial"/>
                  <w:sz w:val="16"/>
                  <w:szCs w:val="16"/>
                  <w:b w:val="1"/>
                  <w:bCs w:val="1"/>
                  <w:color w:val="0000FF"/>
                </w:rPr>
                <w:t>of the Sarbanes-Oxley Act of 2002</w:t>
              </w:r>
              <w:r>
                <w:rPr>
                  <w:rFonts w:ascii="Arial" w:cs="Arial" w:eastAsia="Arial" w:hAnsi="Arial"/>
                  <w:sz w:val="16"/>
                  <w:szCs w:val="16"/>
                  <w:color w:val="000000"/>
                </w:rPr>
                <w:t>,</w:t>
              </w:r>
            </w:hyperlink>
          </w:p>
        </w:tc>
        <w:tc>
          <w:tcPr>
            <w:tcW w:w="160" w:type="dxa"/>
            <w:vAlign w:val="bottom"/>
            <w:tcBorders>
              <w:top w:val="single" w:sz="8" w:color="CCEEFF"/>
              <w:right w:val="single" w:sz="8" w:color="CCEEFF"/>
            </w:tcBorders>
            <w:gridSpan w:val="3"/>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tcPr>
          <w:p>
            <w:pPr>
              <w:jc w:val="center"/>
              <w:spacing w:after="0" w:line="142" w:lineRule="exact"/>
              <w:rPr>
                <w:sz w:val="20"/>
                <w:szCs w:val="20"/>
                <w:color w:val="auto"/>
              </w:rPr>
            </w:pPr>
            <w:r>
              <w:rPr>
                <w:rFonts w:ascii="Arial" w:cs="Arial" w:eastAsia="Arial" w:hAnsi="Arial"/>
                <w:sz w:val="16"/>
                <w:szCs w:val="16"/>
                <w:color w:val="auto"/>
                <w:w w:val="93"/>
              </w:rPr>
              <w:t>32.1+</w:t>
            </w:r>
          </w:p>
        </w:tc>
        <w:tc>
          <w:tcPr>
            <w:tcW w:w="4820" w:type="dxa"/>
            <w:vAlign w:val="bottom"/>
            <w:gridSpan w:val="12"/>
          </w:tcPr>
          <w:p>
            <w:pPr>
              <w:spacing w:after="0" w:line="142" w:lineRule="exact"/>
              <w:rPr>
                <w:rFonts w:ascii="Arial" w:cs="Arial" w:eastAsia="Arial" w:hAnsi="Arial"/>
                <w:sz w:val="16"/>
                <w:szCs w:val="16"/>
                <w:b w:val="1"/>
                <w:bCs w:val="1"/>
                <w:color w:val="0000FF"/>
                <w:w w:val="98"/>
              </w:rPr>
            </w:pPr>
            <w:hyperlink w:anchor="page175">
              <w:r>
                <w:rPr>
                  <w:rFonts w:ascii="Arial" w:cs="Arial" w:eastAsia="Arial" w:hAnsi="Arial"/>
                  <w:sz w:val="16"/>
                  <w:szCs w:val="16"/>
                  <w:b w:val="1"/>
                  <w:bCs w:val="1"/>
                  <w:color w:val="0000FF"/>
                  <w:w w:val="98"/>
                </w:rPr>
                <w:t>Certification of Principal Executive Officer pursuant to 18 U.S.C.</w:t>
              </w:r>
            </w:hyperlink>
          </w:p>
        </w:tc>
        <w:tc>
          <w:tcPr>
            <w:tcW w:w="5340" w:type="dxa"/>
            <w:vAlign w:val="bottom"/>
            <w:gridSpan w:val="7"/>
          </w:tcPr>
          <w:p>
            <w:pPr>
              <w:spacing w:after="0" w:line="142"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7"/>
          </w:tcPr>
          <w:p>
            <w:pPr>
              <w:spacing w:after="0" w:line="142" w:lineRule="exact"/>
              <w:rPr>
                <w:rFonts w:ascii="Arial" w:cs="Arial" w:eastAsia="Arial" w:hAnsi="Arial"/>
                <w:sz w:val="16"/>
                <w:szCs w:val="16"/>
                <w:b w:val="1"/>
                <w:bCs w:val="1"/>
                <w:color w:val="0000FF"/>
                <w:w w:val="89"/>
              </w:rPr>
            </w:pPr>
            <w:hyperlink w:anchor="page175">
              <w:r>
                <w:rPr>
                  <w:rFonts w:ascii="Arial" w:cs="Arial" w:eastAsia="Arial" w:hAnsi="Arial"/>
                  <w:sz w:val="16"/>
                  <w:szCs w:val="16"/>
                  <w:b w:val="1"/>
                  <w:bCs w:val="1"/>
                  <w:color w:val="0000FF"/>
                  <w:w w:val="89"/>
                </w:rPr>
                <w:t>Section 1350, as adopted pursuant to Section 906 of the Sarbanes-</w:t>
              </w:r>
            </w:hyperlink>
          </w:p>
        </w:tc>
        <w:tc>
          <w:tcPr>
            <w:tcW w:w="260" w:type="dxa"/>
            <w:vAlign w:val="bottom"/>
            <w:gridSpan w:val="4"/>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5"/>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tcPr>
          <w:p>
            <w:pPr>
              <w:spacing w:after="0"/>
              <w:rPr>
                <w:sz w:val="12"/>
                <w:szCs w:val="12"/>
                <w:color w:val="auto"/>
              </w:rPr>
            </w:pPr>
          </w:p>
        </w:tc>
        <w:tc>
          <w:tcPr>
            <w:tcW w:w="4520" w:type="dxa"/>
            <w:vAlign w:val="bottom"/>
            <w:gridSpan w:val="6"/>
          </w:tcPr>
          <w:p>
            <w:pPr>
              <w:spacing w:after="0" w:line="142" w:lineRule="exact"/>
              <w:rPr>
                <w:rFonts w:ascii="Arial" w:cs="Arial" w:eastAsia="Arial" w:hAnsi="Arial"/>
                <w:sz w:val="16"/>
                <w:szCs w:val="16"/>
                <w:b w:val="1"/>
                <w:bCs w:val="1"/>
                <w:color w:val="0000FF"/>
              </w:rPr>
            </w:pPr>
            <w:hyperlink w:anchor="page175">
              <w:r>
                <w:rPr>
                  <w:rFonts w:ascii="Arial" w:cs="Arial" w:eastAsia="Arial" w:hAnsi="Arial"/>
                  <w:sz w:val="16"/>
                  <w:szCs w:val="16"/>
                  <w:b w:val="1"/>
                  <w:bCs w:val="1"/>
                  <w:color w:val="0000FF"/>
                </w:rPr>
                <w:t>Oxley Act of 2002</w:t>
              </w:r>
              <w:r>
                <w:rPr>
                  <w:rFonts w:ascii="Arial" w:cs="Arial" w:eastAsia="Arial" w:hAnsi="Arial"/>
                  <w:sz w:val="16"/>
                  <w:szCs w:val="16"/>
                  <w:color w:val="000000"/>
                </w:rPr>
                <w:t>.</w:t>
              </w:r>
            </w:hyperlink>
          </w:p>
        </w:tc>
        <w:tc>
          <w:tcPr>
            <w:tcW w:w="20" w:type="dxa"/>
            <w:vAlign w:val="bottom"/>
            <w:vMerge w:val="continue"/>
          </w:tcPr>
          <w:p>
            <w:pPr>
              <w:spacing w:after="0"/>
              <w:rPr>
                <w:sz w:val="12"/>
                <w:szCs w:val="12"/>
                <w:color w:val="auto"/>
              </w:rPr>
            </w:pPr>
          </w:p>
        </w:tc>
        <w:tc>
          <w:tcPr>
            <w:tcW w:w="280" w:type="dxa"/>
            <w:vAlign w:val="bottom"/>
            <w:gridSpan w:val="5"/>
            <w:vMerge w:val="continue"/>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w w:val="93"/>
              </w:rPr>
              <w:t>32.2+</w:t>
            </w:r>
          </w:p>
        </w:tc>
        <w:tc>
          <w:tcPr>
            <w:tcW w:w="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3580" w:type="dxa"/>
            <w:vAlign w:val="bottom"/>
            <w:gridSpan w:val="9"/>
            <w:vMerge w:val="restart"/>
          </w:tcPr>
          <w:p>
            <w:pPr>
              <w:spacing w:after="0" w:line="162" w:lineRule="exact"/>
              <w:rPr>
                <w:rFonts w:ascii="Arial" w:cs="Arial" w:eastAsia="Arial" w:hAnsi="Arial"/>
                <w:sz w:val="16"/>
                <w:szCs w:val="16"/>
                <w:b w:val="1"/>
                <w:bCs w:val="1"/>
                <w:color w:val="0000FF"/>
                <w:w w:val="97"/>
              </w:rPr>
            </w:pPr>
            <w:hyperlink w:anchor="page176">
              <w:r>
                <w:rPr>
                  <w:rFonts w:ascii="Arial" w:cs="Arial" w:eastAsia="Arial" w:hAnsi="Arial"/>
                  <w:sz w:val="16"/>
                  <w:szCs w:val="16"/>
                  <w:b w:val="1"/>
                  <w:bCs w:val="1"/>
                  <w:color w:val="0000FF"/>
                  <w:w w:val="97"/>
                </w:rPr>
                <w:t>Principal Financial Officer pursuant to 18 U.S.C.</w:t>
              </w:r>
            </w:hyperlink>
          </w:p>
        </w:tc>
        <w:tc>
          <w:tcPr>
            <w:tcW w:w="5340" w:type="dxa"/>
            <w:vAlign w:val="bottom"/>
            <w:gridSpan w:val="7"/>
            <w:vMerge w:val="restart"/>
          </w:tcPr>
          <w:p>
            <w:pPr>
              <w:spacing w:after="0" w:line="162" w:lineRule="exact"/>
              <w:rPr>
                <w:sz w:val="20"/>
                <w:szCs w:val="20"/>
                <w:color w:val="auto"/>
              </w:rPr>
            </w:pPr>
            <w:r>
              <w:rPr>
                <w:rFonts w:ascii="Arial" w:cs="Arial" w:eastAsia="Arial" w:hAnsi="Arial"/>
                <w:sz w:val="16"/>
                <w:szCs w:val="16"/>
                <w:color w:val="auto"/>
              </w:rPr>
              <w:t>N/A</w:t>
            </w:r>
          </w:p>
        </w:tc>
        <w:tc>
          <w:tcPr>
            <w:tcW w:w="0" w:type="dxa"/>
            <w:vAlign w:val="bottom"/>
          </w:tcPr>
          <w:p>
            <w:pPr>
              <w:spacing w:after="0" w:line="20" w:lineRule="exact"/>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1240" w:type="dxa"/>
            <w:vAlign w:val="bottom"/>
            <w:gridSpan w:val="3"/>
          </w:tcPr>
          <w:p>
            <w:pPr>
              <w:spacing w:after="0" w:line="142" w:lineRule="exact"/>
              <w:rPr>
                <w:rFonts w:ascii="Arial" w:cs="Arial" w:eastAsia="Arial" w:hAnsi="Arial"/>
                <w:sz w:val="16"/>
                <w:szCs w:val="16"/>
                <w:b w:val="1"/>
                <w:bCs w:val="1"/>
                <w:color w:val="0000FF"/>
              </w:rPr>
            </w:pPr>
            <w:hyperlink w:anchor="page176">
              <w:r>
                <w:rPr>
                  <w:rFonts w:ascii="Arial" w:cs="Arial" w:eastAsia="Arial" w:hAnsi="Arial"/>
                  <w:sz w:val="16"/>
                  <w:szCs w:val="16"/>
                  <w:b w:val="1"/>
                  <w:bCs w:val="1"/>
                  <w:color w:val="0000FF"/>
                </w:rPr>
                <w:t>Certification of</w:t>
              </w:r>
            </w:hyperlink>
          </w:p>
        </w:tc>
        <w:tc>
          <w:tcPr>
            <w:tcW w:w="3580" w:type="dxa"/>
            <w:vAlign w:val="bottom"/>
            <w:gridSpan w:val="9"/>
            <w:vMerge w:val="continue"/>
          </w:tcPr>
          <w:p>
            <w:pPr>
              <w:spacing w:after="0"/>
              <w:rPr>
                <w:sz w:val="12"/>
                <w:szCs w:val="12"/>
                <w:color w:val="auto"/>
              </w:rPr>
            </w:pPr>
          </w:p>
        </w:tc>
        <w:tc>
          <w:tcPr>
            <w:tcW w:w="53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tcBorders>
            <w:gridSpan w:val="6"/>
          </w:tcPr>
          <w:p>
            <w:pPr>
              <w:spacing w:after="0" w:line="142" w:lineRule="exact"/>
              <w:rPr>
                <w:rFonts w:ascii="Arial" w:cs="Arial" w:eastAsia="Arial" w:hAnsi="Arial"/>
                <w:sz w:val="16"/>
                <w:szCs w:val="16"/>
                <w:b w:val="1"/>
                <w:bCs w:val="1"/>
                <w:color w:val="0000FF"/>
                <w:w w:val="88"/>
              </w:rPr>
            </w:pPr>
            <w:hyperlink w:anchor="page176">
              <w:r>
                <w:rPr>
                  <w:rFonts w:ascii="Arial" w:cs="Arial" w:eastAsia="Arial" w:hAnsi="Arial"/>
                  <w:sz w:val="16"/>
                  <w:szCs w:val="16"/>
                  <w:b w:val="1"/>
                  <w:bCs w:val="1"/>
                  <w:color w:val="0000FF"/>
                  <w:w w:val="88"/>
                </w:rPr>
                <w:t>Section 1350, as adopted pursuant to Section 906 of the Sarbanes-</w:t>
              </w:r>
            </w:hyperlink>
          </w:p>
        </w:tc>
        <w:tc>
          <w:tcPr>
            <w:tcW w:w="280" w:type="dxa"/>
            <w:vAlign w:val="bottom"/>
            <w:gridSpan w:val="5"/>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300" w:type="dxa"/>
            <w:vAlign w:val="bottom"/>
            <w:gridSpan w:val="6"/>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080" w:type="dxa"/>
            <w:vAlign w:val="bottom"/>
          </w:tcPr>
          <w:p>
            <w:pPr>
              <w:spacing w:after="0"/>
              <w:rPr>
                <w:sz w:val="12"/>
                <w:szCs w:val="12"/>
                <w:color w:val="auto"/>
              </w:rPr>
            </w:pPr>
          </w:p>
        </w:tc>
        <w:tc>
          <w:tcPr>
            <w:tcW w:w="4520" w:type="dxa"/>
            <w:vAlign w:val="bottom"/>
            <w:gridSpan w:val="6"/>
          </w:tcPr>
          <w:p>
            <w:pPr>
              <w:spacing w:after="0" w:line="146" w:lineRule="exact"/>
              <w:rPr>
                <w:rFonts w:ascii="Arial" w:cs="Arial" w:eastAsia="Arial" w:hAnsi="Arial"/>
                <w:sz w:val="16"/>
                <w:szCs w:val="16"/>
                <w:b w:val="1"/>
                <w:bCs w:val="1"/>
                <w:color w:val="0000FF"/>
              </w:rPr>
            </w:pPr>
            <w:hyperlink w:anchor="page176">
              <w:r>
                <w:rPr>
                  <w:rFonts w:ascii="Arial" w:cs="Arial" w:eastAsia="Arial" w:hAnsi="Arial"/>
                  <w:sz w:val="16"/>
                  <w:szCs w:val="16"/>
                  <w:b w:val="1"/>
                  <w:bCs w:val="1"/>
                  <w:u w:val="single" w:color="auto"/>
                  <w:color w:val="0000FF"/>
                </w:rPr>
                <w:t>Oxley Act of 2002</w:t>
              </w:r>
              <w:r>
                <w:rPr>
                  <w:rFonts w:ascii="Arial" w:cs="Arial" w:eastAsia="Arial" w:hAnsi="Arial"/>
                  <w:sz w:val="16"/>
                  <w:szCs w:val="16"/>
                  <w:color w:val="000000"/>
                </w:rPr>
                <w:t>.</w:t>
              </w:r>
            </w:hyperlink>
          </w:p>
        </w:tc>
        <w:tc>
          <w:tcPr>
            <w:tcW w:w="30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308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080" w:right="5400" w:hanging="667"/>
        <w:spacing w:after="0" w:line="225"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following material from our Company’s Annal Report on Form 10-K for the year ended December 31, 2020, formatted in iXBRL (Inline Extensible Business Reporting Language): (i) Consolidated Balance</w:t>
      </w:r>
    </w:p>
    <w:tbl>
      <w:tblPr>
        <w:tblLayout w:type="fixed"/>
        <w:tblInd w:w="420" w:type="dxa"/>
        <w:tblCellMar>
          <w:top w:w="0" w:type="dxa"/>
          <w:left w:w="0" w:type="dxa"/>
          <w:bottom w:w="0" w:type="dxa"/>
          <w:right w:w="0" w:type="dxa"/>
        </w:tblCellMar>
      </w:tblPr>
      <w:tr>
        <w:trPr>
          <w:trHeight w:val="149"/>
        </w:trPr>
        <w:tc>
          <w:tcPr>
            <w:tcW w:w="440" w:type="dxa"/>
            <w:vAlign w:val="bottom"/>
          </w:tcPr>
          <w:p>
            <w:pPr>
              <w:spacing w:after="0"/>
              <w:rPr>
                <w:sz w:val="12"/>
                <w:szCs w:val="12"/>
                <w:color w:val="auto"/>
              </w:rPr>
            </w:pPr>
          </w:p>
        </w:tc>
        <w:tc>
          <w:tcPr>
            <w:tcW w:w="4960" w:type="dxa"/>
            <w:vAlign w:val="bottom"/>
          </w:tcPr>
          <w:p>
            <w:pPr>
              <w:ind w:left="220"/>
              <w:spacing w:after="0" w:line="149" w:lineRule="exact"/>
              <w:rPr>
                <w:sz w:val="20"/>
                <w:szCs w:val="20"/>
                <w:color w:val="auto"/>
              </w:rPr>
            </w:pPr>
            <w:r>
              <w:rPr>
                <w:rFonts w:ascii="Arial" w:cs="Arial" w:eastAsia="Arial" w:hAnsi="Arial"/>
                <w:sz w:val="16"/>
                <w:szCs w:val="16"/>
                <w:color w:val="auto"/>
              </w:rPr>
              <w:t>Sheets, (ii) Consolidated Statements of Income, (iii) Consolidated</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960" w:type="dxa"/>
            <w:vAlign w:val="bottom"/>
          </w:tcPr>
          <w:p>
            <w:pPr>
              <w:ind w:left="220"/>
              <w:spacing w:after="0" w:line="162" w:lineRule="exact"/>
              <w:rPr>
                <w:sz w:val="20"/>
                <w:szCs w:val="20"/>
                <w:color w:val="auto"/>
              </w:rPr>
            </w:pPr>
            <w:r>
              <w:rPr>
                <w:rFonts w:ascii="Arial" w:cs="Arial" w:eastAsia="Arial" w:hAnsi="Arial"/>
                <w:sz w:val="16"/>
                <w:szCs w:val="16"/>
                <w:color w:val="auto"/>
                <w:w w:val="93"/>
              </w:rPr>
              <w:t>Statements of Comprehensive Income, (iv) Consolidated Statements of</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vMerge w:val="restart"/>
          </w:tcPr>
          <w:p>
            <w:pPr>
              <w:jc w:val="right"/>
              <w:ind w:right="119"/>
              <w:spacing w:after="0"/>
              <w:rPr>
                <w:sz w:val="20"/>
                <w:szCs w:val="20"/>
                <w:color w:val="auto"/>
              </w:rPr>
            </w:pPr>
            <w:r>
              <w:rPr>
                <w:rFonts w:ascii="Arial" w:cs="Arial" w:eastAsia="Arial" w:hAnsi="Arial"/>
                <w:sz w:val="16"/>
                <w:szCs w:val="16"/>
                <w:color w:val="auto"/>
                <w:w w:val="82"/>
              </w:rPr>
              <w:t>104</w:t>
            </w:r>
          </w:p>
        </w:tc>
        <w:tc>
          <w:tcPr>
            <w:tcW w:w="4960" w:type="dxa"/>
            <w:vAlign w:val="bottom"/>
          </w:tcPr>
          <w:p>
            <w:pPr>
              <w:ind w:left="220"/>
              <w:spacing w:after="0" w:line="162" w:lineRule="exact"/>
              <w:rPr>
                <w:sz w:val="20"/>
                <w:szCs w:val="20"/>
                <w:color w:val="auto"/>
              </w:rPr>
            </w:pPr>
            <w:r>
              <w:rPr>
                <w:rFonts w:ascii="Arial" w:cs="Arial" w:eastAsia="Arial" w:hAnsi="Arial"/>
                <w:sz w:val="16"/>
                <w:szCs w:val="16"/>
                <w:color w:val="auto"/>
                <w:w w:val="91"/>
              </w:rPr>
              <w:t>Cash Flows, and (v) the Notes to the Consolidated Financial Statements.</w:t>
            </w:r>
          </w:p>
        </w:tc>
        <w:tc>
          <w:tcPr>
            <w:tcW w:w="340" w:type="dxa"/>
            <w:vAlign w:val="bottom"/>
            <w:vMerge w:val="restart"/>
          </w:tcPr>
          <w:p>
            <w:pPr>
              <w:ind w:left="6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62"/>
        </w:trPr>
        <w:tc>
          <w:tcPr>
            <w:tcW w:w="440" w:type="dxa"/>
            <w:vAlign w:val="bottom"/>
            <w:vMerge w:val="continue"/>
          </w:tcPr>
          <w:p>
            <w:pPr>
              <w:spacing w:after="0"/>
              <w:rPr>
                <w:sz w:val="14"/>
                <w:szCs w:val="14"/>
                <w:color w:val="auto"/>
              </w:rPr>
            </w:pPr>
          </w:p>
        </w:tc>
        <w:tc>
          <w:tcPr>
            <w:tcW w:w="4960" w:type="dxa"/>
            <w:vAlign w:val="bottom"/>
          </w:tcPr>
          <w:p>
            <w:pPr>
              <w:ind w:left="220"/>
              <w:spacing w:after="0" w:line="162" w:lineRule="exact"/>
              <w:rPr>
                <w:sz w:val="20"/>
                <w:szCs w:val="20"/>
                <w:color w:val="auto"/>
              </w:rPr>
            </w:pPr>
            <w:r>
              <w:rPr>
                <w:rFonts w:ascii="Arial" w:cs="Arial" w:eastAsia="Arial" w:hAnsi="Arial"/>
                <w:sz w:val="16"/>
                <w:szCs w:val="16"/>
                <w:color w:val="auto"/>
              </w:rPr>
              <w:t>Cover Page Interactive Data File (formatted as inline XBRL and</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4960" w:type="dxa"/>
            <w:vAlign w:val="bottom"/>
          </w:tcPr>
          <w:p>
            <w:pPr>
              <w:ind w:left="220"/>
              <w:spacing w:after="0" w:line="174" w:lineRule="exact"/>
              <w:rPr>
                <w:sz w:val="20"/>
                <w:szCs w:val="20"/>
                <w:color w:val="auto"/>
              </w:rPr>
            </w:pPr>
            <w:r>
              <w:rPr>
                <w:rFonts w:ascii="Arial" w:cs="Arial" w:eastAsia="Arial" w:hAnsi="Arial"/>
                <w:sz w:val="16"/>
                <w:szCs w:val="16"/>
                <w:color w:val="auto"/>
              </w:rPr>
              <w:t>contained in Exhibit 101)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8"/>
          <w:szCs w:val="18"/>
          <w:color w:val="auto"/>
        </w:rPr>
        <w:t>_______________________</w:t>
      </w:r>
    </w:p>
    <w:p>
      <w:pPr>
        <w:spacing w:after="0" w:line="211" w:lineRule="auto"/>
        <w:rPr>
          <w:sz w:val="20"/>
          <w:szCs w:val="20"/>
          <w:color w:val="auto"/>
        </w:rPr>
      </w:pPr>
      <w:r>
        <w:rPr>
          <w:rFonts w:ascii="Arial" w:cs="Arial" w:eastAsia="Arial" w:hAnsi="Arial"/>
          <w:sz w:val="16"/>
          <w:szCs w:val="16"/>
          <w:color w:val="auto"/>
        </w:rPr>
        <w:t>+ Filed or furnished herewith</w:t>
      </w:r>
    </w:p>
    <w:p>
      <w:pPr>
        <w:spacing w:after="0" w:line="229" w:lineRule="auto"/>
        <w:rPr>
          <w:sz w:val="20"/>
          <w:szCs w:val="20"/>
          <w:color w:val="auto"/>
        </w:rPr>
      </w:pPr>
      <w:r>
        <w:rPr>
          <w:rFonts w:ascii="Arial" w:cs="Arial" w:eastAsia="Arial" w:hAnsi="Arial"/>
          <w:sz w:val="16"/>
          <w:szCs w:val="16"/>
          <w:color w:val="auto"/>
        </w:rPr>
        <w:t>* Indicates a management contract or compensatory plan or arrangement.</w:t>
      </w:r>
    </w:p>
    <w:p>
      <w:pPr>
        <w:ind w:left="240" w:hanging="232"/>
        <w:spacing w:after="0"/>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Included is the amended and restated version of this exhibit, redlined to show the amendment adopted on November 7, 2017.</w:t>
      </w:r>
    </w:p>
    <w:p>
      <w:pPr>
        <w:spacing w:after="0" w:line="162" w:lineRule="exact"/>
        <w:rPr>
          <w:rFonts w:ascii="Arial" w:cs="Arial" w:eastAsia="Arial" w:hAnsi="Arial"/>
          <w:sz w:val="16"/>
          <w:szCs w:val="16"/>
          <w:color w:val="auto"/>
        </w:rPr>
      </w:pPr>
    </w:p>
    <w:p>
      <w:pPr>
        <w:ind w:left="5480" w:hanging="96"/>
        <w:spacing w:after="0"/>
        <w:tabs>
          <w:tab w:leader="none" w:pos="5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0" w:name="page131"/>
    <w:bookmarkEnd w:id="130"/>
    <w:p>
      <w:pPr>
        <w:jc w:val="center"/>
        <w:ind w:right="-119"/>
        <w:spacing w:after="0"/>
        <w:rPr>
          <w:sz w:val="20"/>
          <w:szCs w:val="20"/>
          <w:color w:val="auto"/>
        </w:rPr>
      </w:pPr>
      <w:r>
        <w:rPr>
          <w:rFonts w:ascii="Arial" w:cs="Arial" w:eastAsia="Arial" w:hAnsi="Arial"/>
          <w:sz w:val="25"/>
          <w:szCs w:val="25"/>
          <w:b w:val="1"/>
          <w:bCs w:val="1"/>
          <w:u w:val="single" w:color="auto"/>
          <w:color w:val="auto"/>
        </w:rPr>
        <w:t>SIGNATURES</w:t>
      </w:r>
    </w:p>
    <w:p>
      <w:pPr>
        <w:spacing w:after="0" w:line="257"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READING INTERNATIONAL, INC.</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780" w:right="4140" w:hanging="5669"/>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2021 By: /s/ Gilbert Avanes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-8255</wp:posOffset>
            </wp:positionV>
            <wp:extent cx="3531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Chief Financial Officer and Treasurer</w:t>
      </w:r>
    </w:p>
    <w:p>
      <w:pPr>
        <w:ind w:left="568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Pursuant to the requirements of the Securities and Exchange Act of 1934, this report has been signed below by the following persons on behalf of Registrant and in capacities and on dates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3"/>
          </w:tcPr>
          <w:p>
            <w:pPr>
              <w:ind w:left="3180"/>
              <w:spacing w:after="0"/>
              <w:rPr>
                <w:sz w:val="20"/>
                <w:szCs w:val="20"/>
                <w:color w:val="auto"/>
              </w:rPr>
            </w:pPr>
            <w:r>
              <w:rPr>
                <w:rFonts w:ascii="Arial" w:cs="Arial" w:eastAsia="Arial" w:hAnsi="Arial"/>
                <w:sz w:val="18"/>
                <w:szCs w:val="18"/>
                <w:b w:val="1"/>
                <w:bCs w:val="1"/>
                <w:color w:val="auto"/>
              </w:rPr>
              <w:t>Title(s)</w:t>
            </w:r>
          </w:p>
        </w:tc>
        <w:tc>
          <w:tcPr>
            <w:tcW w:w="1680" w:type="dxa"/>
            <w:vAlign w:val="bottom"/>
          </w:tcPr>
          <w:p>
            <w:pPr>
              <w:spacing w:after="0"/>
              <w:rPr>
                <w:sz w:val="17"/>
                <w:szCs w:val="17"/>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44"/>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Ellen M. Cotter</w:t>
            </w:r>
          </w:p>
        </w:tc>
        <w:tc>
          <w:tcPr>
            <w:tcW w:w="5880" w:type="dxa"/>
            <w:vAlign w:val="bottom"/>
            <w:gridSpan w:val="4"/>
          </w:tcPr>
          <w:p>
            <w:pPr>
              <w:spacing w:after="0"/>
              <w:rPr>
                <w:sz w:val="20"/>
                <w:szCs w:val="20"/>
                <w:color w:val="auto"/>
              </w:rPr>
            </w:pPr>
            <w:r>
              <w:rPr>
                <w:rFonts w:ascii="Arial" w:cs="Arial" w:eastAsia="Arial" w:hAnsi="Arial"/>
                <w:sz w:val="18"/>
                <w:szCs w:val="18"/>
                <w:color w:val="auto"/>
              </w:rPr>
              <w:t>President, Chief Executive Officer and Director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gridSpan w:val="2"/>
          </w:tcPr>
          <w:p>
            <w:pPr>
              <w:spacing w:after="0"/>
              <w:rPr>
                <w:sz w:val="20"/>
                <w:szCs w:val="20"/>
                <w:color w:val="auto"/>
              </w:rPr>
            </w:pPr>
            <w:r>
              <w:rPr>
                <w:rFonts w:ascii="Arial" w:cs="Arial" w:eastAsia="Arial" w:hAnsi="Arial"/>
                <w:sz w:val="18"/>
                <w:szCs w:val="18"/>
                <w:color w:val="auto"/>
              </w:rPr>
              <w:t>Ellen M. Cotter</w:t>
            </w:r>
          </w:p>
        </w:tc>
        <w:tc>
          <w:tcPr>
            <w:tcW w:w="5880" w:type="dxa"/>
            <w:vAlign w:val="bottom"/>
            <w:gridSpan w:val="4"/>
          </w:tcPr>
          <w:p>
            <w:pPr>
              <w:spacing w:after="0"/>
              <w:rPr>
                <w:sz w:val="20"/>
                <w:szCs w:val="20"/>
                <w:color w:val="auto"/>
              </w:rPr>
            </w:pPr>
            <w:r>
              <w:rPr>
                <w:rFonts w:ascii="Arial" w:cs="Arial" w:eastAsia="Arial" w:hAnsi="Arial"/>
                <w:sz w:val="18"/>
                <w:szCs w:val="18"/>
                <w:i w:val="1"/>
                <w:iCs w:val="1"/>
                <w:color w:val="auto"/>
              </w:rPr>
              <w:t>(Principal Executive Officer)</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Gilbert Avanes</w:t>
            </w:r>
          </w:p>
        </w:tc>
        <w:tc>
          <w:tcPr>
            <w:tcW w:w="5880" w:type="dxa"/>
            <w:vAlign w:val="bottom"/>
            <w:gridSpan w:val="4"/>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gridSpan w:val="2"/>
          </w:tcPr>
          <w:p>
            <w:pPr>
              <w:spacing w:after="0"/>
              <w:rPr>
                <w:sz w:val="20"/>
                <w:szCs w:val="20"/>
                <w:color w:val="auto"/>
              </w:rPr>
            </w:pPr>
            <w:r>
              <w:rPr>
                <w:rFonts w:ascii="Arial" w:cs="Arial" w:eastAsia="Arial" w:hAnsi="Arial"/>
                <w:sz w:val="18"/>
                <w:szCs w:val="18"/>
                <w:color w:val="auto"/>
              </w:rPr>
              <w:t>Gilbert Avanes</w:t>
            </w:r>
          </w:p>
        </w:tc>
        <w:tc>
          <w:tcPr>
            <w:tcW w:w="5880" w:type="dxa"/>
            <w:vAlign w:val="bottom"/>
            <w:gridSpan w:val="4"/>
          </w:tcPr>
          <w:p>
            <w:pPr>
              <w:spacing w:after="0"/>
              <w:rPr>
                <w:sz w:val="20"/>
                <w:szCs w:val="20"/>
                <w:color w:val="auto"/>
              </w:rPr>
            </w:pPr>
            <w:r>
              <w:rPr>
                <w:rFonts w:ascii="Arial" w:cs="Arial" w:eastAsia="Arial" w:hAnsi="Arial"/>
                <w:sz w:val="18"/>
                <w:szCs w:val="18"/>
                <w:i w:val="1"/>
                <w:iCs w:val="1"/>
                <w:color w:val="auto"/>
              </w:rPr>
              <w:t>(Principal Financial Officer)</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 Lucas</w:t>
            </w:r>
          </w:p>
        </w:tc>
        <w:tc>
          <w:tcPr>
            <w:tcW w:w="5880" w:type="dxa"/>
            <w:vAlign w:val="bottom"/>
            <w:gridSpan w:val="4"/>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gridSpan w:val="2"/>
          </w:tcPr>
          <w:p>
            <w:pPr>
              <w:spacing w:after="0"/>
              <w:rPr>
                <w:sz w:val="20"/>
                <w:szCs w:val="20"/>
                <w:color w:val="auto"/>
              </w:rPr>
            </w:pPr>
            <w:r>
              <w:rPr>
                <w:rFonts w:ascii="Arial" w:cs="Arial" w:eastAsia="Arial" w:hAnsi="Arial"/>
                <w:sz w:val="18"/>
                <w:szCs w:val="18"/>
                <w:color w:val="auto"/>
              </w:rPr>
              <w:t>Steve Lucas</w:t>
            </w:r>
          </w:p>
        </w:tc>
        <w:tc>
          <w:tcPr>
            <w:tcW w:w="5880" w:type="dxa"/>
            <w:vAlign w:val="bottom"/>
            <w:gridSpan w:val="4"/>
          </w:tcPr>
          <w:p>
            <w:pPr>
              <w:spacing w:after="0"/>
              <w:rPr>
                <w:sz w:val="20"/>
                <w:szCs w:val="20"/>
                <w:color w:val="auto"/>
              </w:rPr>
            </w:pPr>
            <w:r>
              <w:rPr>
                <w:rFonts w:ascii="Arial" w:cs="Arial" w:eastAsia="Arial" w:hAnsi="Arial"/>
                <w:sz w:val="18"/>
                <w:szCs w:val="18"/>
                <w:i w:val="1"/>
                <w:iCs w:val="1"/>
                <w:color w:val="auto"/>
              </w:rPr>
              <w:t>(Principal Accounting Officer)</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2720" w:type="dxa"/>
            <w:vAlign w:val="bottom"/>
            <w:gridSpan w:val="2"/>
          </w:tcPr>
          <w:p>
            <w:pPr>
              <w:spacing w:after="0"/>
              <w:rPr>
                <w:sz w:val="20"/>
                <w:szCs w:val="20"/>
                <w:color w:val="auto"/>
              </w:rPr>
            </w:pPr>
            <w:r>
              <w:rPr>
                <w:rFonts w:ascii="Arial" w:cs="Arial" w:eastAsia="Arial" w:hAnsi="Arial"/>
                <w:sz w:val="18"/>
                <w:szCs w:val="18"/>
                <w:color w:val="auto"/>
              </w:rPr>
              <w:t>/s/ Margaret Cotter</w:t>
            </w:r>
          </w:p>
        </w:tc>
        <w:tc>
          <w:tcPr>
            <w:tcW w:w="5880" w:type="dxa"/>
            <w:vAlign w:val="bottom"/>
            <w:gridSpan w:val="4"/>
          </w:tcPr>
          <w:p>
            <w:pPr>
              <w:spacing w:after="0"/>
              <w:rPr>
                <w:sz w:val="20"/>
                <w:szCs w:val="20"/>
                <w:color w:val="auto"/>
              </w:rPr>
            </w:pPr>
            <w:r>
              <w:rPr>
                <w:rFonts w:ascii="Arial" w:cs="Arial" w:eastAsia="Arial" w:hAnsi="Arial"/>
                <w:sz w:val="18"/>
                <w:szCs w:val="18"/>
                <w:color w:val="auto"/>
              </w:rPr>
              <w:t>EVP Real Estate and Chairman of the Board and Director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Margaret Cotter</w:t>
            </w:r>
          </w:p>
        </w:tc>
        <w:tc>
          <w:tcPr>
            <w:tcW w:w="20" w:type="dxa"/>
            <w:vAlign w:val="bottom"/>
            <w:tcBorders>
              <w:top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2720" w:type="dxa"/>
            <w:vAlign w:val="bottom"/>
            <w:gridSpan w:val="2"/>
          </w:tcPr>
          <w:p>
            <w:pPr>
              <w:spacing w:after="0"/>
              <w:rPr>
                <w:sz w:val="20"/>
                <w:szCs w:val="20"/>
                <w:color w:val="auto"/>
              </w:rPr>
            </w:pPr>
            <w:r>
              <w:rPr>
                <w:rFonts w:ascii="Arial" w:cs="Arial" w:eastAsia="Arial" w:hAnsi="Arial"/>
                <w:sz w:val="18"/>
                <w:szCs w:val="18"/>
                <w:color w:val="auto"/>
              </w:rPr>
              <w:t>/s/ Guy W. Adams</w:t>
            </w:r>
          </w:p>
        </w:tc>
        <w:tc>
          <w:tcPr>
            <w:tcW w:w="5880" w:type="dxa"/>
            <w:vAlign w:val="bottom"/>
            <w:gridSpan w:val="4"/>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Guy W. Adams</w:t>
            </w:r>
          </w:p>
        </w:tc>
        <w:tc>
          <w:tcPr>
            <w:tcW w:w="20" w:type="dxa"/>
            <w:vAlign w:val="bottom"/>
            <w:tcBorders>
              <w:top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2720" w:type="dxa"/>
            <w:vAlign w:val="bottom"/>
            <w:gridSpan w:val="2"/>
          </w:tcPr>
          <w:p>
            <w:pPr>
              <w:spacing w:after="0"/>
              <w:rPr>
                <w:sz w:val="20"/>
                <w:szCs w:val="20"/>
                <w:color w:val="auto"/>
              </w:rPr>
            </w:pPr>
            <w:r>
              <w:rPr>
                <w:rFonts w:ascii="Arial" w:cs="Arial" w:eastAsia="Arial" w:hAnsi="Arial"/>
                <w:sz w:val="18"/>
                <w:szCs w:val="18"/>
                <w:color w:val="auto"/>
              </w:rPr>
              <w:t>/s/ Edward L. Kane</w:t>
            </w:r>
          </w:p>
        </w:tc>
        <w:tc>
          <w:tcPr>
            <w:tcW w:w="5880" w:type="dxa"/>
            <w:vAlign w:val="bottom"/>
            <w:gridSpan w:val="4"/>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Edward L Kane</w:t>
            </w:r>
          </w:p>
        </w:tc>
        <w:tc>
          <w:tcPr>
            <w:tcW w:w="20" w:type="dxa"/>
            <w:vAlign w:val="bottom"/>
            <w:tcBorders>
              <w:top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2720" w:type="dxa"/>
            <w:vAlign w:val="bottom"/>
            <w:gridSpan w:val="2"/>
          </w:tcPr>
          <w:p>
            <w:pPr>
              <w:spacing w:after="0"/>
              <w:rPr>
                <w:sz w:val="20"/>
                <w:szCs w:val="20"/>
                <w:color w:val="auto"/>
              </w:rPr>
            </w:pPr>
            <w:r>
              <w:rPr>
                <w:rFonts w:ascii="Arial" w:cs="Arial" w:eastAsia="Arial" w:hAnsi="Arial"/>
                <w:sz w:val="18"/>
                <w:szCs w:val="18"/>
                <w:color w:val="auto"/>
              </w:rPr>
              <w:t>/s/ Douglas J. McEachern</w:t>
            </w:r>
          </w:p>
        </w:tc>
        <w:tc>
          <w:tcPr>
            <w:tcW w:w="5880" w:type="dxa"/>
            <w:vAlign w:val="bottom"/>
            <w:gridSpan w:val="4"/>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Douglas J. McEachern</w:t>
            </w:r>
          </w:p>
        </w:tc>
        <w:tc>
          <w:tcPr>
            <w:tcW w:w="20" w:type="dxa"/>
            <w:vAlign w:val="bottom"/>
            <w:tcBorders>
              <w:top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2720" w:type="dxa"/>
            <w:vAlign w:val="bottom"/>
            <w:gridSpan w:val="2"/>
          </w:tcPr>
          <w:p>
            <w:pPr>
              <w:spacing w:after="0"/>
              <w:rPr>
                <w:sz w:val="20"/>
                <w:szCs w:val="20"/>
                <w:color w:val="auto"/>
              </w:rPr>
            </w:pPr>
            <w:r>
              <w:rPr>
                <w:rFonts w:ascii="Arial" w:cs="Arial" w:eastAsia="Arial" w:hAnsi="Arial"/>
                <w:sz w:val="18"/>
                <w:szCs w:val="18"/>
                <w:color w:val="auto"/>
              </w:rPr>
              <w:t>/s/ Dr. Judy Codding</w:t>
            </w:r>
          </w:p>
        </w:tc>
        <w:tc>
          <w:tcPr>
            <w:tcW w:w="5880" w:type="dxa"/>
            <w:vAlign w:val="bottom"/>
            <w:gridSpan w:val="4"/>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Dr. Judy Codding</w:t>
            </w:r>
          </w:p>
        </w:tc>
        <w:tc>
          <w:tcPr>
            <w:tcW w:w="20" w:type="dxa"/>
            <w:vAlign w:val="bottom"/>
            <w:tcBorders>
              <w:top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23"/>
        </w:trPr>
        <w:tc>
          <w:tcPr>
            <w:tcW w:w="2720" w:type="dxa"/>
            <w:vAlign w:val="bottom"/>
            <w:gridSpan w:val="2"/>
          </w:tcPr>
          <w:p>
            <w:pPr>
              <w:spacing w:after="0"/>
              <w:rPr>
                <w:sz w:val="20"/>
                <w:szCs w:val="20"/>
                <w:color w:val="auto"/>
              </w:rPr>
            </w:pPr>
            <w:r>
              <w:rPr>
                <w:rFonts w:ascii="Arial" w:cs="Arial" w:eastAsia="Arial" w:hAnsi="Arial"/>
                <w:sz w:val="18"/>
                <w:szCs w:val="18"/>
                <w:color w:val="auto"/>
              </w:rPr>
              <w:t>/s/ Michael Wrotniak</w:t>
            </w:r>
          </w:p>
        </w:tc>
        <w:tc>
          <w:tcPr>
            <w:tcW w:w="5880" w:type="dxa"/>
            <w:vAlign w:val="bottom"/>
            <w:gridSpan w:val="4"/>
          </w:tcPr>
          <w:p>
            <w:pPr>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0"/>
              <w:spacing w:after="0"/>
              <w:rPr>
                <w:sz w:val="20"/>
                <w:szCs w:val="20"/>
                <w:color w:val="auto"/>
              </w:rPr>
            </w:pPr>
            <w:r>
              <w:rPr>
                <w:rFonts w:ascii="Arial" w:cs="Arial" w:eastAsia="Arial" w:hAnsi="Arial"/>
                <w:sz w:val="18"/>
                <w:szCs w:val="18"/>
                <w:color w:val="auto"/>
                <w:w w:val="91"/>
              </w:rPr>
              <w:t>March 31, 2021</w:t>
            </w:r>
          </w:p>
        </w:tc>
      </w:tr>
      <w:tr>
        <w:trPr>
          <w:trHeight w:val="224"/>
        </w:trPr>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Wrotniak</w:t>
            </w:r>
          </w:p>
        </w:tc>
        <w:tc>
          <w:tcPr>
            <w:tcW w:w="20" w:type="dxa"/>
            <w:vAlign w:val="bottom"/>
            <w:tcBorders>
              <w:top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742"/>
        </w:trPr>
        <w:tc>
          <w:tcPr>
            <w:tcW w:w="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0" w:type="dxa"/>
            <w:vAlign w:val="bottom"/>
            <w:gridSpan w:val="2"/>
          </w:tcPr>
          <w:p>
            <w:pPr>
              <w:ind w:left="2660"/>
              <w:spacing w:after="0"/>
              <w:rPr>
                <w:sz w:val="20"/>
                <w:szCs w:val="20"/>
                <w:color w:val="auto"/>
              </w:rPr>
            </w:pPr>
            <w:r>
              <w:rPr>
                <w:rFonts w:ascii="Arial" w:cs="Arial" w:eastAsia="Arial" w:hAnsi="Arial"/>
                <w:sz w:val="18"/>
                <w:szCs w:val="18"/>
                <w:color w:val="auto"/>
                <w:w w:val="99"/>
              </w:rPr>
              <w:t>- 131 -</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120"/>
          </w:cols>
          <w:pgMar w:left="320" w:top="481" w:right="459" w:bottom="1440" w:gutter="0" w:footer="0" w:header="0"/>
        </w:sectPr>
      </w:pPr>
    </w:p>
    <w:bookmarkStart w:id="131" w:name="page132"/>
    <w:bookmarkEnd w:id="131"/>
    <w:p>
      <w:pPr>
        <w:jc w:val="right"/>
        <w:ind w:right="199"/>
        <w:spacing w:after="0"/>
        <w:rPr>
          <w:sz w:val="20"/>
          <w:szCs w:val="20"/>
          <w:color w:val="auto"/>
        </w:rPr>
      </w:pPr>
      <w:r>
        <w:rPr>
          <w:rFonts w:ascii="Arial" w:cs="Arial" w:eastAsia="Arial" w:hAnsi="Arial"/>
          <w:sz w:val="20"/>
          <w:szCs w:val="20"/>
          <w:b w:val="1"/>
          <w:bCs w:val="1"/>
          <w:color w:val="auto"/>
        </w:rPr>
        <w:t>Exhibit 4.6</w:t>
      </w:r>
    </w:p>
    <w:p>
      <w:pPr>
        <w:spacing w:after="0" w:line="23" w:lineRule="exact"/>
        <w:rPr>
          <w:sz w:val="20"/>
          <w:szCs w:val="20"/>
          <w:color w:val="auto"/>
        </w:rPr>
      </w:pPr>
    </w:p>
    <w:p>
      <w:pPr>
        <w:jc w:val="center"/>
        <w:ind w:left="1640" w:right="1320"/>
        <w:spacing w:after="0" w:line="241" w:lineRule="auto"/>
        <w:rPr>
          <w:sz w:val="20"/>
          <w:szCs w:val="20"/>
          <w:color w:val="auto"/>
        </w:rPr>
      </w:pPr>
      <w:r>
        <w:rPr>
          <w:rFonts w:ascii="Arial" w:cs="Arial" w:eastAsia="Arial" w:hAnsi="Arial"/>
          <w:sz w:val="20"/>
          <w:szCs w:val="20"/>
          <w:b w:val="1"/>
          <w:bCs w:val="1"/>
          <w:color w:val="auto"/>
        </w:rPr>
        <w:t>DESCRIPTION OF REGISTRANT'S SECURITIES REGISTERED PURSUANT TO SECTION 12 OF THE SECURITIES EXCHANGE ACT OF 1934</w:t>
      </w:r>
    </w:p>
    <w:p>
      <w:pPr>
        <w:spacing w:after="0" w:line="209"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0"/>
          <w:szCs w:val="20"/>
          <w:color w:val="auto"/>
        </w:rPr>
        <w:t>Reading International, Inc., Nevada corporation ("we," "our," or the "Company"), has two classes of securities registered under Section 12 of the Securities Exchange Act of 1934, as amended: our Class A Common Stock and our Class B Common Stock (each as defined below).</w:t>
      </w:r>
    </w:p>
    <w:p>
      <w:pPr>
        <w:spacing w:after="0" w:line="199" w:lineRule="exact"/>
        <w:rPr>
          <w:sz w:val="20"/>
          <w:szCs w:val="20"/>
          <w:color w:val="auto"/>
        </w:rPr>
      </w:pPr>
    </w:p>
    <w:p>
      <w:pPr>
        <w:jc w:val="both"/>
        <w:ind w:left="180" w:right="199"/>
        <w:spacing w:after="0" w:line="276" w:lineRule="auto"/>
        <w:rPr>
          <w:sz w:val="20"/>
          <w:szCs w:val="20"/>
          <w:color w:val="auto"/>
        </w:rPr>
      </w:pPr>
      <w:r>
        <w:rPr>
          <w:rFonts w:ascii="Arial" w:cs="Arial" w:eastAsia="Arial" w:hAnsi="Arial"/>
          <w:sz w:val="18"/>
          <w:szCs w:val="18"/>
          <w:color w:val="auto"/>
        </w:rPr>
        <w:t>The following description of our Class A Common Stock and our Class B Common Stock is a summary and does not purport to be complete. This summary is subject to and qualified in its entirety by reference to the full text of our amended and restated articles of incorporation ("Articles of Incorporation") and our amended and restates bylaws, as amended ("Bylaws"), each of which is filed as an exhibit to the Annual Report on Form 10-K of which this Exhibit 4.1 is a part. We encourage you to read our Articles of Incorporation, our Bylaws, and the applicable provisions of Nevada law for additional information.</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Authorized Shares</w:t>
      </w:r>
    </w:p>
    <w:p>
      <w:pPr>
        <w:spacing w:after="0" w:line="235" w:lineRule="exact"/>
        <w:rPr>
          <w:sz w:val="20"/>
          <w:szCs w:val="20"/>
          <w:color w:val="auto"/>
        </w:rPr>
      </w:pPr>
    </w:p>
    <w:p>
      <w:pPr>
        <w:jc w:val="both"/>
        <w:ind w:left="180" w:right="199"/>
        <w:spacing w:after="0" w:line="282" w:lineRule="auto"/>
        <w:rPr>
          <w:sz w:val="20"/>
          <w:szCs w:val="20"/>
          <w:color w:val="auto"/>
        </w:rPr>
      </w:pPr>
      <w:r>
        <w:rPr>
          <w:rFonts w:ascii="Arial" w:cs="Arial" w:eastAsia="Arial" w:hAnsi="Arial"/>
          <w:sz w:val="18"/>
          <w:szCs w:val="18"/>
          <w:color w:val="auto"/>
        </w:rPr>
        <w:t>Our capital shares consist of 100,000,000 shares of class A non-voting common stock, $0.01 par value per share ("Class A Common Stock"), 20,000,000 shares of class B voting common stock, $0.01 par value per share ("Class B Common Stock" and together with the Class A Common Stock, the "Common Stock"), and 20,000,000 shares of undesignated preferred stock, $0.01 par value per share (the "Preferred Stock").</w:t>
      </w:r>
    </w:p>
    <w:p>
      <w:pPr>
        <w:spacing w:after="0" w:line="175" w:lineRule="exact"/>
        <w:rPr>
          <w:sz w:val="20"/>
          <w:szCs w:val="20"/>
          <w:color w:val="auto"/>
        </w:rPr>
      </w:pPr>
    </w:p>
    <w:p>
      <w:pPr>
        <w:jc w:val="both"/>
        <w:ind w:left="180" w:right="199"/>
        <w:spacing w:after="0" w:line="311" w:lineRule="auto"/>
        <w:rPr>
          <w:sz w:val="20"/>
          <w:szCs w:val="20"/>
          <w:color w:val="auto"/>
        </w:rPr>
      </w:pPr>
      <w:r>
        <w:rPr>
          <w:rFonts w:ascii="Arial" w:cs="Arial" w:eastAsia="Arial" w:hAnsi="Arial"/>
          <w:sz w:val="16"/>
          <w:szCs w:val="16"/>
          <w:color w:val="auto"/>
        </w:rPr>
        <w:t>No shares of our authorized Preferred Stock have been issued or are currently outstanding. Pursuant to our Articles of Incorporation, our board of directors generally has the authority to designate, from time to time, Preferred Stock in one or more series, and to prescribe with respect to each such series the voting powers, if any, designations, preferences and relative, participating, optional or other special rights and qualifications, limitations or restrictions relating to such series, including liquidation preferences. However, we are required to obtain the approval of the holders of a majority of the outstanding shares of Class B Common Stock relating to the issuance of any class of Preferred Stock having voting rights, other than voting rights with respect to the approval of any change in the rights, privileges or preferences of such class of Preferred Stock.</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Voting Rights</w:t>
      </w:r>
    </w:p>
    <w:p>
      <w:pPr>
        <w:spacing w:after="0" w:line="235" w:lineRule="exact"/>
        <w:rPr>
          <w:sz w:val="20"/>
          <w:szCs w:val="20"/>
          <w:color w:val="auto"/>
        </w:rPr>
      </w:pPr>
    </w:p>
    <w:p>
      <w:pPr>
        <w:jc w:val="both"/>
        <w:ind w:left="180" w:right="199"/>
        <w:spacing w:after="0" w:line="274" w:lineRule="auto"/>
        <w:rPr>
          <w:sz w:val="20"/>
          <w:szCs w:val="20"/>
          <w:color w:val="auto"/>
        </w:rPr>
      </w:pPr>
      <w:r>
        <w:rPr>
          <w:rFonts w:ascii="Arial" w:cs="Arial" w:eastAsia="Arial" w:hAnsi="Arial"/>
          <w:sz w:val="18"/>
          <w:szCs w:val="18"/>
          <w:color w:val="auto"/>
        </w:rPr>
        <w:t>Holders of our Class A Common Stock have no voting rights, except that the holders of Class A Common Stock will be entitled to vote as a separate class on any amendments to our Articles of Incorporation or any merger that would adversely affect the rights, privileges or preferences of Class A Common Stock, or on any liquidation or dissolution in which such holders would receive securities with lesser rights, preferences and privileges than those attributable to Class A Common Stock. Holders of our Class B Common Stock are entitled to one vote per share on all matters voted on generally by the stockholders, including the election of directors. Holders of our Class B Common Stock do not have cumulative voting rights.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Dividends</w:t>
      </w:r>
    </w:p>
    <w:p>
      <w:pPr>
        <w:spacing w:after="0" w:line="235" w:lineRule="exact"/>
        <w:rPr>
          <w:sz w:val="20"/>
          <w:szCs w:val="20"/>
          <w:color w:val="auto"/>
        </w:rPr>
      </w:pPr>
    </w:p>
    <w:p>
      <w:pPr>
        <w:jc w:val="both"/>
        <w:ind w:left="180" w:right="199"/>
        <w:spacing w:after="0" w:line="278" w:lineRule="auto"/>
        <w:rPr>
          <w:sz w:val="20"/>
          <w:szCs w:val="20"/>
          <w:color w:val="auto"/>
        </w:rPr>
      </w:pPr>
      <w:r>
        <w:rPr>
          <w:rFonts w:ascii="Arial" w:cs="Arial" w:eastAsia="Arial" w:hAnsi="Arial"/>
          <w:sz w:val="18"/>
          <w:szCs w:val="18"/>
          <w:color w:val="auto"/>
        </w:rPr>
        <w:t>Subject to any preferential rights of any class or series of Preferred Stock, if any, holders of shares of our Common Stock are entitled to receive dividends on the stock out of assets legally available for distribution if, when and as declared by our board of directors. The declaration and payment of dividends on our Common Stock is a business decision to be made by our board of directors from time to time based upon results of our operations and our financial condition and any other factors as our board of directors considers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32" w:name="page133"/>
    <w:bookmarkEnd w:id="132"/>
    <w:p>
      <w:pPr>
        <w:jc w:val="both"/>
        <w:ind w:left="180" w:right="199"/>
        <w:spacing w:after="0" w:line="250" w:lineRule="auto"/>
        <w:rPr>
          <w:sz w:val="20"/>
          <w:szCs w:val="20"/>
          <w:color w:val="auto"/>
        </w:rPr>
      </w:pPr>
      <w:r>
        <w:rPr>
          <w:rFonts w:ascii="Arial" w:cs="Arial" w:eastAsia="Arial" w:hAnsi="Arial"/>
          <w:sz w:val="20"/>
          <w:szCs w:val="20"/>
          <w:color w:val="auto"/>
        </w:rPr>
        <w:t>relevant. Payment of dividends on Common Stock may be restricted by applicable Nevada law, and by loan agreements, indentures and other transactions entered into by us from time to time. We have never paid a cash dividend on either class of our Common Stock.</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Liquidation Rights</w:t>
      </w:r>
    </w:p>
    <w:p>
      <w:pPr>
        <w:spacing w:after="0" w:line="235" w:lineRule="exact"/>
        <w:rPr>
          <w:sz w:val="20"/>
          <w:szCs w:val="20"/>
          <w:color w:val="auto"/>
        </w:rPr>
      </w:pPr>
    </w:p>
    <w:p>
      <w:pPr>
        <w:jc w:val="both"/>
        <w:ind w:left="180" w:right="199"/>
        <w:spacing w:after="0" w:line="260" w:lineRule="auto"/>
        <w:rPr>
          <w:sz w:val="20"/>
          <w:szCs w:val="20"/>
          <w:color w:val="auto"/>
        </w:rPr>
      </w:pPr>
      <w:r>
        <w:rPr>
          <w:rFonts w:ascii="Arial" w:cs="Arial" w:eastAsia="Arial" w:hAnsi="Arial"/>
          <w:sz w:val="19"/>
          <w:szCs w:val="19"/>
          <w:color w:val="auto"/>
        </w:rPr>
        <w:t>In the event of our liquidation, dissolution or winding up, the holders of our Common Stock are entitled to share ratably in all assets legally available for distribution after payment of all debts and other liabilities and subject to the prior rights of any holders of Preferred Stock, if any, then outstanding. Holders of our Common Stock have no preemptive, redemption or other subscription or conversion rights. There are no redemption or sinking fund provisions applicable to our common stock.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 Conversion, Redemption or Preemptive Rights</w:t>
      </w:r>
    </w:p>
    <w:p>
      <w:pPr>
        <w:spacing w:after="0" w:line="235" w:lineRule="exact"/>
        <w:rPr>
          <w:sz w:val="20"/>
          <w:szCs w:val="20"/>
          <w:color w:val="auto"/>
        </w:rPr>
      </w:pPr>
    </w:p>
    <w:p>
      <w:pPr>
        <w:jc w:val="both"/>
        <w:ind w:left="180" w:right="199"/>
        <w:spacing w:after="0" w:line="260" w:lineRule="auto"/>
        <w:rPr>
          <w:sz w:val="20"/>
          <w:szCs w:val="20"/>
          <w:color w:val="auto"/>
        </w:rPr>
      </w:pPr>
      <w:r>
        <w:rPr>
          <w:rFonts w:ascii="Arial" w:cs="Arial" w:eastAsia="Arial" w:hAnsi="Arial"/>
          <w:sz w:val="20"/>
          <w:szCs w:val="20"/>
          <w:color w:val="auto"/>
        </w:rPr>
        <w:t>Holders of our Common Stock have no preemptive or other subscription or conversion rights. There are no redemption or sinking fund provisions applicable to our Common Stock.</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Consideration for Shares</w:t>
      </w:r>
    </w:p>
    <w:p>
      <w:pPr>
        <w:spacing w:after="0" w:line="235" w:lineRule="exact"/>
        <w:rPr>
          <w:sz w:val="20"/>
          <w:szCs w:val="20"/>
          <w:color w:val="auto"/>
        </w:rPr>
      </w:pPr>
    </w:p>
    <w:p>
      <w:pPr>
        <w:jc w:val="both"/>
        <w:ind w:left="180" w:right="199"/>
        <w:spacing w:after="0" w:line="260" w:lineRule="auto"/>
        <w:rPr>
          <w:sz w:val="20"/>
          <w:szCs w:val="20"/>
          <w:color w:val="auto"/>
        </w:rPr>
      </w:pPr>
      <w:r>
        <w:rPr>
          <w:rFonts w:ascii="Arial" w:cs="Arial" w:eastAsia="Arial" w:hAnsi="Arial"/>
          <w:sz w:val="20"/>
          <w:szCs w:val="20"/>
          <w:color w:val="auto"/>
        </w:rPr>
        <w:t>The Common Stock authorized by the Articles of Incorporation may be issued from time to time for such consideration as is determined by our board of directors.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Miscellaneous</w:t>
      </w:r>
    </w:p>
    <w:p>
      <w:pPr>
        <w:spacing w:after="0" w:line="235" w:lineRule="exact"/>
        <w:rPr>
          <w:sz w:val="20"/>
          <w:szCs w:val="20"/>
          <w:color w:val="auto"/>
        </w:rPr>
      </w:pPr>
    </w:p>
    <w:p>
      <w:pPr>
        <w:jc w:val="both"/>
        <w:ind w:left="180" w:right="199"/>
        <w:spacing w:after="0" w:line="246" w:lineRule="auto"/>
        <w:rPr>
          <w:sz w:val="20"/>
          <w:szCs w:val="20"/>
          <w:color w:val="auto"/>
        </w:rPr>
      </w:pPr>
      <w:r>
        <w:rPr>
          <w:rFonts w:ascii="Arial" w:cs="Arial" w:eastAsia="Arial" w:hAnsi="Arial"/>
          <w:sz w:val="20"/>
          <w:szCs w:val="20"/>
          <w:color w:val="auto"/>
        </w:rPr>
        <w:t>All outstanding shares of our Common Stock are fully paid and nonassessable. Except as otherwise specifically set forth in the Articles of Incorporation with respect to voting, all shares of our Class A Common Stock and Class B Common Stock have the same rights, preferences and privileges with respect to dividends, distributions, or any liquidation or dissolution of us.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Certain Anti-Takeover Effects of our Articles of Incorporation and Bylaws and Nevada Law</w:t>
      </w:r>
    </w:p>
    <w:p>
      <w:pPr>
        <w:spacing w:after="0" w:line="235" w:lineRule="exact"/>
        <w:rPr>
          <w:sz w:val="20"/>
          <w:szCs w:val="20"/>
          <w:color w:val="auto"/>
        </w:rPr>
      </w:pPr>
    </w:p>
    <w:p>
      <w:pPr>
        <w:jc w:val="both"/>
        <w:ind w:left="180" w:right="199"/>
        <w:spacing w:after="0" w:line="257"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Certain provisions of our Articles of Incorporation and our Bylaws, and certain provisions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Nevada Revised Statutes ("NRS") could make our acquisition by a third party, a change in our incumbent management, or a similar change of control more difficult. These provisions, which are summarized below, are likely to reduce our vulnerability to an unsolicited proposal for the restructuring or sale of all or substantially all of our assets or an unsolicited takeover attempt. The summary of the provisions set forth below does not purport to be complete and is qualified in its entirety by reference to our Articles of Incorporation and our Bylaws and the applicable provisions of Nevada law.</w:t>
      </w:r>
    </w:p>
    <w:p>
      <w:pPr>
        <w:spacing w:after="0" w:line="198" w:lineRule="exact"/>
        <w:rPr>
          <w:sz w:val="20"/>
          <w:szCs w:val="20"/>
          <w:color w:val="auto"/>
        </w:rPr>
      </w:pPr>
    </w:p>
    <w:p>
      <w:pPr>
        <w:jc w:val="both"/>
        <w:ind w:left="180" w:right="199"/>
        <w:spacing w:after="0" w:line="242" w:lineRule="auto"/>
        <w:rPr>
          <w:sz w:val="20"/>
          <w:szCs w:val="20"/>
          <w:color w:val="auto"/>
        </w:rPr>
      </w:pPr>
      <w:r>
        <w:rPr>
          <w:rFonts w:ascii="Arial" w:cs="Arial" w:eastAsia="Arial" w:hAnsi="Arial"/>
          <w:sz w:val="20"/>
          <w:szCs w:val="20"/>
          <w:i w:val="1"/>
          <w:iCs w:val="1"/>
          <w:color w:val="auto"/>
        </w:rPr>
        <w:t>Dual Class Stock</w:t>
      </w:r>
      <w:r>
        <w:rPr>
          <w:rFonts w:ascii="Arial" w:cs="Arial" w:eastAsia="Arial" w:hAnsi="Arial"/>
          <w:sz w:val="20"/>
          <w:szCs w:val="20"/>
          <w:color w:val="auto"/>
        </w:rPr>
        <w:t>. Our Articles of Incorporation provide for a dual class common stock structure, which</w:t>
      </w:r>
      <w:r>
        <w:rPr>
          <w:rFonts w:ascii="Arial" w:cs="Arial" w:eastAsia="Arial" w:hAnsi="Arial"/>
          <w:sz w:val="20"/>
          <w:szCs w:val="20"/>
          <w:i w:val="1"/>
          <w:iCs w:val="1"/>
          <w:color w:val="auto"/>
        </w:rPr>
        <w:t xml:space="preserve"> </w:t>
      </w:r>
      <w:r>
        <w:rPr>
          <w:rFonts w:ascii="Arial" w:cs="Arial" w:eastAsia="Arial" w:hAnsi="Arial"/>
          <w:sz w:val="20"/>
          <w:szCs w:val="20"/>
          <w:color w:val="auto"/>
        </w:rPr>
        <w:t>provides our Class B Common Stock with all of our voting power, except that the holders of Class A Common Stock will be entitled to vote as a separate class on any amendments to our Articles of Incorporation or any merger that would adversely affect the rights, privileges or preferences of Class A Common Stock, or on any liquidation or dissolution in which such holders would receive securities with lesser rights, preferences and privileges than those attributable to Class A Common Stock. Accordingly, subject to the foregoing limitations, holders of our Class B Common Stock have the ability to control the outcome of matters requiring stockholder approval, including the election or removal of directors and significant corporate transactions.</w:t>
      </w:r>
    </w:p>
    <w:p>
      <w:pPr>
        <w:spacing w:after="0" w:line="208" w:lineRule="exact"/>
        <w:rPr>
          <w:sz w:val="20"/>
          <w:szCs w:val="20"/>
          <w:color w:val="auto"/>
        </w:rPr>
      </w:pPr>
    </w:p>
    <w:p>
      <w:pPr>
        <w:jc w:val="both"/>
        <w:ind w:left="180" w:right="199"/>
        <w:spacing w:after="0" w:line="316" w:lineRule="auto"/>
        <w:rPr>
          <w:sz w:val="20"/>
          <w:szCs w:val="20"/>
          <w:color w:val="auto"/>
        </w:rPr>
      </w:pPr>
      <w:r>
        <w:rPr>
          <w:rFonts w:ascii="Arial" w:cs="Arial" w:eastAsia="Arial" w:hAnsi="Arial"/>
          <w:sz w:val="18"/>
          <w:szCs w:val="18"/>
          <w:i w:val="1"/>
          <w:iCs w:val="1"/>
          <w:color w:val="auto"/>
        </w:rPr>
        <w:t>Certain Issuances Class B Common Stock</w:t>
      </w:r>
      <w:r>
        <w:rPr>
          <w:rFonts w:ascii="Arial" w:cs="Arial" w:eastAsia="Arial" w:hAnsi="Arial"/>
          <w:sz w:val="18"/>
          <w:szCs w:val="18"/>
          <w:color w:val="auto"/>
        </w:rPr>
        <w:t>. Our Articles of Incorporation require that we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holders of a majority of the outstanding shares of Class B Common Stock before selling or issuing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3" w:name="page134"/>
    <w:bookmarkEnd w:id="133"/>
    <w:p>
      <w:pPr>
        <w:jc w:val="both"/>
        <w:ind w:left="180" w:right="199"/>
        <w:spacing w:after="0" w:line="257" w:lineRule="auto"/>
        <w:rPr>
          <w:sz w:val="20"/>
          <w:szCs w:val="20"/>
          <w:color w:val="auto"/>
        </w:rPr>
      </w:pPr>
      <w:r>
        <w:rPr>
          <w:rFonts w:ascii="Arial" w:cs="Arial" w:eastAsia="Arial" w:hAnsi="Arial"/>
          <w:sz w:val="19"/>
          <w:szCs w:val="19"/>
          <w:color w:val="auto"/>
        </w:rPr>
        <w:t>additional shares of Class B Common Stock representing 5% or more of the then-outstanding Class B Common Stock. This means, among other things, that our board of directors cannot authorize a transaction involving the sale or issuance of Class B Common Stock that would cause a change of control of the Company without the approval of the holders of a majority of the outstanding shares of Class B Common Stock. The foregoing provision of our Articles of Incorporation may have the effect of discouraging, delaying or preventing someone from acquiring us or merging with us, which might cause the market price of our Class A Common Stock to decline or prevent the holders of our Class A Common Stock from realizing a premium over the market price of their shares.</w:t>
      </w:r>
    </w:p>
    <w:p>
      <w:pPr>
        <w:spacing w:after="0" w:line="195" w:lineRule="exact"/>
        <w:rPr>
          <w:sz w:val="20"/>
          <w:szCs w:val="20"/>
          <w:color w:val="auto"/>
        </w:rPr>
      </w:pPr>
    </w:p>
    <w:p>
      <w:pPr>
        <w:jc w:val="both"/>
        <w:ind w:left="180" w:right="199"/>
        <w:spacing w:after="0" w:line="271" w:lineRule="auto"/>
        <w:rPr>
          <w:sz w:val="20"/>
          <w:szCs w:val="20"/>
          <w:color w:val="auto"/>
        </w:rPr>
      </w:pPr>
      <w:r>
        <w:rPr>
          <w:rFonts w:ascii="Arial" w:cs="Arial" w:eastAsia="Arial" w:hAnsi="Arial"/>
          <w:sz w:val="18"/>
          <w:szCs w:val="18"/>
          <w:i w:val="1"/>
          <w:iCs w:val="1"/>
          <w:color w:val="auto"/>
        </w:rPr>
        <w:t>Certain Issuances of Preferred Stock</w:t>
      </w:r>
      <w:r>
        <w:rPr>
          <w:rFonts w:ascii="Arial" w:cs="Arial" w:eastAsia="Arial" w:hAnsi="Arial"/>
          <w:sz w:val="18"/>
          <w:szCs w:val="18"/>
          <w:color w:val="auto"/>
        </w:rPr>
        <w:t>. Our Articles of Incorporation require that we obtain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a majority of the outstanding shares of Class B Common Stock relating to the issuance of any class of Preferred Stock having voting rights, other than voting rights with respect to the approval of any change in the rights, privileges or preferences of such class of Preferred Stock. This means, among other things, that our board of directors cannot authorize a transaction involving the sale or issuance of Preferred Stock that would cause a change of control of the Company without the approval of the holders of a majority of the outstanding shares of Class B Common Stock. The foregoing provision of our Articles of Incorporation may have the effect of discouraging, delaying or preventing someone from acquiring us or merging with us, which might cause the market price of our Class A Common Stock to decline or prevent the holders of our Class A Common Stock from realizing a premium over the market price of their shares.</w:t>
      </w:r>
    </w:p>
    <w:p>
      <w:pPr>
        <w:spacing w:after="0" w:line="187" w:lineRule="exact"/>
        <w:rPr>
          <w:sz w:val="20"/>
          <w:szCs w:val="20"/>
          <w:color w:val="auto"/>
        </w:rPr>
      </w:pPr>
    </w:p>
    <w:p>
      <w:pPr>
        <w:jc w:val="both"/>
        <w:ind w:left="180" w:right="199"/>
        <w:spacing w:after="0" w:line="246" w:lineRule="auto"/>
        <w:rPr>
          <w:sz w:val="20"/>
          <w:szCs w:val="20"/>
          <w:color w:val="auto"/>
        </w:rPr>
      </w:pPr>
      <w:r>
        <w:rPr>
          <w:rFonts w:ascii="Arial" w:cs="Arial" w:eastAsia="Arial" w:hAnsi="Arial"/>
          <w:sz w:val="20"/>
          <w:szCs w:val="20"/>
          <w:i w:val="1"/>
          <w:iCs w:val="1"/>
          <w:color w:val="auto"/>
        </w:rPr>
        <w:t xml:space="preserve">Special Meetings. </w:t>
      </w:r>
      <w:r>
        <w:rPr>
          <w:rFonts w:ascii="Arial" w:cs="Arial" w:eastAsia="Arial" w:hAnsi="Arial"/>
          <w:sz w:val="20"/>
          <w:szCs w:val="20"/>
          <w:color w:val="auto"/>
        </w:rPr>
        <w:t>Our Bylaws provide that special meetings of stockholders may only be called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chairman or vice chairman of our board of directors or the president, by the resolution of a majority of our board of directors, or at the written request of the holders of a majority of the voting power of the stock entitled to vote.</w:t>
      </w:r>
    </w:p>
    <w:p>
      <w:pPr>
        <w:spacing w:after="0" w:line="205"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20"/>
          <w:szCs w:val="20"/>
          <w:i w:val="1"/>
          <w:iCs w:val="1"/>
          <w:color w:val="auto"/>
        </w:rPr>
        <w:t>Number of Directors</w:t>
      </w:r>
      <w:r>
        <w:rPr>
          <w:rFonts w:ascii="Arial" w:cs="Arial" w:eastAsia="Arial" w:hAnsi="Arial"/>
          <w:sz w:val="20"/>
          <w:szCs w:val="20"/>
          <w:color w:val="auto"/>
        </w:rPr>
        <w:t>. Our Articles of Incorporation and our Bylaws provide that the number of directors</w:t>
      </w:r>
      <w:r>
        <w:rPr>
          <w:rFonts w:ascii="Arial" w:cs="Arial" w:eastAsia="Arial" w:hAnsi="Arial"/>
          <w:sz w:val="20"/>
          <w:szCs w:val="20"/>
          <w:i w:val="1"/>
          <w:iCs w:val="1"/>
          <w:color w:val="auto"/>
        </w:rPr>
        <w:t xml:space="preserve"> </w:t>
      </w:r>
      <w:r>
        <w:rPr>
          <w:rFonts w:ascii="Arial" w:cs="Arial" w:eastAsia="Arial" w:hAnsi="Arial"/>
          <w:sz w:val="20"/>
          <w:szCs w:val="20"/>
          <w:color w:val="auto"/>
        </w:rPr>
        <w:t>may from time to time be increased or decreased to not less than one or more than ten by action of our board of directors. Currently, the number of our directors is fixed at seven.</w:t>
      </w:r>
    </w:p>
    <w:p>
      <w:pPr>
        <w:spacing w:after="0" w:line="199" w:lineRule="exact"/>
        <w:rPr>
          <w:sz w:val="20"/>
          <w:szCs w:val="20"/>
          <w:color w:val="auto"/>
        </w:rPr>
      </w:pPr>
    </w:p>
    <w:p>
      <w:pPr>
        <w:jc w:val="both"/>
        <w:ind w:left="180" w:right="199"/>
        <w:spacing w:after="0" w:line="246" w:lineRule="auto"/>
        <w:rPr>
          <w:sz w:val="20"/>
          <w:szCs w:val="20"/>
          <w:color w:val="auto"/>
        </w:rPr>
      </w:pPr>
      <w:r>
        <w:rPr>
          <w:rFonts w:ascii="Arial" w:cs="Arial" w:eastAsia="Arial" w:hAnsi="Arial"/>
          <w:sz w:val="20"/>
          <w:szCs w:val="20"/>
          <w:i w:val="1"/>
          <w:iCs w:val="1"/>
          <w:color w:val="auto"/>
        </w:rPr>
        <w:t xml:space="preserve">Board Vacancies. </w:t>
      </w:r>
      <w:r>
        <w:rPr>
          <w:rFonts w:ascii="Arial" w:cs="Arial" w:eastAsia="Arial" w:hAnsi="Arial"/>
          <w:sz w:val="20"/>
          <w:szCs w:val="20"/>
          <w:color w:val="auto"/>
        </w:rPr>
        <w:t>Any vacancy on our board of directors may be filled by a majority vote of the remaining</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even if less than a quorum. Any director elected to fill a vacancy shall hold office until his or her successor is elected at an annual or a special meeting of the stockholders, or until his or her earlier resignation or removal.</w:t>
      </w:r>
    </w:p>
    <w:p>
      <w:pPr>
        <w:spacing w:after="0" w:line="205" w:lineRule="exact"/>
        <w:rPr>
          <w:sz w:val="20"/>
          <w:szCs w:val="20"/>
          <w:color w:val="auto"/>
        </w:rPr>
      </w:pPr>
    </w:p>
    <w:p>
      <w:pPr>
        <w:jc w:val="both"/>
        <w:ind w:left="180" w:right="199"/>
        <w:spacing w:after="0" w:line="244" w:lineRule="auto"/>
        <w:rPr>
          <w:sz w:val="20"/>
          <w:szCs w:val="20"/>
          <w:color w:val="auto"/>
        </w:rPr>
      </w:pPr>
      <w:r>
        <w:rPr>
          <w:rFonts w:ascii="Arial" w:cs="Arial" w:eastAsia="Arial" w:hAnsi="Arial"/>
          <w:sz w:val="20"/>
          <w:szCs w:val="20"/>
          <w:i w:val="1"/>
          <w:iCs w:val="1"/>
          <w:color w:val="auto"/>
        </w:rPr>
        <w:t>Removal of Directors</w:t>
      </w:r>
      <w:r>
        <w:rPr>
          <w:rFonts w:ascii="Arial" w:cs="Arial" w:eastAsia="Arial" w:hAnsi="Arial"/>
          <w:sz w:val="20"/>
          <w:szCs w:val="20"/>
          <w:color w:val="auto"/>
        </w:rPr>
        <w:t>. Our Bylaws provide that any or all of the directors may be removed from office at</w:t>
      </w:r>
      <w:r>
        <w:rPr>
          <w:rFonts w:ascii="Arial" w:cs="Arial" w:eastAsia="Arial" w:hAnsi="Arial"/>
          <w:sz w:val="20"/>
          <w:szCs w:val="20"/>
          <w:i w:val="1"/>
          <w:iCs w:val="1"/>
          <w:color w:val="auto"/>
        </w:rPr>
        <w:t xml:space="preserve"> </w:t>
      </w:r>
      <w:r>
        <w:rPr>
          <w:rFonts w:ascii="Arial" w:cs="Arial" w:eastAsia="Arial" w:hAnsi="Arial"/>
          <w:sz w:val="20"/>
          <w:szCs w:val="20"/>
          <w:color w:val="auto"/>
        </w:rPr>
        <w:t>any time by the affirmative vote of the holders of not less than two-thirds of our outstanding shares of stock entitled to vote on such removal. In addition, NRS 78.335 generally requires the vote of stockholders representing not less than two-thirds of the voting power of the issued and outstanding stock entitled to vote in order to remove an incumbent director.</w:t>
      </w:r>
    </w:p>
    <w:p>
      <w:pPr>
        <w:spacing w:after="0" w:line="208" w:lineRule="exact"/>
        <w:rPr>
          <w:sz w:val="20"/>
          <w:szCs w:val="20"/>
          <w:color w:val="auto"/>
        </w:rPr>
      </w:pPr>
    </w:p>
    <w:p>
      <w:pPr>
        <w:jc w:val="both"/>
        <w:ind w:left="180" w:right="199"/>
        <w:spacing w:after="0" w:line="271" w:lineRule="auto"/>
        <w:rPr>
          <w:sz w:val="20"/>
          <w:szCs w:val="20"/>
          <w:color w:val="auto"/>
        </w:rPr>
      </w:pPr>
      <w:r>
        <w:rPr>
          <w:rFonts w:ascii="Arial" w:cs="Arial" w:eastAsia="Arial" w:hAnsi="Arial"/>
          <w:sz w:val="18"/>
          <w:szCs w:val="18"/>
          <w:i w:val="1"/>
          <w:iCs w:val="1"/>
          <w:color w:val="auto"/>
        </w:rPr>
        <w:t>Nevada Anti-Takeover Statutes</w:t>
      </w:r>
      <w:r>
        <w:rPr>
          <w:rFonts w:ascii="Arial" w:cs="Arial" w:eastAsia="Arial" w:hAnsi="Arial"/>
          <w:sz w:val="18"/>
          <w:szCs w:val="18"/>
          <w:color w:val="auto"/>
        </w:rPr>
        <w:t>. The Nevada Revised Statutes contain provisions governing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controlling interest in certain Nevada corporations. 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4" w:name="page135"/>
    <w:bookmarkEnd w:id="134"/>
    <w:p>
      <w:pPr>
        <w:jc w:val="both"/>
        <w:ind w:left="180" w:right="199"/>
        <w:spacing w:after="0" w:line="272" w:lineRule="auto"/>
        <w:rPr>
          <w:sz w:val="20"/>
          <w:szCs w:val="20"/>
          <w:color w:val="auto"/>
        </w:rPr>
      </w:pPr>
      <w:r>
        <w:rPr>
          <w:rFonts w:ascii="Arial" w:cs="Arial" w:eastAsia="Arial" w:hAnsi="Arial"/>
          <w:sz w:val="18"/>
          <w:szCs w:val="18"/>
          <w:color w:val="auto"/>
        </w:rPr>
        <w:t>"controlling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These laws and provisions may have a chilling effect on certain transactions. We have opted out of Nevada's "acquisition of controlling interest" statutes (NRS 78.411 through 78.444, inclusive) in our Articles of Incorporation.</w:t>
      </w:r>
    </w:p>
    <w:p>
      <w:pPr>
        <w:spacing w:after="0" w:line="185" w:lineRule="exact"/>
        <w:rPr>
          <w:sz w:val="20"/>
          <w:szCs w:val="20"/>
          <w:color w:val="auto"/>
        </w:rPr>
      </w:pPr>
    </w:p>
    <w:p>
      <w:pPr>
        <w:jc w:val="both"/>
        <w:ind w:left="180" w:right="199"/>
        <w:spacing w:after="0" w:line="269" w:lineRule="auto"/>
        <w:rPr>
          <w:sz w:val="20"/>
          <w:szCs w:val="20"/>
          <w:color w:val="auto"/>
        </w:rPr>
      </w:pPr>
      <w:r>
        <w:rPr>
          <w:rFonts w:ascii="Arial" w:cs="Arial" w:eastAsia="Arial" w:hAnsi="Arial"/>
          <w:sz w:val="18"/>
          <w:szCs w:val="18"/>
          <w:color w:val="auto"/>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 We have opted out of Nevada "combinations with interested stockholders" statutes (NRS 78.411 through 78.444, inclusive) in our Articles of Incorporation.</w:t>
      </w:r>
    </w:p>
    <w:p>
      <w:pPr>
        <w:spacing w:after="0" w:line="190" w:lineRule="exact"/>
        <w:rPr>
          <w:sz w:val="20"/>
          <w:szCs w:val="20"/>
          <w:color w:val="auto"/>
        </w:rPr>
      </w:pPr>
    </w:p>
    <w:p>
      <w:pPr>
        <w:jc w:val="both"/>
        <w:ind w:left="180" w:right="199"/>
        <w:spacing w:after="0" w:line="246" w:lineRule="auto"/>
        <w:rPr>
          <w:sz w:val="20"/>
          <w:szCs w:val="20"/>
          <w:color w:val="auto"/>
        </w:rPr>
      </w:pPr>
      <w:r>
        <w:rPr>
          <w:rFonts w:ascii="Arial" w:cs="Arial" w:eastAsia="Arial" w:hAnsi="Arial"/>
          <w:sz w:val="20"/>
          <w:szCs w:val="20"/>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22"/>
          <w:szCs w:val="22"/>
          <w:b w:val="1"/>
          <w:bCs w:val="1"/>
          <w:color w:val="auto"/>
        </w:rPr>
        <w:t>READING INTERNATIONAL,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[Non-Employee Directors]</w:t>
      </w:r>
    </w:p>
    <w:p>
      <w:pPr>
        <w:spacing w:after="0" w:line="206" w:lineRule="exact"/>
        <w:rPr>
          <w:sz w:val="20"/>
          <w:szCs w:val="20"/>
          <w:color w:val="auto"/>
        </w:rPr>
      </w:pPr>
    </w:p>
    <w:p>
      <w:pPr>
        <w:ind w:left="180" w:right="199" w:firstLine="389"/>
        <w:spacing w:after="0" w:line="280" w:lineRule="auto"/>
        <w:rPr>
          <w:sz w:val="20"/>
          <w:szCs w:val="20"/>
          <w:color w:val="auto"/>
        </w:rPr>
      </w:pPr>
      <w:r>
        <w:rPr>
          <w:rFonts w:ascii="Arial" w:cs="Arial" w:eastAsia="Arial" w:hAnsi="Arial"/>
          <w:sz w:val="19"/>
          <w:szCs w:val="19"/>
          <w:color w:val="auto"/>
        </w:rPr>
        <w:t>This Restricted Stock Unit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this [___] day of [___________], 20[__] (“</w:t>
      </w:r>
      <w:r>
        <w:rPr>
          <w:rFonts w:ascii="Arial" w:cs="Arial" w:eastAsia="Arial" w:hAnsi="Arial"/>
          <w:sz w:val="19"/>
          <w:szCs w:val="19"/>
          <w:b w:val="1"/>
          <w:bCs w:val="1"/>
          <w:color w:val="auto"/>
        </w:rPr>
        <w:t>Grant Date</w:t>
      </w:r>
      <w:r>
        <w:rPr>
          <w:rFonts w:ascii="Arial" w:cs="Arial" w:eastAsia="Arial" w:hAnsi="Arial"/>
          <w:sz w:val="19"/>
          <w:szCs w:val="19"/>
          <w:color w:val="auto"/>
        </w:rPr>
        <w:t>”) by and between Reading International, Inc., a</w:t>
      </w:r>
    </w:p>
    <w:p>
      <w:pPr>
        <w:ind w:left="180"/>
        <w:spacing w:after="0"/>
        <w:tabs>
          <w:tab w:leader="none" w:pos="1120" w:val="left"/>
          <w:tab w:leader="none" w:pos="2400" w:val="left"/>
          <w:tab w:leader="none" w:pos="3040" w:val="left"/>
          <w:tab w:leader="none" w:pos="4500" w:val="left"/>
          <w:tab w:leader="none" w:pos="5100" w:val="left"/>
          <w:tab w:leader="none" w:pos="8460" w:val="left"/>
        </w:tabs>
        <w:rPr>
          <w:sz w:val="20"/>
          <w:szCs w:val="20"/>
          <w:color w:val="auto"/>
        </w:rPr>
      </w:pPr>
      <w:r>
        <w:rPr>
          <w:rFonts w:ascii="Arial" w:cs="Arial" w:eastAsia="Arial" w:hAnsi="Arial"/>
          <w:sz w:val="22"/>
          <w:szCs w:val="22"/>
          <w:color w:val="auto"/>
        </w:rPr>
        <w:t>Nevada</w:t>
        <w:tab/>
        <w:t>corporation</w:t>
        <w:tab/>
        <w:t>(the</w:t>
        <w:tab/>
        <w:t>“</w:t>
      </w:r>
      <w:r>
        <w:rPr>
          <w:rFonts w:ascii="Arial" w:cs="Arial" w:eastAsia="Arial" w:hAnsi="Arial"/>
          <w:sz w:val="22"/>
          <w:szCs w:val="22"/>
          <w:b w:val="1"/>
          <w:bCs w:val="1"/>
          <w:color w:val="auto"/>
        </w:rPr>
        <w:t>Company</w:t>
      </w:r>
      <w:r>
        <w:rPr>
          <w:rFonts w:ascii="Arial" w:cs="Arial" w:eastAsia="Arial" w:hAnsi="Arial"/>
          <w:sz w:val="22"/>
          <w:szCs w:val="22"/>
          <w:color w:val="auto"/>
        </w:rPr>
        <w:t>”)</w:t>
        <w:tab/>
        <w:t>and</w:t>
        <w:tab/>
        <w:t>[___________________________]</w:t>
      </w:r>
      <w:r>
        <w:rPr>
          <w:sz w:val="20"/>
          <w:szCs w:val="20"/>
          <w:color w:val="auto"/>
        </w:rPr>
        <w:tab/>
      </w:r>
      <w:r>
        <w:rPr>
          <w:rFonts w:ascii="Arial" w:cs="Arial" w:eastAsia="Arial" w:hAnsi="Arial"/>
          <w:sz w:val="19"/>
          <w:szCs w:val="19"/>
          <w:color w:val="auto"/>
        </w:rPr>
        <w:t>(the</w:t>
      </w:r>
    </w:p>
    <w:p>
      <w:pPr>
        <w:spacing w:after="0" w:line="1" w:lineRule="exact"/>
        <w:rPr>
          <w:sz w:val="20"/>
          <w:szCs w:val="20"/>
          <w:color w:val="auto"/>
        </w:rPr>
      </w:pPr>
    </w:p>
    <w:p>
      <w:pPr>
        <w:ind w:left="180" w:right="19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Recipient</w:t>
      </w:r>
      <w:r>
        <w:rPr>
          <w:rFonts w:ascii="Arial" w:cs="Arial" w:eastAsia="Arial" w:hAnsi="Arial"/>
          <w:sz w:val="22"/>
          <w:szCs w:val="22"/>
          <w:color w:val="auto"/>
        </w:rPr>
        <w:t>”). Capitalized terms not defined herein shall have the meaning ascribed to them the in the Company’s 2020 Stock Incentive Plan, as amended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322" w:lineRule="exact"/>
        <w:rPr>
          <w:sz w:val="20"/>
          <w:szCs w:val="20"/>
          <w:color w:val="auto"/>
        </w:rPr>
      </w:pPr>
    </w:p>
    <w:p>
      <w:pPr>
        <w:jc w:val="both"/>
        <w:ind w:left="180" w:right="199" w:firstLine="393"/>
        <w:spacing w:after="0"/>
        <w:tabs>
          <w:tab w:leader="none" w:pos="106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xml:space="preserve"> The Company hereby grants to the Recipient [___________] share units (such units, the “</w:t>
      </w:r>
      <w:r>
        <w:rPr>
          <w:rFonts w:ascii="Arial" w:cs="Arial" w:eastAsia="Arial" w:hAnsi="Arial"/>
          <w:sz w:val="22"/>
          <w:szCs w:val="22"/>
          <w:b w:val="1"/>
          <w:bCs w:val="1"/>
          <w:color w:val="auto"/>
        </w:rPr>
        <w:t>Restricted Stock Units</w:t>
      </w:r>
      <w:r>
        <w:rPr>
          <w:rFonts w:ascii="Arial" w:cs="Arial" w:eastAsia="Arial" w:hAnsi="Arial"/>
          <w:sz w:val="22"/>
          <w:szCs w:val="22"/>
          <w:color w:val="auto"/>
        </w:rPr>
        <w:t>”), subject to all of the terms and conditions of this Restricted Stock Unit Agreement and the Plan.</w:t>
      </w:r>
    </w:p>
    <w:p>
      <w:pPr>
        <w:spacing w:after="0" w:line="186" w:lineRule="exact"/>
        <w:rPr>
          <w:rFonts w:ascii="Arial" w:cs="Arial" w:eastAsia="Arial" w:hAnsi="Arial"/>
          <w:sz w:val="22"/>
          <w:szCs w:val="22"/>
          <w:color w:val="auto"/>
        </w:rPr>
      </w:pPr>
    </w:p>
    <w:p>
      <w:pPr>
        <w:ind w:left="1080" w:hanging="507"/>
        <w:spacing w:after="0"/>
        <w:tabs>
          <w:tab w:leader="none" w:pos="10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Vesting and Payment</w:t>
      </w:r>
      <w:r>
        <w:rPr>
          <w:rFonts w:ascii="Arial" w:cs="Arial" w:eastAsia="Arial" w:hAnsi="Arial"/>
          <w:sz w:val="22"/>
          <w:szCs w:val="22"/>
          <w:color w:val="auto"/>
        </w:rPr>
        <w:t>.</w:t>
      </w:r>
    </w:p>
    <w:p>
      <w:pPr>
        <w:spacing w:after="0" w:line="206" w:lineRule="exact"/>
        <w:rPr>
          <w:sz w:val="20"/>
          <w:szCs w:val="20"/>
          <w:color w:val="auto"/>
        </w:rPr>
      </w:pPr>
    </w:p>
    <w:p>
      <w:pPr>
        <w:jc w:val="both"/>
        <w:ind w:left="580" w:right="199" w:firstLine="518"/>
        <w:spacing w:after="0" w:line="252"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Vesting Date</w:t>
      </w:r>
      <w:r>
        <w:rPr>
          <w:rFonts w:ascii="Arial" w:cs="Arial" w:eastAsia="Arial" w:hAnsi="Arial"/>
          <w:sz w:val="21"/>
          <w:szCs w:val="21"/>
          <w:color w:val="auto"/>
        </w:rPr>
        <w:t>. Subject to the limitations set forth in this Section 2, Restricted Stock Units will vest on the first to occur of (i) 5:00 pm, Los Angeles, CA time on the last business day prior to the one-year anniversary of the Grant Date or (ii) the date on which Recipient has served such Recipient’s full term as a Director (the “</w:t>
      </w:r>
      <w:r>
        <w:rPr>
          <w:rFonts w:ascii="Arial" w:cs="Arial" w:eastAsia="Arial" w:hAnsi="Arial"/>
          <w:sz w:val="21"/>
          <w:szCs w:val="21"/>
          <w:b w:val="1"/>
          <w:bCs w:val="1"/>
          <w:color w:val="auto"/>
        </w:rPr>
        <w:t>Vesting Date</w:t>
      </w:r>
      <w:r>
        <w:rPr>
          <w:rFonts w:ascii="Arial" w:cs="Arial" w:eastAsia="Arial" w:hAnsi="Arial"/>
          <w:sz w:val="21"/>
          <w:szCs w:val="21"/>
          <w:color w:val="auto"/>
        </w:rPr>
        <w:t>”).</w:t>
      </w:r>
    </w:p>
    <w:p>
      <w:pPr>
        <w:spacing w:after="0" w:line="174" w:lineRule="exact"/>
        <w:rPr>
          <w:sz w:val="20"/>
          <w:szCs w:val="20"/>
          <w:color w:val="auto"/>
        </w:rPr>
      </w:pPr>
    </w:p>
    <w:p>
      <w:pPr>
        <w:jc w:val="both"/>
        <w:ind w:left="580" w:right="199" w:firstLine="518"/>
        <w:spacing w:after="0" w:line="282"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Forfeiture upon Termination</w:t>
      </w:r>
      <w:r>
        <w:rPr>
          <w:rFonts w:ascii="Arial" w:cs="Arial" w:eastAsia="Arial" w:hAnsi="Arial"/>
          <w:sz w:val="19"/>
          <w:szCs w:val="19"/>
          <w:color w:val="auto"/>
        </w:rPr>
        <w:t>. Subject to the provisions of Sections 2.4, upon termination of the Recipient’s Services, whether by the Company or by the Recipient, any unvested Restricted Stock Units shall be immediately forfeited and neither the Recipient nor any of the Recipient’s successors, heirs, assigns or personal representatives shall thereafter have any further rights or interests in such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-55245</wp:posOffset>
            </wp:positionV>
            <wp:extent cx="342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7" w:lineRule="exact"/>
        <w:rPr>
          <w:sz w:val="20"/>
          <w:szCs w:val="20"/>
          <w:color w:val="auto"/>
        </w:rPr>
      </w:pPr>
    </w:p>
    <w:p>
      <w:pPr>
        <w:jc w:val="both"/>
        <w:ind w:left="580" w:right="199" w:firstLine="518"/>
        <w:spacing w:after="0" w:line="23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Board Discretion of Vesting.</w:t>
      </w:r>
      <w:r>
        <w:rPr>
          <w:rFonts w:ascii="Arial" w:cs="Arial" w:eastAsia="Arial" w:hAnsi="Arial"/>
          <w:sz w:val="22"/>
          <w:szCs w:val="22"/>
          <w:color w:val="auto"/>
        </w:rPr>
        <w:t xml:space="preserve"> Upon recommendation of the Compensation and Stock Options Committee of the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the Board may take one or more actions that it finds in the best interest of the Company based on the applicable facts and circumstances with respect to vesting.</w:t>
      </w:r>
    </w:p>
    <w:p>
      <w:pPr>
        <w:spacing w:after="0" w:line="185" w:lineRule="exact"/>
        <w:rPr>
          <w:sz w:val="20"/>
          <w:szCs w:val="20"/>
          <w:color w:val="auto"/>
        </w:rPr>
      </w:pPr>
    </w:p>
    <w:p>
      <w:pPr>
        <w:ind w:left="1100"/>
        <w:spacing w:after="0"/>
        <w:tabs>
          <w:tab w:leader="none" w:pos="17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Acceleration of Vesting.</w:t>
      </w:r>
    </w:p>
    <w:p>
      <w:pPr>
        <w:spacing w:after="0" w:line="206" w:lineRule="exact"/>
        <w:rPr>
          <w:sz w:val="20"/>
          <w:szCs w:val="20"/>
          <w:color w:val="auto"/>
        </w:rPr>
      </w:pPr>
    </w:p>
    <w:p>
      <w:pPr>
        <w:jc w:val="both"/>
        <w:ind w:left="1100" w:right="199" w:firstLine="639"/>
        <w:spacing w:after="0"/>
        <w:tabs>
          <w:tab w:leader="none" w:pos="2393"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the event that of Recipient’s death or Disability (as defined in the Plan), all unvested Restricted Stock Units shall immediately vest as of the date of death or Disability.</w:t>
      </w:r>
    </w:p>
    <w:p>
      <w:pPr>
        <w:spacing w:after="0" w:line="186" w:lineRule="exact"/>
        <w:rPr>
          <w:rFonts w:ascii="Arial" w:cs="Arial" w:eastAsia="Arial" w:hAnsi="Arial"/>
          <w:sz w:val="22"/>
          <w:szCs w:val="22"/>
          <w:color w:val="auto"/>
        </w:rPr>
      </w:pPr>
    </w:p>
    <w:p>
      <w:pPr>
        <w:jc w:val="both"/>
        <w:ind w:left="1100" w:right="199" w:firstLine="639"/>
        <w:spacing w:after="0"/>
        <w:tabs>
          <w:tab w:leader="none" w:pos="2405"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the event of a Change of Control, and the Recipient is not a Participant in such Change in Control, all unvested Restricted Stock Units shall immediately vest as of the date of such Change of Control.</w:t>
      </w:r>
    </w:p>
    <w:p>
      <w:pPr>
        <w:spacing w:after="0" w:line="186" w:lineRule="exact"/>
        <w:rPr>
          <w:rFonts w:ascii="Arial" w:cs="Arial" w:eastAsia="Arial" w:hAnsi="Arial"/>
          <w:sz w:val="22"/>
          <w:szCs w:val="22"/>
          <w:color w:val="auto"/>
        </w:rPr>
      </w:pPr>
    </w:p>
    <w:p>
      <w:pPr>
        <w:jc w:val="both"/>
        <w:ind w:left="1100" w:right="199" w:firstLine="639"/>
        <w:spacing w:after="0" w:line="297" w:lineRule="auto"/>
        <w:tabs>
          <w:tab w:leader="none" w:pos="2393"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event of a Corporate Transaction in which the Restricted Stock Units are not to be Appropriately Replaced at or prior to the effective time of such Corporate Transaction, the vesting of all Restricted Stock Units which are not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85725</wp:posOffset>
            </wp:positionV>
            <wp:extent cx="5528945"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6" w:name="page137"/>
    <w:bookmarkEnd w:id="136"/>
    <w:p>
      <w:pPr>
        <w:jc w:val="both"/>
        <w:ind w:left="1100" w:right="199"/>
        <w:spacing w:after="0"/>
        <w:rPr>
          <w:sz w:val="20"/>
          <w:szCs w:val="20"/>
          <w:color w:val="auto"/>
        </w:rPr>
      </w:pPr>
      <w:r>
        <w:rPr>
          <w:rFonts w:ascii="Arial" w:cs="Arial" w:eastAsia="Arial" w:hAnsi="Arial"/>
          <w:sz w:val="22"/>
          <w:szCs w:val="22"/>
          <w:color w:val="auto"/>
        </w:rPr>
        <w:t>fully vested shall automatically accelerate so that all such Restricted Stock Units shall, immediately prior to the effective time of the Corporate Transaction, become fully vested, free of all restrictions.</w:t>
      </w:r>
    </w:p>
    <w:p>
      <w:pPr>
        <w:spacing w:after="0" w:line="186" w:lineRule="exact"/>
        <w:rPr>
          <w:sz w:val="20"/>
          <w:szCs w:val="20"/>
          <w:color w:val="auto"/>
        </w:rPr>
      </w:pPr>
    </w:p>
    <w:p>
      <w:pPr>
        <w:ind w:left="2400" w:hanging="661"/>
        <w:spacing w:after="0"/>
        <w:tabs>
          <w:tab w:leader="none" w:pos="24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For purposes of this Section 2.4:</w:t>
      </w:r>
    </w:p>
    <w:p>
      <w:pPr>
        <w:spacing w:after="0" w:line="200" w:lineRule="exact"/>
        <w:rPr>
          <w:rFonts w:ascii="Arial" w:cs="Arial" w:eastAsia="Arial" w:hAnsi="Arial"/>
          <w:sz w:val="22"/>
          <w:szCs w:val="22"/>
          <w:color w:val="auto"/>
        </w:rPr>
      </w:pPr>
    </w:p>
    <w:p>
      <w:pPr>
        <w:jc w:val="both"/>
        <w:ind w:left="1740" w:right="199" w:firstLine="647"/>
        <w:spacing w:after="0" w:line="268" w:lineRule="auto"/>
        <w:tabs>
          <w:tab w:leader="none" w:pos="3051" w:val="left"/>
        </w:tabs>
        <w:numPr>
          <w:ilvl w:val="1"/>
          <w:numId w:val="40"/>
        </w:numPr>
        <w:rPr>
          <w:rFonts w:ascii="Arial" w:cs="Arial" w:eastAsia="Arial" w:hAnsi="Arial"/>
          <w:sz w:val="19"/>
          <w:szCs w:val="19"/>
          <w:color w:val="auto"/>
        </w:rPr>
      </w:pPr>
      <w:r>
        <w:rPr>
          <w:rFonts w:ascii="Arial" w:cs="Arial" w:eastAsia="Arial" w:hAnsi="Arial"/>
          <w:sz w:val="19"/>
          <w:szCs w:val="19"/>
          <w:color w:val="auto"/>
        </w:rPr>
        <w:t>Restricted Stock Units shall be considered “</w:t>
      </w:r>
      <w:r>
        <w:rPr>
          <w:rFonts w:ascii="Arial" w:cs="Arial" w:eastAsia="Arial" w:hAnsi="Arial"/>
          <w:sz w:val="19"/>
          <w:szCs w:val="19"/>
          <w:b w:val="1"/>
          <w:bCs w:val="1"/>
          <w:color w:val="auto"/>
        </w:rPr>
        <w:t>Appropriately</w:t>
      </w:r>
      <w:r>
        <w:rPr>
          <w:rFonts w:ascii="Arial" w:cs="Arial" w:eastAsia="Arial" w:hAnsi="Arial"/>
          <w:sz w:val="19"/>
          <w:szCs w:val="19"/>
          <w:color w:val="auto"/>
        </w:rPr>
        <w:t xml:space="preserve"> </w:t>
      </w:r>
      <w:r>
        <w:rPr>
          <w:rFonts w:ascii="Arial" w:cs="Arial" w:eastAsia="Arial" w:hAnsi="Arial"/>
          <w:sz w:val="19"/>
          <w:szCs w:val="19"/>
          <w:b w:val="1"/>
          <w:bCs w:val="1"/>
          <w:color w:val="auto"/>
        </w:rPr>
        <w:t>Replaced</w:t>
      </w:r>
      <w:r>
        <w:rPr>
          <w:rFonts w:ascii="Arial" w:cs="Arial" w:eastAsia="Arial" w:hAnsi="Arial"/>
          <w:sz w:val="19"/>
          <w:szCs w:val="19"/>
          <w:color w:val="auto"/>
        </w:rPr>
        <w:t>” if, at or prior to the Corporate Transaction, in the judgment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as constituted at the time the Corporate Transaction is proposed or announced to the Company (the “</w:t>
      </w:r>
      <w:r>
        <w:rPr>
          <w:rFonts w:ascii="Arial" w:cs="Arial" w:eastAsia="Arial" w:hAnsi="Arial"/>
          <w:sz w:val="19"/>
          <w:szCs w:val="19"/>
          <w:b w:val="1"/>
          <w:bCs w:val="1"/>
          <w:color w:val="auto"/>
        </w:rPr>
        <w:t>Evaluating Committee</w:t>
      </w:r>
      <w:r>
        <w:rPr>
          <w:rFonts w:ascii="Arial" w:cs="Arial" w:eastAsia="Arial" w:hAnsi="Arial"/>
          <w:sz w:val="19"/>
          <w:szCs w:val="19"/>
          <w:color w:val="auto"/>
        </w:rPr>
        <w:t>”), the Restricted Stock Units or a substituted award will confer the right to receive, for each share of Common Stock that may be received pursuant to the Restricted Stock Units existing immediately prior to the Corporate Transaction, on substantially the same vesting and other terms and conditions as were applicable to the Restricted Stock Units immediately prior to the Corporate Transaction, the consideration (whether stock, cash or other securities or property) to be received in the Corporate Transaction by holders of Common Stock for each such share held on the effective date of such transaction (and if holders were offered a choice of consideration, the type of consideration chosen by the holders of a majority of the</w:t>
      </w:r>
    </w:p>
    <w:p>
      <w:pPr>
        <w:spacing w:after="0" w:line="11" w:lineRule="exact"/>
        <w:rPr>
          <w:sz w:val="20"/>
          <w:szCs w:val="20"/>
          <w:color w:val="auto"/>
        </w:rPr>
      </w:pPr>
    </w:p>
    <w:p>
      <w:pPr>
        <w:jc w:val="both"/>
        <w:ind w:left="1740" w:right="199"/>
        <w:spacing w:after="0" w:line="270" w:lineRule="auto"/>
        <w:rPr>
          <w:sz w:val="20"/>
          <w:szCs w:val="20"/>
          <w:color w:val="auto"/>
        </w:rPr>
      </w:pPr>
      <w:r>
        <w:rPr>
          <w:rFonts w:ascii="Arial" w:cs="Arial" w:eastAsia="Arial" w:hAnsi="Arial"/>
          <w:sz w:val="19"/>
          <w:szCs w:val="19"/>
          <w:color w:val="auto"/>
        </w:rPr>
        <w:t xml:space="preserve">outstanding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to be received in the transaction constituting a Corporate Transaction is not solely cash and/or common stock of the successor company or its parent or subsidiary, the Evaluating Committee may, if the obligations are to be assumed by the successor company, or its parent or subsidiary, approve that the consideration to be received upon the exercise or vesting of the Restricted Stock Units (or the substituted award) will be common stock of the successor company or its parent or subsidiary substantially equal in fair market value to the per-share consideration received by holders of Common Stock in the transaction constituting a Corporate Transaction. The determination of such substantial equality of value of consideration shall be made by the Evaluating Committee in its sole discretion and its determination shall be conclusive and binding.</w:t>
      </w:r>
    </w:p>
    <w:p>
      <w:pPr>
        <w:spacing w:after="0" w:line="158" w:lineRule="exact"/>
        <w:rPr>
          <w:sz w:val="20"/>
          <w:szCs w:val="20"/>
          <w:color w:val="auto"/>
        </w:rPr>
      </w:pPr>
    </w:p>
    <w:p>
      <w:pPr>
        <w:ind w:left="3080" w:hanging="693"/>
        <w:spacing w:after="0"/>
        <w:tabs>
          <w:tab w:leader="none" w:pos="3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w:t>
      </w:r>
    </w:p>
    <w:p>
      <w:pPr>
        <w:spacing w:after="0" w:line="212" w:lineRule="exact"/>
        <w:rPr>
          <w:rFonts w:ascii="Arial" w:cs="Arial" w:eastAsia="Arial" w:hAnsi="Arial"/>
          <w:sz w:val="22"/>
          <w:szCs w:val="22"/>
          <w:color w:val="auto"/>
        </w:rPr>
      </w:pPr>
    </w:p>
    <w:p>
      <w:pPr>
        <w:jc w:val="both"/>
        <w:ind w:left="2380" w:right="199" w:firstLine="655"/>
        <w:spacing w:after="0"/>
        <w:tabs>
          <w:tab w:leader="none" w:pos="3706" w:val="left"/>
        </w:tabs>
        <w:numPr>
          <w:ilvl w:val="1"/>
          <w:numId w:val="41"/>
        </w:numPr>
        <w:rPr>
          <w:rFonts w:ascii="Arial" w:cs="Arial" w:eastAsia="Arial" w:hAnsi="Arial"/>
          <w:sz w:val="22"/>
          <w:szCs w:val="22"/>
          <w:color w:val="auto"/>
        </w:rPr>
      </w:pPr>
      <w:r>
        <w:rPr>
          <w:rFonts w:ascii="Arial" w:cs="Arial" w:eastAsia="Arial" w:hAnsi="Arial"/>
          <w:sz w:val="22"/>
          <w:szCs w:val="22"/>
          <w:color w:val="auto"/>
        </w:rPr>
        <w:t>a change, after the Grant Date, in the composition of the Board such that the Incumbent Board ceases for any reason to constitute at least a majority of the Board; or</w:t>
      </w:r>
    </w:p>
    <w:p>
      <w:pPr>
        <w:spacing w:after="0" w:line="186" w:lineRule="exact"/>
        <w:rPr>
          <w:rFonts w:ascii="Arial" w:cs="Arial" w:eastAsia="Arial" w:hAnsi="Arial"/>
          <w:sz w:val="22"/>
          <w:szCs w:val="22"/>
          <w:color w:val="auto"/>
        </w:rPr>
      </w:pPr>
    </w:p>
    <w:p>
      <w:pPr>
        <w:jc w:val="both"/>
        <w:ind w:left="2380" w:right="199" w:firstLine="655"/>
        <w:spacing w:after="0" w:line="246" w:lineRule="auto"/>
        <w:tabs>
          <w:tab w:leader="none" w:pos="3707"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after the Grant Date a Person (as defined below) other than a Permitted Holder (as defined below) becomes the “Beneficial Owner” (as defined in Rules 13d-3 and 13d-5 under the Exchange Act), directly or indirectly, of securities of the Company representing in the aggregate thirty percent (30%) or more of the then outstanding Voting Securities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Change in Control shall not be deemed to have occurred for purposes of this clause (B) solely as the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114935</wp:posOffset>
            </wp:positionV>
            <wp:extent cx="5528945"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37" w:name="page138"/>
    <w:bookmarkEnd w:id="137"/>
    <w:p>
      <w:pPr>
        <w:jc w:val="both"/>
        <w:ind w:left="3040" w:right="199" w:hanging="5"/>
        <w:spacing w:after="0" w:line="238" w:lineRule="auto"/>
        <w:tabs>
          <w:tab w:leader="none" w:pos="3406"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any acquisition directly from the Company, other than an acquisition by virtue of the exercise of a conversion privilege unless the security being so converted itself was acquired directly from the Company,</w:t>
      </w:r>
    </w:p>
    <w:p>
      <w:pPr>
        <w:spacing w:after="0" w:line="184" w:lineRule="exact"/>
        <w:rPr>
          <w:rFonts w:ascii="Arial" w:cs="Arial" w:eastAsia="Arial" w:hAnsi="Arial"/>
          <w:sz w:val="22"/>
          <w:szCs w:val="22"/>
          <w:color w:val="auto"/>
        </w:rPr>
      </w:pPr>
    </w:p>
    <w:p>
      <w:pPr>
        <w:ind w:left="3340" w:hanging="305"/>
        <w:spacing w:after="0"/>
        <w:tabs>
          <w:tab w:leader="none" w:pos="334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any repurchase of securities by the Company,</w:t>
      </w:r>
    </w:p>
    <w:p>
      <w:pPr>
        <w:spacing w:after="0" w:line="206" w:lineRule="exact"/>
        <w:rPr>
          <w:rFonts w:ascii="Arial" w:cs="Arial" w:eastAsia="Arial" w:hAnsi="Arial"/>
          <w:sz w:val="22"/>
          <w:szCs w:val="22"/>
          <w:color w:val="auto"/>
        </w:rPr>
      </w:pPr>
    </w:p>
    <w:p>
      <w:pPr>
        <w:jc w:val="both"/>
        <w:ind w:left="3040" w:right="199" w:hanging="5"/>
        <w:spacing w:after="0"/>
        <w:tabs>
          <w:tab w:leader="none" w:pos="3355"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any acquisition by any employee benefit plan (or related trust) sponsored or maintained by the Company or any entity controlled by the Company, and</w:t>
      </w:r>
    </w:p>
    <w:p>
      <w:pPr>
        <w:spacing w:after="0" w:line="186" w:lineRule="exact"/>
        <w:rPr>
          <w:rFonts w:ascii="Arial" w:cs="Arial" w:eastAsia="Arial" w:hAnsi="Arial"/>
          <w:sz w:val="22"/>
          <w:szCs w:val="22"/>
          <w:color w:val="auto"/>
        </w:rPr>
      </w:pPr>
    </w:p>
    <w:p>
      <w:pPr>
        <w:jc w:val="both"/>
        <w:ind w:left="3040" w:right="199" w:hanging="5"/>
        <w:spacing w:after="0"/>
        <w:tabs>
          <w:tab w:leader="none" w:pos="3357"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any acquisition pursuant to a transaction that is excluded from the definition of Corporate Transaction pursuant to approval by the Incumbent Board.</w:t>
      </w:r>
    </w:p>
    <w:p>
      <w:pPr>
        <w:spacing w:after="0" w:line="180" w:lineRule="exact"/>
        <w:rPr>
          <w:rFonts w:ascii="Arial" w:cs="Arial" w:eastAsia="Arial" w:hAnsi="Arial"/>
          <w:sz w:val="22"/>
          <w:szCs w:val="22"/>
          <w:color w:val="auto"/>
        </w:rPr>
      </w:pPr>
    </w:p>
    <w:p>
      <w:pPr>
        <w:ind w:left="3100" w:hanging="713"/>
        <w:spacing w:after="0"/>
        <w:tabs>
          <w:tab w:leader="none" w:pos="3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Corporate Transaction</w:t>
      </w:r>
      <w:r>
        <w:rPr>
          <w:rFonts w:ascii="Arial" w:cs="Arial" w:eastAsia="Arial" w:hAnsi="Arial"/>
          <w:sz w:val="22"/>
          <w:szCs w:val="22"/>
          <w:color w:val="auto"/>
        </w:rPr>
        <w:t>” shall mean:</w:t>
      </w:r>
    </w:p>
    <w:p>
      <w:pPr>
        <w:spacing w:after="0" w:line="212" w:lineRule="exact"/>
        <w:rPr>
          <w:sz w:val="20"/>
          <w:szCs w:val="20"/>
          <w:color w:val="auto"/>
        </w:rPr>
      </w:pPr>
    </w:p>
    <w:p>
      <w:pPr>
        <w:jc w:val="both"/>
        <w:ind w:left="2380" w:right="199" w:firstLine="655"/>
        <w:spacing w:after="0" w:line="248" w:lineRule="auto"/>
        <w:tabs>
          <w:tab w:leader="none" w:pos="3706" w:val="left"/>
        </w:tabs>
        <w:numPr>
          <w:ilvl w:val="1"/>
          <w:numId w:val="44"/>
        </w:numPr>
        <w:rPr>
          <w:rFonts w:ascii="Arial" w:cs="Arial" w:eastAsia="Arial" w:hAnsi="Arial"/>
          <w:sz w:val="21"/>
          <w:szCs w:val="21"/>
          <w:color w:val="auto"/>
        </w:rPr>
      </w:pPr>
      <w:r>
        <w:rPr>
          <w:rFonts w:ascii="Arial" w:cs="Arial" w:eastAsia="Arial" w:hAnsi="Arial"/>
          <w:sz w:val="21"/>
          <w:szCs w:val="21"/>
          <w:color w:val="auto"/>
        </w:rPr>
        <w:t xml:space="preserve">the consummation of a reorganization, merger or consolidation or sale or other disposition of all or substantially all of the assets of the Company, whether directly or indirectly through the sale of any one or more of the Company’s subsidiaries or the assets of such one or more subsidiaries; </w:t>
      </w:r>
      <w:r>
        <w:rPr>
          <w:rFonts w:ascii="Arial" w:cs="Arial" w:eastAsia="Arial" w:hAnsi="Arial"/>
          <w:sz w:val="21"/>
          <w:szCs w:val="21"/>
          <w:u w:val="single" w:color="auto"/>
          <w:color w:val="auto"/>
        </w:rPr>
        <w:t>excluding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any such transaction approved by the Incumbent Board (as defined below); or</w:t>
      </w:r>
    </w:p>
    <w:p>
      <w:pPr>
        <w:spacing w:after="0" w:line="176" w:lineRule="exact"/>
        <w:rPr>
          <w:rFonts w:ascii="Arial" w:cs="Arial" w:eastAsia="Arial" w:hAnsi="Arial"/>
          <w:sz w:val="21"/>
          <w:szCs w:val="21"/>
          <w:color w:val="auto"/>
        </w:rPr>
      </w:pPr>
    </w:p>
    <w:p>
      <w:pPr>
        <w:ind w:left="3720" w:hanging="685"/>
        <w:spacing w:after="0"/>
        <w:tabs>
          <w:tab w:leader="none" w:pos="37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liquidation or dissolution of the Company.</w:t>
      </w:r>
    </w:p>
    <w:p>
      <w:pPr>
        <w:spacing w:after="0" w:line="200" w:lineRule="exact"/>
        <w:rPr>
          <w:rFonts w:ascii="Arial" w:cs="Arial" w:eastAsia="Arial" w:hAnsi="Arial"/>
          <w:sz w:val="22"/>
          <w:szCs w:val="22"/>
          <w:color w:val="auto"/>
        </w:rPr>
      </w:pPr>
    </w:p>
    <w:p>
      <w:pPr>
        <w:jc w:val="both"/>
        <w:ind w:left="1740" w:right="199" w:firstLine="647"/>
        <w:spacing w:after="0" w:line="273" w:lineRule="auto"/>
        <w:tabs>
          <w:tab w:leader="none" w:pos="3091"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Incumbent Board</w:t>
      </w:r>
      <w:r>
        <w:rPr>
          <w:rFonts w:ascii="Arial" w:cs="Arial" w:eastAsia="Arial" w:hAnsi="Arial"/>
          <w:sz w:val="19"/>
          <w:szCs w:val="19"/>
          <w:color w:val="auto"/>
        </w:rPr>
        <w:t xml:space="preserve">” shall mean the individuals who, as of the Grant Date, constitute the entire Board together with any individual(s) who becomes a member of the Board subsequent to the Grant Date, whose election, or nomination for election by the Company’s stockholders, was approved by a vote of at least a majority of those individuals who are members of the Board and who were also members of the then-Incumbent Board (or deemed to be such pursuant to this proviso);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p>
      <w:pPr>
        <w:spacing w:after="0" w:line="149" w:lineRule="exact"/>
        <w:rPr>
          <w:rFonts w:ascii="Arial" w:cs="Arial" w:eastAsia="Arial" w:hAnsi="Arial"/>
          <w:sz w:val="19"/>
          <w:szCs w:val="19"/>
          <w:color w:val="auto"/>
        </w:rPr>
      </w:pPr>
    </w:p>
    <w:p>
      <w:pPr>
        <w:jc w:val="both"/>
        <w:ind w:left="1740" w:right="199" w:firstLine="647"/>
        <w:spacing w:after="0" w:line="278" w:lineRule="auto"/>
        <w:tabs>
          <w:tab w:leader="none" w:pos="3045"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Participant</w:t>
      </w:r>
      <w:r>
        <w:rPr>
          <w:rFonts w:ascii="Arial" w:cs="Arial" w:eastAsia="Arial" w:hAnsi="Arial"/>
          <w:sz w:val="19"/>
          <w:szCs w:val="19"/>
          <w:color w:val="auto"/>
        </w:rPr>
        <w:t>” in a Change in Control or a Corporate Transaction shall mean any Person who, after such Change in Control or Corporate Transaction either (a) is or controls any Person whose acquisition or control of securities of the Company gives rise to the Change in Control pursuant to Section 2.4(d)(ii)(B) above, or (b) is or controls any Permitted Holder as of the effective date of such Change in Control or Corporate Transaction but was not or did not control such Permitted Holder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552894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38" w:name="page139"/>
    <w:bookmarkEnd w:id="138"/>
    <w:p>
      <w:pPr>
        <w:jc w:val="both"/>
        <w:ind w:left="1740" w:right="199" w:firstLine="647"/>
        <w:spacing w:after="0" w:line="273" w:lineRule="auto"/>
        <w:tabs>
          <w:tab w:leader="none" w:pos="3091"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Permitted Holder</w:t>
      </w:r>
      <w:r>
        <w:rPr>
          <w:rFonts w:ascii="Arial" w:cs="Arial" w:eastAsia="Arial" w:hAnsi="Arial"/>
          <w:sz w:val="19"/>
          <w:szCs w:val="19"/>
          <w:color w:val="auto"/>
        </w:rPr>
        <w:t>” shall mean (i) the Company or any trustee or other fiduciary holding securities under an employee benefit plan of the Company, (ii) any Person who, since the Grant Date, has continuously been the Beneficial Owner of not less than thirty percent (30%) of the Voting Securities, or</w:t>
      </w:r>
    </w:p>
    <w:p>
      <w:pPr>
        <w:spacing w:after="0" w:line="1" w:lineRule="exact"/>
        <w:rPr>
          <w:rFonts w:ascii="Arial" w:cs="Arial" w:eastAsia="Arial" w:hAnsi="Arial"/>
          <w:sz w:val="19"/>
          <w:szCs w:val="19"/>
          <w:color w:val="auto"/>
        </w:rPr>
      </w:pPr>
    </w:p>
    <w:p>
      <w:pPr>
        <w:ind w:left="1740" w:right="199" w:hanging="1"/>
        <w:spacing w:after="0" w:line="236" w:lineRule="auto"/>
        <w:tabs>
          <w:tab w:leader="none" w:pos="2124"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Person controlled, directly or indirectly, by one or more of the foregoing Persons referred to in the immediately preceding clause (ii).</w:t>
      </w:r>
    </w:p>
    <w:p>
      <w:pPr>
        <w:spacing w:after="0" w:line="180" w:lineRule="exact"/>
        <w:rPr>
          <w:rFonts w:ascii="Arial" w:cs="Arial" w:eastAsia="Arial" w:hAnsi="Arial"/>
          <w:sz w:val="22"/>
          <w:szCs w:val="22"/>
          <w:color w:val="auto"/>
        </w:rPr>
      </w:pPr>
    </w:p>
    <w:p>
      <w:pPr>
        <w:jc w:val="both"/>
        <w:ind w:left="1740" w:right="199" w:firstLine="647"/>
        <w:spacing w:after="0" w:line="247" w:lineRule="auto"/>
        <w:tabs>
          <w:tab w:leader="none" w:pos="3111"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b w:val="1"/>
          <w:bCs w:val="1"/>
          <w:color w:val="auto"/>
        </w:rPr>
        <w:t>Person</w:t>
      </w:r>
      <w:r>
        <w:rPr>
          <w:rFonts w:ascii="Arial" w:cs="Arial" w:eastAsia="Arial" w:hAnsi="Arial"/>
          <w:sz w:val="21"/>
          <w:szCs w:val="21"/>
          <w:color w:val="auto"/>
        </w:rPr>
        <w:t>” shall mean any individual (whether acting in an individual capacity or in a representative capacity so as to have sole or shared voting power of Voting Securities), entity (including, without limitation, any corporation, charitable or not-for profit corporation, private foundation, partnership, limited liability company, trust (including, without limitation, any private, charitable or split-interest trust), joint venture, association or governmental body) or group (as defined in Section 13(d)(3) or 14(d)(2) of the Exchange Act and the rules and regulations thereunder.</w:t>
      </w:r>
    </w:p>
    <w:p>
      <w:pPr>
        <w:spacing w:after="0" w:line="177" w:lineRule="exact"/>
        <w:rPr>
          <w:rFonts w:ascii="Arial" w:cs="Arial" w:eastAsia="Arial" w:hAnsi="Arial"/>
          <w:sz w:val="21"/>
          <w:szCs w:val="21"/>
          <w:color w:val="auto"/>
        </w:rPr>
      </w:pPr>
    </w:p>
    <w:p>
      <w:pPr>
        <w:ind w:left="1740" w:right="199" w:firstLine="647"/>
        <w:spacing w:after="0" w:line="250" w:lineRule="auto"/>
        <w:tabs>
          <w:tab w:leader="none" w:pos="3144" w:val="left"/>
        </w:tabs>
        <w:numPr>
          <w:ilvl w:val="1"/>
          <w:numId w:val="47"/>
        </w:numPr>
        <w:rPr>
          <w:rFonts w:ascii="Arial" w:cs="Arial" w:eastAsia="Arial" w:hAnsi="Arial"/>
          <w:sz w:val="22"/>
          <w:szCs w:val="22"/>
          <w:color w:val="auto"/>
        </w:rPr>
      </w:pPr>
      <w:r>
        <w:rPr>
          <w:rFonts w:ascii="Arial" w:cs="Arial" w:eastAsia="Arial" w:hAnsi="Arial"/>
          <w:sz w:val="22"/>
          <w:szCs w:val="22"/>
          <w:color w:val="auto"/>
        </w:rPr>
        <w:t>Services shall mean Recipient’s services as a Director of the Company or any successor.</w:t>
      </w:r>
    </w:p>
    <w:p>
      <w:pPr>
        <w:spacing w:after="0" w:line="168" w:lineRule="exact"/>
        <w:rPr>
          <w:rFonts w:ascii="Arial" w:cs="Arial" w:eastAsia="Arial" w:hAnsi="Arial"/>
          <w:sz w:val="22"/>
          <w:szCs w:val="22"/>
          <w:color w:val="auto"/>
        </w:rPr>
      </w:pPr>
    </w:p>
    <w:p>
      <w:pPr>
        <w:jc w:val="both"/>
        <w:ind w:left="1740" w:right="199" w:firstLine="647"/>
        <w:spacing w:after="0" w:line="249" w:lineRule="auto"/>
        <w:tabs>
          <w:tab w:leader="none" w:pos="3091"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b w:val="1"/>
          <w:bCs w:val="1"/>
          <w:color w:val="auto"/>
        </w:rPr>
        <w:t>Voting Securities</w:t>
      </w:r>
      <w:r>
        <w:rPr>
          <w:rFonts w:ascii="Arial" w:cs="Arial" w:eastAsia="Arial" w:hAnsi="Arial"/>
          <w:sz w:val="21"/>
          <w:szCs w:val="21"/>
          <w:color w:val="auto"/>
        </w:rPr>
        <w:t>” shall mean all securities of a corporation having the right under ordinary circumstances to vote in an election of the board of directors of such corporation, or other interests having comparable rights to elect managers or fiduciary persons or boards in non-corporate entities. As of the date hereof, the Voting Securities of the Company includes the shares of Class B common stock of the Company.</w:t>
      </w:r>
    </w:p>
    <w:p>
      <w:pPr>
        <w:spacing w:after="0" w:line="177" w:lineRule="exact"/>
        <w:rPr>
          <w:sz w:val="20"/>
          <w:szCs w:val="20"/>
          <w:color w:val="auto"/>
        </w:rPr>
      </w:pPr>
    </w:p>
    <w:p>
      <w:pPr>
        <w:jc w:val="both"/>
        <w:ind w:left="580" w:right="199" w:firstLine="518"/>
        <w:spacing w:after="0" w:line="235"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Settlement</w:t>
      </w:r>
      <w:r>
        <w:rPr>
          <w:rFonts w:ascii="Arial" w:cs="Arial" w:eastAsia="Arial" w:hAnsi="Arial"/>
          <w:sz w:val="22"/>
          <w:szCs w:val="22"/>
          <w:color w:val="auto"/>
        </w:rPr>
        <w:t>. If Restricted Stock Units vest, then within thirty (30) days after the last day of the calendar year in which the Restricted Stock Units become vested pursuant to Section 2 hereof, the Company shall settle the Restricted Stock Units by delivering to the Recipient, or if applicable the Recipient’s estate, that number of shares of Common Stock equal to the number of Restricted Stock Units which vested on such vesting date as set forth above.</w:t>
      </w:r>
    </w:p>
    <w:p>
      <w:pPr>
        <w:spacing w:after="0" w:line="188" w:lineRule="exact"/>
        <w:rPr>
          <w:sz w:val="20"/>
          <w:szCs w:val="20"/>
          <w:color w:val="auto"/>
        </w:rPr>
      </w:pPr>
    </w:p>
    <w:p>
      <w:pPr>
        <w:jc w:val="both"/>
        <w:ind w:left="580" w:right="199" w:firstLine="518"/>
        <w:spacing w:after="0" w:line="28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Taxes</w:t>
      </w:r>
      <w:r>
        <w:rPr>
          <w:rFonts w:ascii="Arial" w:cs="Arial" w:eastAsia="Arial" w:hAnsi="Arial"/>
          <w:sz w:val="19"/>
          <w:szCs w:val="19"/>
          <w:color w:val="auto"/>
        </w:rPr>
        <w:t>. On the date on which the Restricted Stock Units are settled pursuant to Section 2.5 hereof, the Recipient shall recognize taxable income in respect of the Common Stock deliverable and the Company shall report such taxable income to the appropriate taxing authorities in respect thereof as it determines to be necessary and appropriate.</w:t>
      </w:r>
    </w:p>
    <w:p>
      <w:pPr>
        <w:spacing w:after="0" w:line="143" w:lineRule="exact"/>
        <w:rPr>
          <w:sz w:val="20"/>
          <w:szCs w:val="20"/>
          <w:color w:val="auto"/>
        </w:rPr>
      </w:pPr>
    </w:p>
    <w:p>
      <w:pPr>
        <w:jc w:val="both"/>
        <w:ind w:left="580" w:right="199" w:firstLine="518"/>
        <w:spacing w:after="0" w:line="245"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Certificate</w:t>
      </w:r>
      <w:r>
        <w:rPr>
          <w:rFonts w:ascii="Arial" w:cs="Arial" w:eastAsia="Arial" w:hAnsi="Arial"/>
          <w:sz w:val="21"/>
          <w:szCs w:val="21"/>
          <w:color w:val="auto"/>
        </w:rPr>
        <w:t>. Upon settlement of the Restricted Stock Units pursuant to Section 2.5 hereof (or as soon as practicable thereafter), the Company shall deliver or cause to be delivered one or more certificates issued in the Recipient’s name representing shares of Common Stock equal to the number of vested Restricted Stock Units. If a valid SEC Form S-8 Registration Statement is not in effect at the time, the Certificate shall set forth restrictive legends advising the Recipient that the shares of Common Stock have not been registered under the securities laws of the United States or the laws of any state and that the sale or other disposition of such shares is prohibited unless such sale or other disposition is made in compliance with all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118110</wp:posOffset>
            </wp:positionV>
            <wp:extent cx="5528945"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9" w:name="page140"/>
    <w:bookmarkEnd w:id="139"/>
    <w:p>
      <w:pPr>
        <w:jc w:val="both"/>
        <w:ind w:left="180" w:right="199" w:firstLine="393"/>
        <w:spacing w:after="0" w:line="238" w:lineRule="auto"/>
        <w:tabs>
          <w:tab w:leader="none" w:pos="106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Pursuant to Section 11 of the Plan, in the event of a change in capitalization, the Board shall make such equitable changes or adjustments to the number and kind of securities or other property (including cash) issued or issuable in respect of outstanding Restricted Stock Units.</w:t>
      </w:r>
    </w:p>
    <w:p>
      <w:pPr>
        <w:spacing w:after="0" w:line="184" w:lineRule="exact"/>
        <w:rPr>
          <w:rFonts w:ascii="Arial" w:cs="Arial" w:eastAsia="Arial" w:hAnsi="Arial"/>
          <w:sz w:val="22"/>
          <w:szCs w:val="22"/>
          <w:color w:val="auto"/>
        </w:rPr>
      </w:pPr>
    </w:p>
    <w:p>
      <w:pPr>
        <w:jc w:val="both"/>
        <w:ind w:left="180" w:right="199" w:firstLine="393"/>
        <w:spacing w:after="0" w:line="245" w:lineRule="auto"/>
        <w:tabs>
          <w:tab w:leader="none" w:pos="106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under this Restricted Stock Unit Agreement shall be in writing and shall be given by e-mail, first class mail, certified or registered with return receipt requests, and shall be deemed to have been duly given three days after mailing (or one-day in case of delivery by e-mail) to the respective parties, as follows: (i) if to the Company, (a) if by mail, addressed to the Company in care of its Corporate Secretary at the principal executive office of the Company, or (b) if by e-mail, addressed to the care of the Corporate Secretary at corporatesecretary@readingrdi.com and (ii) if to the Recipient, using the contact information on file with the Company. Either party hereto may change such party’s address for notices by notice duly given pursuant hereto.</w:t>
      </w:r>
    </w:p>
    <w:p>
      <w:pPr>
        <w:spacing w:after="0" w:line="184" w:lineRule="exact"/>
        <w:rPr>
          <w:rFonts w:ascii="Arial" w:cs="Arial" w:eastAsia="Arial" w:hAnsi="Arial"/>
          <w:sz w:val="21"/>
          <w:szCs w:val="21"/>
          <w:color w:val="auto"/>
        </w:rPr>
      </w:pPr>
    </w:p>
    <w:p>
      <w:pPr>
        <w:ind w:left="1080" w:hanging="507"/>
        <w:spacing w:after="0"/>
        <w:tabs>
          <w:tab w:leader="none" w:pos="108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Protections against Violations of Agreement</w:t>
      </w:r>
      <w:r>
        <w:rPr>
          <w:rFonts w:ascii="Arial" w:cs="Arial" w:eastAsia="Arial" w:hAnsi="Arial"/>
          <w:sz w:val="22"/>
          <w:szCs w:val="22"/>
          <w:color w:val="auto"/>
        </w:rPr>
        <w:t>.</w:t>
      </w:r>
    </w:p>
    <w:p>
      <w:pPr>
        <w:spacing w:after="0" w:line="206" w:lineRule="exact"/>
        <w:rPr>
          <w:sz w:val="20"/>
          <w:szCs w:val="20"/>
          <w:color w:val="auto"/>
        </w:rPr>
      </w:pPr>
    </w:p>
    <w:p>
      <w:pPr>
        <w:jc w:val="both"/>
        <w:ind w:left="580" w:right="199" w:firstLine="518"/>
        <w:spacing w:after="0" w:line="246" w:lineRule="auto"/>
        <w:rPr>
          <w:sz w:val="20"/>
          <w:szCs w:val="20"/>
          <w:color w:val="auto"/>
        </w:rPr>
      </w:pPr>
      <w:r>
        <w:rPr>
          <w:rFonts w:ascii="Arial" w:cs="Arial" w:eastAsia="Arial" w:hAnsi="Arial"/>
          <w:sz w:val="21"/>
          <w:szCs w:val="21"/>
          <w:color w:val="auto"/>
        </w:rPr>
        <w:t>5.1 No purported sale, assignment, mortgage, hypothecation, transfer, charge, pledge, encumbrance, gift, transfer in trust (voting or other) or other disposition or creation of a security interest in or lien on, any of the Restricted Stock Units or any agreement or commitment to do any of the foregoing (each a “</w:t>
      </w:r>
      <w:r>
        <w:rPr>
          <w:rFonts w:ascii="Arial" w:cs="Arial" w:eastAsia="Arial" w:hAnsi="Arial"/>
          <w:sz w:val="21"/>
          <w:szCs w:val="21"/>
          <w:b w:val="1"/>
          <w:bCs w:val="1"/>
          <w:color w:val="auto"/>
        </w:rPr>
        <w:t>Transfer</w:t>
      </w:r>
      <w:r>
        <w:rPr>
          <w:rFonts w:ascii="Arial" w:cs="Arial" w:eastAsia="Arial" w:hAnsi="Arial"/>
          <w:sz w:val="21"/>
          <w:szCs w:val="21"/>
          <w:color w:val="auto"/>
        </w:rPr>
        <w:t>”) by any holder thereof in violation of the provisions of this Restricted Stock Unit Agreement will be valid, except (i) a transfer for estate planning purposes, or (ii) with the prior written consent of the Board (such consent shall be granted or withheld in the sole discretion of the Board).</w:t>
      </w:r>
    </w:p>
    <w:p>
      <w:pPr>
        <w:spacing w:after="0" w:line="184" w:lineRule="exact"/>
        <w:rPr>
          <w:sz w:val="20"/>
          <w:szCs w:val="20"/>
          <w:color w:val="auto"/>
        </w:rPr>
      </w:pPr>
    </w:p>
    <w:p>
      <w:pPr>
        <w:jc w:val="both"/>
        <w:ind w:left="580" w:right="199" w:firstLine="518"/>
        <w:spacing w:after="0" w:line="235" w:lineRule="auto"/>
        <w:rPr>
          <w:sz w:val="20"/>
          <w:szCs w:val="20"/>
          <w:color w:val="auto"/>
        </w:rPr>
      </w:pPr>
      <w:r>
        <w:rPr>
          <w:rFonts w:ascii="Arial" w:cs="Arial" w:eastAsia="Arial" w:hAnsi="Arial"/>
          <w:sz w:val="22"/>
          <w:szCs w:val="22"/>
          <w:color w:val="auto"/>
        </w:rPr>
        <w:t>5.2 Any purported Transfer of Restricted Stock Units or any economic benefit or interest therein in violation of this Restricted Stock Unit Agreement shall be null and void ab initio, and shall not create any obligation or liability of the Company, and any person purportedly acquiring any Restricted Stock Units or any economic benefit or interest therein transferred in violation of this Restricted Stock Unit Agreement shall not be entitled to receive any Common Stock.</w:t>
      </w:r>
    </w:p>
    <w:p>
      <w:pPr>
        <w:spacing w:after="0" w:line="188" w:lineRule="exact"/>
        <w:rPr>
          <w:sz w:val="20"/>
          <w:szCs w:val="20"/>
          <w:color w:val="auto"/>
        </w:rPr>
      </w:pPr>
    </w:p>
    <w:p>
      <w:pPr>
        <w:jc w:val="both"/>
        <w:ind w:left="180" w:right="199" w:firstLine="393"/>
        <w:spacing w:after="0" w:line="245" w:lineRule="auto"/>
        <w:tabs>
          <w:tab w:leader="none" w:pos="106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BY SIGNING THIS RESTRICTED STOCK UNIT AGREEMENT, THE RECIPIENT REPRESENTS THAT HE OR SHE HAS REVIEWED WITH HIS OR HER OWN TAX ADVISORS THE FEDERAL, STATE, LOCAL AND FOREIGN TAX CONSEQUENCES OF THE TRANSACTIONS CONTEMPLATED BY THIS RESTRICTED STOCK UNIT AGREEMENT AND THAT HE OR SHE IS RELYING SOLELY ON SUCH ADVISORS AND NOT ON ANY STATEMENTS OR REPRESENTATIONS OF THE COMPANY OR ANY OF ITS AGENTS. THE RECIPIENT UNDERSTANDS AND AGREES THAT HE OR SHE (AND NOT THE COMPANY) SHALL BE RESPONSIBLE FOR ANY TAX LIABILITY THAT MAY ARISE AS A RESULT OF THE TRANSACTIONS CONTEMPLATED BY THIS RESTRICTED STOCK UNIT AGREEMENT.</w:t>
      </w:r>
    </w:p>
    <w:p>
      <w:pPr>
        <w:spacing w:after="0" w:line="180" w:lineRule="exact"/>
        <w:rPr>
          <w:rFonts w:ascii="Arial" w:cs="Arial" w:eastAsia="Arial" w:hAnsi="Arial"/>
          <w:sz w:val="21"/>
          <w:szCs w:val="21"/>
          <w:color w:val="auto"/>
        </w:rPr>
      </w:pPr>
    </w:p>
    <w:p>
      <w:pPr>
        <w:jc w:val="both"/>
        <w:ind w:left="180" w:right="199" w:firstLine="393"/>
        <w:spacing w:after="0"/>
        <w:tabs>
          <w:tab w:leader="none" w:pos="106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Failure to Enforce Not a Waiver</w:t>
      </w:r>
      <w:r>
        <w:rPr>
          <w:rFonts w:ascii="Arial" w:cs="Arial" w:eastAsia="Arial" w:hAnsi="Arial"/>
          <w:sz w:val="22"/>
          <w:szCs w:val="22"/>
          <w:color w:val="auto"/>
        </w:rPr>
        <w:t>. The failure of the Company to enforce at any time any provision of this Restricted Stock Unit Agreement shall in no way be construed to be a waiver of such provision or of any other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119380</wp:posOffset>
            </wp:positionV>
            <wp:extent cx="5528945"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40" w:name="page141"/>
    <w:bookmarkEnd w:id="140"/>
    <w:p>
      <w:pPr>
        <w:jc w:val="both"/>
        <w:ind w:left="180" w:right="199" w:firstLine="393"/>
        <w:spacing w:after="0" w:line="244" w:lineRule="auto"/>
        <w:tabs>
          <w:tab w:leader="none" w:pos="106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Restricted Stock Unit Agreement shall be governed by and construed and enforced in accordance with the laws of the State of Nevada applicable to contracts made and to be performed herein. Any suit, action or proceeding with respect to this Restricted Stock Unit Agreement, or any judgment entered by any court in respect of any thereof, shall be brought in any court of competent jurisdiction in the State of Nevada, and the Company and the Recipient hereby submit to the exclusive jurisdiction of such courts for the purpose of any such suit, action, proceeding or judgment. The Recipient and the Company hereby irrevocably waive (i) any objections which it may now or hereafter have to the laying of the venue of any suit, action or proceeding arising out of or relating to this Restricted stock Unit Agreement brought in any court of competent jurisdiction in the State of Nevada, (ii) any claim that any such suit, action or proceeding brought in any such court has been brought in any inconvenient forum and (iii) any right to a jury trial.</w:t>
      </w:r>
    </w:p>
    <w:p>
      <w:pPr>
        <w:spacing w:after="0" w:line="185" w:lineRule="exact"/>
        <w:rPr>
          <w:rFonts w:ascii="Arial" w:cs="Arial" w:eastAsia="Arial" w:hAnsi="Arial"/>
          <w:sz w:val="21"/>
          <w:szCs w:val="21"/>
          <w:color w:val="auto"/>
        </w:rPr>
      </w:pPr>
    </w:p>
    <w:p>
      <w:pPr>
        <w:jc w:val="both"/>
        <w:ind w:left="180" w:right="199" w:firstLine="393"/>
        <w:spacing w:after="0" w:line="257" w:lineRule="auto"/>
        <w:tabs>
          <w:tab w:leader="none" w:pos="106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Incorporation of Plan</w:t>
      </w:r>
      <w:r>
        <w:rPr>
          <w:rFonts w:ascii="Arial" w:cs="Arial" w:eastAsia="Arial" w:hAnsi="Arial"/>
          <w:sz w:val="21"/>
          <w:szCs w:val="21"/>
          <w:color w:val="auto"/>
        </w:rPr>
        <w:t>. The Plan is hereby incorporated by reference and made a part hereof, and the Restricted Stock Units and this Restricted Stock Unit Agreement shall be subject to all terms and conditions of the Plan and this Restricted Stock Unit Agreement.</w:t>
      </w:r>
    </w:p>
    <w:p>
      <w:pPr>
        <w:spacing w:after="0" w:line="169" w:lineRule="exact"/>
        <w:rPr>
          <w:rFonts w:ascii="Arial" w:cs="Arial" w:eastAsia="Arial" w:hAnsi="Arial"/>
          <w:sz w:val="21"/>
          <w:szCs w:val="21"/>
          <w:color w:val="auto"/>
        </w:rPr>
      </w:pPr>
    </w:p>
    <w:p>
      <w:pPr>
        <w:jc w:val="both"/>
        <w:ind w:left="180" w:right="199" w:firstLine="393"/>
        <w:spacing w:after="0" w:line="282" w:lineRule="auto"/>
        <w:tabs>
          <w:tab w:leader="none" w:pos="109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Amendments / Construction</w:t>
      </w:r>
      <w:r>
        <w:rPr>
          <w:rFonts w:ascii="Arial" w:cs="Arial" w:eastAsia="Arial" w:hAnsi="Arial"/>
          <w:sz w:val="19"/>
          <w:szCs w:val="19"/>
          <w:color w:val="auto"/>
        </w:rPr>
        <w:t>. The Board may amend the terms of this Restricted Stock Unit Agreement prospectively or retroactively at any time, but no such amendment shall impair the rights of the Recipient hereunder without Recipient’s consent. Headings to Sections of this Restricted Stock Unit Agreement are intended for convenience of reference only, are not part of this Restricted Stock Unit Agreement and shall have no effect on the interpretation hereof.</w:t>
      </w:r>
    </w:p>
    <w:p>
      <w:pPr>
        <w:spacing w:after="0" w:line="147" w:lineRule="exact"/>
        <w:rPr>
          <w:rFonts w:ascii="Arial" w:cs="Arial" w:eastAsia="Arial" w:hAnsi="Arial"/>
          <w:sz w:val="19"/>
          <w:szCs w:val="19"/>
          <w:color w:val="auto"/>
        </w:rPr>
      </w:pPr>
    </w:p>
    <w:p>
      <w:pPr>
        <w:jc w:val="both"/>
        <w:ind w:left="180" w:right="199" w:firstLine="393"/>
        <w:spacing w:after="0"/>
        <w:tabs>
          <w:tab w:leader="none" w:pos="1087"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Survival of Terms</w:t>
      </w:r>
      <w:r>
        <w:rPr>
          <w:rFonts w:ascii="Arial" w:cs="Arial" w:eastAsia="Arial" w:hAnsi="Arial"/>
          <w:sz w:val="22"/>
          <w:szCs w:val="22"/>
          <w:color w:val="auto"/>
        </w:rPr>
        <w:t>. This Restricted Stock Unit Agreement shall apply to and bind the Recipient and the Company and their respective permitted assignees and transferees, heirs, legatees, executors, administrators and legal successors.</w:t>
      </w:r>
    </w:p>
    <w:p>
      <w:pPr>
        <w:spacing w:after="0" w:line="186" w:lineRule="exact"/>
        <w:rPr>
          <w:rFonts w:ascii="Arial" w:cs="Arial" w:eastAsia="Arial" w:hAnsi="Arial"/>
          <w:sz w:val="22"/>
          <w:szCs w:val="22"/>
          <w:color w:val="auto"/>
        </w:rPr>
      </w:pPr>
    </w:p>
    <w:p>
      <w:pPr>
        <w:jc w:val="both"/>
        <w:ind w:left="180" w:right="199" w:firstLine="393"/>
        <w:spacing w:after="0" w:line="275" w:lineRule="auto"/>
        <w:tabs>
          <w:tab w:leader="none" w:pos="109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The Recipient shall have no rights of a stockholder (including the right to vote and the right to receive distributions or dividends) until the Recipient has received the shares of Common Stock equal to the number of Restricted Stock Units which vested. On the date that the Recipient receives Common Stock with respect to Restricted Stock Units, the Recipient shall receive distributions or dividends that would have been paid to or made with respect to the number of shares of Common Stock that relate to this Restricted Stock Unit Award from the date of vesting until such date of delivery of the Common Stock. The Recipient shall be able to exercise voting rights upon receipt of the shares of Common Stock.</w:t>
      </w:r>
    </w:p>
    <w:p>
      <w:pPr>
        <w:spacing w:after="0" w:line="157" w:lineRule="exact"/>
        <w:rPr>
          <w:rFonts w:ascii="Arial" w:cs="Arial" w:eastAsia="Arial" w:hAnsi="Arial"/>
          <w:sz w:val="19"/>
          <w:szCs w:val="19"/>
          <w:color w:val="auto"/>
        </w:rPr>
      </w:pPr>
    </w:p>
    <w:p>
      <w:pPr>
        <w:jc w:val="both"/>
        <w:ind w:left="180" w:right="199" w:firstLine="393"/>
        <w:spacing w:after="0" w:line="236" w:lineRule="auto"/>
        <w:tabs>
          <w:tab w:leader="none" w:pos="109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Agreement Not a Contract for Continued Service</w:t>
      </w:r>
      <w:r>
        <w:rPr>
          <w:rFonts w:ascii="Arial" w:cs="Arial" w:eastAsia="Arial" w:hAnsi="Arial"/>
          <w:sz w:val="22"/>
          <w:szCs w:val="22"/>
          <w:color w:val="auto"/>
        </w:rPr>
        <w:t>. Neither the Plan, the granting of the Restricted Stock Units, this Restricted Stock Unit Agreement nor any other action taken pursuant to the Plan shall constitute or be evidence of any agreement or understanding, express or implied, that the Recipient has a right to continue to serve as a director of the Company for any period of time or at any specific rate of compensation.</w:t>
      </w:r>
    </w:p>
    <w:p>
      <w:pPr>
        <w:spacing w:after="0" w:line="187" w:lineRule="exact"/>
        <w:rPr>
          <w:rFonts w:ascii="Arial" w:cs="Arial" w:eastAsia="Arial" w:hAnsi="Arial"/>
          <w:sz w:val="22"/>
          <w:szCs w:val="22"/>
          <w:color w:val="auto"/>
        </w:rPr>
      </w:pPr>
    </w:p>
    <w:p>
      <w:pPr>
        <w:jc w:val="both"/>
        <w:ind w:left="180" w:right="199" w:firstLine="393"/>
        <w:spacing w:after="0" w:line="249" w:lineRule="auto"/>
        <w:tabs>
          <w:tab w:leader="none" w:pos="1095"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Authority of the Board; Disputes</w:t>
      </w:r>
      <w:r>
        <w:rPr>
          <w:rFonts w:ascii="Arial" w:cs="Arial" w:eastAsia="Arial" w:hAnsi="Arial"/>
          <w:sz w:val="21"/>
          <w:szCs w:val="21"/>
          <w:color w:val="auto"/>
        </w:rPr>
        <w:t>. The Board, directly or through its delegation of authority to the Committee, shall have full authority to interpret and construe the terms of the Plan and this Restricted Stock Unit Agreement. Notwithstanding the above, nothing within this provision shall restrict the Company or the Recipient from seeking to enforce the terms of this Restricted Stock Unit Agreement under and as provided in Section 8,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114300</wp:posOffset>
            </wp:positionV>
            <wp:extent cx="5528945"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41" w:name="page142"/>
    <w:bookmarkEnd w:id="141"/>
    <w:p>
      <w:pPr>
        <w:jc w:val="both"/>
        <w:ind w:left="180" w:right="199" w:firstLine="393"/>
        <w:spacing w:after="0" w:line="235" w:lineRule="auto"/>
        <w:tabs>
          <w:tab w:leader="none" w:pos="109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Restricted Stock Unit Agreement be held by a court of competent jurisdiction to be unenforceable, or enforceable only if modified, such holding shall not affect the validity of the remainder of this Restricted Stock Unit Agreement, the balance of which shall continue to be binding upon the parties hereto with any such modification (if any) to become a part hereof and treated as though contained in this original Recipient Restricted Stock Unit Agreement.</w:t>
      </w:r>
    </w:p>
    <w:p>
      <w:pPr>
        <w:spacing w:after="0" w:line="187" w:lineRule="exact"/>
        <w:rPr>
          <w:rFonts w:ascii="Arial" w:cs="Arial" w:eastAsia="Arial" w:hAnsi="Arial"/>
          <w:sz w:val="22"/>
          <w:szCs w:val="22"/>
          <w:color w:val="auto"/>
        </w:rPr>
      </w:pPr>
    </w:p>
    <w:p>
      <w:pPr>
        <w:jc w:val="both"/>
        <w:ind w:left="180" w:right="199" w:firstLine="393"/>
        <w:spacing w:after="0" w:line="252" w:lineRule="auto"/>
        <w:tabs>
          <w:tab w:leader="none" w:pos="109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The Board, directly or through its delegation of authority to the Committee, has the right to amend, alter, suspend, discontinue or cancel the Restricted Stock Unit, prospectively or retroactively; provided, that, no such amendment shall adversely affect the Recipient’s material rights under this Agreement without the Recipient’s consent.</w:t>
      </w:r>
    </w:p>
    <w:p>
      <w:pPr>
        <w:spacing w:after="0" w:line="173" w:lineRule="exact"/>
        <w:rPr>
          <w:rFonts w:ascii="Arial" w:cs="Arial" w:eastAsia="Arial" w:hAnsi="Arial"/>
          <w:sz w:val="21"/>
          <w:szCs w:val="21"/>
          <w:color w:val="auto"/>
        </w:rPr>
      </w:pPr>
    </w:p>
    <w:p>
      <w:pPr>
        <w:jc w:val="both"/>
        <w:ind w:left="180" w:right="199" w:firstLine="393"/>
        <w:spacing w:after="0" w:line="279" w:lineRule="auto"/>
        <w:tabs>
          <w:tab w:leader="none" w:pos="109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0" w:lineRule="exact"/>
        <w:rPr>
          <w:rFonts w:ascii="Arial" w:cs="Arial" w:eastAsia="Arial" w:hAnsi="Arial"/>
          <w:sz w:val="19"/>
          <w:szCs w:val="19"/>
          <w:color w:val="auto"/>
        </w:rPr>
      </w:pPr>
    </w:p>
    <w:p>
      <w:pPr>
        <w:jc w:val="both"/>
        <w:ind w:left="180" w:right="199" w:firstLine="393"/>
        <w:spacing w:after="0" w:line="279" w:lineRule="auto"/>
        <w:tabs>
          <w:tab w:leader="none" w:pos="109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The Recipient hereby acknowledges receipt of a copy of the Plan and this Agreement. The Recipient has read and understands the terms and provisions thereof, and accepts the Restricted Stock Units subject to all of the terms and conditions of the Plan and this Agreement. The Recipient acknowledges that there may be adverse tax consequences upon vesting and/or settlement of the Restricted Stock Unit or disposition of the underlying shares and that the Recipient should consult a tax advisor prior to such vesting, settlement or disposition.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285750</wp:posOffset>
            </wp:positionV>
            <wp:extent cx="5528945"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42" w:name="page143"/>
    <w:bookmarkEnd w:id="142"/>
    <w:p>
      <w:pPr>
        <w:ind w:left="180" w:right="199" w:firstLine="648"/>
        <w:spacing w:after="0" w:line="250" w:lineRule="auto"/>
        <w:rPr>
          <w:sz w:val="20"/>
          <w:szCs w:val="20"/>
          <w:color w:val="auto"/>
        </w:rPr>
      </w:pPr>
      <w:r>
        <w:rPr>
          <w:rFonts w:ascii="Arial" w:cs="Arial" w:eastAsia="Arial" w:hAnsi="Arial"/>
          <w:sz w:val="22"/>
          <w:szCs w:val="22"/>
          <w:color w:val="auto"/>
        </w:rPr>
        <w:t>IN WITNESS WHEREOF, the parties hereto have executed this Agreement as of the date first above written.</w:t>
      </w:r>
    </w:p>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READING INTERNATIONAL, INC.</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By________________________</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_____________________</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RECIPIENT</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By________________________</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1485900</wp:posOffset>
            </wp:positionV>
            <wp:extent cx="5528945"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712" w:right="1440" w:bottom="1440" w:gutter="0" w:footer="0" w:header="0"/>
        </w:sectPr>
      </w:pPr>
    </w:p>
    <w:bookmarkStart w:id="143" w:name="page144"/>
    <w:bookmarkEnd w:id="143"/>
    <w:p>
      <w:pPr>
        <w:ind w:left="2200"/>
        <w:spacing w:after="0"/>
        <w:rPr>
          <w:sz w:val="20"/>
          <w:szCs w:val="20"/>
          <w:color w:val="auto"/>
        </w:rPr>
      </w:pPr>
      <w:r>
        <w:rPr>
          <w:rFonts w:ascii="Arial" w:cs="Arial" w:eastAsia="Arial" w:hAnsi="Arial"/>
          <w:sz w:val="22"/>
          <w:szCs w:val="22"/>
          <w:b w:val="1"/>
          <w:bCs w:val="1"/>
          <w:color w:val="auto"/>
        </w:rPr>
        <w:t>RESTRICTED STOCK UNIT GRANT NOTICE</w:t>
      </w:r>
    </w:p>
    <w:p>
      <w:pPr>
        <w:spacing w:after="0" w:line="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UNDER THE</w:t>
      </w:r>
    </w:p>
    <w:p>
      <w:pPr>
        <w:ind w:left="2740"/>
        <w:spacing w:after="0" w:line="230" w:lineRule="auto"/>
        <w:rPr>
          <w:sz w:val="20"/>
          <w:szCs w:val="20"/>
          <w:color w:val="auto"/>
        </w:rPr>
      </w:pPr>
      <w:r>
        <w:rPr>
          <w:rFonts w:ascii="Arial" w:cs="Arial" w:eastAsia="Arial" w:hAnsi="Arial"/>
          <w:sz w:val="22"/>
          <w:szCs w:val="22"/>
          <w:b w:val="1"/>
          <w:bCs w:val="1"/>
          <w:color w:val="auto"/>
        </w:rPr>
        <w:t>READING INTERNATIONAL, INC.</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2020 STOCK INCENTIVE PLAN</w:t>
      </w:r>
    </w:p>
    <w:p>
      <w:pPr>
        <w:spacing w:after="0" w:line="209" w:lineRule="exact"/>
        <w:rPr>
          <w:sz w:val="20"/>
          <w:szCs w:val="20"/>
          <w:color w:val="auto"/>
        </w:rPr>
      </w:pPr>
    </w:p>
    <w:p>
      <w:pPr>
        <w:jc w:val="both"/>
        <w:ind w:left="180" w:right="199" w:firstLine="648"/>
        <w:spacing w:after="0" w:line="249" w:lineRule="auto"/>
        <w:rPr>
          <w:sz w:val="20"/>
          <w:szCs w:val="20"/>
          <w:color w:val="auto"/>
        </w:rPr>
      </w:pPr>
      <w:r>
        <w:rPr>
          <w:rFonts w:ascii="Arial" w:cs="Arial" w:eastAsia="Arial" w:hAnsi="Arial"/>
          <w:sz w:val="21"/>
          <w:szCs w:val="21"/>
          <w:color w:val="auto"/>
        </w:rPr>
        <w:t>Reading International, Inc. (the “</w:t>
      </w:r>
      <w:r>
        <w:rPr>
          <w:rFonts w:ascii="Arial" w:cs="Arial" w:eastAsia="Arial" w:hAnsi="Arial"/>
          <w:sz w:val="21"/>
          <w:szCs w:val="21"/>
          <w:b w:val="1"/>
          <w:bCs w:val="1"/>
          <w:color w:val="auto"/>
        </w:rPr>
        <w:t>Company</w:t>
      </w:r>
      <w:r>
        <w:rPr>
          <w:rFonts w:ascii="Arial" w:cs="Arial" w:eastAsia="Arial" w:hAnsi="Arial"/>
          <w:sz w:val="21"/>
          <w:szCs w:val="21"/>
          <w:color w:val="auto"/>
        </w:rPr>
        <w:t>”), pursuant to its 2020 Stock Incentive Plan, as amended (the “</w:t>
      </w:r>
      <w:r>
        <w:rPr>
          <w:rFonts w:ascii="Arial" w:cs="Arial" w:eastAsia="Arial" w:hAnsi="Arial"/>
          <w:sz w:val="21"/>
          <w:szCs w:val="21"/>
          <w:b w:val="1"/>
          <w:bCs w:val="1"/>
          <w:color w:val="auto"/>
        </w:rPr>
        <w:t>Plan</w:t>
      </w:r>
      <w:r>
        <w:rPr>
          <w:rFonts w:ascii="Arial" w:cs="Arial" w:eastAsia="Arial" w:hAnsi="Arial"/>
          <w:sz w:val="21"/>
          <w:szCs w:val="21"/>
          <w:color w:val="auto"/>
        </w:rPr>
        <w:t>”), hereby grants to the Recipient set forth below the number of Restricted Stock Units set forth below. The Restricted Stock Units are subject to all of the terms and conditions as set forth herein, in the Restricted Stock Unit Agreement (attached hereto), and in the Plan, all of which are incorporated herein in their entirety. Capitalized terms not otherwise defined herein shall have the meaning set forth in the Plan.</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Recipient:</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Number of Restricted Stock Units: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Grant Date:</w:t>
      </w:r>
    </w:p>
    <w:p>
      <w:pPr>
        <w:sectPr>
          <w:pgSz w:w="11900" w:h="16838" w:orient="portrait"/>
          <w:cols w:equalWidth="0" w:num="1">
            <w:col w:w="9019"/>
          </w:cols>
          <w:pgMar w:left="1440" w:top="355" w:right="1440" w:bottom="1440" w:gutter="0" w:footer="0" w:header="0"/>
        </w:sect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199"/>
        <w:spacing w:after="0" w:line="233" w:lineRule="auto"/>
        <w:rPr>
          <w:sz w:val="20"/>
          <w:szCs w:val="20"/>
          <w:color w:val="auto"/>
        </w:rPr>
      </w:pPr>
      <w:r>
        <w:rPr>
          <w:rFonts w:ascii="Arial" w:cs="Arial" w:eastAsia="Arial" w:hAnsi="Arial"/>
          <w:sz w:val="22"/>
          <w:szCs w:val="22"/>
          <w:color w:val="auto"/>
        </w:rPr>
        <w:t>100% of the Restricted Stock Units granted hereunder shall vest on the first to occur of (i) 5:00 pm, Los Angeles, CA time on the last business day prior to the one-year anniversary of the Grant Date or (ii) the date on which Recipient has served such Recipient’s full term as a Director (the “</w:t>
      </w:r>
      <w:r>
        <w:rPr>
          <w:rFonts w:ascii="Arial" w:cs="Arial" w:eastAsia="Arial" w:hAnsi="Arial"/>
          <w:sz w:val="22"/>
          <w:szCs w:val="22"/>
          <w:b w:val="1"/>
          <w:bCs w:val="1"/>
          <w:color w:val="auto"/>
        </w:rPr>
        <w:t>Vesting Date</w:t>
      </w:r>
      <w:r>
        <w:rPr>
          <w:rFonts w:ascii="Arial" w:cs="Arial" w:eastAsia="Arial" w:hAnsi="Arial"/>
          <w:sz w:val="22"/>
          <w:szCs w:val="22"/>
          <w:color w:val="auto"/>
        </w:rPr>
        <w:t>”); provided that the Recipient has not undergone a termination of his or her services as a Director at the time of the Vesting Date (or an earlier accelerating event).</w:t>
      </w:r>
    </w:p>
    <w:p>
      <w:pPr>
        <w:spacing w:after="0" w:line="187" w:lineRule="exact"/>
        <w:rPr>
          <w:sz w:val="20"/>
          <w:szCs w:val="20"/>
          <w:color w:val="auto"/>
        </w:rPr>
      </w:pPr>
    </w:p>
    <w:p>
      <w:pPr>
        <w:sectPr>
          <w:pgSz w:w="11900" w:h="16838" w:orient="portrait"/>
          <w:cols w:equalWidth="0" w:num="2">
            <w:col w:w="2800" w:space="720"/>
            <w:col w:w="5499"/>
          </w:cols>
          <w:pgMar w:left="1440" w:top="355" w:right="1440" w:bottom="1440" w:gutter="0" w:footer="0" w:header="0"/>
          <w:type w:val="continuous"/>
        </w:sectPr>
      </w:pPr>
    </w:p>
    <w:p>
      <w:pPr>
        <w:jc w:val="both"/>
        <w:ind w:left="180" w:right="199"/>
        <w:spacing w:after="0" w:line="236" w:lineRule="auto"/>
        <w:rPr>
          <w:sz w:val="20"/>
          <w:szCs w:val="20"/>
          <w:color w:val="auto"/>
        </w:rPr>
      </w:pPr>
      <w:r>
        <w:rPr>
          <w:rFonts w:ascii="Arial" w:cs="Arial" w:eastAsia="Arial" w:hAnsi="Arial"/>
          <w:sz w:val="22"/>
          <w:szCs w:val="22"/>
          <w:b w:val="1"/>
          <w:bCs w:val="1"/>
          <w:color w:val="auto"/>
        </w:rPr>
        <w:t>THE UNDERSIGNED RECIPIENT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Restricted Stock Unit Grant Notice is dated as of [__________], 20[__].</w:t>
      </w:r>
    </w:p>
    <w:p>
      <w:pPr>
        <w:spacing w:after="0" w:line="200" w:lineRule="exact"/>
        <w:rPr>
          <w:sz w:val="20"/>
          <w:szCs w:val="20"/>
          <w:color w:val="auto"/>
        </w:rPr>
      </w:pPr>
    </w:p>
    <w:tbl>
      <w:tblPr>
        <w:tblLayout w:type="fixed"/>
        <w:tblInd w:w="180" w:type="dxa"/>
        <w:tblCellMar>
          <w:top w:w="0" w:type="dxa"/>
          <w:left w:w="0" w:type="dxa"/>
          <w:bottom w:w="0" w:type="dxa"/>
          <w:right w:w="0" w:type="dxa"/>
        </w:tblCellMar>
      </w:tblPr>
      <w:tr>
        <w:trPr>
          <w:trHeight w:val="280"/>
        </w:trPr>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Reading International, Inc.</w:t>
            </w:r>
          </w:p>
        </w:tc>
        <w:tc>
          <w:tcPr>
            <w:tcW w:w="4240" w:type="dxa"/>
            <w:vAlign w:val="bottom"/>
          </w:tcPr>
          <w:p>
            <w:pPr>
              <w:ind w:left="560"/>
              <w:spacing w:after="0"/>
              <w:rPr>
                <w:sz w:val="20"/>
                <w:szCs w:val="20"/>
                <w:color w:val="auto"/>
              </w:rPr>
            </w:pPr>
            <w:r>
              <w:rPr>
                <w:rFonts w:ascii="Arial" w:cs="Arial" w:eastAsia="Arial" w:hAnsi="Arial"/>
                <w:sz w:val="22"/>
                <w:szCs w:val="22"/>
                <w:b w:val="1"/>
                <w:bCs w:val="1"/>
                <w:color w:val="auto"/>
              </w:rPr>
              <w:t>“Recipient”</w:t>
            </w:r>
          </w:p>
        </w:tc>
      </w:tr>
      <w:tr>
        <w:trPr>
          <w:trHeight w:val="698"/>
        </w:trPr>
        <w:tc>
          <w:tcPr>
            <w:tcW w:w="4440" w:type="dxa"/>
            <w:vAlign w:val="bottom"/>
            <w:gridSpan w:val="2"/>
          </w:tcPr>
          <w:p>
            <w:pPr>
              <w:spacing w:after="0"/>
              <w:rPr>
                <w:sz w:val="20"/>
                <w:szCs w:val="20"/>
                <w:color w:val="auto"/>
              </w:rPr>
            </w:pPr>
            <w:r>
              <w:rPr>
                <w:rFonts w:ascii="Arial" w:cs="Arial" w:eastAsia="Arial" w:hAnsi="Arial"/>
                <w:sz w:val="22"/>
                <w:szCs w:val="22"/>
                <w:color w:val="auto"/>
              </w:rPr>
              <w:t>By: ________________________________</w:t>
            </w:r>
          </w:p>
        </w:tc>
        <w:tc>
          <w:tcPr>
            <w:tcW w:w="4240" w:type="dxa"/>
            <w:vAlign w:val="bottom"/>
          </w:tcPr>
          <w:p>
            <w:pPr>
              <w:ind w:left="140"/>
              <w:spacing w:after="0"/>
              <w:rPr>
                <w:sz w:val="20"/>
                <w:szCs w:val="20"/>
                <w:color w:val="auto"/>
              </w:rPr>
            </w:pPr>
            <w:r>
              <w:rPr>
                <w:rFonts w:ascii="Arial" w:cs="Arial" w:eastAsia="Arial" w:hAnsi="Arial"/>
                <w:sz w:val="22"/>
                <w:szCs w:val="22"/>
                <w:color w:val="auto"/>
              </w:rPr>
              <w:t>By:</w:t>
            </w:r>
          </w:p>
        </w:tc>
      </w:tr>
      <w:tr>
        <w:trPr>
          <w:trHeight w:val="243"/>
        </w:trPr>
        <w:tc>
          <w:tcPr>
            <w:tcW w:w="560" w:type="dxa"/>
            <w:vAlign w:val="bottom"/>
          </w:tcPr>
          <w:p>
            <w:pPr>
              <w:spacing w:after="0"/>
              <w:rPr>
                <w:sz w:val="21"/>
                <w:szCs w:val="21"/>
                <w:color w:val="auto"/>
              </w:rPr>
            </w:pPr>
          </w:p>
        </w:tc>
        <w:tc>
          <w:tcPr>
            <w:tcW w:w="3880" w:type="dxa"/>
            <w:vAlign w:val="bottom"/>
          </w:tcPr>
          <w:p>
            <w:pPr>
              <w:jc w:val="right"/>
              <w:ind w:right="972"/>
              <w:spacing w:after="0" w:line="243" w:lineRule="exact"/>
              <w:rPr>
                <w:sz w:val="20"/>
                <w:szCs w:val="20"/>
                <w:color w:val="auto"/>
              </w:rPr>
            </w:pPr>
            <w:r>
              <w:rPr>
                <w:rFonts w:ascii="Arial" w:cs="Arial" w:eastAsia="Arial" w:hAnsi="Arial"/>
                <w:sz w:val="22"/>
                <w:szCs w:val="22"/>
                <w:color w:val="auto"/>
                <w:w w:val="90"/>
              </w:rPr>
              <w:t>_________________________</w:t>
            </w:r>
          </w:p>
        </w:tc>
        <w:tc>
          <w:tcPr>
            <w:tcW w:w="4240" w:type="dxa"/>
            <w:vAlign w:val="bottom"/>
          </w:tcPr>
          <w:p>
            <w:pPr>
              <w:spacing w:after="0"/>
              <w:rPr>
                <w:sz w:val="21"/>
                <w:szCs w:val="21"/>
                <w:color w:val="auto"/>
              </w:rPr>
            </w:pPr>
          </w:p>
        </w:tc>
      </w:tr>
      <w:tr>
        <w:trPr>
          <w:trHeight w:val="274"/>
        </w:trPr>
        <w:tc>
          <w:tcPr>
            <w:tcW w:w="4440" w:type="dxa"/>
            <w:vAlign w:val="bottom"/>
            <w:gridSpan w:val="2"/>
          </w:tcPr>
          <w:p>
            <w:pPr>
              <w:spacing w:after="0"/>
              <w:rPr>
                <w:sz w:val="20"/>
                <w:szCs w:val="20"/>
                <w:color w:val="auto"/>
              </w:rPr>
            </w:pPr>
            <w:r>
              <w:rPr>
                <w:rFonts w:ascii="Arial" w:cs="Arial" w:eastAsia="Arial" w:hAnsi="Arial"/>
                <w:sz w:val="22"/>
                <w:szCs w:val="22"/>
                <w:color w:val="auto"/>
              </w:rPr>
              <w:t>Name: _____________________________</w:t>
            </w:r>
          </w:p>
        </w:tc>
        <w:tc>
          <w:tcPr>
            <w:tcW w:w="4240" w:type="dxa"/>
            <w:vAlign w:val="bottom"/>
          </w:tcPr>
          <w:p>
            <w:pPr>
              <w:ind w:left="680"/>
              <w:spacing w:after="0"/>
              <w:rPr>
                <w:sz w:val="20"/>
                <w:szCs w:val="20"/>
                <w:color w:val="auto"/>
              </w:rPr>
            </w:pPr>
            <w:r>
              <w:rPr>
                <w:rFonts w:ascii="Arial" w:cs="Arial" w:eastAsia="Arial" w:hAnsi="Arial"/>
                <w:sz w:val="22"/>
                <w:szCs w:val="22"/>
                <w:color w:val="auto"/>
                <w:w w:val="93"/>
              </w:rPr>
              <w:t>Name: _________________________</w:t>
            </w:r>
          </w:p>
        </w:tc>
      </w:tr>
      <w:tr>
        <w:trPr>
          <w:trHeight w:val="486"/>
        </w:trPr>
        <w:tc>
          <w:tcPr>
            <w:tcW w:w="560" w:type="dxa"/>
            <w:vAlign w:val="bottom"/>
          </w:tcPr>
          <w:p>
            <w:pPr>
              <w:spacing w:after="0"/>
              <w:rPr>
                <w:sz w:val="20"/>
                <w:szCs w:val="20"/>
                <w:color w:val="auto"/>
              </w:rPr>
            </w:pPr>
            <w:r>
              <w:rPr>
                <w:rFonts w:ascii="Arial" w:cs="Arial" w:eastAsia="Arial" w:hAnsi="Arial"/>
                <w:sz w:val="22"/>
                <w:szCs w:val="22"/>
                <w:color w:val="auto"/>
              </w:rPr>
              <w:t>Title:</w:t>
            </w:r>
          </w:p>
        </w:tc>
        <w:tc>
          <w:tcPr>
            <w:tcW w:w="3880" w:type="dxa"/>
            <w:vAlign w:val="bottom"/>
          </w:tcPr>
          <w:p>
            <w:pPr>
              <w:jc w:val="right"/>
              <w:ind w:right="32"/>
              <w:spacing w:after="0"/>
              <w:rPr>
                <w:sz w:val="20"/>
                <w:szCs w:val="20"/>
                <w:color w:val="auto"/>
              </w:rPr>
            </w:pPr>
            <w:r>
              <w:rPr>
                <w:rFonts w:ascii="Arial" w:cs="Arial" w:eastAsia="Arial" w:hAnsi="Arial"/>
                <w:sz w:val="22"/>
                <w:szCs w:val="22"/>
                <w:color w:val="auto"/>
              </w:rPr>
              <w:t>_____________________________</w:t>
            </w:r>
          </w:p>
        </w:tc>
        <w:tc>
          <w:tcPr>
            <w:tcW w:w="4240" w:type="dxa"/>
            <w:vAlign w:val="bottom"/>
          </w:tcPr>
          <w:p>
            <w:pPr>
              <w:spacing w:after="0"/>
              <w:rPr>
                <w:sz w:val="24"/>
                <w:szCs w:val="24"/>
                <w:color w:val="auto"/>
              </w:rPr>
            </w:pPr>
          </w:p>
        </w:tc>
      </w:tr>
      <w:tr>
        <w:trPr>
          <w:trHeight w:val="206"/>
        </w:trPr>
        <w:tc>
          <w:tcPr>
            <w:tcW w:w="560" w:type="dxa"/>
            <w:vAlign w:val="bottom"/>
            <w:tcBorders>
              <w:bottom w:val="single" w:sz="8" w:color="9A9A9A"/>
            </w:tcBorders>
          </w:tcPr>
          <w:p>
            <w:pPr>
              <w:spacing w:after="0"/>
              <w:rPr>
                <w:sz w:val="17"/>
                <w:szCs w:val="17"/>
                <w:color w:val="auto"/>
              </w:rPr>
            </w:pPr>
          </w:p>
        </w:tc>
        <w:tc>
          <w:tcPr>
            <w:tcW w:w="388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r>
      <w:tr>
        <w:trPr>
          <w:trHeight w:val="20"/>
        </w:trPr>
        <w:tc>
          <w:tcPr>
            <w:tcW w:w="560" w:type="dxa"/>
            <w:vAlign w:val="bottom"/>
            <w:tcBorders>
              <w:bottom w:val="single" w:sz="8" w:color="EEEEEE"/>
            </w:tcBorders>
          </w:tcPr>
          <w:p>
            <w:pPr>
              <w:spacing w:after="0" w:line="20" w:lineRule="exact"/>
              <w:rPr>
                <w:sz w:val="1"/>
                <w:szCs w:val="1"/>
                <w:color w:val="auto"/>
              </w:rPr>
            </w:pPr>
          </w:p>
        </w:tc>
        <w:tc>
          <w:tcPr>
            <w:tcW w:w="3880" w:type="dxa"/>
            <w:vAlign w:val="bottom"/>
            <w:tcBorders>
              <w:bottom w:val="single" w:sz="8" w:color="EEEEEE"/>
            </w:tcBorders>
          </w:tcPr>
          <w:p>
            <w:pPr>
              <w:spacing w:after="0" w:line="20" w:lineRule="exact"/>
              <w:rPr>
                <w:sz w:val="1"/>
                <w:szCs w:val="1"/>
                <w:color w:val="auto"/>
              </w:rPr>
            </w:pPr>
          </w:p>
        </w:tc>
        <w:tc>
          <w:tcPr>
            <w:tcW w:w="4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44" w:name="page145"/>
    <w:bookmarkEnd w:id="144"/>
    <w:p>
      <w:pPr>
        <w:jc w:val="center"/>
        <w:ind w:left="180" w:right="199"/>
        <w:spacing w:after="0" w:line="223" w:lineRule="auto"/>
        <w:rPr>
          <w:sz w:val="20"/>
          <w:szCs w:val="20"/>
          <w:color w:val="auto"/>
        </w:rPr>
      </w:pPr>
      <w:r>
        <w:rPr>
          <w:rFonts w:ascii="Arial" w:cs="Arial" w:eastAsia="Arial" w:hAnsi="Arial"/>
          <w:sz w:val="22"/>
          <w:szCs w:val="22"/>
          <w:color w:val="auto"/>
        </w:rPr>
        <w:t>RESTRICTED STOCK UNIT GRANT NOTICE UNDER THE READING INTERNATIONAL, INC. 2020 STOCK INCENTIVE PLAN</w:t>
      </w:r>
    </w:p>
    <w:p>
      <w:pPr>
        <w:spacing w:after="0" w:line="154" w:lineRule="exact"/>
        <w:rPr>
          <w:sz w:val="20"/>
          <w:szCs w:val="20"/>
          <w:color w:val="auto"/>
        </w:rPr>
      </w:pPr>
    </w:p>
    <w:p>
      <w:pPr>
        <w:jc w:val="both"/>
        <w:ind w:left="180" w:right="199" w:firstLine="1296"/>
        <w:spacing w:after="0" w:line="225" w:lineRule="auto"/>
        <w:rPr>
          <w:sz w:val="20"/>
          <w:szCs w:val="20"/>
          <w:color w:val="auto"/>
        </w:rPr>
      </w:pPr>
      <w:r>
        <w:rPr>
          <w:rFonts w:ascii="Arial" w:cs="Arial" w:eastAsia="Arial" w:hAnsi="Arial"/>
          <w:sz w:val="21"/>
          <w:szCs w:val="21"/>
          <w:color w:val="auto"/>
        </w:rPr>
        <w:t>Reading International, Inc. (the “</w:t>
      </w:r>
      <w:r>
        <w:rPr>
          <w:rFonts w:ascii="Arial" w:cs="Arial" w:eastAsia="Arial" w:hAnsi="Arial"/>
          <w:sz w:val="21"/>
          <w:szCs w:val="21"/>
          <w:b w:val="1"/>
          <w:bCs w:val="1"/>
          <w:color w:val="auto"/>
        </w:rPr>
        <w:t>Company</w:t>
      </w:r>
      <w:r>
        <w:rPr>
          <w:rFonts w:ascii="Arial" w:cs="Arial" w:eastAsia="Arial" w:hAnsi="Arial"/>
          <w:sz w:val="21"/>
          <w:szCs w:val="21"/>
          <w:color w:val="auto"/>
        </w:rPr>
        <w:t>”), pursuant to its 2020 Stock Incentive Plan, as amended (the “</w:t>
      </w:r>
      <w:r>
        <w:rPr>
          <w:rFonts w:ascii="Arial" w:cs="Arial" w:eastAsia="Arial" w:hAnsi="Arial"/>
          <w:sz w:val="21"/>
          <w:szCs w:val="21"/>
          <w:b w:val="1"/>
          <w:bCs w:val="1"/>
          <w:color w:val="auto"/>
        </w:rPr>
        <w:t>Plan</w:t>
      </w:r>
      <w:r>
        <w:rPr>
          <w:rFonts w:ascii="Arial" w:cs="Arial" w:eastAsia="Arial" w:hAnsi="Arial"/>
          <w:sz w:val="21"/>
          <w:szCs w:val="21"/>
          <w:color w:val="auto"/>
        </w:rPr>
        <w:t>”), hereby grants to the Recipient set forth below the number of Restricted Stock Units set forth below. The Restricted Stock Units are subject to all of the terms and conditions as set forth herein, in the Restricted Stock Unit Agreement (attached hereto), and in the Plan, all of which are incorporated herein in their entirety. Capitalized terms not otherwise defined herein shall have the meaning set forth in the Plan.</w:t>
      </w:r>
    </w:p>
    <w:p>
      <w:pPr>
        <w:spacing w:after="0" w:line="37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3060" w:type="dxa"/>
            <w:vAlign w:val="bottom"/>
            <w:gridSpan w:val="2"/>
          </w:tcPr>
          <w:p>
            <w:pPr>
              <w:spacing w:after="0"/>
              <w:rPr>
                <w:sz w:val="20"/>
                <w:szCs w:val="20"/>
                <w:color w:val="auto"/>
              </w:rPr>
            </w:pPr>
            <w:r>
              <w:rPr>
                <w:rFonts w:ascii="Arial" w:cs="Arial" w:eastAsia="Arial" w:hAnsi="Arial"/>
                <w:sz w:val="22"/>
                <w:szCs w:val="22"/>
                <w:color w:val="auto"/>
              </w:rPr>
              <w:t>Grant Date:</w:t>
            </w:r>
          </w:p>
        </w:tc>
        <w:tc>
          <w:tcPr>
            <w:tcW w:w="3460" w:type="dxa"/>
            <w:vAlign w:val="bottom"/>
            <w:gridSpan w:val="2"/>
          </w:tcPr>
          <w:p>
            <w:pPr>
              <w:ind w:left="1020"/>
              <w:spacing w:after="0"/>
              <w:rPr>
                <w:sz w:val="20"/>
                <w:szCs w:val="20"/>
                <w:color w:val="auto"/>
              </w:rPr>
            </w:pPr>
            <w:r>
              <w:rPr>
                <w:rFonts w:ascii="Arial" w:cs="Arial" w:eastAsia="Arial" w:hAnsi="Arial"/>
                <w:sz w:val="22"/>
                <w:szCs w:val="22"/>
                <w:color w:val="auto"/>
              </w:rPr>
              <w:t>[__________], 20[ ]</w:t>
            </w:r>
          </w:p>
        </w:tc>
        <w:tc>
          <w:tcPr>
            <w:tcW w:w="7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32"/>
        </w:trPr>
        <w:tc>
          <w:tcPr>
            <w:tcW w:w="3060" w:type="dxa"/>
            <w:vAlign w:val="bottom"/>
            <w:gridSpan w:val="2"/>
          </w:tcPr>
          <w:p>
            <w:pPr>
              <w:spacing w:after="0"/>
              <w:rPr>
                <w:sz w:val="20"/>
                <w:szCs w:val="20"/>
                <w:color w:val="auto"/>
              </w:rPr>
            </w:pPr>
            <w:r>
              <w:rPr>
                <w:rFonts w:ascii="Arial" w:cs="Arial" w:eastAsia="Arial" w:hAnsi="Arial"/>
                <w:sz w:val="22"/>
                <w:szCs w:val="22"/>
                <w:color w:val="auto"/>
              </w:rPr>
              <w:t>Recipient:</w:t>
            </w:r>
          </w:p>
        </w:tc>
        <w:tc>
          <w:tcPr>
            <w:tcW w:w="1160" w:type="dxa"/>
            <w:vAlign w:val="bottom"/>
          </w:tcPr>
          <w:p>
            <w:pPr>
              <w:ind w:left="1020"/>
              <w:spacing w:after="0"/>
              <w:rPr>
                <w:sz w:val="20"/>
                <w:szCs w:val="20"/>
                <w:color w:val="auto"/>
              </w:rPr>
            </w:pPr>
            <w:r>
              <w:rPr>
                <w:rFonts w:ascii="Arial" w:cs="Arial" w:eastAsia="Arial" w:hAnsi="Arial"/>
                <w:sz w:val="22"/>
                <w:szCs w:val="22"/>
                <w:color w:val="auto"/>
              </w:rPr>
              <w:t>[</w:t>
            </w:r>
          </w:p>
        </w:tc>
        <w:tc>
          <w:tcPr>
            <w:tcW w:w="2300" w:type="dxa"/>
            <w:vAlign w:val="bottom"/>
          </w:tcPr>
          <w:p>
            <w:pPr>
              <w:jc w:val="right"/>
              <w:ind w:right="1532"/>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22"/>
                <w:szCs w:val="22"/>
                <w:b w:val="1"/>
                <w:bCs w:val="1"/>
                <w:color w:val="auto"/>
              </w:rPr>
              <w:t>A.</w:t>
            </w:r>
          </w:p>
        </w:tc>
        <w:tc>
          <w:tcPr>
            <w:tcW w:w="5980" w:type="dxa"/>
            <w:vAlign w:val="bottom"/>
            <w:gridSpan w:val="3"/>
          </w:tcPr>
          <w:p>
            <w:pPr>
              <w:ind w:left="320"/>
              <w:spacing w:after="0"/>
              <w:rPr>
                <w:sz w:val="20"/>
                <w:szCs w:val="20"/>
                <w:color w:val="auto"/>
              </w:rPr>
            </w:pPr>
            <w:r>
              <w:rPr>
                <w:rFonts w:ascii="Arial" w:cs="Arial" w:eastAsia="Arial" w:hAnsi="Arial"/>
                <w:sz w:val="22"/>
                <w:szCs w:val="22"/>
                <w:b w:val="1"/>
                <w:bCs w:val="1"/>
                <w:color w:val="auto"/>
                <w:w w:val="95"/>
              </w:rPr>
              <w:t>Number of Time-Based Restricted Stock Units (“RSU”): [</w:t>
            </w:r>
          </w:p>
        </w:tc>
        <w:tc>
          <w:tcPr>
            <w:tcW w:w="760" w:type="dxa"/>
            <w:vAlign w:val="bottom"/>
          </w:tcPr>
          <w:p>
            <w:pPr>
              <w:jc w:val="right"/>
              <w:ind w:right="432"/>
              <w:spacing w:after="0"/>
              <w:rPr>
                <w:sz w:val="20"/>
                <w:szCs w:val="20"/>
                <w:color w:val="auto"/>
              </w:rPr>
            </w:pPr>
            <w:r>
              <w:rPr>
                <w:rFonts w:ascii="Arial" w:cs="Arial" w:eastAsia="Arial" w:hAnsi="Arial"/>
                <w:sz w:val="22"/>
                <w:szCs w:val="22"/>
                <w:b w:val="1"/>
                <w:bCs w:val="1"/>
                <w:color w:val="auto"/>
              </w:rPr>
              <w:t>]</w:t>
            </w:r>
          </w:p>
        </w:tc>
        <w:tc>
          <w:tcPr>
            <w:tcW w:w="1400" w:type="dxa"/>
            <w:vAlign w:val="bottom"/>
          </w:tcPr>
          <w:p>
            <w:pPr>
              <w:spacing w:after="0"/>
              <w:rPr>
                <w:sz w:val="24"/>
                <w:szCs w:val="24"/>
                <w:color w:val="auto"/>
              </w:rPr>
            </w:pPr>
          </w:p>
        </w:tc>
      </w:tr>
      <w:tr>
        <w:trPr>
          <w:trHeight w:val="374"/>
        </w:trPr>
        <w:tc>
          <w:tcPr>
            <w:tcW w:w="3060" w:type="dxa"/>
            <w:vAlign w:val="bottom"/>
            <w:gridSpan w:val="2"/>
          </w:tcPr>
          <w:p>
            <w:pPr>
              <w:spacing w:after="0"/>
              <w:rPr>
                <w:sz w:val="20"/>
                <w:szCs w:val="20"/>
                <w:color w:val="auto"/>
              </w:rPr>
            </w:pPr>
            <w:r>
              <w:rPr>
                <w:rFonts w:ascii="Arial" w:cs="Arial" w:eastAsia="Arial" w:hAnsi="Arial"/>
                <w:sz w:val="22"/>
                <w:szCs w:val="22"/>
                <w:color w:val="auto"/>
              </w:rPr>
              <w:t>RSU Vesting Schedule:</w:t>
            </w:r>
          </w:p>
        </w:tc>
        <w:tc>
          <w:tcPr>
            <w:tcW w:w="5620" w:type="dxa"/>
            <w:vAlign w:val="bottom"/>
            <w:gridSpan w:val="4"/>
          </w:tcPr>
          <w:p>
            <w:pPr>
              <w:ind w:left="1020"/>
              <w:spacing w:after="0"/>
              <w:rPr>
                <w:sz w:val="20"/>
                <w:szCs w:val="20"/>
                <w:color w:val="auto"/>
              </w:rPr>
            </w:pPr>
            <w:r>
              <w:rPr>
                <w:rFonts w:ascii="Arial" w:cs="Arial" w:eastAsia="Arial" w:hAnsi="Arial"/>
                <w:sz w:val="22"/>
                <w:szCs w:val="22"/>
                <w:color w:val="auto"/>
                <w:w w:val="92"/>
              </w:rPr>
              <w:t>100% of the RSUs granted hereunder shall vest on</w:t>
            </w:r>
          </w:p>
        </w:tc>
      </w:tr>
      <w:tr>
        <w:trPr>
          <w:trHeight w:val="216"/>
        </w:trPr>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20" w:type="dxa"/>
            <w:vAlign w:val="bottom"/>
            <w:gridSpan w:val="4"/>
          </w:tcPr>
          <w:p>
            <w:pPr>
              <w:ind w:left="1020"/>
              <w:spacing w:after="0" w:line="216" w:lineRule="exact"/>
              <w:rPr>
                <w:sz w:val="20"/>
                <w:szCs w:val="20"/>
                <w:color w:val="auto"/>
              </w:rPr>
            </w:pPr>
            <w:r>
              <w:rPr>
                <w:rFonts w:ascii="Arial" w:cs="Arial" w:eastAsia="Arial" w:hAnsi="Arial"/>
                <w:sz w:val="22"/>
                <w:szCs w:val="22"/>
                <w:color w:val="auto"/>
                <w:w w:val="90"/>
              </w:rPr>
              <w:t>5:00 pm, Los Angeles, CA time on the last business</w:t>
            </w:r>
          </w:p>
        </w:tc>
      </w:tr>
      <w:tr>
        <w:trPr>
          <w:trHeight w:val="210"/>
        </w:trPr>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20" w:type="dxa"/>
            <w:vAlign w:val="bottom"/>
            <w:gridSpan w:val="4"/>
          </w:tcPr>
          <w:p>
            <w:pPr>
              <w:ind w:left="1020"/>
              <w:spacing w:after="0" w:line="210" w:lineRule="exact"/>
              <w:rPr>
                <w:sz w:val="20"/>
                <w:szCs w:val="20"/>
                <w:color w:val="auto"/>
              </w:rPr>
            </w:pPr>
            <w:r>
              <w:rPr>
                <w:rFonts w:ascii="Arial" w:cs="Arial" w:eastAsia="Arial" w:hAnsi="Arial"/>
                <w:sz w:val="22"/>
                <w:szCs w:val="22"/>
                <w:color w:val="auto"/>
                <w:w w:val="95"/>
              </w:rPr>
              <w:t>day prior to the one-year anniversary of the Grant</w:t>
            </w:r>
          </w:p>
        </w:tc>
      </w:tr>
      <w:tr>
        <w:trPr>
          <w:trHeight w:val="222"/>
        </w:trPr>
        <w:tc>
          <w:tcPr>
            <w:tcW w:w="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620" w:type="dxa"/>
            <w:vAlign w:val="bottom"/>
            <w:gridSpan w:val="4"/>
          </w:tcPr>
          <w:p>
            <w:pPr>
              <w:ind w:left="1020"/>
              <w:spacing w:after="0" w:line="222" w:lineRule="exact"/>
              <w:rPr>
                <w:sz w:val="20"/>
                <w:szCs w:val="20"/>
                <w:color w:val="auto"/>
              </w:rPr>
            </w:pPr>
            <w:r>
              <w:rPr>
                <w:rFonts w:ascii="Arial" w:cs="Arial" w:eastAsia="Arial" w:hAnsi="Arial"/>
                <w:sz w:val="22"/>
                <w:szCs w:val="22"/>
                <w:color w:val="auto"/>
                <w:w w:val="99"/>
              </w:rPr>
              <w:t>Date (“</w:t>
            </w:r>
            <w:r>
              <w:rPr>
                <w:rFonts w:ascii="Arial" w:cs="Arial" w:eastAsia="Arial" w:hAnsi="Arial"/>
                <w:sz w:val="22"/>
                <w:szCs w:val="22"/>
                <w:b w:val="1"/>
                <w:bCs w:val="1"/>
                <w:color w:val="auto"/>
                <w:w w:val="99"/>
              </w:rPr>
              <w:t>RSU Vesting Date</w:t>
            </w:r>
            <w:r>
              <w:rPr>
                <w:rFonts w:ascii="Arial" w:cs="Arial" w:eastAsia="Arial" w:hAnsi="Arial"/>
                <w:sz w:val="22"/>
                <w:szCs w:val="22"/>
                <w:color w:val="auto"/>
                <w:w w:val="99"/>
              </w:rPr>
              <w:t>”);  provided  that  the</w:t>
            </w:r>
          </w:p>
        </w:tc>
      </w:tr>
      <w:tr>
        <w:trPr>
          <w:trHeight w:val="216"/>
        </w:trPr>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20" w:type="dxa"/>
            <w:vAlign w:val="bottom"/>
            <w:gridSpan w:val="4"/>
          </w:tcPr>
          <w:p>
            <w:pPr>
              <w:ind w:left="1020"/>
              <w:spacing w:after="0" w:line="216" w:lineRule="exact"/>
              <w:rPr>
                <w:sz w:val="20"/>
                <w:szCs w:val="20"/>
                <w:color w:val="auto"/>
              </w:rPr>
            </w:pPr>
            <w:r>
              <w:rPr>
                <w:rFonts w:ascii="Arial" w:cs="Arial" w:eastAsia="Arial" w:hAnsi="Arial"/>
                <w:sz w:val="22"/>
                <w:szCs w:val="22"/>
                <w:color w:val="auto"/>
                <w:w w:val="91"/>
              </w:rPr>
              <w:t>Recipient has not undergone a termination of his or</w:t>
            </w:r>
          </w:p>
        </w:tc>
      </w:tr>
      <w:tr>
        <w:trPr>
          <w:trHeight w:val="216"/>
        </w:trPr>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20" w:type="dxa"/>
            <w:vAlign w:val="bottom"/>
            <w:gridSpan w:val="4"/>
          </w:tcPr>
          <w:p>
            <w:pPr>
              <w:ind w:left="1020"/>
              <w:spacing w:after="0" w:line="216" w:lineRule="exact"/>
              <w:rPr>
                <w:sz w:val="20"/>
                <w:szCs w:val="20"/>
                <w:color w:val="auto"/>
              </w:rPr>
            </w:pPr>
            <w:r>
              <w:rPr>
                <w:rFonts w:ascii="Arial" w:cs="Arial" w:eastAsia="Arial" w:hAnsi="Arial"/>
                <w:sz w:val="22"/>
                <w:szCs w:val="22"/>
                <w:color w:val="auto"/>
                <w:w w:val="96"/>
              </w:rPr>
              <w:t>her Service at the time of the Vesting Date (or an</w:t>
            </w:r>
          </w:p>
        </w:tc>
      </w:tr>
      <w:tr>
        <w:trPr>
          <w:trHeight w:val="274"/>
        </w:trPr>
        <w:tc>
          <w:tcPr>
            <w:tcW w:w="5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3460" w:type="dxa"/>
            <w:vAlign w:val="bottom"/>
            <w:gridSpan w:val="2"/>
          </w:tcPr>
          <w:p>
            <w:pPr>
              <w:ind w:left="1020"/>
              <w:spacing w:after="0"/>
              <w:rPr>
                <w:sz w:val="20"/>
                <w:szCs w:val="20"/>
                <w:color w:val="auto"/>
              </w:rPr>
            </w:pPr>
            <w:r>
              <w:rPr>
                <w:rFonts w:ascii="Arial" w:cs="Arial" w:eastAsia="Arial" w:hAnsi="Arial"/>
                <w:sz w:val="22"/>
                <w:szCs w:val="22"/>
                <w:color w:val="auto"/>
                <w:w w:val="93"/>
              </w:rPr>
              <w:t>earlier accelerating event).</w:t>
            </w:r>
          </w:p>
        </w:tc>
        <w:tc>
          <w:tcPr>
            <w:tcW w:w="7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32"/>
        </w:trPr>
        <w:tc>
          <w:tcPr>
            <w:tcW w:w="540" w:type="dxa"/>
            <w:vAlign w:val="bottom"/>
          </w:tcPr>
          <w:p>
            <w:pPr>
              <w:spacing w:after="0"/>
              <w:rPr>
                <w:sz w:val="20"/>
                <w:szCs w:val="20"/>
                <w:color w:val="auto"/>
              </w:rPr>
            </w:pPr>
            <w:r>
              <w:rPr>
                <w:rFonts w:ascii="Arial" w:cs="Arial" w:eastAsia="Arial" w:hAnsi="Arial"/>
                <w:sz w:val="22"/>
                <w:szCs w:val="22"/>
                <w:b w:val="1"/>
                <w:bCs w:val="1"/>
                <w:color w:val="auto"/>
              </w:rPr>
              <w:t>B.</w:t>
            </w:r>
          </w:p>
        </w:tc>
        <w:tc>
          <w:tcPr>
            <w:tcW w:w="6740" w:type="dxa"/>
            <w:vAlign w:val="bottom"/>
            <w:gridSpan w:val="4"/>
          </w:tcPr>
          <w:p>
            <w:pPr>
              <w:ind w:left="320"/>
              <w:spacing w:after="0"/>
              <w:rPr>
                <w:sz w:val="20"/>
                <w:szCs w:val="20"/>
                <w:color w:val="auto"/>
              </w:rPr>
            </w:pPr>
            <w:r>
              <w:rPr>
                <w:rFonts w:ascii="Arial" w:cs="Arial" w:eastAsia="Arial" w:hAnsi="Arial"/>
                <w:sz w:val="22"/>
                <w:szCs w:val="22"/>
                <w:b w:val="1"/>
                <w:bCs w:val="1"/>
                <w:color w:val="auto"/>
                <w:w w:val="92"/>
              </w:rPr>
              <w:t>Number of Performance Based Restricted Stock Units (“PRSU”): [</w:t>
            </w:r>
          </w:p>
        </w:tc>
        <w:tc>
          <w:tcPr>
            <w:tcW w:w="1400" w:type="dxa"/>
            <w:vAlign w:val="bottom"/>
          </w:tcPr>
          <w:p>
            <w:pPr>
              <w:jc w:val="right"/>
              <w:ind w:right="1012"/>
              <w:spacing w:after="0"/>
              <w:rPr>
                <w:sz w:val="20"/>
                <w:szCs w:val="20"/>
                <w:color w:val="auto"/>
              </w:rPr>
            </w:pPr>
            <w:r>
              <w:rPr>
                <w:rFonts w:ascii="Arial" w:cs="Arial" w:eastAsia="Arial" w:hAnsi="Arial"/>
                <w:sz w:val="22"/>
                <w:szCs w:val="22"/>
                <w:b w:val="1"/>
                <w:bCs w:val="1"/>
                <w:color w:val="auto"/>
              </w:rPr>
              <w:t>]</w:t>
            </w:r>
          </w:p>
        </w:tc>
      </w:tr>
      <w:tr>
        <w:trPr>
          <w:trHeight w:val="648"/>
        </w:trPr>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tcPr>
          <w:p>
            <w:pPr>
              <w:jc w:val="right"/>
              <w:ind w:right="2032"/>
              <w:spacing w:after="0"/>
              <w:rPr>
                <w:sz w:val="20"/>
                <w:szCs w:val="20"/>
                <w:color w:val="auto"/>
              </w:rPr>
            </w:pPr>
            <w:r>
              <w:rPr>
                <w:rFonts w:ascii="Arial" w:cs="Arial" w:eastAsia="Arial" w:hAnsi="Arial"/>
                <w:sz w:val="22"/>
                <w:szCs w:val="22"/>
                <w:color w:val="auto"/>
              </w:rPr>
              <w:t>1</w:t>
            </w: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4"/>
        </w:trPr>
        <w:tc>
          <w:tcPr>
            <w:tcW w:w="54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r>
      <w:tr>
        <w:trPr>
          <w:trHeight w:val="20"/>
        </w:trPr>
        <w:tc>
          <w:tcPr>
            <w:tcW w:w="54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5" w:name="page146"/>
    <w:bookmarkEnd w:id="145"/>
    <w:tbl>
      <w:tblPr>
        <w:tblLayout w:type="fixed"/>
        <w:tblInd w:w="180" w:type="dxa"/>
        <w:tblCellMar>
          <w:top w:w="0" w:type="dxa"/>
          <w:left w:w="0" w:type="dxa"/>
          <w:bottom w:w="0" w:type="dxa"/>
          <w:right w:w="0" w:type="dxa"/>
        </w:tblCellMar>
      </w:tblPr>
      <w:tr>
        <w:trPr>
          <w:trHeight w:val="253"/>
        </w:trPr>
        <w:tc>
          <w:tcPr>
            <w:tcW w:w="3120" w:type="dxa"/>
            <w:vAlign w:val="bottom"/>
          </w:tcPr>
          <w:p>
            <w:pPr>
              <w:spacing w:after="0"/>
              <w:rPr>
                <w:sz w:val="20"/>
                <w:szCs w:val="20"/>
                <w:color w:val="auto"/>
              </w:rPr>
            </w:pPr>
            <w:r>
              <w:rPr>
                <w:rFonts w:ascii="Arial" w:cs="Arial" w:eastAsia="Arial" w:hAnsi="Arial"/>
                <w:sz w:val="22"/>
                <w:szCs w:val="22"/>
                <w:color w:val="auto"/>
              </w:rPr>
              <w:t>PRSU Vesting Schedule:</w:t>
            </w:r>
          </w:p>
        </w:tc>
        <w:tc>
          <w:tcPr>
            <w:tcW w:w="5520" w:type="dxa"/>
            <w:vAlign w:val="bottom"/>
            <w:gridSpan w:val="10"/>
          </w:tcPr>
          <w:p>
            <w:pPr>
              <w:ind w:left="960"/>
              <w:spacing w:after="0"/>
              <w:rPr>
                <w:sz w:val="20"/>
                <w:szCs w:val="20"/>
                <w:color w:val="auto"/>
              </w:rPr>
            </w:pPr>
            <w:r>
              <w:rPr>
                <w:rFonts w:ascii="Arial" w:cs="Arial" w:eastAsia="Arial" w:hAnsi="Arial"/>
                <w:sz w:val="22"/>
                <w:szCs w:val="22"/>
                <w:color w:val="auto"/>
                <w:w w:val="87"/>
              </w:rPr>
              <w:t>100 % of the PRSUs granted hereunder shall vest on</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2"/>
              </w:rPr>
              <w:t>the third anniversary of the Grant Date (the “</w:t>
            </w:r>
            <w:r>
              <w:rPr>
                <w:rFonts w:ascii="Arial" w:cs="Arial" w:eastAsia="Arial" w:hAnsi="Arial"/>
                <w:sz w:val="22"/>
                <w:szCs w:val="22"/>
                <w:b w:val="1"/>
                <w:bCs w:val="1"/>
                <w:color w:val="auto"/>
                <w:w w:val="92"/>
              </w:rPr>
              <w:t>PRSU</w:t>
            </w:r>
          </w:p>
        </w:tc>
      </w:tr>
      <w:tr>
        <w:trPr>
          <w:trHeight w:val="222"/>
        </w:trPr>
        <w:tc>
          <w:tcPr>
            <w:tcW w:w="3120" w:type="dxa"/>
            <w:vAlign w:val="bottom"/>
          </w:tcPr>
          <w:p>
            <w:pPr>
              <w:spacing w:after="0"/>
              <w:rPr>
                <w:sz w:val="19"/>
                <w:szCs w:val="19"/>
                <w:color w:val="auto"/>
              </w:rPr>
            </w:pPr>
          </w:p>
        </w:tc>
        <w:tc>
          <w:tcPr>
            <w:tcW w:w="5520" w:type="dxa"/>
            <w:vAlign w:val="bottom"/>
            <w:gridSpan w:val="10"/>
          </w:tcPr>
          <w:p>
            <w:pPr>
              <w:ind w:left="960"/>
              <w:spacing w:after="0" w:line="222" w:lineRule="exact"/>
              <w:rPr>
                <w:sz w:val="20"/>
                <w:szCs w:val="20"/>
                <w:color w:val="auto"/>
              </w:rPr>
            </w:pPr>
            <w:r>
              <w:rPr>
                <w:rFonts w:ascii="Arial" w:cs="Arial" w:eastAsia="Arial" w:hAnsi="Arial"/>
                <w:sz w:val="22"/>
                <w:szCs w:val="22"/>
                <w:b w:val="1"/>
                <w:bCs w:val="1"/>
                <w:color w:val="auto"/>
                <w:w w:val="91"/>
              </w:rPr>
              <w:t>Vesting Date</w:t>
            </w:r>
            <w:r>
              <w:rPr>
                <w:rFonts w:ascii="Arial" w:cs="Arial" w:eastAsia="Arial" w:hAnsi="Arial"/>
                <w:sz w:val="22"/>
                <w:szCs w:val="22"/>
                <w:color w:val="auto"/>
                <w:w w:val="91"/>
              </w:rPr>
              <w:t>”); provided that (a) the Recipient has</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0"/>
              </w:rPr>
              <w:t>not undergone a termination of his or her Service at</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6"/>
              </w:rPr>
              <w:t>the time of the PRSU Vesting Date (or an earlier</w:t>
            </w:r>
          </w:p>
        </w:tc>
      </w:tr>
      <w:tr>
        <w:trPr>
          <w:trHeight w:val="210"/>
        </w:trPr>
        <w:tc>
          <w:tcPr>
            <w:tcW w:w="3120" w:type="dxa"/>
            <w:vAlign w:val="bottom"/>
          </w:tcPr>
          <w:p>
            <w:pPr>
              <w:spacing w:after="0"/>
              <w:rPr>
                <w:sz w:val="18"/>
                <w:szCs w:val="18"/>
                <w:color w:val="auto"/>
              </w:rPr>
            </w:pPr>
          </w:p>
        </w:tc>
        <w:tc>
          <w:tcPr>
            <w:tcW w:w="5520" w:type="dxa"/>
            <w:vAlign w:val="bottom"/>
            <w:gridSpan w:val="10"/>
          </w:tcPr>
          <w:p>
            <w:pPr>
              <w:ind w:left="960"/>
              <w:spacing w:after="0" w:line="210" w:lineRule="exact"/>
              <w:rPr>
                <w:sz w:val="20"/>
                <w:szCs w:val="20"/>
                <w:color w:val="auto"/>
              </w:rPr>
            </w:pPr>
            <w:r>
              <w:rPr>
                <w:rFonts w:ascii="Arial" w:cs="Arial" w:eastAsia="Arial" w:hAnsi="Arial"/>
                <w:sz w:val="22"/>
                <w:szCs w:val="22"/>
                <w:color w:val="auto"/>
                <w:w w:val="90"/>
              </w:rPr>
              <w:t>accelerating event), and (b)(1) one-third (1/3) of the</w:t>
            </w:r>
          </w:p>
        </w:tc>
      </w:tr>
      <w:tr>
        <w:trPr>
          <w:trHeight w:val="222"/>
        </w:trPr>
        <w:tc>
          <w:tcPr>
            <w:tcW w:w="3120" w:type="dxa"/>
            <w:vAlign w:val="bottom"/>
          </w:tcPr>
          <w:p>
            <w:pPr>
              <w:spacing w:after="0"/>
              <w:rPr>
                <w:sz w:val="19"/>
                <w:szCs w:val="19"/>
                <w:color w:val="auto"/>
              </w:rPr>
            </w:pPr>
          </w:p>
        </w:tc>
        <w:tc>
          <w:tcPr>
            <w:tcW w:w="5520" w:type="dxa"/>
            <w:vAlign w:val="bottom"/>
            <w:gridSpan w:val="10"/>
          </w:tcPr>
          <w:p>
            <w:pPr>
              <w:ind w:left="960"/>
              <w:spacing w:after="0" w:line="222" w:lineRule="exact"/>
              <w:rPr>
                <w:sz w:val="20"/>
                <w:szCs w:val="20"/>
                <w:color w:val="auto"/>
              </w:rPr>
            </w:pPr>
            <w:r>
              <w:rPr>
                <w:rFonts w:ascii="Arial" w:cs="Arial" w:eastAsia="Arial" w:hAnsi="Arial"/>
                <w:sz w:val="22"/>
                <w:szCs w:val="22"/>
                <w:color w:val="auto"/>
                <w:w w:val="91"/>
              </w:rPr>
              <w:t>performance criteria (“</w:t>
            </w:r>
            <w:r>
              <w:rPr>
                <w:rFonts w:ascii="Arial" w:cs="Arial" w:eastAsia="Arial" w:hAnsi="Arial"/>
                <w:sz w:val="22"/>
                <w:szCs w:val="22"/>
                <w:b w:val="1"/>
                <w:bCs w:val="1"/>
                <w:color w:val="auto"/>
                <w:w w:val="91"/>
              </w:rPr>
              <w:t>PRSU Criteria</w:t>
            </w:r>
            <w:r>
              <w:rPr>
                <w:rFonts w:ascii="Arial" w:cs="Arial" w:eastAsia="Arial" w:hAnsi="Arial"/>
                <w:sz w:val="22"/>
                <w:szCs w:val="22"/>
                <w:color w:val="auto"/>
                <w:w w:val="91"/>
              </w:rPr>
              <w:t>”) shall be the</w:t>
            </w:r>
          </w:p>
        </w:tc>
      </w:tr>
      <w:tr>
        <w:trPr>
          <w:trHeight w:val="210"/>
        </w:trPr>
        <w:tc>
          <w:tcPr>
            <w:tcW w:w="3120" w:type="dxa"/>
            <w:vAlign w:val="bottom"/>
          </w:tcPr>
          <w:p>
            <w:pPr>
              <w:spacing w:after="0"/>
              <w:rPr>
                <w:sz w:val="18"/>
                <w:szCs w:val="18"/>
                <w:color w:val="auto"/>
              </w:rPr>
            </w:pPr>
          </w:p>
        </w:tc>
        <w:tc>
          <w:tcPr>
            <w:tcW w:w="5520" w:type="dxa"/>
            <w:vAlign w:val="bottom"/>
            <w:gridSpan w:val="10"/>
          </w:tcPr>
          <w:p>
            <w:pPr>
              <w:ind w:left="960"/>
              <w:spacing w:after="0" w:line="210" w:lineRule="exact"/>
              <w:rPr>
                <w:sz w:val="20"/>
                <w:szCs w:val="20"/>
                <w:color w:val="auto"/>
              </w:rPr>
            </w:pPr>
            <w:r>
              <w:rPr>
                <w:rFonts w:ascii="Arial" w:cs="Arial" w:eastAsia="Arial" w:hAnsi="Arial"/>
                <w:sz w:val="22"/>
                <w:szCs w:val="22"/>
                <w:color w:val="auto"/>
                <w:w w:val="93"/>
              </w:rPr>
              <w:t>evaluation of the Compensation and Stock Option</w:t>
            </w:r>
          </w:p>
        </w:tc>
      </w:tr>
      <w:tr>
        <w:trPr>
          <w:trHeight w:val="222"/>
        </w:trPr>
        <w:tc>
          <w:tcPr>
            <w:tcW w:w="3120" w:type="dxa"/>
            <w:vAlign w:val="bottom"/>
          </w:tcPr>
          <w:p>
            <w:pPr>
              <w:spacing w:after="0"/>
              <w:rPr>
                <w:sz w:val="19"/>
                <w:szCs w:val="19"/>
                <w:color w:val="auto"/>
              </w:rPr>
            </w:pPr>
          </w:p>
        </w:tc>
        <w:tc>
          <w:tcPr>
            <w:tcW w:w="5520" w:type="dxa"/>
            <w:vAlign w:val="bottom"/>
            <w:gridSpan w:val="10"/>
          </w:tcPr>
          <w:p>
            <w:pPr>
              <w:ind w:left="960"/>
              <w:spacing w:after="0" w:line="222" w:lineRule="exact"/>
              <w:rPr>
                <w:sz w:val="20"/>
                <w:szCs w:val="20"/>
                <w:color w:val="auto"/>
              </w:rPr>
            </w:pPr>
            <w:r>
              <w:rPr>
                <w:rFonts w:ascii="Arial" w:cs="Arial" w:eastAsia="Arial" w:hAnsi="Arial"/>
                <w:sz w:val="22"/>
                <w:szCs w:val="22"/>
                <w:color w:val="auto"/>
                <w:w w:val="89"/>
              </w:rPr>
              <w:t>Committee (the “</w:t>
            </w:r>
            <w:r>
              <w:rPr>
                <w:rFonts w:ascii="Arial" w:cs="Arial" w:eastAsia="Arial" w:hAnsi="Arial"/>
                <w:sz w:val="22"/>
                <w:szCs w:val="22"/>
                <w:b w:val="1"/>
                <w:bCs w:val="1"/>
                <w:color w:val="auto"/>
                <w:w w:val="89"/>
              </w:rPr>
              <w:t>Committee</w:t>
            </w:r>
            <w:r>
              <w:rPr>
                <w:rFonts w:ascii="Arial" w:cs="Arial" w:eastAsia="Arial" w:hAnsi="Arial"/>
                <w:sz w:val="22"/>
                <w:szCs w:val="22"/>
                <w:color w:val="auto"/>
                <w:w w:val="89"/>
              </w:rPr>
              <w:t>”) that performance has</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4"/>
              </w:rPr>
              <w:t>been met in the sole discretion of and certified by</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8"/>
              </w:rPr>
              <w:t>the Committee for the year ended [_________],</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7"/>
              </w:rPr>
              <w:t>20[__],  taking  into  account,  evaluation  of  the</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9"/>
              </w:rPr>
              <w:t>Company   and   grantee   performance,   such</w:t>
            </w:r>
          </w:p>
        </w:tc>
      </w:tr>
      <w:tr>
        <w:trPr>
          <w:trHeight w:val="216"/>
        </w:trPr>
        <w:tc>
          <w:tcPr>
            <w:tcW w:w="3120" w:type="dxa"/>
            <w:vAlign w:val="bottom"/>
          </w:tcPr>
          <w:p>
            <w:pPr>
              <w:spacing w:after="0"/>
              <w:rPr>
                <w:sz w:val="18"/>
                <w:szCs w:val="18"/>
                <w:color w:val="auto"/>
              </w:rPr>
            </w:pPr>
          </w:p>
        </w:tc>
        <w:tc>
          <w:tcPr>
            <w:tcW w:w="4280" w:type="dxa"/>
            <w:vAlign w:val="bottom"/>
            <w:gridSpan w:val="7"/>
          </w:tcPr>
          <w:p>
            <w:pPr>
              <w:ind w:left="960"/>
              <w:spacing w:after="0" w:line="216" w:lineRule="exact"/>
              <w:rPr>
                <w:sz w:val="20"/>
                <w:szCs w:val="20"/>
                <w:color w:val="auto"/>
              </w:rPr>
            </w:pPr>
            <w:r>
              <w:rPr>
                <w:rFonts w:ascii="Arial" w:cs="Arial" w:eastAsia="Arial" w:hAnsi="Arial"/>
                <w:sz w:val="22"/>
                <w:szCs w:val="22"/>
                <w:color w:val="auto"/>
                <w:w w:val="96"/>
              </w:rPr>
              <w:t>determination  to  be  made  before</w:t>
            </w:r>
          </w:p>
        </w:tc>
        <w:tc>
          <w:tcPr>
            <w:tcW w:w="1240" w:type="dxa"/>
            <w:vAlign w:val="bottom"/>
            <w:gridSpan w:val="3"/>
          </w:tcPr>
          <w:p>
            <w:pPr>
              <w:jc w:val="right"/>
              <w:spacing w:after="0" w:line="216" w:lineRule="exact"/>
              <w:rPr>
                <w:sz w:val="20"/>
                <w:szCs w:val="20"/>
                <w:color w:val="auto"/>
              </w:rPr>
            </w:pPr>
            <w:r>
              <w:rPr>
                <w:rFonts w:ascii="Arial" w:cs="Arial" w:eastAsia="Arial" w:hAnsi="Arial"/>
                <w:sz w:val="22"/>
                <w:szCs w:val="22"/>
                <w:color w:val="auto"/>
                <w:w w:val="94"/>
              </w:rPr>
              <w:t>[_________],</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7"/>
              </w:rPr>
              <w:t>20[__];  and  (2)  two-thirds  (2/3)  of  the  PRSU</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88"/>
              </w:rPr>
              <w:t>Criteria shall be based upon performance for the two</w:t>
            </w:r>
          </w:p>
        </w:tc>
      </w:tr>
      <w:tr>
        <w:trPr>
          <w:trHeight w:val="216"/>
        </w:trPr>
        <w:tc>
          <w:tcPr>
            <w:tcW w:w="3120" w:type="dxa"/>
            <w:vAlign w:val="bottom"/>
          </w:tcPr>
          <w:p>
            <w:pPr>
              <w:spacing w:after="0"/>
              <w:rPr>
                <w:sz w:val="18"/>
                <w:szCs w:val="18"/>
                <w:color w:val="auto"/>
              </w:rPr>
            </w:pPr>
          </w:p>
        </w:tc>
        <w:tc>
          <w:tcPr>
            <w:tcW w:w="2020" w:type="dxa"/>
            <w:vAlign w:val="bottom"/>
            <w:gridSpan w:val="2"/>
          </w:tcPr>
          <w:p>
            <w:pPr>
              <w:ind w:left="960"/>
              <w:spacing w:after="0" w:line="216" w:lineRule="exact"/>
              <w:rPr>
                <w:sz w:val="20"/>
                <w:szCs w:val="20"/>
                <w:color w:val="auto"/>
              </w:rPr>
            </w:pPr>
            <w:r>
              <w:rPr>
                <w:rFonts w:ascii="Arial" w:cs="Arial" w:eastAsia="Arial" w:hAnsi="Arial"/>
                <w:sz w:val="22"/>
                <w:szCs w:val="22"/>
                <w:color w:val="auto"/>
              </w:rPr>
              <w:t>remaining</w:t>
            </w:r>
          </w:p>
        </w:tc>
        <w:tc>
          <w:tcPr>
            <w:tcW w:w="1560" w:type="dxa"/>
            <w:vAlign w:val="bottom"/>
            <w:gridSpan w:val="4"/>
          </w:tcPr>
          <w:p>
            <w:pPr>
              <w:ind w:left="60"/>
              <w:spacing w:after="0" w:line="216" w:lineRule="exact"/>
              <w:rPr>
                <w:sz w:val="20"/>
                <w:szCs w:val="20"/>
                <w:color w:val="auto"/>
              </w:rPr>
            </w:pPr>
            <w:r>
              <w:rPr>
                <w:rFonts w:ascii="Arial" w:cs="Arial" w:eastAsia="Arial" w:hAnsi="Arial"/>
                <w:sz w:val="22"/>
                <w:szCs w:val="22"/>
                <w:color w:val="auto"/>
                <w:w w:val="98"/>
              </w:rPr>
              <w:t>calendar  years</w:t>
            </w:r>
          </w:p>
        </w:tc>
        <w:tc>
          <w:tcPr>
            <w:tcW w:w="700" w:type="dxa"/>
            <w:vAlign w:val="bottom"/>
          </w:tcPr>
          <w:p>
            <w:pPr>
              <w:ind w:left="140"/>
              <w:spacing w:after="0" w:line="216" w:lineRule="exact"/>
              <w:rPr>
                <w:sz w:val="20"/>
                <w:szCs w:val="20"/>
                <w:color w:val="auto"/>
              </w:rPr>
            </w:pPr>
            <w:r>
              <w:rPr>
                <w:rFonts w:ascii="Arial" w:cs="Arial" w:eastAsia="Arial" w:hAnsi="Arial"/>
                <w:sz w:val="22"/>
                <w:szCs w:val="22"/>
                <w:color w:val="auto"/>
                <w:w w:val="95"/>
              </w:rPr>
              <w:t>(2021</w:t>
            </w:r>
          </w:p>
        </w:tc>
        <w:tc>
          <w:tcPr>
            <w:tcW w:w="700" w:type="dxa"/>
            <w:vAlign w:val="bottom"/>
          </w:tcPr>
          <w:p>
            <w:pPr>
              <w:ind w:left="180"/>
              <w:spacing w:after="0" w:line="216" w:lineRule="exact"/>
              <w:rPr>
                <w:sz w:val="20"/>
                <w:szCs w:val="20"/>
                <w:color w:val="auto"/>
              </w:rPr>
            </w:pPr>
            <w:r>
              <w:rPr>
                <w:rFonts w:ascii="Arial" w:cs="Arial" w:eastAsia="Arial" w:hAnsi="Arial"/>
                <w:sz w:val="22"/>
                <w:szCs w:val="22"/>
                <w:color w:val="auto"/>
              </w:rPr>
              <w:t>and</w:t>
            </w:r>
          </w:p>
        </w:tc>
        <w:tc>
          <w:tcPr>
            <w:tcW w:w="540" w:type="dxa"/>
            <w:vAlign w:val="bottom"/>
            <w:gridSpan w:val="2"/>
          </w:tcPr>
          <w:p>
            <w:pPr>
              <w:jc w:val="right"/>
              <w:spacing w:after="0" w:line="216" w:lineRule="exact"/>
              <w:rPr>
                <w:sz w:val="20"/>
                <w:szCs w:val="20"/>
                <w:color w:val="auto"/>
              </w:rPr>
            </w:pPr>
            <w:r>
              <w:rPr>
                <w:rFonts w:ascii="Arial" w:cs="Arial" w:eastAsia="Arial" w:hAnsi="Arial"/>
                <w:sz w:val="22"/>
                <w:szCs w:val="22"/>
                <w:color w:val="auto"/>
                <w:w w:val="92"/>
              </w:rPr>
              <w:t>2022)</w:t>
            </w:r>
          </w:p>
        </w:tc>
      </w:tr>
      <w:tr>
        <w:trPr>
          <w:trHeight w:val="216"/>
        </w:trPr>
        <w:tc>
          <w:tcPr>
            <w:tcW w:w="3120" w:type="dxa"/>
            <w:vAlign w:val="bottom"/>
          </w:tcPr>
          <w:p>
            <w:pPr>
              <w:spacing w:after="0"/>
              <w:rPr>
                <w:sz w:val="18"/>
                <w:szCs w:val="18"/>
                <w:color w:val="auto"/>
              </w:rPr>
            </w:pPr>
          </w:p>
        </w:tc>
        <w:tc>
          <w:tcPr>
            <w:tcW w:w="1700" w:type="dxa"/>
            <w:vAlign w:val="bottom"/>
          </w:tcPr>
          <w:p>
            <w:pPr>
              <w:ind w:left="960"/>
              <w:spacing w:after="0" w:line="216" w:lineRule="exact"/>
              <w:rPr>
                <w:sz w:val="20"/>
                <w:szCs w:val="20"/>
                <w:color w:val="auto"/>
              </w:rPr>
            </w:pPr>
            <w:r>
              <w:rPr>
                <w:rFonts w:ascii="Arial" w:cs="Arial" w:eastAsia="Arial" w:hAnsi="Arial"/>
                <w:sz w:val="22"/>
                <w:szCs w:val="22"/>
                <w:color w:val="auto"/>
              </w:rPr>
              <w:t>under</w:t>
            </w:r>
          </w:p>
        </w:tc>
        <w:tc>
          <w:tcPr>
            <w:tcW w:w="1000" w:type="dxa"/>
            <w:vAlign w:val="bottom"/>
            <w:gridSpan w:val="3"/>
          </w:tcPr>
          <w:p>
            <w:pPr>
              <w:ind w:left="100"/>
              <w:spacing w:after="0" w:line="216" w:lineRule="exact"/>
              <w:rPr>
                <w:sz w:val="20"/>
                <w:szCs w:val="20"/>
                <w:color w:val="auto"/>
              </w:rPr>
            </w:pPr>
            <w:r>
              <w:rPr>
                <w:rFonts w:ascii="Arial" w:cs="Arial" w:eastAsia="Arial" w:hAnsi="Arial"/>
                <w:sz w:val="22"/>
                <w:szCs w:val="22"/>
                <w:color w:val="auto"/>
              </w:rPr>
              <w:t>objective</w:t>
            </w:r>
          </w:p>
        </w:tc>
        <w:tc>
          <w:tcPr>
            <w:tcW w:w="2280" w:type="dxa"/>
            <w:vAlign w:val="bottom"/>
            <w:gridSpan w:val="4"/>
          </w:tcPr>
          <w:p>
            <w:pPr>
              <w:ind w:left="60"/>
              <w:spacing w:after="0" w:line="216" w:lineRule="exact"/>
              <w:rPr>
                <w:sz w:val="20"/>
                <w:szCs w:val="20"/>
                <w:color w:val="auto"/>
              </w:rPr>
            </w:pPr>
            <w:r>
              <w:rPr>
                <w:rFonts w:ascii="Arial" w:cs="Arial" w:eastAsia="Arial" w:hAnsi="Arial"/>
                <w:sz w:val="22"/>
                <w:szCs w:val="22"/>
                <w:color w:val="auto"/>
                <w:w w:val="94"/>
              </w:rPr>
              <w:t>performance  criteria  to</w:t>
            </w:r>
          </w:p>
        </w:tc>
        <w:tc>
          <w:tcPr>
            <w:tcW w:w="16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Arial" w:cs="Arial" w:eastAsia="Arial" w:hAnsi="Arial"/>
                <w:sz w:val="22"/>
                <w:szCs w:val="22"/>
                <w:color w:val="auto"/>
              </w:rPr>
              <w:t>be</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1"/>
              </w:rPr>
              <w:t>established by the Committee, in the exercise of its</w:t>
            </w:r>
          </w:p>
        </w:tc>
      </w:tr>
      <w:tr>
        <w:trPr>
          <w:trHeight w:val="216"/>
        </w:trPr>
        <w:tc>
          <w:tcPr>
            <w:tcW w:w="3120" w:type="dxa"/>
            <w:vAlign w:val="bottom"/>
          </w:tcPr>
          <w:p>
            <w:pPr>
              <w:spacing w:after="0"/>
              <w:rPr>
                <w:sz w:val="18"/>
                <w:szCs w:val="18"/>
                <w:color w:val="auto"/>
              </w:rPr>
            </w:pPr>
          </w:p>
        </w:tc>
        <w:tc>
          <w:tcPr>
            <w:tcW w:w="2020" w:type="dxa"/>
            <w:vAlign w:val="bottom"/>
            <w:gridSpan w:val="2"/>
          </w:tcPr>
          <w:p>
            <w:pPr>
              <w:ind w:left="960"/>
              <w:spacing w:after="0" w:line="216" w:lineRule="exact"/>
              <w:rPr>
                <w:sz w:val="20"/>
                <w:szCs w:val="20"/>
                <w:color w:val="auto"/>
              </w:rPr>
            </w:pPr>
            <w:r>
              <w:rPr>
                <w:rFonts w:ascii="Arial" w:cs="Arial" w:eastAsia="Arial" w:hAnsi="Arial"/>
                <w:sz w:val="22"/>
                <w:szCs w:val="22"/>
                <w:color w:val="auto"/>
              </w:rPr>
              <w:t>discretion</w:t>
            </w:r>
          </w:p>
        </w:tc>
        <w:tc>
          <w:tcPr>
            <w:tcW w:w="680" w:type="dxa"/>
            <w:vAlign w:val="bottom"/>
            <w:gridSpan w:val="2"/>
          </w:tcPr>
          <w:p>
            <w:pPr>
              <w:ind w:left="280"/>
              <w:spacing w:after="0" w:line="216" w:lineRule="exact"/>
              <w:rPr>
                <w:sz w:val="20"/>
                <w:szCs w:val="20"/>
                <w:color w:val="auto"/>
              </w:rPr>
            </w:pPr>
            <w:r>
              <w:rPr>
                <w:rFonts w:ascii="Arial" w:cs="Arial" w:eastAsia="Arial" w:hAnsi="Arial"/>
                <w:sz w:val="22"/>
                <w:szCs w:val="22"/>
                <w:color w:val="auto"/>
              </w:rPr>
              <w:t>and</w:t>
            </w:r>
          </w:p>
        </w:tc>
        <w:tc>
          <w:tcPr>
            <w:tcW w:w="400" w:type="dxa"/>
            <w:vAlign w:val="bottom"/>
          </w:tcPr>
          <w:p>
            <w:pPr>
              <w:spacing w:after="0"/>
              <w:rPr>
                <w:sz w:val="18"/>
                <w:szCs w:val="18"/>
                <w:color w:val="auto"/>
              </w:rPr>
            </w:pPr>
          </w:p>
        </w:tc>
        <w:tc>
          <w:tcPr>
            <w:tcW w:w="118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judgment,</w:t>
            </w:r>
          </w:p>
        </w:tc>
        <w:tc>
          <w:tcPr>
            <w:tcW w:w="1240" w:type="dxa"/>
            <w:vAlign w:val="bottom"/>
            <w:gridSpan w:val="3"/>
          </w:tcPr>
          <w:p>
            <w:pPr>
              <w:jc w:val="right"/>
              <w:spacing w:after="0" w:line="216" w:lineRule="exact"/>
              <w:rPr>
                <w:sz w:val="20"/>
                <w:szCs w:val="20"/>
                <w:color w:val="auto"/>
              </w:rPr>
            </w:pPr>
            <w:r>
              <w:rPr>
                <w:rFonts w:ascii="Arial" w:cs="Arial" w:eastAsia="Arial" w:hAnsi="Arial"/>
                <w:sz w:val="22"/>
                <w:szCs w:val="22"/>
                <w:color w:val="auto"/>
              </w:rPr>
              <w:t>before</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7"/>
              </w:rPr>
              <w:t>[_________], 20[__], and shall be subject to the</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rPr>
              <w:t>certification by the Committee that such PRSU</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0"/>
              </w:rPr>
              <w:t>Criteria, or portion thereof (stated as a percentage),</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5"/>
              </w:rPr>
              <w:t>has been met. On or before [_________], 20[__],</w:t>
            </w:r>
          </w:p>
        </w:tc>
      </w:tr>
      <w:tr>
        <w:trPr>
          <w:trHeight w:val="210"/>
        </w:trPr>
        <w:tc>
          <w:tcPr>
            <w:tcW w:w="3120" w:type="dxa"/>
            <w:vAlign w:val="bottom"/>
          </w:tcPr>
          <w:p>
            <w:pPr>
              <w:spacing w:after="0"/>
              <w:rPr>
                <w:sz w:val="18"/>
                <w:szCs w:val="18"/>
                <w:color w:val="auto"/>
              </w:rPr>
            </w:pPr>
          </w:p>
        </w:tc>
        <w:tc>
          <w:tcPr>
            <w:tcW w:w="5520" w:type="dxa"/>
            <w:vAlign w:val="bottom"/>
            <w:gridSpan w:val="10"/>
          </w:tcPr>
          <w:p>
            <w:pPr>
              <w:ind w:left="960"/>
              <w:spacing w:after="0" w:line="210" w:lineRule="exact"/>
              <w:rPr>
                <w:sz w:val="20"/>
                <w:szCs w:val="20"/>
                <w:color w:val="auto"/>
              </w:rPr>
            </w:pPr>
            <w:r>
              <w:rPr>
                <w:rFonts w:ascii="Arial" w:cs="Arial" w:eastAsia="Arial" w:hAnsi="Arial"/>
                <w:sz w:val="22"/>
                <w:szCs w:val="22"/>
                <w:color w:val="auto"/>
                <w:w w:val="88"/>
              </w:rPr>
              <w:t>the Committee shall certify as to the total percentage</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0"/>
              </w:rPr>
              <w:t>of the PRSU Criteria that has been met (the “</w:t>
            </w:r>
            <w:r>
              <w:rPr>
                <w:rFonts w:ascii="Arial" w:cs="Arial" w:eastAsia="Arial" w:hAnsi="Arial"/>
                <w:sz w:val="22"/>
                <w:szCs w:val="22"/>
                <w:b w:val="1"/>
                <w:bCs w:val="1"/>
                <w:color w:val="auto"/>
                <w:w w:val="90"/>
              </w:rPr>
              <w:t>PRSU</w:t>
            </w:r>
          </w:p>
        </w:tc>
      </w:tr>
      <w:tr>
        <w:trPr>
          <w:trHeight w:val="222"/>
        </w:trPr>
        <w:tc>
          <w:tcPr>
            <w:tcW w:w="3120" w:type="dxa"/>
            <w:vAlign w:val="bottom"/>
          </w:tcPr>
          <w:p>
            <w:pPr>
              <w:spacing w:after="0"/>
              <w:rPr>
                <w:sz w:val="19"/>
                <w:szCs w:val="19"/>
                <w:color w:val="auto"/>
              </w:rPr>
            </w:pPr>
          </w:p>
        </w:tc>
        <w:tc>
          <w:tcPr>
            <w:tcW w:w="5520" w:type="dxa"/>
            <w:vAlign w:val="bottom"/>
            <w:gridSpan w:val="10"/>
          </w:tcPr>
          <w:p>
            <w:pPr>
              <w:ind w:left="960"/>
              <w:spacing w:after="0" w:line="222" w:lineRule="exact"/>
              <w:rPr>
                <w:sz w:val="20"/>
                <w:szCs w:val="20"/>
                <w:color w:val="auto"/>
              </w:rPr>
            </w:pPr>
            <w:r>
              <w:rPr>
                <w:rFonts w:ascii="Arial" w:cs="Arial" w:eastAsia="Arial" w:hAnsi="Arial"/>
                <w:sz w:val="22"/>
                <w:szCs w:val="22"/>
                <w:b w:val="1"/>
                <w:bCs w:val="1"/>
                <w:color w:val="auto"/>
                <w:w w:val="96"/>
              </w:rPr>
              <w:t>Certified Amount</w:t>
            </w:r>
            <w:r>
              <w:rPr>
                <w:rFonts w:ascii="Arial" w:cs="Arial" w:eastAsia="Arial" w:hAnsi="Arial"/>
                <w:sz w:val="22"/>
                <w:szCs w:val="22"/>
                <w:color w:val="auto"/>
                <w:w w:val="96"/>
              </w:rPr>
              <w:t>”).  For purposes of illustration</w:t>
            </w:r>
          </w:p>
        </w:tc>
      </w:tr>
      <w:tr>
        <w:trPr>
          <w:trHeight w:val="216"/>
        </w:trPr>
        <w:tc>
          <w:tcPr>
            <w:tcW w:w="3120" w:type="dxa"/>
            <w:vAlign w:val="bottom"/>
          </w:tcPr>
          <w:p>
            <w:pPr>
              <w:spacing w:after="0"/>
              <w:rPr>
                <w:sz w:val="18"/>
                <w:szCs w:val="18"/>
                <w:color w:val="auto"/>
              </w:rPr>
            </w:pPr>
          </w:p>
        </w:tc>
        <w:tc>
          <w:tcPr>
            <w:tcW w:w="2700" w:type="dxa"/>
            <w:vAlign w:val="bottom"/>
            <w:gridSpan w:val="4"/>
          </w:tcPr>
          <w:p>
            <w:pPr>
              <w:ind w:left="960"/>
              <w:spacing w:after="0" w:line="216" w:lineRule="exact"/>
              <w:rPr>
                <w:sz w:val="20"/>
                <w:szCs w:val="20"/>
                <w:color w:val="auto"/>
              </w:rPr>
            </w:pPr>
            <w:r>
              <w:rPr>
                <w:rFonts w:ascii="Arial" w:cs="Arial" w:eastAsia="Arial" w:hAnsi="Arial"/>
                <w:sz w:val="22"/>
                <w:szCs w:val="22"/>
                <w:color w:val="auto"/>
                <w:w w:val="93"/>
              </w:rPr>
              <w:t>only,  assume  that</w:t>
            </w:r>
          </w:p>
        </w:tc>
        <w:tc>
          <w:tcPr>
            <w:tcW w:w="400" w:type="dxa"/>
            <w:vAlign w:val="bottom"/>
          </w:tcPr>
          <w:p>
            <w:pPr>
              <w:ind w:left="100"/>
              <w:spacing w:after="0" w:line="216" w:lineRule="exact"/>
              <w:rPr>
                <w:sz w:val="20"/>
                <w:szCs w:val="20"/>
                <w:color w:val="auto"/>
              </w:rPr>
            </w:pPr>
            <w:r>
              <w:rPr>
                <w:rFonts w:ascii="Arial" w:cs="Arial" w:eastAsia="Arial" w:hAnsi="Arial"/>
                <w:sz w:val="22"/>
                <w:szCs w:val="22"/>
                <w:color w:val="auto"/>
              </w:rPr>
              <w:t>for</w:t>
            </w:r>
          </w:p>
        </w:tc>
        <w:tc>
          <w:tcPr>
            <w:tcW w:w="480" w:type="dxa"/>
            <w:vAlign w:val="bottom"/>
          </w:tcPr>
          <w:p>
            <w:pPr>
              <w:jc w:val="right"/>
              <w:ind w:right="12"/>
              <w:spacing w:after="0" w:line="216" w:lineRule="exact"/>
              <w:rPr>
                <w:sz w:val="20"/>
                <w:szCs w:val="20"/>
                <w:color w:val="auto"/>
              </w:rPr>
            </w:pPr>
            <w:r>
              <w:rPr>
                <w:rFonts w:ascii="Arial" w:cs="Arial" w:eastAsia="Arial" w:hAnsi="Arial"/>
                <w:sz w:val="22"/>
                <w:szCs w:val="22"/>
                <w:color w:val="auto"/>
              </w:rPr>
              <w:t>the</w:t>
            </w:r>
          </w:p>
        </w:tc>
        <w:tc>
          <w:tcPr>
            <w:tcW w:w="1400" w:type="dxa"/>
            <w:vAlign w:val="bottom"/>
            <w:gridSpan w:val="2"/>
          </w:tcPr>
          <w:p>
            <w:pPr>
              <w:ind w:left="20"/>
              <w:spacing w:after="0" w:line="216" w:lineRule="exact"/>
              <w:rPr>
                <w:sz w:val="20"/>
                <w:szCs w:val="20"/>
                <w:color w:val="auto"/>
              </w:rPr>
            </w:pPr>
            <w:r>
              <w:rPr>
                <w:rFonts w:ascii="Arial" w:cs="Arial" w:eastAsia="Arial" w:hAnsi="Arial"/>
                <w:sz w:val="22"/>
                <w:szCs w:val="22"/>
                <w:color w:val="auto"/>
                <w:w w:val="97"/>
              </w:rPr>
              <w:t>calendar  year</w:t>
            </w:r>
          </w:p>
        </w:tc>
        <w:tc>
          <w:tcPr>
            <w:tcW w:w="540" w:type="dxa"/>
            <w:vAlign w:val="bottom"/>
            <w:gridSpan w:val="2"/>
          </w:tcPr>
          <w:p>
            <w:pPr>
              <w:jc w:val="right"/>
              <w:spacing w:after="0" w:line="216" w:lineRule="exact"/>
              <w:rPr>
                <w:sz w:val="20"/>
                <w:szCs w:val="20"/>
                <w:color w:val="auto"/>
              </w:rPr>
            </w:pPr>
            <w:r>
              <w:rPr>
                <w:rFonts w:ascii="Arial" w:cs="Arial" w:eastAsia="Arial" w:hAnsi="Arial"/>
                <w:sz w:val="22"/>
                <w:szCs w:val="22"/>
                <w:color w:val="auto"/>
                <w:w w:val="84"/>
              </w:rPr>
              <w:t>ended</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8"/>
              </w:rPr>
              <w:t>[__________], 20[__], the Committee finds that</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5"/>
              </w:rPr>
              <w:t>100% of PRSU Criteria has been met and for the</w:t>
            </w:r>
          </w:p>
        </w:tc>
      </w:tr>
      <w:tr>
        <w:trPr>
          <w:trHeight w:val="216"/>
        </w:trPr>
        <w:tc>
          <w:tcPr>
            <w:tcW w:w="3120" w:type="dxa"/>
            <w:vAlign w:val="bottom"/>
          </w:tcPr>
          <w:p>
            <w:pPr>
              <w:spacing w:after="0"/>
              <w:rPr>
                <w:sz w:val="18"/>
                <w:szCs w:val="18"/>
                <w:color w:val="auto"/>
              </w:rPr>
            </w:pPr>
          </w:p>
        </w:tc>
        <w:tc>
          <w:tcPr>
            <w:tcW w:w="4280" w:type="dxa"/>
            <w:vAlign w:val="bottom"/>
            <w:gridSpan w:val="7"/>
          </w:tcPr>
          <w:p>
            <w:pPr>
              <w:ind w:left="960"/>
              <w:spacing w:after="0" w:line="216" w:lineRule="exact"/>
              <w:rPr>
                <w:sz w:val="20"/>
                <w:szCs w:val="20"/>
                <w:color w:val="auto"/>
              </w:rPr>
            </w:pPr>
            <w:r>
              <w:rPr>
                <w:rFonts w:ascii="Arial" w:cs="Arial" w:eastAsia="Arial" w:hAnsi="Arial"/>
                <w:sz w:val="22"/>
                <w:szCs w:val="22"/>
                <w:color w:val="auto"/>
                <w:w w:val="93"/>
              </w:rPr>
              <w:t>calendar  years  ended  [________],</w:t>
            </w:r>
          </w:p>
        </w:tc>
        <w:tc>
          <w:tcPr>
            <w:tcW w:w="860" w:type="dxa"/>
            <w:vAlign w:val="bottom"/>
            <w:gridSpan w:val="2"/>
          </w:tcPr>
          <w:p>
            <w:pPr>
              <w:ind w:left="160"/>
              <w:spacing w:after="0" w:line="216" w:lineRule="exact"/>
              <w:rPr>
                <w:sz w:val="20"/>
                <w:szCs w:val="20"/>
                <w:color w:val="auto"/>
              </w:rPr>
            </w:pPr>
            <w:r>
              <w:rPr>
                <w:rFonts w:ascii="Arial" w:cs="Arial" w:eastAsia="Arial" w:hAnsi="Arial"/>
                <w:sz w:val="22"/>
                <w:szCs w:val="22"/>
                <w:color w:val="auto"/>
              </w:rPr>
              <w:t>20[__]</w:t>
            </w:r>
          </w:p>
        </w:tc>
        <w:tc>
          <w:tcPr>
            <w:tcW w:w="380" w:type="dxa"/>
            <w:vAlign w:val="bottom"/>
          </w:tcPr>
          <w:p>
            <w:pPr>
              <w:jc w:val="right"/>
              <w:spacing w:after="0" w:line="216" w:lineRule="exact"/>
              <w:rPr>
                <w:sz w:val="20"/>
                <w:szCs w:val="20"/>
                <w:color w:val="auto"/>
              </w:rPr>
            </w:pPr>
            <w:r>
              <w:rPr>
                <w:rFonts w:ascii="Arial" w:cs="Arial" w:eastAsia="Arial" w:hAnsi="Arial"/>
                <w:sz w:val="22"/>
                <w:szCs w:val="22"/>
                <w:color w:val="auto"/>
                <w:w w:val="97"/>
              </w:rPr>
              <w:t>and</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3"/>
              </w:rPr>
              <w:t>20[__], the PRSU Criteria was met 80% and 90%,</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1"/>
              </w:rPr>
              <w:t>respectively. In such case, the average of the three</w:t>
            </w:r>
          </w:p>
        </w:tc>
      </w:tr>
      <w:tr>
        <w:trPr>
          <w:trHeight w:val="216"/>
        </w:trPr>
        <w:tc>
          <w:tcPr>
            <w:tcW w:w="3120" w:type="dxa"/>
            <w:vAlign w:val="bottom"/>
          </w:tcPr>
          <w:p>
            <w:pPr>
              <w:spacing w:after="0"/>
              <w:rPr>
                <w:sz w:val="18"/>
                <w:szCs w:val="18"/>
                <w:color w:val="auto"/>
              </w:rPr>
            </w:pPr>
          </w:p>
        </w:tc>
        <w:tc>
          <w:tcPr>
            <w:tcW w:w="5520" w:type="dxa"/>
            <w:vAlign w:val="bottom"/>
            <w:gridSpan w:val="10"/>
          </w:tcPr>
          <w:p>
            <w:pPr>
              <w:ind w:left="960"/>
              <w:spacing w:after="0" w:line="216" w:lineRule="exact"/>
              <w:rPr>
                <w:sz w:val="20"/>
                <w:szCs w:val="20"/>
                <w:color w:val="auto"/>
              </w:rPr>
            </w:pPr>
            <w:r>
              <w:rPr>
                <w:rFonts w:ascii="Arial" w:cs="Arial" w:eastAsia="Arial" w:hAnsi="Arial"/>
                <w:sz w:val="22"/>
                <w:szCs w:val="22"/>
                <w:color w:val="auto"/>
                <w:w w:val="97"/>
              </w:rPr>
              <w:t>years shall be calculated, ([100% + 80% + 90%]</w:t>
            </w:r>
          </w:p>
        </w:tc>
      </w:tr>
      <w:tr>
        <w:trPr>
          <w:trHeight w:val="216"/>
        </w:trPr>
        <w:tc>
          <w:tcPr>
            <w:tcW w:w="3120" w:type="dxa"/>
            <w:vAlign w:val="bottom"/>
          </w:tcPr>
          <w:p>
            <w:pPr>
              <w:spacing w:after="0"/>
              <w:rPr>
                <w:sz w:val="18"/>
                <w:szCs w:val="18"/>
                <w:color w:val="auto"/>
              </w:rPr>
            </w:pPr>
          </w:p>
        </w:tc>
        <w:tc>
          <w:tcPr>
            <w:tcW w:w="1700" w:type="dxa"/>
            <w:vAlign w:val="bottom"/>
          </w:tcPr>
          <w:p>
            <w:pPr>
              <w:ind w:left="960"/>
              <w:spacing w:after="0" w:line="216" w:lineRule="exact"/>
              <w:rPr>
                <w:sz w:val="20"/>
                <w:szCs w:val="20"/>
                <w:color w:val="auto"/>
              </w:rPr>
            </w:pPr>
            <w:r>
              <w:rPr>
                <w:rFonts w:ascii="Arial" w:cs="Arial" w:eastAsia="Arial" w:hAnsi="Arial"/>
                <w:sz w:val="22"/>
                <w:szCs w:val="22"/>
                <w:color w:val="auto"/>
              </w:rPr>
              <w:t>divided</w:t>
            </w:r>
          </w:p>
        </w:tc>
        <w:tc>
          <w:tcPr>
            <w:tcW w:w="320" w:type="dxa"/>
            <w:vAlign w:val="bottom"/>
          </w:tcPr>
          <w:p>
            <w:pPr>
              <w:ind w:left="80"/>
              <w:spacing w:after="0" w:line="216" w:lineRule="exact"/>
              <w:rPr>
                <w:sz w:val="20"/>
                <w:szCs w:val="20"/>
                <w:color w:val="auto"/>
              </w:rPr>
            </w:pPr>
            <w:r>
              <w:rPr>
                <w:rFonts w:ascii="Arial" w:cs="Arial" w:eastAsia="Arial" w:hAnsi="Arial"/>
                <w:sz w:val="22"/>
                <w:szCs w:val="22"/>
                <w:color w:val="auto"/>
                <w:w w:val="94"/>
              </w:rPr>
              <w:t>by</w:t>
            </w:r>
          </w:p>
        </w:tc>
        <w:tc>
          <w:tcPr>
            <w:tcW w:w="460" w:type="dxa"/>
            <w:vAlign w:val="bottom"/>
          </w:tcPr>
          <w:p>
            <w:pPr>
              <w:jc w:val="right"/>
              <w:spacing w:after="0" w:line="216" w:lineRule="exact"/>
              <w:rPr>
                <w:sz w:val="20"/>
                <w:szCs w:val="20"/>
                <w:color w:val="auto"/>
              </w:rPr>
            </w:pPr>
            <w:r>
              <w:rPr>
                <w:rFonts w:ascii="Arial" w:cs="Arial" w:eastAsia="Arial" w:hAnsi="Arial"/>
                <w:sz w:val="22"/>
                <w:szCs w:val="22"/>
                <w:color w:val="auto"/>
              </w:rPr>
              <w:t>3=</w:t>
            </w:r>
          </w:p>
        </w:tc>
        <w:tc>
          <w:tcPr>
            <w:tcW w:w="620" w:type="dxa"/>
            <w:vAlign w:val="bottom"/>
            <w:gridSpan w:val="2"/>
          </w:tcPr>
          <w:p>
            <w:pPr>
              <w:ind w:left="60"/>
              <w:spacing w:after="0" w:line="216" w:lineRule="exact"/>
              <w:rPr>
                <w:sz w:val="20"/>
                <w:szCs w:val="20"/>
                <w:color w:val="auto"/>
              </w:rPr>
            </w:pPr>
            <w:r>
              <w:rPr>
                <w:rFonts w:ascii="Arial" w:cs="Arial" w:eastAsia="Arial" w:hAnsi="Arial"/>
                <w:sz w:val="22"/>
                <w:szCs w:val="22"/>
                <w:color w:val="auto"/>
                <w:w w:val="93"/>
              </w:rPr>
              <w:t>90%.)</w:t>
            </w:r>
          </w:p>
        </w:tc>
        <w:tc>
          <w:tcPr>
            <w:tcW w:w="480" w:type="dxa"/>
            <w:vAlign w:val="bottom"/>
          </w:tcPr>
          <w:p>
            <w:pPr>
              <w:jc w:val="right"/>
              <w:spacing w:after="0" w:line="216" w:lineRule="exact"/>
              <w:rPr>
                <w:sz w:val="20"/>
                <w:szCs w:val="20"/>
                <w:color w:val="auto"/>
              </w:rPr>
            </w:pPr>
            <w:r>
              <w:rPr>
                <w:rFonts w:ascii="Arial" w:cs="Arial" w:eastAsia="Arial" w:hAnsi="Arial"/>
                <w:sz w:val="22"/>
                <w:szCs w:val="22"/>
                <w:color w:val="auto"/>
              </w:rPr>
              <w:t>In</w:t>
            </w:r>
          </w:p>
        </w:tc>
        <w:tc>
          <w:tcPr>
            <w:tcW w:w="700" w:type="dxa"/>
            <w:vAlign w:val="bottom"/>
          </w:tcPr>
          <w:p>
            <w:pPr>
              <w:ind w:left="160"/>
              <w:spacing w:after="0" w:line="216" w:lineRule="exact"/>
              <w:rPr>
                <w:sz w:val="20"/>
                <w:szCs w:val="20"/>
                <w:color w:val="auto"/>
              </w:rPr>
            </w:pPr>
            <w:r>
              <w:rPr>
                <w:rFonts w:ascii="Arial" w:cs="Arial" w:eastAsia="Arial" w:hAnsi="Arial"/>
                <w:sz w:val="22"/>
                <w:szCs w:val="22"/>
                <w:color w:val="auto"/>
              </w:rPr>
              <w:t>such</w:t>
            </w:r>
          </w:p>
        </w:tc>
        <w:tc>
          <w:tcPr>
            <w:tcW w:w="860" w:type="dxa"/>
            <w:vAlign w:val="bottom"/>
            <w:gridSpan w:val="2"/>
          </w:tcPr>
          <w:p>
            <w:pPr>
              <w:ind w:left="20"/>
              <w:spacing w:after="0" w:line="216" w:lineRule="exact"/>
              <w:rPr>
                <w:sz w:val="20"/>
                <w:szCs w:val="20"/>
                <w:color w:val="auto"/>
              </w:rPr>
            </w:pPr>
            <w:r>
              <w:rPr>
                <w:rFonts w:ascii="Arial" w:cs="Arial" w:eastAsia="Arial" w:hAnsi="Arial"/>
                <w:sz w:val="22"/>
                <w:szCs w:val="22"/>
                <w:color w:val="auto"/>
                <w:w w:val="91"/>
              </w:rPr>
              <w:t>example,</w:t>
            </w:r>
          </w:p>
        </w:tc>
        <w:tc>
          <w:tcPr>
            <w:tcW w:w="380" w:type="dxa"/>
            <w:vAlign w:val="bottom"/>
          </w:tcPr>
          <w:p>
            <w:pPr>
              <w:jc w:val="right"/>
              <w:spacing w:after="0" w:line="216" w:lineRule="exact"/>
              <w:rPr>
                <w:sz w:val="20"/>
                <w:szCs w:val="20"/>
                <w:color w:val="auto"/>
              </w:rPr>
            </w:pPr>
            <w:r>
              <w:rPr>
                <w:rFonts w:ascii="Arial" w:cs="Arial" w:eastAsia="Arial" w:hAnsi="Arial"/>
                <w:sz w:val="22"/>
                <w:szCs w:val="22"/>
                <w:color w:val="auto"/>
              </w:rPr>
              <w:t>the</w:t>
            </w:r>
          </w:p>
        </w:tc>
      </w:tr>
      <w:tr>
        <w:trPr>
          <w:trHeight w:val="234"/>
        </w:trPr>
        <w:tc>
          <w:tcPr>
            <w:tcW w:w="3120" w:type="dxa"/>
            <w:vAlign w:val="bottom"/>
          </w:tcPr>
          <w:p>
            <w:pPr>
              <w:spacing w:after="0"/>
              <w:rPr>
                <w:sz w:val="20"/>
                <w:szCs w:val="20"/>
                <w:color w:val="auto"/>
              </w:rPr>
            </w:pPr>
          </w:p>
        </w:tc>
        <w:tc>
          <w:tcPr>
            <w:tcW w:w="2020" w:type="dxa"/>
            <w:vAlign w:val="bottom"/>
            <w:gridSpan w:val="2"/>
          </w:tcPr>
          <w:p>
            <w:pPr>
              <w:ind w:left="960"/>
              <w:spacing w:after="0" w:line="234" w:lineRule="exact"/>
              <w:rPr>
                <w:sz w:val="20"/>
                <w:szCs w:val="20"/>
                <w:color w:val="auto"/>
              </w:rPr>
            </w:pPr>
            <w:r>
              <w:rPr>
                <w:rFonts w:ascii="Arial" w:cs="Arial" w:eastAsia="Arial" w:hAnsi="Arial"/>
                <w:sz w:val="22"/>
                <w:szCs w:val="22"/>
                <w:color w:val="auto"/>
                <w:w w:val="97"/>
              </w:rPr>
              <w:t>Committee</w:t>
            </w:r>
          </w:p>
        </w:tc>
        <w:tc>
          <w:tcPr>
            <w:tcW w:w="460" w:type="dxa"/>
            <w:vAlign w:val="bottom"/>
          </w:tcPr>
          <w:p>
            <w:pPr>
              <w:ind w:left="40"/>
              <w:spacing w:after="0" w:line="234" w:lineRule="exact"/>
              <w:rPr>
                <w:sz w:val="20"/>
                <w:szCs w:val="20"/>
                <w:color w:val="auto"/>
              </w:rPr>
            </w:pPr>
            <w:r>
              <w:rPr>
                <w:rFonts w:ascii="Arial" w:cs="Arial" w:eastAsia="Arial" w:hAnsi="Arial"/>
                <w:sz w:val="22"/>
                <w:szCs w:val="22"/>
                <w:color w:val="auto"/>
              </w:rPr>
              <w:t>will</w:t>
            </w:r>
          </w:p>
        </w:tc>
        <w:tc>
          <w:tcPr>
            <w:tcW w:w="620" w:type="dxa"/>
            <w:vAlign w:val="bottom"/>
            <w:gridSpan w:val="2"/>
          </w:tcPr>
          <w:p>
            <w:pPr>
              <w:ind w:left="60"/>
              <w:spacing w:after="0" w:line="234" w:lineRule="exact"/>
              <w:rPr>
                <w:sz w:val="20"/>
                <w:szCs w:val="20"/>
                <w:color w:val="auto"/>
              </w:rPr>
            </w:pPr>
            <w:r>
              <w:rPr>
                <w:rFonts w:ascii="Arial" w:cs="Arial" w:eastAsia="Arial" w:hAnsi="Arial"/>
                <w:sz w:val="22"/>
                <w:szCs w:val="22"/>
                <w:color w:val="auto"/>
                <w:w w:val="91"/>
              </w:rPr>
              <w:t>certify</w:t>
            </w:r>
          </w:p>
        </w:tc>
        <w:tc>
          <w:tcPr>
            <w:tcW w:w="480" w:type="dxa"/>
            <w:vAlign w:val="bottom"/>
          </w:tcPr>
          <w:p>
            <w:pPr>
              <w:jc w:val="right"/>
              <w:spacing w:after="0" w:line="234" w:lineRule="exact"/>
              <w:rPr>
                <w:sz w:val="20"/>
                <w:szCs w:val="20"/>
                <w:color w:val="auto"/>
              </w:rPr>
            </w:pPr>
            <w:r>
              <w:rPr>
                <w:rFonts w:ascii="Arial" w:cs="Arial" w:eastAsia="Arial" w:hAnsi="Arial"/>
                <w:sz w:val="22"/>
                <w:szCs w:val="22"/>
                <w:color w:val="auto"/>
              </w:rPr>
              <w:t>that</w:t>
            </w:r>
          </w:p>
        </w:tc>
        <w:tc>
          <w:tcPr>
            <w:tcW w:w="1400" w:type="dxa"/>
            <w:vAlign w:val="bottom"/>
            <w:gridSpan w:val="2"/>
          </w:tcPr>
          <w:p>
            <w:pPr>
              <w:ind w:left="140"/>
              <w:spacing w:after="0" w:line="234" w:lineRule="exact"/>
              <w:rPr>
                <w:sz w:val="20"/>
                <w:szCs w:val="20"/>
                <w:color w:val="auto"/>
              </w:rPr>
            </w:pPr>
            <w:r>
              <w:rPr>
                <w:rFonts w:ascii="Arial" w:cs="Arial" w:eastAsia="Arial" w:hAnsi="Arial"/>
                <w:sz w:val="22"/>
                <w:szCs w:val="22"/>
                <w:color w:val="auto"/>
              </w:rPr>
              <w:t>90%  of  the</w:t>
            </w:r>
          </w:p>
        </w:tc>
        <w:tc>
          <w:tcPr>
            <w:tcW w:w="540" w:type="dxa"/>
            <w:vAlign w:val="bottom"/>
            <w:gridSpan w:val="2"/>
          </w:tcPr>
          <w:p>
            <w:pPr>
              <w:jc w:val="right"/>
              <w:spacing w:after="0" w:line="234" w:lineRule="exact"/>
              <w:rPr>
                <w:sz w:val="20"/>
                <w:szCs w:val="20"/>
                <w:color w:val="auto"/>
              </w:rPr>
            </w:pPr>
            <w:r>
              <w:rPr>
                <w:rFonts w:ascii="Arial" w:cs="Arial" w:eastAsia="Arial" w:hAnsi="Arial"/>
                <w:sz w:val="22"/>
                <w:szCs w:val="22"/>
                <w:color w:val="auto"/>
                <w:w w:val="85"/>
              </w:rPr>
              <w:t>PRSU</w:t>
            </w:r>
          </w:p>
        </w:tc>
      </w:tr>
    </w:tbl>
    <w:p>
      <w:pPr>
        <w:ind w:left="4260" w:right="199"/>
        <w:spacing w:after="0" w:line="234" w:lineRule="auto"/>
        <w:rPr>
          <w:sz w:val="20"/>
          <w:szCs w:val="20"/>
          <w:color w:val="auto"/>
        </w:rPr>
      </w:pPr>
      <w:r>
        <w:rPr>
          <w:rFonts w:ascii="Arial" w:cs="Arial" w:eastAsia="Arial" w:hAnsi="Arial"/>
          <w:sz w:val="21"/>
          <w:szCs w:val="21"/>
          <w:color w:val="auto"/>
        </w:rPr>
        <w:t>Criteria was met. As a result, the grantee would be entitled to vesting as to 90% of the PRSUs.</w:t>
      </w:r>
    </w:p>
    <w:p>
      <w:pPr>
        <w:spacing w:after="0" w:line="375" w:lineRule="exact"/>
        <w:rPr>
          <w:sz w:val="20"/>
          <w:szCs w:val="20"/>
          <w:color w:val="auto"/>
        </w:rPr>
      </w:pPr>
    </w:p>
    <w:p>
      <w:pPr>
        <w:jc w:val="both"/>
        <w:ind w:left="180" w:right="199"/>
        <w:spacing w:after="0" w:line="214" w:lineRule="auto"/>
        <w:rPr>
          <w:sz w:val="20"/>
          <w:szCs w:val="20"/>
          <w:color w:val="auto"/>
        </w:rPr>
      </w:pPr>
      <w:r>
        <w:rPr>
          <w:rFonts w:ascii="Arial" w:cs="Arial" w:eastAsia="Arial" w:hAnsi="Arial"/>
          <w:sz w:val="22"/>
          <w:szCs w:val="22"/>
          <w:color w:val="auto"/>
        </w:rPr>
        <w:t>THE UNDERSIGNED RECIPIENT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62" w:right="1440" w:bottom="1440" w:gutter="0" w:footer="0" w:header="0"/>
        </w:sectPr>
      </w:pPr>
    </w:p>
    <w:bookmarkStart w:id="146" w:name="page147"/>
    <w:bookmarkEnd w:id="146"/>
    <w:p>
      <w:pPr>
        <w:ind w:left="180"/>
        <w:spacing w:after="0"/>
        <w:rPr>
          <w:sz w:val="20"/>
          <w:szCs w:val="20"/>
          <w:color w:val="auto"/>
        </w:rPr>
      </w:pPr>
      <w:r>
        <w:rPr>
          <w:rFonts w:ascii="Arial" w:cs="Arial" w:eastAsia="Arial" w:hAnsi="Arial"/>
          <w:sz w:val="19"/>
          <w:szCs w:val="19"/>
          <w:color w:val="auto"/>
        </w:rPr>
        <w:t>The Restricted Stock Unit Grant Notice is dated as of [__________], 20[__].</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“Company”</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Reading International, Inc.</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Name: Ellen Cotter</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Title: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“Recipient”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Name:_____________________________</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Title:______________________________</w:t>
      </w:r>
    </w:p>
    <w:p>
      <w:pPr>
        <w:spacing w:after="0" w:line="200" w:lineRule="exact"/>
        <w:rPr>
          <w:sz w:val="20"/>
          <w:szCs w:val="20"/>
          <w:color w:val="auto"/>
        </w:rPr>
      </w:pPr>
    </w:p>
    <w:p>
      <w:pPr>
        <w:sectPr>
          <w:pgSz w:w="11900" w:h="16838" w:orient="portrait"/>
          <w:cols w:equalWidth="0" w:num="2">
            <w:col w:w="4160" w:space="460"/>
            <w:col w:w="4399"/>
          </w:cols>
          <w:pgMar w:left="144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90805</wp:posOffset>
            </wp:positionV>
            <wp:extent cx="5528945"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47" w:name="page148"/>
    <w:bookmarkEnd w:id="147"/>
    <w:p>
      <w:pPr>
        <w:jc w:val="center"/>
        <w:ind w:right="19"/>
        <w:spacing w:after="0"/>
        <w:rPr>
          <w:sz w:val="20"/>
          <w:szCs w:val="20"/>
          <w:color w:val="auto"/>
        </w:rPr>
      </w:pPr>
      <w:r>
        <w:rPr>
          <w:rFonts w:ascii="Arial" w:cs="Arial" w:eastAsia="Arial" w:hAnsi="Arial"/>
          <w:sz w:val="22"/>
          <w:szCs w:val="22"/>
          <w:b w:val="1"/>
          <w:bCs w:val="1"/>
          <w:color w:val="auto"/>
        </w:rPr>
        <w:t>READING INTERNATIONAL, INC.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pacing w:after="0" w:line="179" w:lineRule="exact"/>
        <w:rPr>
          <w:sz w:val="20"/>
          <w:szCs w:val="20"/>
          <w:color w:val="auto"/>
        </w:rPr>
      </w:pPr>
    </w:p>
    <w:p>
      <w:pPr>
        <w:jc w:val="both"/>
        <w:ind w:left="180" w:right="199" w:firstLine="1296"/>
        <w:spacing w:after="0" w:line="250" w:lineRule="auto"/>
        <w:rPr>
          <w:sz w:val="20"/>
          <w:szCs w:val="20"/>
          <w:color w:val="auto"/>
        </w:rPr>
      </w:pPr>
      <w:r>
        <w:rPr>
          <w:rFonts w:ascii="Arial" w:cs="Arial" w:eastAsia="Arial" w:hAnsi="Arial"/>
          <w:sz w:val="19"/>
          <w:szCs w:val="19"/>
          <w:color w:val="auto"/>
        </w:rPr>
        <w:t>This Restricted Stock Unit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this [__]th day of [_______] 20[__] (“</w:t>
      </w:r>
      <w:r>
        <w:rPr>
          <w:rFonts w:ascii="Arial" w:cs="Arial" w:eastAsia="Arial" w:hAnsi="Arial"/>
          <w:sz w:val="19"/>
          <w:szCs w:val="19"/>
          <w:b w:val="1"/>
          <w:bCs w:val="1"/>
          <w:color w:val="auto"/>
        </w:rPr>
        <w:t>Grant Date</w:t>
      </w:r>
      <w:r>
        <w:rPr>
          <w:rFonts w:ascii="Arial" w:cs="Arial" w:eastAsia="Arial" w:hAnsi="Arial"/>
          <w:sz w:val="19"/>
          <w:szCs w:val="19"/>
          <w:color w:val="auto"/>
        </w:rPr>
        <w:t>”) by and between Reading International,</w:t>
      </w:r>
    </w:p>
    <w:p>
      <w:pPr>
        <w:spacing w:after="0" w:line="1" w:lineRule="exact"/>
        <w:rPr>
          <w:sz w:val="20"/>
          <w:szCs w:val="20"/>
          <w:color w:val="auto"/>
        </w:rPr>
      </w:pPr>
    </w:p>
    <w:p>
      <w:pPr>
        <w:jc w:val="both"/>
        <w:ind w:left="180" w:right="199"/>
        <w:spacing w:after="0" w:line="217" w:lineRule="auto"/>
        <w:rPr>
          <w:sz w:val="20"/>
          <w:szCs w:val="20"/>
          <w:color w:val="auto"/>
        </w:rPr>
      </w:pPr>
      <w:r>
        <w:rPr>
          <w:rFonts w:ascii="Arial" w:cs="Arial" w:eastAsia="Arial" w:hAnsi="Arial"/>
          <w:sz w:val="22"/>
          <w:szCs w:val="22"/>
          <w:color w:val="auto"/>
        </w:rPr>
        <w:t>Inc., a Nevada corporation (the “Company”) and the undersigned Recipient. Capitalized terms not defined herein shall have the meaning ascribed to them the in the Company’s 2020 Stock Incentive Plan, as amended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60" w:lineRule="exact"/>
        <w:rPr>
          <w:sz w:val="20"/>
          <w:szCs w:val="20"/>
          <w:color w:val="auto"/>
        </w:rPr>
      </w:pPr>
    </w:p>
    <w:p>
      <w:pPr>
        <w:jc w:val="both"/>
        <w:ind w:left="180" w:right="199" w:firstLine="652"/>
        <w:spacing w:after="0" w:line="218" w:lineRule="auto"/>
        <w:tabs>
          <w:tab w:leader="none" w:pos="158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Company hereby grants to the Recipient the share units indicated in the Restricted Stock Unit Grant Notice (such units, the “</w:t>
      </w:r>
      <w:r>
        <w:rPr>
          <w:rFonts w:ascii="Arial" w:cs="Arial" w:eastAsia="Arial" w:hAnsi="Arial"/>
          <w:sz w:val="22"/>
          <w:szCs w:val="22"/>
          <w:b w:val="1"/>
          <w:bCs w:val="1"/>
          <w:color w:val="auto"/>
        </w:rPr>
        <w:t>Restricted Stock</w:t>
      </w:r>
      <w:r>
        <w:rPr>
          <w:rFonts w:ascii="Arial" w:cs="Arial" w:eastAsia="Arial" w:hAnsi="Arial"/>
          <w:sz w:val="22"/>
          <w:szCs w:val="22"/>
          <w:color w:val="auto"/>
        </w:rPr>
        <w:t xml:space="preserve"> </w:t>
      </w:r>
      <w:r>
        <w:rPr>
          <w:rFonts w:ascii="Arial" w:cs="Arial" w:eastAsia="Arial" w:hAnsi="Arial"/>
          <w:sz w:val="22"/>
          <w:szCs w:val="22"/>
          <w:b w:val="1"/>
          <w:bCs w:val="1"/>
          <w:color w:val="auto"/>
        </w:rPr>
        <w:t>Units</w:t>
      </w:r>
      <w:r>
        <w:rPr>
          <w:rFonts w:ascii="Arial" w:cs="Arial" w:eastAsia="Arial" w:hAnsi="Arial"/>
          <w:sz w:val="22"/>
          <w:szCs w:val="22"/>
          <w:color w:val="auto"/>
        </w:rPr>
        <w:t>”), subject to all of the terms and conditions of this Restricted Stock Unit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w:t>
      </w:r>
    </w:p>
    <w:p>
      <w:pPr>
        <w:spacing w:after="0" w:line="160" w:lineRule="exact"/>
        <w:rPr>
          <w:rFonts w:ascii="Arial" w:cs="Arial" w:eastAsia="Arial" w:hAnsi="Arial"/>
          <w:sz w:val="22"/>
          <w:szCs w:val="22"/>
          <w:color w:val="auto"/>
        </w:rPr>
      </w:pPr>
    </w:p>
    <w:p>
      <w:pPr>
        <w:ind w:left="1480" w:hanging="648"/>
        <w:spacing w:after="0"/>
        <w:tabs>
          <w:tab w:leader="none" w:pos="14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Vesting and 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480" w:right="199"/>
        <w:spacing w:after="0" w:line="234" w:lineRule="auto"/>
        <w:rPr>
          <w:rFonts w:ascii="Arial" w:cs="Arial" w:eastAsia="Arial" w:hAnsi="Arial"/>
          <w:sz w:val="22"/>
          <w:szCs w:val="22"/>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Vesting Schedule</w:t>
      </w:r>
      <w:r>
        <w:rPr>
          <w:rFonts w:ascii="Arial" w:cs="Arial" w:eastAsia="Arial" w:hAnsi="Arial"/>
          <w:sz w:val="21"/>
          <w:szCs w:val="21"/>
          <w:color w:val="auto"/>
        </w:rPr>
        <w:t>. Subject to the limitations set forth in this Section 2, Restricted Stock Units, including RSUs and/or PRSUs, will vest, if at all, in accordance with the vesting schedules set forth in the attached Grant Notice.</w:t>
      </w:r>
    </w:p>
    <w:p>
      <w:pPr>
        <w:spacing w:after="0" w:line="157" w:lineRule="exact"/>
        <w:rPr>
          <w:rFonts w:ascii="Arial" w:cs="Arial" w:eastAsia="Arial" w:hAnsi="Arial"/>
          <w:sz w:val="22"/>
          <w:szCs w:val="22"/>
          <w:color w:val="auto"/>
        </w:rPr>
      </w:pPr>
    </w:p>
    <w:p>
      <w:pPr>
        <w:jc w:val="both"/>
        <w:ind w:left="1480" w:right="199"/>
        <w:spacing w:after="0" w:line="214" w:lineRule="auto"/>
        <w:rPr>
          <w:rFonts w:ascii="Arial" w:cs="Arial" w:eastAsia="Arial" w:hAnsi="Arial"/>
          <w:sz w:val="22"/>
          <w:szCs w:val="22"/>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Forfeiture upon Termination</w:t>
      </w:r>
      <w:r>
        <w:rPr>
          <w:rFonts w:ascii="Arial" w:cs="Arial" w:eastAsia="Arial" w:hAnsi="Arial"/>
          <w:sz w:val="22"/>
          <w:szCs w:val="22"/>
          <w:color w:val="auto"/>
        </w:rPr>
        <w:t>. Subject to the provisions of Section 2.3, upon termination of the Recipient’s Service, whether by the Company or by the Recipient, any unvested Restricted Stock Units shall be immediately forfeited and neither the Recipient nor any of the Recipient’s successors, heirs, assigns or personal representatives shall thereafter have any further rights or interests in such Restricted Stock Units.</w:t>
      </w:r>
    </w:p>
    <w:p>
      <w:pPr>
        <w:spacing w:after="0" w:line="158"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Acceleration of Vesting</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480" w:right="199" w:firstLine="648"/>
        <w:spacing w:after="0" w:line="247" w:lineRule="auto"/>
        <w:tabs>
          <w:tab w:leader="none" w:pos="2813" w:val="left"/>
        </w:tabs>
        <w:numPr>
          <w:ilvl w:val="1"/>
          <w:numId w:val="52"/>
        </w:numPr>
        <w:rPr>
          <w:rFonts w:ascii="Arial" w:cs="Arial" w:eastAsia="Arial" w:hAnsi="Arial"/>
          <w:sz w:val="21"/>
          <w:szCs w:val="21"/>
          <w:color w:val="auto"/>
        </w:rPr>
      </w:pPr>
      <w:r>
        <w:rPr>
          <w:rFonts w:ascii="Arial" w:cs="Arial" w:eastAsia="Arial" w:hAnsi="Arial"/>
          <w:sz w:val="21"/>
          <w:szCs w:val="21"/>
          <w:color w:val="auto"/>
        </w:rPr>
        <w:t>In the event of Recipient’s death or Disability (as defined in the Plan), unvested RestrictCed Stock Units shall be eligible for vesting as follows:</w:t>
      </w:r>
    </w:p>
    <w:p>
      <w:pPr>
        <w:spacing w:after="0" w:line="150" w:lineRule="exact"/>
        <w:rPr>
          <w:rFonts w:ascii="Arial" w:cs="Arial" w:eastAsia="Arial" w:hAnsi="Arial"/>
          <w:sz w:val="21"/>
          <w:szCs w:val="21"/>
          <w:color w:val="auto"/>
        </w:rPr>
      </w:pPr>
    </w:p>
    <w:p>
      <w:pPr>
        <w:ind w:left="2120" w:right="199" w:firstLine="656"/>
        <w:spacing w:after="0" w:line="232" w:lineRule="auto"/>
        <w:tabs>
          <w:tab w:leader="none" w:pos="3417" w:val="left"/>
        </w:tabs>
        <w:numPr>
          <w:ilvl w:val="2"/>
          <w:numId w:val="52"/>
        </w:numPr>
        <w:rPr>
          <w:rFonts w:ascii="Arial" w:cs="Arial" w:eastAsia="Arial" w:hAnsi="Arial"/>
          <w:sz w:val="22"/>
          <w:szCs w:val="22"/>
          <w:color w:val="auto"/>
        </w:rPr>
      </w:pPr>
      <w:r>
        <w:rPr>
          <w:rFonts w:ascii="Arial" w:cs="Arial" w:eastAsia="Arial" w:hAnsi="Arial"/>
          <w:sz w:val="22"/>
          <w:szCs w:val="22"/>
          <w:color w:val="auto"/>
        </w:rPr>
        <w:t>RSUs: All unvested RSUs will immediately vest as of the date of death or Disability.</w:t>
      </w:r>
    </w:p>
    <w:p>
      <w:pPr>
        <w:spacing w:after="0" w:line="158" w:lineRule="exact"/>
        <w:rPr>
          <w:rFonts w:ascii="Arial" w:cs="Arial" w:eastAsia="Arial" w:hAnsi="Arial"/>
          <w:sz w:val="22"/>
          <w:szCs w:val="22"/>
          <w:color w:val="auto"/>
        </w:rPr>
      </w:pPr>
    </w:p>
    <w:p>
      <w:pPr>
        <w:jc w:val="both"/>
        <w:ind w:left="2120" w:right="199" w:firstLine="656"/>
        <w:spacing w:after="0" w:line="246" w:lineRule="auto"/>
        <w:tabs>
          <w:tab w:leader="none" w:pos="3410" w:val="left"/>
        </w:tabs>
        <w:numPr>
          <w:ilvl w:val="2"/>
          <w:numId w:val="52"/>
        </w:numPr>
        <w:rPr>
          <w:rFonts w:ascii="Arial" w:cs="Arial" w:eastAsia="Arial" w:hAnsi="Arial"/>
          <w:sz w:val="19"/>
          <w:szCs w:val="19"/>
          <w:color w:val="auto"/>
        </w:rPr>
      </w:pPr>
      <w:r>
        <w:rPr>
          <w:rFonts w:ascii="Arial" w:cs="Arial" w:eastAsia="Arial" w:hAnsi="Arial"/>
          <w:sz w:val="19"/>
          <w:szCs w:val="19"/>
          <w:color w:val="auto"/>
        </w:rPr>
        <w:t>PRSUs: A pro rata percentage of the unvested PRSUs will immediately vest to the extent PRSU Criteria has been met for a calendar year, and any PRSU grant amount that remains subject to a PRSU Criteria determination will vest pro rata by a percentage based on the number of whole months elapsed between the Grant Date and the date of the Recipient’s death or Disability, divided by 36. (For purposes of illustration only, assume the Recipient dies 6½ months after the Grant Date. In such case, the PRSU for such person will be vested 16.7% (6/36).</w:t>
      </w:r>
    </w:p>
    <w:p>
      <w:pPr>
        <w:spacing w:after="0" w:line="152" w:lineRule="exact"/>
        <w:rPr>
          <w:rFonts w:ascii="Arial" w:cs="Arial" w:eastAsia="Arial" w:hAnsi="Arial"/>
          <w:sz w:val="19"/>
          <w:szCs w:val="19"/>
          <w:color w:val="auto"/>
        </w:rPr>
      </w:pPr>
    </w:p>
    <w:p>
      <w:pPr>
        <w:jc w:val="both"/>
        <w:ind w:left="1480" w:right="199" w:firstLine="648"/>
        <w:spacing w:after="0" w:line="268" w:lineRule="auto"/>
        <w:tabs>
          <w:tab w:leader="none" w:pos="2825" w:val="left"/>
        </w:tabs>
        <w:numPr>
          <w:ilvl w:val="1"/>
          <w:numId w:val="52"/>
        </w:numPr>
        <w:rPr>
          <w:rFonts w:ascii="Arial" w:cs="Arial" w:eastAsia="Arial" w:hAnsi="Arial"/>
          <w:sz w:val="19"/>
          <w:szCs w:val="19"/>
          <w:color w:val="auto"/>
        </w:rPr>
      </w:pPr>
      <w:r>
        <w:rPr>
          <w:rFonts w:ascii="Arial" w:cs="Arial" w:eastAsia="Arial" w:hAnsi="Arial"/>
          <w:sz w:val="19"/>
          <w:szCs w:val="19"/>
          <w:color w:val="auto"/>
        </w:rPr>
        <w:t>In the event of a Change of Control on or before [________], 20[__], the PRSU’s will be converted automatically into RSU’s, except that with respect to such RSU’s only, the RSU Vesting Dates shall be one-third (1/3) shall vest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8" w:name="page149"/>
    <w:bookmarkEnd w:id="148"/>
    <w:p>
      <w:pPr>
        <w:ind w:left="1480"/>
        <w:spacing w:after="0"/>
        <w:rPr>
          <w:sz w:val="20"/>
          <w:szCs w:val="20"/>
          <w:color w:val="auto"/>
        </w:rPr>
      </w:pPr>
      <w:r>
        <w:rPr>
          <w:rFonts w:ascii="Arial" w:cs="Arial" w:eastAsia="Arial" w:hAnsi="Arial"/>
          <w:sz w:val="19"/>
          <w:szCs w:val="19"/>
          <w:color w:val="auto"/>
        </w:rPr>
        <w:t>[_________], 20[__], one-third (1/3) shall vest [________], 20[__] and one-third</w:t>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(1/3) shall vest [_________], 20[__].</w:t>
      </w:r>
    </w:p>
    <w:p>
      <w:pPr>
        <w:spacing w:after="0" w:line="161" w:lineRule="exact"/>
        <w:rPr>
          <w:sz w:val="20"/>
          <w:szCs w:val="20"/>
          <w:color w:val="auto"/>
        </w:rPr>
      </w:pPr>
    </w:p>
    <w:p>
      <w:pPr>
        <w:jc w:val="both"/>
        <w:ind w:left="1480" w:right="199" w:firstLine="648"/>
        <w:spacing w:after="0" w:line="216" w:lineRule="auto"/>
        <w:tabs>
          <w:tab w:leader="none" w:pos="2813"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that, within twenty-four months after a Change in Control, Recipient is Terminated Without Cause by the Company or any successor Person, or Resigns For Good Reason, and the Recipient is not a Participant in such Change in Control, unvested Restricted Stock Units shall be eligible for vesting as follows:</w:t>
      </w:r>
    </w:p>
    <w:p>
      <w:pPr>
        <w:spacing w:after="0" w:line="157" w:lineRule="exact"/>
        <w:rPr>
          <w:rFonts w:ascii="Arial" w:cs="Arial" w:eastAsia="Arial" w:hAnsi="Arial"/>
          <w:sz w:val="22"/>
          <w:szCs w:val="22"/>
          <w:color w:val="auto"/>
        </w:rPr>
      </w:pPr>
    </w:p>
    <w:p>
      <w:pPr>
        <w:jc w:val="both"/>
        <w:ind w:left="2120" w:right="199" w:firstLine="656"/>
        <w:spacing w:after="0" w:line="218" w:lineRule="auto"/>
        <w:tabs>
          <w:tab w:leader="none" w:pos="3417" w:val="left"/>
        </w:tabs>
        <w:numPr>
          <w:ilvl w:val="1"/>
          <w:numId w:val="53"/>
        </w:numPr>
        <w:rPr>
          <w:rFonts w:ascii="Arial" w:cs="Arial" w:eastAsia="Arial" w:hAnsi="Arial"/>
          <w:sz w:val="22"/>
          <w:szCs w:val="22"/>
          <w:color w:val="auto"/>
        </w:rPr>
      </w:pPr>
      <w:r>
        <w:rPr>
          <w:rFonts w:ascii="Arial" w:cs="Arial" w:eastAsia="Arial" w:hAnsi="Arial"/>
          <w:sz w:val="22"/>
          <w:szCs w:val="22"/>
          <w:color w:val="auto"/>
        </w:rPr>
        <w:t>RSUs: All unvested RSUs shall automatically accelerate so that all such RSUs shall, immediately when the Recipient is Terminated Without Cause or Resigns for Good Reason, become fully vested, free of all restrictions.</w:t>
      </w:r>
    </w:p>
    <w:p>
      <w:pPr>
        <w:spacing w:after="0" w:line="160" w:lineRule="exact"/>
        <w:rPr>
          <w:rFonts w:ascii="Arial" w:cs="Arial" w:eastAsia="Arial" w:hAnsi="Arial"/>
          <w:sz w:val="22"/>
          <w:szCs w:val="22"/>
          <w:color w:val="auto"/>
        </w:rPr>
      </w:pPr>
    </w:p>
    <w:p>
      <w:pPr>
        <w:jc w:val="both"/>
        <w:ind w:left="2120" w:right="199" w:firstLine="656"/>
        <w:spacing w:after="0" w:line="223" w:lineRule="auto"/>
        <w:tabs>
          <w:tab w:leader="none" w:pos="3410" w:val="left"/>
        </w:tabs>
        <w:numPr>
          <w:ilvl w:val="1"/>
          <w:numId w:val="53"/>
        </w:numPr>
        <w:rPr>
          <w:rFonts w:ascii="Arial" w:cs="Arial" w:eastAsia="Arial" w:hAnsi="Arial"/>
          <w:sz w:val="22"/>
          <w:szCs w:val="22"/>
          <w:color w:val="auto"/>
        </w:rPr>
      </w:pPr>
      <w:r>
        <w:rPr>
          <w:rFonts w:ascii="Arial" w:cs="Arial" w:eastAsia="Arial" w:hAnsi="Arial"/>
          <w:sz w:val="22"/>
          <w:szCs w:val="22"/>
          <w:color w:val="auto"/>
        </w:rPr>
        <w:t>PRSUs: All unvested PRSUs will be vested in the same manner as under Section 2.3(a)(ii) through the date the Recipient is Terminated Without Cause or Resigns for Good Reason.</w:t>
      </w:r>
    </w:p>
    <w:p>
      <w:pPr>
        <w:spacing w:after="0" w:line="158" w:lineRule="exact"/>
        <w:rPr>
          <w:rFonts w:ascii="Arial" w:cs="Arial" w:eastAsia="Arial" w:hAnsi="Arial"/>
          <w:sz w:val="22"/>
          <w:szCs w:val="22"/>
          <w:color w:val="auto"/>
        </w:rPr>
      </w:pPr>
    </w:p>
    <w:p>
      <w:pPr>
        <w:jc w:val="both"/>
        <w:ind w:left="1480" w:right="199" w:firstLine="648"/>
        <w:spacing w:after="0" w:line="249" w:lineRule="auto"/>
        <w:tabs>
          <w:tab w:leader="none" w:pos="2825"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the event of a Corporate Transaction in which the Restricted Stock Units are not to be Appropriately Replaced at or prior to the effective time of such Corporate Transaction, the vesting of all Restricted Stock Units (whether RSUs or PRSUs) which are not otherwise fully vested shall automatically accelerate so that all such Restricted Stock Units shall immediately prior to the effective time of the Corporate Transaction, become fully vested, free of all restrictions.</w:t>
      </w:r>
    </w:p>
    <w:p>
      <w:pPr>
        <w:spacing w:after="0" w:line="151" w:lineRule="exact"/>
        <w:rPr>
          <w:rFonts w:ascii="Arial" w:cs="Arial" w:eastAsia="Arial" w:hAnsi="Arial"/>
          <w:sz w:val="19"/>
          <w:szCs w:val="19"/>
          <w:color w:val="auto"/>
        </w:rPr>
      </w:pPr>
    </w:p>
    <w:p>
      <w:pPr>
        <w:jc w:val="both"/>
        <w:ind w:left="1480" w:right="199" w:firstLine="648"/>
        <w:spacing w:after="0" w:line="244" w:lineRule="auto"/>
        <w:tabs>
          <w:tab w:leader="none" w:pos="2813"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the event that, within twenty-four months after a Corporate Transaction at or prior to which the Restricted Stock Units have been Appropriately Replaced, Recipient is Terminated Without Cause by the Company or any successor Person, or Resigns For Good Reason, and the Recipient is not a Participant in such Corporate Transaction, the vesting of all Restricted Stock Units (whether RSUs, PRSUs or the substitute awards by which the Restricted Stock Units are Appropriately Replaced) which are not otherwise fully vested shall automatically accelerate so that all such Restricted Stock Units (or such substitute awards) shall, immediately when the Recipient is Terminated Without Cause or Resigns For Good Reason, become fully vested, free of all restrictions.</w:t>
      </w:r>
    </w:p>
    <w:p>
      <w:pPr>
        <w:spacing w:after="0" w:line="154" w:lineRule="exact"/>
        <w:rPr>
          <w:rFonts w:ascii="Arial" w:cs="Arial" w:eastAsia="Arial" w:hAnsi="Arial"/>
          <w:sz w:val="19"/>
          <w:szCs w:val="19"/>
          <w:color w:val="auto"/>
        </w:rPr>
      </w:pPr>
    </w:p>
    <w:p>
      <w:pPr>
        <w:ind w:left="2780" w:hanging="652"/>
        <w:spacing w:after="0"/>
        <w:tabs>
          <w:tab w:leader="none" w:pos="27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For purposes of this Section 2.3:</w:t>
      </w:r>
    </w:p>
    <w:p>
      <w:pPr>
        <w:spacing w:after="0" w:line="173" w:lineRule="exact"/>
        <w:rPr>
          <w:rFonts w:ascii="Arial" w:cs="Arial" w:eastAsia="Arial" w:hAnsi="Arial"/>
          <w:sz w:val="22"/>
          <w:szCs w:val="22"/>
          <w:color w:val="auto"/>
        </w:rPr>
      </w:pPr>
    </w:p>
    <w:p>
      <w:pPr>
        <w:jc w:val="both"/>
        <w:ind w:left="2120" w:right="199" w:firstLine="656"/>
        <w:spacing w:after="0" w:line="246" w:lineRule="auto"/>
        <w:tabs>
          <w:tab w:leader="none" w:pos="3417" w:val="left"/>
        </w:tabs>
        <w:numPr>
          <w:ilvl w:val="1"/>
          <w:numId w:val="53"/>
        </w:numPr>
        <w:rPr>
          <w:rFonts w:ascii="Arial" w:cs="Arial" w:eastAsia="Arial" w:hAnsi="Arial"/>
          <w:sz w:val="19"/>
          <w:szCs w:val="19"/>
          <w:color w:val="auto"/>
        </w:rPr>
      </w:pPr>
      <w:r>
        <w:rPr>
          <w:rFonts w:ascii="Arial" w:cs="Arial" w:eastAsia="Arial" w:hAnsi="Arial"/>
          <w:sz w:val="19"/>
          <w:szCs w:val="19"/>
          <w:color w:val="auto"/>
        </w:rPr>
        <w:t>Restricted Stock Units shall be considered “</w:t>
      </w:r>
      <w:r>
        <w:rPr>
          <w:rFonts w:ascii="Arial" w:cs="Arial" w:eastAsia="Arial" w:hAnsi="Arial"/>
          <w:sz w:val="19"/>
          <w:szCs w:val="19"/>
          <w:b w:val="1"/>
          <w:bCs w:val="1"/>
          <w:color w:val="auto"/>
        </w:rPr>
        <w:t>Appropriately</w:t>
      </w:r>
      <w:r>
        <w:rPr>
          <w:rFonts w:ascii="Arial" w:cs="Arial" w:eastAsia="Arial" w:hAnsi="Arial"/>
          <w:sz w:val="19"/>
          <w:szCs w:val="19"/>
          <w:color w:val="auto"/>
        </w:rPr>
        <w:t xml:space="preserve"> </w:t>
      </w:r>
      <w:r>
        <w:rPr>
          <w:rFonts w:ascii="Arial" w:cs="Arial" w:eastAsia="Arial" w:hAnsi="Arial"/>
          <w:sz w:val="19"/>
          <w:szCs w:val="19"/>
          <w:b w:val="1"/>
          <w:bCs w:val="1"/>
          <w:color w:val="auto"/>
        </w:rPr>
        <w:t>Replaced</w:t>
      </w:r>
      <w:r>
        <w:rPr>
          <w:rFonts w:ascii="Arial" w:cs="Arial" w:eastAsia="Arial" w:hAnsi="Arial"/>
          <w:sz w:val="19"/>
          <w:szCs w:val="19"/>
          <w:color w:val="auto"/>
        </w:rPr>
        <w:t>” if, in addition to providing for acceleration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clause (d) of this Section 2.3, at or prior to the Corporate Transaction, in the judgment of the Committee as constituted at the time the Corporate Transaction is proposed or announced to the Company (the “</w:t>
      </w:r>
      <w:r>
        <w:rPr>
          <w:rFonts w:ascii="Arial" w:cs="Arial" w:eastAsia="Arial" w:hAnsi="Arial"/>
          <w:sz w:val="19"/>
          <w:szCs w:val="19"/>
          <w:b w:val="1"/>
          <w:bCs w:val="1"/>
          <w:color w:val="auto"/>
        </w:rPr>
        <w:t>Evaluating</w:t>
      </w:r>
      <w:r>
        <w:rPr>
          <w:rFonts w:ascii="Arial" w:cs="Arial" w:eastAsia="Arial" w:hAnsi="Arial"/>
          <w:sz w:val="19"/>
          <w:szCs w:val="19"/>
          <w:color w:val="auto"/>
        </w:rPr>
        <w:t xml:space="preserve"> </w:t>
      </w:r>
      <w:r>
        <w:rPr>
          <w:rFonts w:ascii="Arial" w:cs="Arial" w:eastAsia="Arial" w:hAnsi="Arial"/>
          <w:sz w:val="19"/>
          <w:szCs w:val="19"/>
          <w:b w:val="1"/>
          <w:bCs w:val="1"/>
          <w:color w:val="auto"/>
        </w:rPr>
        <w:t>Committee</w:t>
      </w:r>
      <w:r>
        <w:rPr>
          <w:rFonts w:ascii="Arial" w:cs="Arial" w:eastAsia="Arial" w:hAnsi="Arial"/>
          <w:sz w:val="19"/>
          <w:szCs w:val="19"/>
          <w:color w:val="auto"/>
        </w:rPr>
        <w:t>”), the Restricted Stock Units or a substituted award will confer</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to receive, for each share of Common Stock that may be received pursuant to the Restricted Stock Units existing immediately prior to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9" w:name="page150"/>
    <w:bookmarkEnd w:id="149"/>
    <w:p>
      <w:pPr>
        <w:jc w:val="both"/>
        <w:ind w:left="2120" w:right="199"/>
        <w:spacing w:after="0"/>
        <w:rPr>
          <w:sz w:val="20"/>
          <w:szCs w:val="20"/>
          <w:color w:val="auto"/>
        </w:rPr>
      </w:pPr>
      <w:r>
        <w:rPr>
          <w:rFonts w:ascii="Arial" w:cs="Arial" w:eastAsia="Arial" w:hAnsi="Arial"/>
          <w:sz w:val="19"/>
          <w:szCs w:val="19"/>
          <w:color w:val="auto"/>
        </w:rPr>
        <w:t>Corporate Transaction, on substantially the same vesting and other terms and conditions (including acceleration if the Recipient is Terminated Without Cause or Resigns For Good Reason) as were applicable to the Restricted Stock Units immediately prior to the Corporate Transaction, the consideration (whether stock, cash or other securities or property) to be received in the Corporate Transaction by holders of Common Stock for each such share held on the effective date of such transaction (and if holders were offered a choice of consideration, the type of consideration chosen by the holders of a majority of the outstanding shares of Common Stock); provided, however, that if such consideration to be received in the transaction constituting a Corporate Transaction is not solely cash and/or common stock of the successor company or its parent or subsidiary, the Evaluating Committee may, if the obligations are to be assumed by the successor company, or its parent or subsidiary, approve that the consideration to be received upon the exercise or vesting of the Restricted Stock Units (or the substituted award) will be common stock of the successor company or its parent or subsidiary substantially equal in fair market value to the per-share consideration received by holders of Common Stock in the transaction constituting a Corporate Transaction. The determination of such substantial equality of value of consideration shall be made by the Evaluating Committee in its sole discretion and its determination shall be conclusive and binding.</w:t>
      </w:r>
    </w:p>
    <w:p>
      <w:pPr>
        <w:spacing w:after="0" w:line="375" w:lineRule="exact"/>
        <w:rPr>
          <w:sz w:val="20"/>
          <w:szCs w:val="20"/>
          <w:color w:val="auto"/>
        </w:rPr>
      </w:pPr>
    </w:p>
    <w:p>
      <w:pPr>
        <w:ind w:left="3420" w:hanging="644"/>
        <w:spacing w:after="0"/>
        <w:tabs>
          <w:tab w:leader="none" w:pos="34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w:t>
      </w:r>
    </w:p>
    <w:p>
      <w:pPr>
        <w:spacing w:after="0" w:line="185" w:lineRule="exact"/>
        <w:rPr>
          <w:rFonts w:ascii="Arial" w:cs="Arial" w:eastAsia="Arial" w:hAnsi="Arial"/>
          <w:sz w:val="22"/>
          <w:szCs w:val="22"/>
          <w:color w:val="auto"/>
        </w:rPr>
      </w:pPr>
    </w:p>
    <w:p>
      <w:pPr>
        <w:jc w:val="both"/>
        <w:ind w:left="2780" w:right="199" w:firstLine="644"/>
        <w:spacing w:after="0" w:line="234" w:lineRule="auto"/>
        <w:tabs>
          <w:tab w:leader="none" w:pos="4173" w:val="left"/>
        </w:tabs>
        <w:numPr>
          <w:ilvl w:val="1"/>
          <w:numId w:val="54"/>
        </w:numPr>
        <w:rPr>
          <w:rFonts w:ascii="Arial" w:cs="Arial" w:eastAsia="Arial" w:hAnsi="Arial"/>
          <w:sz w:val="21"/>
          <w:szCs w:val="21"/>
          <w:color w:val="auto"/>
        </w:rPr>
      </w:pPr>
      <w:r>
        <w:rPr>
          <w:rFonts w:ascii="Arial" w:cs="Arial" w:eastAsia="Arial" w:hAnsi="Arial"/>
          <w:sz w:val="21"/>
          <w:szCs w:val="21"/>
          <w:color w:val="auto"/>
        </w:rPr>
        <w:t>a change, after the Grant Date, in the composition of the Board such that the Incumbent Board ceases for any reason to constitute at least a majority of the Board; or</w:t>
      </w:r>
    </w:p>
    <w:p>
      <w:pPr>
        <w:spacing w:after="0" w:line="157" w:lineRule="exact"/>
        <w:rPr>
          <w:rFonts w:ascii="Arial" w:cs="Arial" w:eastAsia="Arial" w:hAnsi="Arial"/>
          <w:sz w:val="21"/>
          <w:szCs w:val="21"/>
          <w:color w:val="auto"/>
        </w:rPr>
      </w:pPr>
    </w:p>
    <w:p>
      <w:pPr>
        <w:jc w:val="both"/>
        <w:ind w:left="2780" w:right="199" w:firstLine="644"/>
        <w:spacing w:after="0" w:line="246" w:lineRule="auto"/>
        <w:tabs>
          <w:tab w:leader="none" w:pos="4161"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after the Grant Date a Person (as defined below) other than a Permitted Holder (as defined below) becomes the “Beneficial Owner” (as defined in Rules 13d-3 and 13d-5 under the Exchange Act), directly or indirectly, of securities of the Company representing in the aggregate thirty percent (30%) or more of the then outstanding Voting Securities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a Change in Control shall not be deemed to have occurred for purposes of this clause (B) solely as the result of:</w:t>
      </w:r>
    </w:p>
    <w:p>
      <w:pPr>
        <w:spacing w:after="0" w:line="152" w:lineRule="exact"/>
        <w:rPr>
          <w:sz w:val="20"/>
          <w:szCs w:val="20"/>
          <w:color w:val="auto"/>
        </w:rPr>
      </w:pPr>
    </w:p>
    <w:p>
      <w:pPr>
        <w:jc w:val="both"/>
        <w:ind w:left="3420" w:right="199" w:firstLine="4"/>
        <w:spacing w:after="0" w:line="229" w:lineRule="auto"/>
        <w:tabs>
          <w:tab w:leader="none" w:pos="43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any acquisition directly from the Company, other than an acquisition by virtue of the exercise of a conversion privilege unless the security being so converted itself was acquired directly from the Company,</w:t>
      </w:r>
    </w:p>
    <w:p>
      <w:pPr>
        <w:spacing w:after="0" w:line="158" w:lineRule="exact"/>
        <w:rPr>
          <w:rFonts w:ascii="Arial" w:cs="Arial" w:eastAsia="Arial" w:hAnsi="Arial"/>
          <w:sz w:val="21"/>
          <w:szCs w:val="21"/>
          <w:color w:val="auto"/>
        </w:rPr>
      </w:pPr>
    </w:p>
    <w:p>
      <w:pPr>
        <w:ind w:left="4320" w:hanging="896"/>
        <w:spacing w:after="0"/>
        <w:tabs>
          <w:tab w:leader="none" w:pos="43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repurchase of securities by the Company,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0" w:name="page151"/>
    <w:bookmarkEnd w:id="150"/>
    <w:p>
      <w:pPr>
        <w:jc w:val="both"/>
        <w:ind w:left="3420" w:right="199" w:firstLine="4"/>
        <w:spacing w:after="0" w:line="223" w:lineRule="auto"/>
        <w:tabs>
          <w:tab w:leader="none" w:pos="432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acquisition by any employee benefit plan (or related trust) sponsored or maintained by the Company or any entity controlled by the Company, and</w:t>
      </w:r>
    </w:p>
    <w:p>
      <w:pPr>
        <w:spacing w:after="0" w:line="159" w:lineRule="exact"/>
        <w:rPr>
          <w:rFonts w:ascii="Arial" w:cs="Arial" w:eastAsia="Arial" w:hAnsi="Arial"/>
          <w:sz w:val="22"/>
          <w:szCs w:val="22"/>
          <w:color w:val="auto"/>
        </w:rPr>
      </w:pPr>
    </w:p>
    <w:p>
      <w:pPr>
        <w:jc w:val="both"/>
        <w:ind w:left="3420" w:right="199" w:firstLine="4"/>
        <w:spacing w:after="0" w:line="234" w:lineRule="auto"/>
        <w:tabs>
          <w:tab w:leader="none" w:pos="43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any acquisition pursuant to a transaction that is excluded from the definition of Corporate Transaction pursuant to approval by the Incumbent Board.</w:t>
      </w:r>
    </w:p>
    <w:p>
      <w:pPr>
        <w:spacing w:after="0" w:line="151" w:lineRule="exact"/>
        <w:rPr>
          <w:rFonts w:ascii="Arial" w:cs="Arial" w:eastAsia="Arial" w:hAnsi="Arial"/>
          <w:sz w:val="21"/>
          <w:szCs w:val="21"/>
          <w:color w:val="auto"/>
        </w:rPr>
      </w:pPr>
    </w:p>
    <w:p>
      <w:pPr>
        <w:ind w:left="2120" w:right="199" w:firstLine="656"/>
        <w:spacing w:after="0" w:line="305" w:lineRule="auto"/>
        <w:tabs>
          <w:tab w:leader="none" w:pos="341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Common Stock</w:t>
      </w:r>
      <w:r>
        <w:rPr>
          <w:rFonts w:ascii="Arial" w:cs="Arial" w:eastAsia="Arial" w:hAnsi="Arial"/>
          <w:sz w:val="19"/>
          <w:szCs w:val="19"/>
          <w:color w:val="auto"/>
        </w:rPr>
        <w:t>” shall mean (unless the context otherwise expressly provides) the Class A common stock of the Company.</w:t>
      </w:r>
    </w:p>
    <w:p>
      <w:pPr>
        <w:spacing w:after="0" w:line="92" w:lineRule="exact"/>
        <w:rPr>
          <w:rFonts w:ascii="Arial" w:cs="Arial" w:eastAsia="Arial" w:hAnsi="Arial"/>
          <w:sz w:val="19"/>
          <w:szCs w:val="19"/>
          <w:color w:val="auto"/>
        </w:rPr>
      </w:pPr>
    </w:p>
    <w:p>
      <w:pPr>
        <w:ind w:left="3460" w:hanging="684"/>
        <w:spacing w:after="0"/>
        <w:tabs>
          <w:tab w:leader="none" w:pos="34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Corporate Transaction</w:t>
      </w:r>
      <w:r>
        <w:rPr>
          <w:rFonts w:ascii="Arial" w:cs="Arial" w:eastAsia="Arial" w:hAnsi="Arial"/>
          <w:sz w:val="22"/>
          <w:szCs w:val="22"/>
          <w:color w:val="auto"/>
        </w:rPr>
        <w:t>” shall mean:</w:t>
      </w:r>
    </w:p>
    <w:p>
      <w:pPr>
        <w:spacing w:after="0" w:line="185" w:lineRule="exact"/>
        <w:rPr>
          <w:sz w:val="20"/>
          <w:szCs w:val="20"/>
          <w:color w:val="auto"/>
        </w:rPr>
      </w:pPr>
    </w:p>
    <w:p>
      <w:pPr>
        <w:jc w:val="both"/>
        <w:ind w:left="2780" w:right="199" w:firstLine="644"/>
        <w:spacing w:after="0" w:line="249" w:lineRule="auto"/>
        <w:tabs>
          <w:tab w:leader="none" w:pos="4173"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consummation of a reorganization, merger or consolidation or sale or other disposition of all or substantially all of the assets of the Company, whether directly or indirectly through the sale of any one or more of the Company’s subsidiaries or the assets of such one or more subsidiaries; excluding, however, any such transaction approved by the Incumbent Board (as defined below); or</w:t>
      </w:r>
    </w:p>
    <w:p>
      <w:pPr>
        <w:spacing w:after="0" w:line="151" w:lineRule="exact"/>
        <w:rPr>
          <w:rFonts w:ascii="Arial" w:cs="Arial" w:eastAsia="Arial" w:hAnsi="Arial"/>
          <w:sz w:val="19"/>
          <w:szCs w:val="19"/>
          <w:color w:val="auto"/>
        </w:rPr>
      </w:pPr>
    </w:p>
    <w:p>
      <w:pPr>
        <w:ind w:left="4160" w:hanging="736"/>
        <w:spacing w:after="0"/>
        <w:tabs>
          <w:tab w:leader="none" w:pos="41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liquidation or dissolution of the Company.</w:t>
      </w:r>
    </w:p>
    <w:p>
      <w:pPr>
        <w:spacing w:after="0" w:line="173" w:lineRule="exact"/>
        <w:rPr>
          <w:sz w:val="20"/>
          <w:szCs w:val="20"/>
          <w:color w:val="auto"/>
        </w:rPr>
      </w:pPr>
    </w:p>
    <w:p>
      <w:pPr>
        <w:jc w:val="both"/>
        <w:ind w:left="2780" w:right="199" w:firstLine="644"/>
        <w:spacing w:after="0" w:line="242" w:lineRule="auto"/>
        <w:tabs>
          <w:tab w:leader="none" w:pos="4125"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Incumbent Boar</w:t>
      </w:r>
      <w:r>
        <w:rPr>
          <w:rFonts w:ascii="Arial" w:cs="Arial" w:eastAsia="Arial" w:hAnsi="Arial"/>
          <w:sz w:val="19"/>
          <w:szCs w:val="19"/>
          <w:color w:val="auto"/>
        </w:rPr>
        <w:t>d” shall mean the individuals who, as of the Grant Date, constitute the entire Board together with any individual(s) who become(s) a member of the Board subsequent to the Grant Date, whose election, or nomination for election by the Company’s stockholders, was approved by a vote of at least a majority of those individuals who are members of the Board and who were also members of the then-Incumbent Board (or deemed to be such pursuant to this proviso); provided, however,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p>
      <w:pPr>
        <w:spacing w:after="0" w:line="155" w:lineRule="exact"/>
        <w:rPr>
          <w:rFonts w:ascii="Arial" w:cs="Arial" w:eastAsia="Arial" w:hAnsi="Arial"/>
          <w:sz w:val="19"/>
          <w:szCs w:val="19"/>
          <w:color w:val="auto"/>
        </w:rPr>
      </w:pPr>
    </w:p>
    <w:p>
      <w:pPr>
        <w:jc w:val="both"/>
        <w:ind w:left="2780" w:right="199" w:firstLine="644"/>
        <w:spacing w:after="0" w:line="222" w:lineRule="auto"/>
        <w:tabs>
          <w:tab w:leader="none" w:pos="4118"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b w:val="1"/>
          <w:bCs w:val="1"/>
          <w:color w:val="auto"/>
        </w:rPr>
        <w:t>Participant</w:t>
      </w:r>
      <w:r>
        <w:rPr>
          <w:rFonts w:ascii="Arial" w:cs="Arial" w:eastAsia="Arial" w:hAnsi="Arial"/>
          <w:sz w:val="21"/>
          <w:szCs w:val="21"/>
          <w:color w:val="auto"/>
        </w:rPr>
        <w:t>” in a Change in Control or a Corporate Transaction shall mean any Person who, after such Change in Control or Corporate Transaction either (a) is or controls any Person whose acquisition or control of securities of the Company gives rise to the Change in Control or (b) is or controls any Permitted Holder as of the effective date of such Change in Control or Corporate Transaction but was not or did not control such Permitted Holder as of the date hereof.</w:t>
      </w:r>
    </w:p>
    <w:p>
      <w:pPr>
        <w:spacing w:after="0" w:line="157" w:lineRule="exact"/>
        <w:rPr>
          <w:rFonts w:ascii="Arial" w:cs="Arial" w:eastAsia="Arial" w:hAnsi="Arial"/>
          <w:sz w:val="21"/>
          <w:szCs w:val="21"/>
          <w:color w:val="auto"/>
        </w:rPr>
      </w:pPr>
    </w:p>
    <w:p>
      <w:pPr>
        <w:ind w:left="2780" w:right="199" w:firstLine="644"/>
        <w:spacing w:after="0" w:line="305" w:lineRule="auto"/>
        <w:tabs>
          <w:tab w:leader="none" w:pos="412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Permitted Holder</w:t>
      </w:r>
      <w:r>
        <w:rPr>
          <w:rFonts w:ascii="Arial" w:cs="Arial" w:eastAsia="Arial" w:hAnsi="Arial"/>
          <w:sz w:val="19"/>
          <w:szCs w:val="19"/>
          <w:color w:val="auto"/>
        </w:rPr>
        <w:t>” shall mean (i) the Company or any trustee or other fiduciary holding securities under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1" w:name="page152"/>
    <w:bookmarkEnd w:id="151"/>
    <w:p>
      <w:pPr>
        <w:jc w:val="both"/>
        <w:ind w:left="2780" w:right="199"/>
        <w:spacing w:after="0" w:line="214" w:lineRule="auto"/>
        <w:rPr>
          <w:sz w:val="20"/>
          <w:szCs w:val="20"/>
          <w:color w:val="auto"/>
        </w:rPr>
      </w:pPr>
      <w:r>
        <w:rPr>
          <w:rFonts w:ascii="Arial" w:cs="Arial" w:eastAsia="Arial" w:hAnsi="Arial"/>
          <w:sz w:val="22"/>
          <w:szCs w:val="22"/>
          <w:color w:val="auto"/>
        </w:rPr>
        <w:t>an employee benefit plan of the Company, (ii) any Person who, since the Grant Date, has continuously been the Beneficial Owner of not less than thirty percent (30%) of the Voting Securities, or (iii) any Person controlled, directly or indirectly, by one or more of the foregoing Persons referred to in the immediately preceding clause (ii).</w:t>
      </w:r>
    </w:p>
    <w:p>
      <w:pPr>
        <w:spacing w:after="0" w:line="154" w:lineRule="exact"/>
        <w:rPr>
          <w:sz w:val="20"/>
          <w:szCs w:val="20"/>
          <w:color w:val="auto"/>
        </w:rPr>
      </w:pPr>
    </w:p>
    <w:p>
      <w:pPr>
        <w:jc w:val="both"/>
        <w:ind w:left="2780" w:right="199" w:firstLine="644"/>
        <w:spacing w:after="0" w:line="211" w:lineRule="auto"/>
        <w:tabs>
          <w:tab w:leader="none" w:pos="411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(whether acting in an individual capacity or in a representative capacity so as to have sole or shared voting power of Voting Securities), entity (including, without limitation, any corporation, charitable or not-for profit corporation, private foundation, partnership, limited liability company, trust (including, without limitation, any private, charitable or split-interest trust), joint venture, association or governmental body) or group (as defined in Section 13(d)(3) or 14(d)(2) of the Exchange Act and the rules and regulations thereunder.</w:t>
      </w:r>
    </w:p>
    <w:p>
      <w:pPr>
        <w:spacing w:after="0" w:line="152" w:lineRule="exact"/>
        <w:rPr>
          <w:rFonts w:ascii="Arial" w:cs="Arial" w:eastAsia="Arial" w:hAnsi="Arial"/>
          <w:sz w:val="22"/>
          <w:szCs w:val="22"/>
          <w:color w:val="auto"/>
        </w:rPr>
      </w:pPr>
    </w:p>
    <w:p>
      <w:pPr>
        <w:jc w:val="both"/>
        <w:ind w:left="2780" w:right="199" w:firstLine="644"/>
        <w:spacing w:after="0"/>
        <w:tabs>
          <w:tab w:leader="none" w:pos="41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Resigns for Good Reason</w:t>
      </w:r>
      <w:r>
        <w:rPr>
          <w:rFonts w:ascii="Arial" w:cs="Arial" w:eastAsia="Arial" w:hAnsi="Arial"/>
          <w:sz w:val="19"/>
          <w:szCs w:val="19"/>
          <w:color w:val="auto"/>
        </w:rPr>
        <w:t>” shall mean the termination by Recipient of Recipient’s Service or election not to continue to provide such Service for Good Reason. The term “</w:t>
      </w:r>
      <w:r>
        <w:rPr>
          <w:rFonts w:ascii="Arial" w:cs="Arial" w:eastAsia="Arial" w:hAnsi="Arial"/>
          <w:sz w:val="19"/>
          <w:szCs w:val="19"/>
          <w:b w:val="1"/>
          <w:bCs w:val="1"/>
          <w:color w:val="auto"/>
        </w:rPr>
        <w:t>Good</w:t>
      </w:r>
      <w:r>
        <w:rPr>
          <w:rFonts w:ascii="Arial" w:cs="Arial" w:eastAsia="Arial" w:hAnsi="Arial"/>
          <w:sz w:val="19"/>
          <w:szCs w:val="19"/>
          <w:color w:val="auto"/>
        </w:rPr>
        <w:t xml:space="preserve"> </w:t>
      </w:r>
      <w:r>
        <w:rPr>
          <w:rFonts w:ascii="Arial" w:cs="Arial" w:eastAsia="Arial" w:hAnsi="Arial"/>
          <w:sz w:val="19"/>
          <w:szCs w:val="19"/>
          <w:b w:val="1"/>
          <w:bCs w:val="1"/>
          <w:color w:val="auto"/>
        </w:rPr>
        <w:t>Reason</w:t>
      </w:r>
      <w:r>
        <w:rPr>
          <w:rFonts w:ascii="Arial" w:cs="Arial" w:eastAsia="Arial" w:hAnsi="Arial"/>
          <w:sz w:val="19"/>
          <w:szCs w:val="19"/>
          <w:color w:val="auto"/>
        </w:rPr>
        <w:t>” shall mean: (A) a material, adverse change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Recipient’s authority, duties or responsibilities; (B) a material, adverse change in the authority, duties or responsibilities of the Recipient’s supervisor; (C) a material reduction in the Recipient’s base salary or a material reduction in the Recipient’s bonus opportunity, equity compensation or other material component of overall compensation, except where such reductions are part of a broad based or Company-wide reduction; (D) a material reduction in Recipient’s indemnification rights, directors and officers insurance coverage; (E) a relocation of the Recipient’s principal place of employment by more than twenty-five (25) miles; or (F) the employer’s material breach of the Recipient’s employment agreement; provided, however, that Recipient shall give written notice to the Company or the successor entity of any events that would constitute Good Reason within ninety (90) days of date on which such facts or events arise, the Company or such successor shall have not less than thirty (30) days’ opportunity to cure, and Recipient shall terminate his or her employment not later than thirty (30) days of the failure of the Company or such successor to timely cure.</w:t>
      </w:r>
    </w:p>
    <w:p>
      <w:pPr>
        <w:spacing w:after="0" w:line="379" w:lineRule="exact"/>
        <w:rPr>
          <w:rFonts w:ascii="Arial" w:cs="Arial" w:eastAsia="Arial" w:hAnsi="Arial"/>
          <w:sz w:val="19"/>
          <w:szCs w:val="19"/>
          <w:color w:val="auto"/>
        </w:rPr>
      </w:pPr>
    </w:p>
    <w:p>
      <w:pPr>
        <w:jc w:val="both"/>
        <w:ind w:left="2780" w:right="199" w:firstLine="644"/>
        <w:spacing w:after="0" w:line="254" w:lineRule="auto"/>
        <w:tabs>
          <w:tab w:leader="none" w:pos="4125"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Terminated without Cause</w:t>
      </w:r>
      <w:r>
        <w:rPr>
          <w:rFonts w:ascii="Arial" w:cs="Arial" w:eastAsia="Arial" w:hAnsi="Arial"/>
          <w:sz w:val="19"/>
          <w:szCs w:val="19"/>
          <w:color w:val="auto"/>
        </w:rPr>
        <w:t>” shall mean the termination of the Recipient’s Service with the Company or any successor Person (including the failure to renew, extend or continue, as applicable) for any reason other than Cause. The term “</w:t>
      </w:r>
      <w:r>
        <w:rPr>
          <w:rFonts w:ascii="Arial" w:cs="Arial" w:eastAsia="Arial" w:hAnsi="Arial"/>
          <w:sz w:val="19"/>
          <w:szCs w:val="19"/>
          <w:b w:val="1"/>
          <w:bCs w:val="1"/>
          <w:color w:val="auto"/>
        </w:rPr>
        <w:t>Cause</w:t>
      </w:r>
      <w:r>
        <w:rPr>
          <w:rFonts w:ascii="Arial" w:cs="Arial" w:eastAsia="Arial" w:hAnsi="Arial"/>
          <w:sz w:val="19"/>
          <w:szCs w:val="19"/>
          <w:color w:val="auto"/>
        </w:rPr>
        <w:t>” shall mean: (A) the repeated failure or refusal of Recipient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2" w:name="page153"/>
    <w:bookmarkEnd w:id="152"/>
    <w:p>
      <w:pPr>
        <w:jc w:val="both"/>
        <w:ind w:left="2780" w:right="199"/>
        <w:spacing w:after="0" w:line="243" w:lineRule="auto"/>
        <w:rPr>
          <w:sz w:val="20"/>
          <w:szCs w:val="20"/>
          <w:color w:val="auto"/>
        </w:rPr>
      </w:pPr>
      <w:r>
        <w:rPr>
          <w:rFonts w:ascii="Arial" w:cs="Arial" w:eastAsia="Arial" w:hAnsi="Arial"/>
          <w:sz w:val="19"/>
          <w:szCs w:val="19"/>
          <w:color w:val="auto"/>
        </w:rPr>
        <w:t>perform the duties or render the services consistent with Recipient’s title and position, which failure is not cured within thirty (30) days after written notice is delivered to Recipient; (B) fraud, embezzlement or other theft; (C) conviction of, or plea of guilty or nolo contendere to, a felony or gross misdemeanor involving moral turpitude; (D) intentional or gross misconduct or neglect that causes harm to the Company or its successor; (E) substance abuse that affects the Recipient’s performance or (F) violation of the Company’s “International Anti-Discrimination, Anti-Harassment and Anti-Bullying Policy and Complaint and Investigation Procedures,” as the same may be amended from time to time.</w:t>
      </w:r>
    </w:p>
    <w:p>
      <w:pPr>
        <w:spacing w:after="0" w:line="154" w:lineRule="exact"/>
        <w:rPr>
          <w:sz w:val="20"/>
          <w:szCs w:val="20"/>
          <w:color w:val="auto"/>
        </w:rPr>
      </w:pPr>
    </w:p>
    <w:p>
      <w:pPr>
        <w:jc w:val="both"/>
        <w:ind w:left="2780" w:right="199" w:firstLine="644"/>
        <w:spacing w:after="0" w:line="248" w:lineRule="auto"/>
        <w:tabs>
          <w:tab w:leader="none" w:pos="41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Voting Securities</w:t>
      </w:r>
      <w:r>
        <w:rPr>
          <w:rFonts w:ascii="Arial" w:cs="Arial" w:eastAsia="Arial" w:hAnsi="Arial"/>
          <w:sz w:val="19"/>
          <w:szCs w:val="19"/>
          <w:color w:val="auto"/>
        </w:rPr>
        <w:t>” shall mean all securities of a corporation having the right under ordinary circumstances to vote in an election of the board of directors of such corporation, or other interests having comparable rights to elect managers or fiduciary persons or boards in non-corporate entities. As of the date hereof, the Voting Securities of the Company are the shares of Class B common stock of the Company.</w:t>
      </w:r>
    </w:p>
    <w:p>
      <w:pPr>
        <w:spacing w:after="0" w:line="154" w:lineRule="exact"/>
        <w:rPr>
          <w:sz w:val="20"/>
          <w:szCs w:val="20"/>
          <w:color w:val="auto"/>
        </w:rPr>
      </w:pPr>
    </w:p>
    <w:p>
      <w:pPr>
        <w:jc w:val="both"/>
        <w:ind w:left="1480" w:right="199"/>
        <w:spacing w:after="0" w:line="24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Payment</w:t>
      </w:r>
      <w:r>
        <w:rPr>
          <w:rFonts w:ascii="Arial" w:cs="Arial" w:eastAsia="Arial" w:hAnsi="Arial"/>
          <w:sz w:val="19"/>
          <w:szCs w:val="19"/>
          <w:color w:val="auto"/>
        </w:rPr>
        <w:t>. If Restricted Stock Units vest, then within thirty (30) days after the applicable vesting date (or, if the Recipient has, prior to vesting, delivered a written request to defer delivery in a form specified by the Board or the Committee, but in no event later than March 15 of the next calendar year after the year in which such vesting occurs), the Company shall deliver to the Recipient, or if applicable the Recipient’s estate, that number of shares of Common Stock equal to the number of Restricted Stock Units which vested on such vesting date as set forth above.</w:t>
      </w:r>
    </w:p>
    <w:p>
      <w:pPr>
        <w:spacing w:after="0" w:line="154" w:lineRule="exact"/>
        <w:rPr>
          <w:sz w:val="20"/>
          <w:szCs w:val="20"/>
          <w:color w:val="auto"/>
        </w:rPr>
      </w:pPr>
    </w:p>
    <w:p>
      <w:pPr>
        <w:jc w:val="both"/>
        <w:ind w:left="1480" w:right="199"/>
        <w:spacing w:after="0" w:line="24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Taxes</w:t>
      </w:r>
      <w:r>
        <w:rPr>
          <w:rFonts w:ascii="Arial" w:cs="Arial" w:eastAsia="Arial" w:hAnsi="Arial"/>
          <w:sz w:val="19"/>
          <w:szCs w:val="19"/>
          <w:color w:val="auto"/>
        </w:rPr>
        <w:t>. Unless delivery of the shares of Common Stock is delayed after the applicable vesting date pursuant to Section 2.4 above, on the vesting date, the Recipient shall recognize taxable income in respect of the Common Stock deliverable and the Company shall report such taxable income to the appropriate taxing authorities in respect thereof as it determines to be necessary and appropriate. The Recipient, if an employee, shall pay to the Company promptly upon request and in any event at the time the Recipient recognizes taxable income an amount equal to the taxes, if any, the Company determines it is required or permitted to withhold under the applicable tax laws. Such payment may be made in the form of cash. The Recipient also may satisfy, in whole or in part, the foregoing withholding liability, and the Company may withhold amounts as allowed by the Plan, by having the Company withhold from the number of shares of Common Stock otherwise issuable pursuant to the vesting of the Restricted Stock Units with a fair market value equal to such withholding.</w:t>
      </w:r>
    </w:p>
    <w:p>
      <w:pPr>
        <w:spacing w:after="0" w:line="376" w:lineRule="exact"/>
        <w:rPr>
          <w:sz w:val="20"/>
          <w:szCs w:val="20"/>
          <w:color w:val="auto"/>
        </w:rPr>
      </w:pPr>
    </w:p>
    <w:p>
      <w:pPr>
        <w:jc w:val="both"/>
        <w:ind w:left="1480" w:right="199"/>
        <w:spacing w:after="0" w:line="25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Certificate</w:t>
      </w:r>
      <w:r>
        <w:rPr>
          <w:rFonts w:ascii="Arial" w:cs="Arial" w:eastAsia="Arial" w:hAnsi="Arial"/>
          <w:sz w:val="19"/>
          <w:szCs w:val="19"/>
          <w:color w:val="auto"/>
        </w:rPr>
        <w:t>. Subject to Sections 2.4 and 2.5 above, as soon as practicable after the vesting of the Restricted Stock Units, the Company shall deliver or cause to be delivered one or more certificates issued in the Recipient’s name representing shares of Common Stock equal to the number of vested Restricted Stock Units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3" w:name="page154"/>
    <w:bookmarkEnd w:id="153"/>
    <w:p>
      <w:pPr>
        <w:jc w:val="both"/>
        <w:ind w:left="1480" w:right="199"/>
        <w:spacing w:after="0" w:line="251" w:lineRule="auto"/>
        <w:rPr>
          <w:sz w:val="20"/>
          <w:szCs w:val="20"/>
          <w:color w:val="auto"/>
        </w:rPr>
      </w:pPr>
      <w:r>
        <w:rPr>
          <w:rFonts w:ascii="Arial" w:cs="Arial" w:eastAsia="Arial" w:hAnsi="Arial"/>
          <w:sz w:val="19"/>
          <w:szCs w:val="19"/>
          <w:color w:val="auto"/>
        </w:rPr>
        <w:t>(each a “</w:t>
      </w:r>
      <w:r>
        <w:rPr>
          <w:rFonts w:ascii="Arial" w:cs="Arial" w:eastAsia="Arial" w:hAnsi="Arial"/>
          <w:sz w:val="19"/>
          <w:szCs w:val="19"/>
          <w:b w:val="1"/>
          <w:bCs w:val="1"/>
          <w:color w:val="auto"/>
        </w:rPr>
        <w:t>Certificate</w:t>
      </w:r>
      <w:r>
        <w:rPr>
          <w:rFonts w:ascii="Arial" w:cs="Arial" w:eastAsia="Arial" w:hAnsi="Arial"/>
          <w:sz w:val="19"/>
          <w:szCs w:val="19"/>
          <w:color w:val="auto"/>
        </w:rPr>
        <w:t>”, and collectively “</w:t>
      </w:r>
      <w:r>
        <w:rPr>
          <w:rFonts w:ascii="Arial" w:cs="Arial" w:eastAsia="Arial" w:hAnsi="Arial"/>
          <w:sz w:val="19"/>
          <w:szCs w:val="19"/>
          <w:b w:val="1"/>
          <w:bCs w:val="1"/>
          <w:color w:val="auto"/>
        </w:rPr>
        <w:t>Certificates</w:t>
      </w:r>
      <w:r>
        <w:rPr>
          <w:rFonts w:ascii="Arial" w:cs="Arial" w:eastAsia="Arial" w:hAnsi="Arial"/>
          <w:sz w:val="19"/>
          <w:szCs w:val="19"/>
          <w:color w:val="auto"/>
        </w:rPr>
        <w:t>”). If a valid SEC Form S-8 Registration Statement is not in effect at the time, the Certificate shall set forth restrictive legends advising the Recipient that the shares of Common Stock have not been registered under the securities laws of the United States or the laws of any state and that the sale or other disposition of such shares is prohibited unless such sale or other disposition is made in compliance with all such laws.</w:t>
      </w:r>
    </w:p>
    <w:p>
      <w:pPr>
        <w:spacing w:after="0" w:line="148" w:lineRule="exact"/>
        <w:rPr>
          <w:sz w:val="20"/>
          <w:szCs w:val="20"/>
          <w:color w:val="auto"/>
        </w:rPr>
      </w:pPr>
    </w:p>
    <w:p>
      <w:pPr>
        <w:jc w:val="both"/>
        <w:ind w:left="180" w:right="199" w:firstLine="652"/>
        <w:spacing w:after="0" w:line="218" w:lineRule="auto"/>
        <w:tabs>
          <w:tab w:leader="none" w:pos="169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Pursuant to Section 11 of the Plan, in the event of a change in capitalization, the Board shall make such equitable changes or adjustments to the number and kind of securities or other property (including cash) issued or issuable in respect of outstanding Restricted Stock Units.</w:t>
      </w:r>
    </w:p>
    <w:p>
      <w:pPr>
        <w:spacing w:after="0" w:line="160" w:lineRule="exact"/>
        <w:rPr>
          <w:rFonts w:ascii="Arial" w:cs="Arial" w:eastAsia="Arial" w:hAnsi="Arial"/>
          <w:sz w:val="22"/>
          <w:szCs w:val="22"/>
          <w:color w:val="auto"/>
        </w:rPr>
      </w:pPr>
    </w:p>
    <w:p>
      <w:pPr>
        <w:jc w:val="both"/>
        <w:ind w:left="180" w:right="199" w:firstLine="652"/>
        <w:spacing w:after="0" w:line="221" w:lineRule="auto"/>
        <w:tabs>
          <w:tab w:leader="none" w:pos="1597"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under this Restricted Stock Unit Agreement shall be in writing and shall be given by e-mail, first class mail, certified or registered with return receipt requests, and shall be deemed to have been duly given three days after mailing (or one-day in case of delivery by e-mail) to the respective parties, as follows: (I) if to the Company, (a) if by mail, addressed to the Company in care of its Corporate Secretary at the principal executive office of the Company, or (b) if by e-mail, addressed to the care of the Corporate Secretary at corporatesecretary@readingrdi.com and (ii) if to the Recipient, using the contact information on file with the Company. Either party hereto may change such party’s address for notices by notice duly given pursuant hereto.</w:t>
      </w:r>
    </w:p>
    <w:p>
      <w:pPr>
        <w:spacing w:after="0" w:line="158" w:lineRule="exact"/>
        <w:rPr>
          <w:rFonts w:ascii="Arial" w:cs="Arial" w:eastAsia="Arial" w:hAnsi="Arial"/>
          <w:sz w:val="21"/>
          <w:szCs w:val="21"/>
          <w:color w:val="auto"/>
        </w:rPr>
      </w:pPr>
    </w:p>
    <w:p>
      <w:pPr>
        <w:ind w:left="1420" w:hanging="588"/>
        <w:spacing w:after="0"/>
        <w:tabs>
          <w:tab w:leader="none" w:pos="142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Protections against Violations of Agreement</w:t>
      </w:r>
      <w:r>
        <w:rPr>
          <w:rFonts w:ascii="Arial" w:cs="Arial" w:eastAsia="Arial" w:hAnsi="Arial"/>
          <w:sz w:val="22"/>
          <w:szCs w:val="22"/>
          <w:color w:val="auto"/>
        </w:rPr>
        <w:t>.</w:t>
      </w:r>
    </w:p>
    <w:p>
      <w:pPr>
        <w:spacing w:after="0" w:line="179" w:lineRule="exact"/>
        <w:rPr>
          <w:sz w:val="20"/>
          <w:szCs w:val="20"/>
          <w:color w:val="auto"/>
        </w:rPr>
      </w:pPr>
    </w:p>
    <w:p>
      <w:pPr>
        <w:jc w:val="both"/>
        <w:ind w:left="1480" w:right="199"/>
        <w:spacing w:after="0" w:line="221" w:lineRule="auto"/>
        <w:rPr>
          <w:sz w:val="20"/>
          <w:szCs w:val="20"/>
          <w:color w:val="auto"/>
        </w:rPr>
      </w:pPr>
      <w:r>
        <w:rPr>
          <w:rFonts w:ascii="Arial" w:cs="Arial" w:eastAsia="Arial" w:hAnsi="Arial"/>
          <w:sz w:val="21"/>
          <w:szCs w:val="21"/>
          <w:color w:val="auto"/>
        </w:rPr>
        <w:t>5.1 No purported sale, assignment, mortgage, hypothecation, transfer, charge, pledge, encumbrance, gift, transfer in trust (voting or other) or other disposition or creation of a security interest in or lien on, any of the Restricted Stock Units or any agreement or commitment to do any of the foregoing (each a “</w:t>
      </w:r>
      <w:r>
        <w:rPr>
          <w:rFonts w:ascii="Arial" w:cs="Arial" w:eastAsia="Arial" w:hAnsi="Arial"/>
          <w:sz w:val="21"/>
          <w:szCs w:val="21"/>
          <w:b w:val="1"/>
          <w:bCs w:val="1"/>
          <w:color w:val="auto"/>
        </w:rPr>
        <w:t>Transfer</w:t>
      </w:r>
      <w:r>
        <w:rPr>
          <w:rFonts w:ascii="Arial" w:cs="Arial" w:eastAsia="Arial" w:hAnsi="Arial"/>
          <w:sz w:val="21"/>
          <w:szCs w:val="21"/>
          <w:color w:val="auto"/>
        </w:rPr>
        <w:t>”) by any holder thereof in violation of the provisions of this Restricted Stock Unit Agreement will be valid, except (i) a transfer for estate planning purposes, or (ii) with the prior written consent of the Board (such consent shall be granted or withheld in the sole discretion of the Board).</w:t>
      </w:r>
    </w:p>
    <w:p>
      <w:pPr>
        <w:spacing w:after="0" w:line="165" w:lineRule="exact"/>
        <w:rPr>
          <w:sz w:val="20"/>
          <w:szCs w:val="20"/>
          <w:color w:val="auto"/>
        </w:rPr>
      </w:pPr>
    </w:p>
    <w:p>
      <w:pPr>
        <w:jc w:val="both"/>
        <w:ind w:left="1480" w:right="199"/>
        <w:spacing w:after="0" w:line="249" w:lineRule="auto"/>
        <w:rPr>
          <w:sz w:val="20"/>
          <w:szCs w:val="20"/>
          <w:color w:val="auto"/>
        </w:rPr>
      </w:pPr>
      <w:r>
        <w:rPr>
          <w:rFonts w:ascii="Arial" w:cs="Arial" w:eastAsia="Arial" w:hAnsi="Arial"/>
          <w:sz w:val="19"/>
          <w:szCs w:val="19"/>
          <w:color w:val="auto"/>
        </w:rPr>
        <w:t>5.2 Any purported Transfer of Restricted Stock Units or any economic benefit or interest therein in violation of this Restricted Stock Unit Agreement shall be null and void ab initio, and shall not create any obligation or liability of the Company, and any person purportedly acquiring any Restricted Stock Units or any economic benefit or interest therein transferred in violation of this Restricted Stock Unit Agreement shall not be entitled to receive any Common Stock.</w:t>
      </w:r>
    </w:p>
    <w:p>
      <w:pPr>
        <w:spacing w:after="0" w:line="152" w:lineRule="exact"/>
        <w:rPr>
          <w:sz w:val="20"/>
          <w:szCs w:val="20"/>
          <w:color w:val="auto"/>
        </w:rPr>
      </w:pPr>
    </w:p>
    <w:p>
      <w:pPr>
        <w:jc w:val="both"/>
        <w:ind w:left="180" w:right="199" w:firstLine="652"/>
        <w:spacing w:after="0" w:line="222" w:lineRule="auto"/>
        <w:tabs>
          <w:tab w:leader="none" w:pos="1543"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BY SIGNING THIS RESTRICTED STOCK UNIT AGREEMENT, THE RECIPIENT REPRESENTS THAT HE OR SHE HAS REVIEWED WITH HIS OR HER OWN TAX ADVISORS THE FEDERAL, STATE, LOCAL AND FOREIGN TAX CONSEQUENCES OF THE TRANSACTIONS CONTEMPLATED BY THIS RESTRICTED STOCK UNIT AGREEMENT AND THAT HE OR SHE IS RELYING SOLELY ON SUCH ADVISORS AND NOT ON ANY STATEMENTS OR REPRESENTATIONS OF THE COMPANY OR ANY OF ITS AGENTS. THE RECIPIENT UNDERSTANDS AND AGREES THAT HE OR SHE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4" w:name="page155"/>
    <w:bookmarkEnd w:id="154"/>
    <w:p>
      <w:pPr>
        <w:jc w:val="both"/>
        <w:ind w:left="180" w:right="199"/>
        <w:spacing w:after="0" w:line="223" w:lineRule="auto"/>
        <w:rPr>
          <w:sz w:val="20"/>
          <w:szCs w:val="20"/>
          <w:color w:val="auto"/>
        </w:rPr>
      </w:pPr>
      <w:r>
        <w:rPr>
          <w:rFonts w:ascii="Arial" w:cs="Arial" w:eastAsia="Arial" w:hAnsi="Arial"/>
          <w:sz w:val="22"/>
          <w:szCs w:val="22"/>
          <w:color w:val="auto"/>
        </w:rPr>
        <w:t>NOT THE COMPANY) SHALL BE RESPONSIBLE FOR ANY TAX LIABILITY THAT MAY ARISE AS A RESULT OF THE TRANSACTIONS CONTEMPLATED BY THIS RESTRICTED STOCK UNIT AGREEMENT.</w:t>
      </w:r>
    </w:p>
    <w:p>
      <w:pPr>
        <w:spacing w:after="0" w:line="160" w:lineRule="exact"/>
        <w:rPr>
          <w:sz w:val="20"/>
          <w:szCs w:val="20"/>
          <w:color w:val="auto"/>
        </w:rPr>
      </w:pPr>
    </w:p>
    <w:p>
      <w:pPr>
        <w:jc w:val="both"/>
        <w:ind w:left="180" w:right="199" w:firstLine="652"/>
        <w:spacing w:after="0" w:line="223" w:lineRule="auto"/>
        <w:tabs>
          <w:tab w:leader="none" w:pos="1422"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Failure to Enforce Not a Waiver</w:t>
      </w:r>
      <w:r>
        <w:rPr>
          <w:rFonts w:ascii="Arial" w:cs="Arial" w:eastAsia="Arial" w:hAnsi="Arial"/>
          <w:sz w:val="22"/>
          <w:szCs w:val="22"/>
          <w:color w:val="auto"/>
        </w:rPr>
        <w:t>. The failure of the Company to enforce at any time any provision of this Restricted Stock Unit Agreement shall in no way be construed to be a waiver of such provision or of any other provision hereof.</w:t>
      </w:r>
    </w:p>
    <w:p>
      <w:pPr>
        <w:spacing w:after="0" w:line="158" w:lineRule="exact"/>
        <w:rPr>
          <w:rFonts w:ascii="Arial" w:cs="Arial" w:eastAsia="Arial" w:hAnsi="Arial"/>
          <w:sz w:val="22"/>
          <w:szCs w:val="22"/>
          <w:color w:val="auto"/>
        </w:rPr>
      </w:pPr>
    </w:p>
    <w:p>
      <w:pPr>
        <w:jc w:val="both"/>
        <w:ind w:left="180" w:right="199" w:firstLine="652"/>
        <w:spacing w:after="0" w:line="247" w:lineRule="auto"/>
        <w:tabs>
          <w:tab w:leader="none" w:pos="1557"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Restricted Stock Unit Agreement shall be governed by and construed and enforced in accordance with the laws of the State of Nevada applicable to contracts made and to be performed herein. Any suit, action or proceeding with respect to this Restricted Stock Unit Agreement, or any judgment entered by any court in respect of any thereof, shall be brought in any court of competent jurisdiction in the State of Nevada, and the Company and the Recipient hereby submit to the exclusive jurisdiction of such courts for the purpose of any such suit, action, proceeding or judgment. The Recipient and the Company hereby irrevocably waive:</w:t>
      </w:r>
    </w:p>
    <w:p>
      <w:pPr>
        <w:spacing w:after="0" w:line="153" w:lineRule="exact"/>
        <w:rPr>
          <w:rFonts w:ascii="Arial" w:cs="Arial" w:eastAsia="Arial" w:hAnsi="Arial"/>
          <w:sz w:val="19"/>
          <w:szCs w:val="19"/>
          <w:color w:val="auto"/>
        </w:rPr>
      </w:pPr>
    </w:p>
    <w:p>
      <w:pPr>
        <w:jc w:val="both"/>
        <w:ind w:left="2780" w:right="199" w:firstLine="644"/>
        <w:spacing w:after="0" w:line="212" w:lineRule="auto"/>
        <w:tabs>
          <w:tab w:leader="none" w:pos="4077"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any objections which it may now or hereafter have to the laying of the venue of any suit, action or proceeding arising out of or relating to this Restricted Stock Unit Agreement brought in any court of competent jurisdiction in the State of Nevada, (ii) any claim that any such suit, action or proceeding brought in any such court has been brought in any inconvenient forum and (iii) any right to a jury trial.</w:t>
      </w:r>
    </w:p>
    <w:p>
      <w:pPr>
        <w:spacing w:after="0" w:line="163" w:lineRule="exact"/>
        <w:rPr>
          <w:rFonts w:ascii="Arial" w:cs="Arial" w:eastAsia="Arial" w:hAnsi="Arial"/>
          <w:sz w:val="22"/>
          <w:szCs w:val="22"/>
          <w:color w:val="auto"/>
        </w:rPr>
      </w:pPr>
    </w:p>
    <w:p>
      <w:pPr>
        <w:jc w:val="both"/>
        <w:ind w:left="180" w:right="199" w:firstLine="652"/>
        <w:spacing w:after="0" w:line="234" w:lineRule="auto"/>
        <w:tabs>
          <w:tab w:leader="none" w:pos="140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Incorporation of Plan</w:t>
      </w:r>
      <w:r>
        <w:rPr>
          <w:rFonts w:ascii="Arial" w:cs="Arial" w:eastAsia="Arial" w:hAnsi="Arial"/>
          <w:sz w:val="21"/>
          <w:szCs w:val="21"/>
          <w:color w:val="auto"/>
        </w:rPr>
        <w:t>. The Plan is hereby incorporated by reference and made a part hereof, and the Restricted Stock Units and this Restricted Stock Unit Agreement shall be subject to all terms and conditions of the Plan and this Restricted Stock Unit Agreement.</w:t>
      </w:r>
    </w:p>
    <w:p>
      <w:pPr>
        <w:spacing w:after="0" w:line="157" w:lineRule="exact"/>
        <w:rPr>
          <w:rFonts w:ascii="Arial" w:cs="Arial" w:eastAsia="Arial" w:hAnsi="Arial"/>
          <w:sz w:val="21"/>
          <w:szCs w:val="21"/>
          <w:color w:val="auto"/>
        </w:rPr>
      </w:pPr>
    </w:p>
    <w:p>
      <w:pPr>
        <w:jc w:val="both"/>
        <w:ind w:left="180" w:right="199" w:firstLine="652"/>
        <w:spacing w:after="0" w:line="252" w:lineRule="auto"/>
        <w:tabs>
          <w:tab w:leader="none" w:pos="150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Amendments / Construction</w:t>
      </w:r>
      <w:r>
        <w:rPr>
          <w:rFonts w:ascii="Arial" w:cs="Arial" w:eastAsia="Arial" w:hAnsi="Arial"/>
          <w:sz w:val="19"/>
          <w:szCs w:val="19"/>
          <w:color w:val="auto"/>
        </w:rPr>
        <w:t>. The Board may amend the terms of this Restricted Stock Unit Agreement prospectively or retroactively at any time, but no such amendment shall impair the rights of the Recipient hereunder without Recipient’s consent. Headings to Sections of this Restricted Stock Unit Agreement are intended for convenience of reference only, are not part of this Restricted Stock Unit Agreement and shall have no effect on the interpretation hereof.</w:t>
      </w:r>
    </w:p>
    <w:p>
      <w:pPr>
        <w:spacing w:after="0" w:line="148" w:lineRule="exact"/>
        <w:rPr>
          <w:rFonts w:ascii="Arial" w:cs="Arial" w:eastAsia="Arial" w:hAnsi="Arial"/>
          <w:sz w:val="19"/>
          <w:szCs w:val="19"/>
          <w:color w:val="auto"/>
        </w:rPr>
      </w:pPr>
    </w:p>
    <w:p>
      <w:pPr>
        <w:jc w:val="both"/>
        <w:ind w:left="180" w:right="199" w:firstLine="652"/>
        <w:spacing w:after="0" w:line="223" w:lineRule="auto"/>
        <w:tabs>
          <w:tab w:leader="none" w:pos="141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Survival of Terms</w:t>
      </w:r>
      <w:r>
        <w:rPr>
          <w:rFonts w:ascii="Arial" w:cs="Arial" w:eastAsia="Arial" w:hAnsi="Arial"/>
          <w:sz w:val="22"/>
          <w:szCs w:val="22"/>
          <w:color w:val="auto"/>
        </w:rPr>
        <w:t>. This Restricted Stock Unit Agreement shall apply to and bind the Recipient and the Company and their respective permitted assignees and transferees, heirs, legatees, executors, administrators and legal successors.</w:t>
      </w:r>
    </w:p>
    <w:p>
      <w:pPr>
        <w:spacing w:after="0" w:line="158" w:lineRule="exact"/>
        <w:rPr>
          <w:rFonts w:ascii="Arial" w:cs="Arial" w:eastAsia="Arial" w:hAnsi="Arial"/>
          <w:sz w:val="22"/>
          <w:szCs w:val="22"/>
          <w:color w:val="auto"/>
        </w:rPr>
      </w:pPr>
    </w:p>
    <w:p>
      <w:pPr>
        <w:jc w:val="both"/>
        <w:ind w:left="180" w:right="199" w:firstLine="652"/>
        <w:spacing w:after="0" w:line="222" w:lineRule="auto"/>
        <w:tabs>
          <w:tab w:leader="none" w:pos="1665"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The Recipient shall have no rights of a stockholder (including the right to receive distributions or dividends) until the Recipient has received the shares of Common Stock equal to the number of Restricted Stock Units which vested. On the date that the Recipient receives Common Stock with respect to Restricted Stock Units, the Recipient shall receive distributions or dividends that would have been paid to or made with respect to the number of shares of Common Stock that relate to this Restricted Stock Unit Award from the date of vesting until such date of delivery of the Common Stock.</w:t>
      </w:r>
    </w:p>
    <w:p>
      <w:pPr>
        <w:spacing w:after="0" w:line="164" w:lineRule="exact"/>
        <w:rPr>
          <w:rFonts w:ascii="Arial" w:cs="Arial" w:eastAsia="Arial" w:hAnsi="Arial"/>
          <w:sz w:val="21"/>
          <w:szCs w:val="21"/>
          <w:color w:val="auto"/>
        </w:rPr>
      </w:pPr>
    </w:p>
    <w:p>
      <w:pPr>
        <w:ind w:left="180" w:right="199" w:firstLine="652"/>
        <w:spacing w:after="0" w:line="298" w:lineRule="auto"/>
        <w:tabs>
          <w:tab w:leader="none" w:pos="147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Agreement Not a Contract for Employment</w:t>
      </w:r>
      <w:r>
        <w:rPr>
          <w:rFonts w:ascii="Arial" w:cs="Arial" w:eastAsia="Arial" w:hAnsi="Arial"/>
          <w:sz w:val="19"/>
          <w:szCs w:val="19"/>
          <w:color w:val="auto"/>
        </w:rPr>
        <w:t>. Neither the Plan, the granting of the Restricted Stock Units, this Restricted Stock Unit Agreement nor any other action taken pursuant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5" w:name="page156"/>
    <w:bookmarkEnd w:id="155"/>
    <w:p>
      <w:pPr>
        <w:jc w:val="both"/>
        <w:ind w:left="180" w:right="199"/>
        <w:spacing w:after="0" w:line="219" w:lineRule="auto"/>
        <w:rPr>
          <w:sz w:val="20"/>
          <w:szCs w:val="20"/>
          <w:color w:val="auto"/>
        </w:rPr>
      </w:pPr>
      <w:r>
        <w:rPr>
          <w:rFonts w:ascii="Arial" w:cs="Arial" w:eastAsia="Arial" w:hAnsi="Arial"/>
          <w:sz w:val="22"/>
          <w:szCs w:val="22"/>
          <w:color w:val="auto"/>
        </w:rPr>
        <w:t>to the Plan shall constitute or be evidence of any agreement or understanding, express or implied, that the Recipient has a right to continue to provide employment as an officer, director, employee, consultant or advisor of the Company or any Subsidiary or Affiliate for any period of time or at any specific rate of compensation.</w:t>
      </w:r>
    </w:p>
    <w:p>
      <w:pPr>
        <w:spacing w:after="0" w:line="158" w:lineRule="exact"/>
        <w:rPr>
          <w:sz w:val="20"/>
          <w:szCs w:val="20"/>
          <w:color w:val="auto"/>
        </w:rPr>
      </w:pPr>
    </w:p>
    <w:p>
      <w:pPr>
        <w:jc w:val="both"/>
        <w:ind w:left="180" w:right="199" w:firstLine="652"/>
        <w:spacing w:after="0" w:line="212" w:lineRule="auto"/>
        <w:tabs>
          <w:tab w:leader="none" w:pos="1503"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Authority of the Board; Disputes</w:t>
      </w:r>
      <w:r>
        <w:rPr>
          <w:rFonts w:ascii="Arial" w:cs="Arial" w:eastAsia="Arial" w:hAnsi="Arial"/>
          <w:sz w:val="22"/>
          <w:szCs w:val="22"/>
          <w:color w:val="auto"/>
        </w:rPr>
        <w:t>. The Board, directly or through its delegation of authority to the Committee, shall have full authority to interpret and construe the terms of the Plan and this Restricted Stock Unit Agreement. Notwithstanding the above, nothing within this provision shall restrict the Company or the Recipient from seeking to enforce the terms of this Restricted Stock Unit Agreement under and as provided in Section 8, above. The Recipient may enforce the Company’s failure to timely set the PRSU Criteria if not established by [________], 20[__].</w:t>
      </w:r>
    </w:p>
    <w:p>
      <w:pPr>
        <w:spacing w:after="0" w:line="163" w:lineRule="exact"/>
        <w:rPr>
          <w:rFonts w:ascii="Arial" w:cs="Arial" w:eastAsia="Arial" w:hAnsi="Arial"/>
          <w:sz w:val="22"/>
          <w:szCs w:val="22"/>
          <w:color w:val="auto"/>
        </w:rPr>
      </w:pPr>
    </w:p>
    <w:p>
      <w:pPr>
        <w:jc w:val="both"/>
        <w:ind w:left="180" w:right="199" w:firstLine="652"/>
        <w:spacing w:after="0" w:line="214" w:lineRule="auto"/>
        <w:tabs>
          <w:tab w:leader="none" w:pos="144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Restricted Stock Unit Agreement be held by a court of competent jurisdiction to be unenforceable, or enforceable only if modified, such holding shall not affect the validity of the remainder of this Restricted Stock Unit Agreement, the balance of which shall continue to be binding upon the parties hereto with any such modification (if any) to become a part hereof and treated as though contained in this original Recipient Restricted Stock Unit Agreement.</w:t>
      </w:r>
    </w:p>
    <w:p>
      <w:pPr>
        <w:spacing w:after="0" w:line="158" w:lineRule="exact"/>
        <w:rPr>
          <w:rFonts w:ascii="Arial" w:cs="Arial" w:eastAsia="Arial" w:hAnsi="Arial"/>
          <w:sz w:val="22"/>
          <w:szCs w:val="22"/>
          <w:color w:val="auto"/>
        </w:rPr>
      </w:pPr>
    </w:p>
    <w:p>
      <w:pPr>
        <w:ind w:left="180" w:right="339" w:firstLine="652"/>
        <w:spacing w:after="0" w:line="229" w:lineRule="auto"/>
        <w:tabs>
          <w:tab w:leader="none" w:pos="142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The Board, directly or through its delegation of authority to the Committee, has the right to amend, alter, suspend, discontinue or cancel the Restricted Stock Unit, prospectively or retroactively; provided, that, no such amendment shall adversely affect the Recipient’s rights under this Agreement without the Recipient’s consent</w:t>
      </w:r>
    </w:p>
    <w:p>
      <w:pPr>
        <w:spacing w:after="0" w:line="158" w:lineRule="exact"/>
        <w:rPr>
          <w:rFonts w:ascii="Arial" w:cs="Arial" w:eastAsia="Arial" w:hAnsi="Arial"/>
          <w:sz w:val="21"/>
          <w:szCs w:val="21"/>
          <w:color w:val="auto"/>
        </w:rPr>
      </w:pPr>
    </w:p>
    <w:p>
      <w:pPr>
        <w:jc w:val="both"/>
        <w:ind w:left="180" w:right="199" w:firstLine="652"/>
        <w:spacing w:after="0" w:line="249" w:lineRule="auto"/>
        <w:tabs>
          <w:tab w:leader="none" w:pos="140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1" w:lineRule="exact"/>
        <w:rPr>
          <w:rFonts w:ascii="Arial" w:cs="Arial" w:eastAsia="Arial" w:hAnsi="Arial"/>
          <w:sz w:val="19"/>
          <w:szCs w:val="19"/>
          <w:color w:val="auto"/>
        </w:rPr>
      </w:pPr>
    </w:p>
    <w:p>
      <w:pPr>
        <w:jc w:val="both"/>
        <w:ind w:left="180" w:right="199" w:firstLine="652"/>
        <w:spacing w:after="0" w:line="249" w:lineRule="auto"/>
        <w:tabs>
          <w:tab w:leader="none" w:pos="144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The Recipient hereby acknowledges receipt of a copy of the Plan and this Agreement. The Recipient has read and understands the terms and provisions thereof, and accepts the Restricted Stock Units subject to all of the terms and conditions of the Plan and this Agreement. The Recipient acknowledges that there may be adverse tax consequences upon vesting of the Restricted Stock Unit or disposition of the underlying shares and that the Recipient should consult a tax advisor prior to such exercise or disposition.</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54610</wp:posOffset>
            </wp:positionV>
            <wp:extent cx="5528945"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6" w:name="page157"/>
    <w:bookmarkEnd w:id="156"/>
    <w:p>
      <w:pPr>
        <w:ind w:left="180" w:right="199" w:firstLine="648"/>
        <w:spacing w:after="0" w:line="233" w:lineRule="auto"/>
        <w:rPr>
          <w:sz w:val="20"/>
          <w:szCs w:val="20"/>
          <w:color w:val="auto"/>
        </w:rPr>
      </w:pPr>
      <w:r>
        <w:rPr>
          <w:rFonts w:ascii="Arial" w:cs="Arial" w:eastAsia="Arial" w:hAnsi="Arial"/>
          <w:sz w:val="22"/>
          <w:szCs w:val="22"/>
          <w:color w:val="auto"/>
        </w:rPr>
        <w:t>IN WITNESS WHEREOF, the parties hereto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READING INTERNATIONAL, INC.</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Ellen Cotter</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President and Chief Executive Officer</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RECIPIENT</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_____________________________</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1280160</wp:posOffset>
            </wp:positionV>
            <wp:extent cx="5528945"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7" w:name="page158"/>
    <w:bookmarkEnd w:id="157"/>
    <w:p>
      <w:pPr>
        <w:jc w:val="center"/>
        <w:ind w:right="159"/>
        <w:spacing w:after="0"/>
        <w:rPr>
          <w:sz w:val="20"/>
          <w:szCs w:val="20"/>
          <w:color w:val="auto"/>
        </w:rPr>
      </w:pPr>
      <w:r>
        <w:rPr>
          <w:rFonts w:ascii="Arial" w:cs="Arial" w:eastAsia="Arial" w:hAnsi="Arial"/>
          <w:sz w:val="20"/>
          <w:szCs w:val="20"/>
          <w:b w:val="1"/>
          <w:bCs w:val="1"/>
          <w:color w:val="auto"/>
        </w:rPr>
        <w:t>READING INTERNATIONAL, INC.</w:t>
      </w: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2020 STOCK INCENTIVE PLAN STOCK OPTION AGREEMENT</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[Director]</w:t>
      </w:r>
    </w:p>
    <w:p>
      <w:pPr>
        <w:spacing w:after="0" w:line="222" w:lineRule="exact"/>
        <w:rPr>
          <w:sz w:val="20"/>
          <w:szCs w:val="20"/>
          <w:color w:val="auto"/>
        </w:rPr>
      </w:pPr>
    </w:p>
    <w:p>
      <w:pPr>
        <w:jc w:val="both"/>
        <w:ind w:right="179" w:firstLine="657"/>
        <w:spacing w:after="0" w:line="250" w:lineRule="auto"/>
        <w:rPr>
          <w:sz w:val="20"/>
          <w:szCs w:val="20"/>
          <w:color w:val="auto"/>
        </w:rPr>
      </w:pPr>
      <w:r>
        <w:rPr>
          <w:rFonts w:ascii="Arial" w:cs="Arial" w:eastAsia="Arial" w:hAnsi="Arial"/>
          <w:sz w:val="20"/>
          <w:szCs w:val="20"/>
          <w:color w:val="auto"/>
        </w:rPr>
        <w:t>Unless otherwise defined herein, capitalized terms used in this Stock Option Agreement (this “Option Agreement”) shall have the meanings ascribed in the Reading International, Inc. (“Reading” or the “Company”) 2020 Stock Incentive Plan, as amended (the “Plan”).</w:t>
      </w:r>
    </w:p>
    <w:p>
      <w:pPr>
        <w:spacing w:after="0" w:line="180" w:lineRule="exact"/>
        <w:rPr>
          <w:sz w:val="20"/>
          <w:szCs w:val="20"/>
          <w:color w:val="auto"/>
        </w:rPr>
      </w:pPr>
    </w:p>
    <w:p>
      <w:pPr>
        <w:ind w:left="940" w:hanging="774"/>
        <w:spacing w:after="0"/>
        <w:tabs>
          <w:tab w:leader="none" w:pos="940" w:val="left"/>
        </w:tabs>
        <w:numPr>
          <w:ilvl w:val="0"/>
          <w:numId w:val="66"/>
        </w:numPr>
        <w:rPr>
          <w:rFonts w:ascii="Arial" w:cs="Arial" w:eastAsia="Arial" w:hAnsi="Arial"/>
          <w:sz w:val="20"/>
          <w:szCs w:val="20"/>
          <w:b w:val="1"/>
          <w:bCs w:val="1"/>
          <w:color w:val="2A2A2A"/>
        </w:rPr>
      </w:pPr>
      <w:r>
        <w:rPr>
          <w:rFonts w:ascii="Arial" w:cs="Arial" w:eastAsia="Arial" w:hAnsi="Arial"/>
          <w:sz w:val="20"/>
          <w:szCs w:val="20"/>
          <w:b w:val="1"/>
          <w:bCs w:val="1"/>
          <w:color w:val="auto"/>
        </w:rPr>
        <w:t>NOTICE OF STOCK OPTION GRANT</w:t>
      </w:r>
    </w:p>
    <w:p>
      <w:pPr>
        <w:spacing w:after="0" w:line="222" w:lineRule="exact"/>
        <w:rPr>
          <w:sz w:val="20"/>
          <w:szCs w:val="20"/>
          <w:color w:val="auto"/>
        </w:rPr>
      </w:pPr>
    </w:p>
    <w:p>
      <w:pPr>
        <w:ind w:left="800"/>
        <w:spacing w:after="0"/>
        <w:tabs>
          <w:tab w:leader="none" w:pos="1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[_____________]</w:t>
      </w:r>
    </w:p>
    <w:p>
      <w:pPr>
        <w:spacing w:after="0" w:line="216" w:lineRule="exact"/>
        <w:rPr>
          <w:sz w:val="20"/>
          <w:szCs w:val="20"/>
          <w:color w:val="auto"/>
        </w:rPr>
      </w:pPr>
    </w:p>
    <w:p>
      <w:pPr>
        <w:ind w:left="800"/>
        <w:spacing w:after="0"/>
        <w:tabs>
          <w:tab w:leader="none" w:pos="1920" w:val="left"/>
        </w:tabs>
        <w:rPr>
          <w:sz w:val="20"/>
          <w:szCs w:val="20"/>
          <w:color w:val="auto"/>
        </w:rPr>
      </w:pPr>
      <w:r>
        <w:rPr>
          <w:rFonts w:ascii="Arial" w:cs="Arial" w:eastAsia="Arial" w:hAnsi="Arial"/>
          <w:sz w:val="20"/>
          <w:szCs w:val="20"/>
          <w:color w:val="auto"/>
        </w:rPr>
        <w:t>Address:</w:t>
      </w:r>
      <w:r>
        <w:rPr>
          <w:sz w:val="20"/>
          <w:szCs w:val="20"/>
          <w:color w:val="auto"/>
        </w:rPr>
        <w:tab/>
      </w:r>
      <w:r>
        <w:rPr>
          <w:rFonts w:ascii="Arial" w:cs="Arial" w:eastAsia="Arial" w:hAnsi="Arial"/>
          <w:sz w:val="20"/>
          <w:szCs w:val="20"/>
          <w:color w:val="auto"/>
        </w:rPr>
        <w:t>[_____________]</w:t>
      </w:r>
    </w:p>
    <w:p>
      <w:pPr>
        <w:spacing w:after="0" w:line="216" w:lineRule="exact"/>
        <w:rPr>
          <w:sz w:val="20"/>
          <w:szCs w:val="20"/>
          <w:color w:val="auto"/>
        </w:rPr>
      </w:pPr>
    </w:p>
    <w:p>
      <w:pPr>
        <w:jc w:val="both"/>
        <w:ind w:right="179"/>
        <w:spacing w:after="0" w:line="250" w:lineRule="auto"/>
        <w:rPr>
          <w:sz w:val="20"/>
          <w:szCs w:val="20"/>
          <w:color w:val="auto"/>
        </w:rPr>
      </w:pPr>
      <w:r>
        <w:rPr>
          <w:rFonts w:ascii="Arial" w:cs="Arial" w:eastAsia="Arial" w:hAnsi="Arial"/>
          <w:sz w:val="20"/>
          <w:szCs w:val="20"/>
          <w:color w:val="auto"/>
        </w:rPr>
        <w:t>The Company is pleased to inform you that, subject to the terms and conditions of the Plan and this Option Agreement, you have been granted an Option to purchase shares of the Company’s Class A Non-voting Common Stock (“Option Shares”), as follows: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580" w:type="dxa"/>
            <w:vAlign w:val="bottom"/>
          </w:tcPr>
          <w:p>
            <w:pPr>
              <w:spacing w:after="0"/>
              <w:rPr>
                <w:sz w:val="20"/>
                <w:szCs w:val="20"/>
                <w:color w:val="auto"/>
              </w:rPr>
            </w:pPr>
            <w:r>
              <w:rPr>
                <w:rFonts w:ascii="Arial" w:cs="Arial" w:eastAsia="Arial" w:hAnsi="Arial"/>
                <w:sz w:val="20"/>
                <w:szCs w:val="20"/>
                <w:color w:val="auto"/>
              </w:rPr>
              <w:t>Date of Grant:</w:t>
            </w:r>
          </w:p>
        </w:tc>
        <w:tc>
          <w:tcPr>
            <w:tcW w:w="6280" w:type="dxa"/>
            <w:vAlign w:val="bottom"/>
            <w:gridSpan w:val="3"/>
          </w:tcPr>
          <w:p>
            <w:pPr>
              <w:ind w:left="200"/>
              <w:spacing w:after="0"/>
              <w:rPr>
                <w:sz w:val="20"/>
                <w:szCs w:val="20"/>
                <w:color w:val="auto"/>
              </w:rPr>
            </w:pPr>
            <w:r>
              <w:rPr>
                <w:rFonts w:ascii="Arial" w:cs="Arial" w:eastAsia="Arial" w:hAnsi="Arial"/>
                <w:sz w:val="20"/>
                <w:szCs w:val="20"/>
                <w:color w:val="auto"/>
              </w:rPr>
              <w:t>[___________], 20[__]</w:t>
            </w:r>
          </w:p>
        </w:tc>
      </w:tr>
      <w:tr>
        <w:trPr>
          <w:trHeight w:val="446"/>
        </w:trPr>
        <w:tc>
          <w:tcPr>
            <w:tcW w:w="2580" w:type="dxa"/>
            <w:vAlign w:val="bottom"/>
          </w:tcPr>
          <w:p>
            <w:pPr>
              <w:spacing w:after="0"/>
              <w:rPr>
                <w:sz w:val="20"/>
                <w:szCs w:val="20"/>
                <w:color w:val="auto"/>
              </w:rPr>
            </w:pPr>
            <w:r>
              <w:rPr>
                <w:rFonts w:ascii="Arial" w:cs="Arial" w:eastAsia="Arial" w:hAnsi="Arial"/>
                <w:sz w:val="20"/>
                <w:szCs w:val="20"/>
                <w:color w:val="auto"/>
                <w:w w:val="93"/>
              </w:rPr>
              <w:t>Vesting Commencement Date:</w:t>
            </w:r>
          </w:p>
        </w:tc>
        <w:tc>
          <w:tcPr>
            <w:tcW w:w="6280" w:type="dxa"/>
            <w:vAlign w:val="bottom"/>
            <w:gridSpan w:val="3"/>
          </w:tcPr>
          <w:p>
            <w:pPr>
              <w:ind w:left="180"/>
              <w:spacing w:after="0"/>
              <w:rPr>
                <w:sz w:val="20"/>
                <w:szCs w:val="20"/>
                <w:color w:val="auto"/>
              </w:rPr>
            </w:pPr>
            <w:r>
              <w:rPr>
                <w:rFonts w:ascii="Arial" w:cs="Arial" w:eastAsia="Arial" w:hAnsi="Arial"/>
                <w:sz w:val="20"/>
                <w:szCs w:val="20"/>
                <w:color w:val="auto"/>
              </w:rPr>
              <w:t>[___________], 20[__]</w:t>
            </w:r>
          </w:p>
        </w:tc>
      </w:tr>
      <w:tr>
        <w:trPr>
          <w:trHeight w:val="445"/>
        </w:trPr>
        <w:tc>
          <w:tcPr>
            <w:tcW w:w="2580" w:type="dxa"/>
            <w:vAlign w:val="bottom"/>
          </w:tcPr>
          <w:p>
            <w:pPr>
              <w:spacing w:after="0"/>
              <w:rPr>
                <w:sz w:val="20"/>
                <w:szCs w:val="20"/>
                <w:color w:val="auto"/>
              </w:rPr>
            </w:pPr>
            <w:r>
              <w:rPr>
                <w:rFonts w:ascii="Arial" w:cs="Arial" w:eastAsia="Arial" w:hAnsi="Arial"/>
                <w:sz w:val="20"/>
                <w:szCs w:val="20"/>
                <w:color w:val="auto"/>
              </w:rPr>
              <w:t>Exercise Price per Share:</w:t>
            </w:r>
          </w:p>
        </w:tc>
        <w:tc>
          <w:tcPr>
            <w:tcW w:w="6280" w:type="dxa"/>
            <w:vAlign w:val="bottom"/>
            <w:gridSpan w:val="3"/>
          </w:tcPr>
          <w:p>
            <w:pPr>
              <w:ind w:left="200"/>
              <w:spacing w:after="0"/>
              <w:rPr>
                <w:sz w:val="20"/>
                <w:szCs w:val="20"/>
                <w:color w:val="auto"/>
              </w:rPr>
            </w:pPr>
            <w:r>
              <w:rPr>
                <w:rFonts w:ascii="Arial" w:cs="Arial" w:eastAsia="Arial" w:hAnsi="Arial"/>
                <w:sz w:val="20"/>
                <w:szCs w:val="20"/>
                <w:color w:val="auto"/>
              </w:rPr>
              <w:t>$[__]</w:t>
            </w:r>
          </w:p>
        </w:tc>
      </w:tr>
      <w:tr>
        <w:trPr>
          <w:trHeight w:val="445"/>
        </w:trPr>
        <w:tc>
          <w:tcPr>
            <w:tcW w:w="2580" w:type="dxa"/>
            <w:vAlign w:val="bottom"/>
          </w:tcPr>
          <w:p>
            <w:pPr>
              <w:spacing w:after="0"/>
              <w:rPr>
                <w:sz w:val="20"/>
                <w:szCs w:val="20"/>
                <w:color w:val="auto"/>
              </w:rPr>
            </w:pPr>
            <w:r>
              <w:rPr>
                <w:rFonts w:ascii="Arial" w:cs="Arial" w:eastAsia="Arial" w:hAnsi="Arial"/>
                <w:sz w:val="20"/>
                <w:szCs w:val="20"/>
                <w:color w:val="auto"/>
              </w:rPr>
              <w:t>Number of Option Shares:</w:t>
            </w:r>
          </w:p>
        </w:tc>
        <w:tc>
          <w:tcPr>
            <w:tcW w:w="6280" w:type="dxa"/>
            <w:vAlign w:val="bottom"/>
            <w:gridSpan w:val="3"/>
          </w:tcPr>
          <w:p>
            <w:pPr>
              <w:ind w:left="220"/>
              <w:spacing w:after="0"/>
              <w:rPr>
                <w:sz w:val="20"/>
                <w:szCs w:val="20"/>
                <w:color w:val="auto"/>
              </w:rPr>
            </w:pPr>
            <w:r>
              <w:rPr>
                <w:rFonts w:ascii="Arial" w:cs="Arial" w:eastAsia="Arial" w:hAnsi="Arial"/>
                <w:sz w:val="20"/>
                <w:szCs w:val="20"/>
                <w:color w:val="auto"/>
              </w:rPr>
              <w:t>[____]</w:t>
            </w:r>
          </w:p>
        </w:tc>
      </w:tr>
      <w:tr>
        <w:trPr>
          <w:trHeight w:val="445"/>
        </w:trPr>
        <w:tc>
          <w:tcPr>
            <w:tcW w:w="2580" w:type="dxa"/>
            <w:vAlign w:val="bottom"/>
          </w:tcPr>
          <w:p>
            <w:pPr>
              <w:spacing w:after="0"/>
              <w:rPr>
                <w:sz w:val="20"/>
                <w:szCs w:val="20"/>
                <w:color w:val="auto"/>
              </w:rPr>
            </w:pPr>
            <w:r>
              <w:rPr>
                <w:rFonts w:ascii="Arial" w:cs="Arial" w:eastAsia="Arial" w:hAnsi="Arial"/>
                <w:sz w:val="20"/>
                <w:szCs w:val="20"/>
                <w:color w:val="auto"/>
              </w:rPr>
              <w:t>Total Exercise Price:</w:t>
            </w:r>
          </w:p>
        </w:tc>
        <w:tc>
          <w:tcPr>
            <w:tcW w:w="6280" w:type="dxa"/>
            <w:vAlign w:val="bottom"/>
            <w:gridSpan w:val="3"/>
          </w:tcPr>
          <w:p>
            <w:pPr>
              <w:ind w:left="200"/>
              <w:spacing w:after="0"/>
              <w:rPr>
                <w:sz w:val="20"/>
                <w:szCs w:val="20"/>
                <w:color w:val="auto"/>
              </w:rPr>
            </w:pPr>
            <w:r>
              <w:rPr>
                <w:rFonts w:ascii="Arial" w:cs="Arial" w:eastAsia="Arial" w:hAnsi="Arial"/>
                <w:sz w:val="20"/>
                <w:szCs w:val="20"/>
                <w:color w:val="auto"/>
              </w:rPr>
              <w:t>$[________]</w:t>
            </w:r>
          </w:p>
        </w:tc>
      </w:tr>
      <w:tr>
        <w:trPr>
          <w:trHeight w:val="445"/>
        </w:trPr>
        <w:tc>
          <w:tcPr>
            <w:tcW w:w="2580" w:type="dxa"/>
            <w:vAlign w:val="bottom"/>
          </w:tcPr>
          <w:p>
            <w:pPr>
              <w:spacing w:after="0"/>
              <w:rPr>
                <w:sz w:val="20"/>
                <w:szCs w:val="20"/>
                <w:color w:val="auto"/>
              </w:rPr>
            </w:pPr>
            <w:r>
              <w:rPr>
                <w:rFonts w:ascii="Arial" w:cs="Arial" w:eastAsia="Arial" w:hAnsi="Arial"/>
                <w:sz w:val="20"/>
                <w:szCs w:val="20"/>
                <w:color w:val="auto"/>
              </w:rPr>
              <w:t>Type of Option:</w:t>
            </w:r>
          </w:p>
        </w:tc>
        <w:tc>
          <w:tcPr>
            <w:tcW w:w="6280" w:type="dxa"/>
            <w:vAlign w:val="bottom"/>
            <w:gridSpan w:val="3"/>
          </w:tcPr>
          <w:p>
            <w:pPr>
              <w:ind w:left="220"/>
              <w:spacing w:after="0"/>
              <w:rPr>
                <w:sz w:val="20"/>
                <w:szCs w:val="20"/>
                <w:color w:val="auto"/>
              </w:rPr>
            </w:pPr>
            <w:r>
              <w:rPr>
                <w:rFonts w:ascii="Arial" w:cs="Arial" w:eastAsia="Arial" w:hAnsi="Arial"/>
                <w:sz w:val="20"/>
                <w:szCs w:val="20"/>
                <w:color w:val="auto"/>
              </w:rPr>
              <w:t>___ Incentive Stock Option (“ISO”)</w:t>
            </w:r>
          </w:p>
        </w:tc>
      </w:tr>
      <w:tr>
        <w:trPr>
          <w:trHeight w:val="401"/>
        </w:trPr>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760" w:type="dxa"/>
            <w:vAlign w:val="bottom"/>
          </w:tcPr>
          <w:p>
            <w:pPr>
              <w:ind w:left="60"/>
              <w:spacing w:after="0"/>
              <w:rPr>
                <w:sz w:val="20"/>
                <w:szCs w:val="20"/>
                <w:color w:val="auto"/>
              </w:rPr>
            </w:pPr>
            <w:r>
              <w:rPr>
                <w:rFonts w:ascii="Arial" w:cs="Arial" w:eastAsia="Arial" w:hAnsi="Arial"/>
                <w:sz w:val="20"/>
                <w:szCs w:val="20"/>
                <w:color w:val="auto"/>
              </w:rPr>
              <w:t>Nonstatutory Stock Option (“NSO”)</w:t>
            </w:r>
          </w:p>
        </w:tc>
      </w:tr>
      <w:tr>
        <w:trPr>
          <w:trHeight w:val="470"/>
        </w:trPr>
        <w:tc>
          <w:tcPr>
            <w:tcW w:w="2580" w:type="dxa"/>
            <w:vAlign w:val="bottom"/>
          </w:tcPr>
          <w:p>
            <w:pPr>
              <w:spacing w:after="0"/>
              <w:rPr>
                <w:sz w:val="20"/>
                <w:szCs w:val="20"/>
                <w:color w:val="auto"/>
              </w:rPr>
            </w:pPr>
            <w:r>
              <w:rPr>
                <w:rFonts w:ascii="Arial" w:cs="Arial" w:eastAsia="Arial" w:hAnsi="Arial"/>
                <w:sz w:val="20"/>
                <w:szCs w:val="20"/>
                <w:color w:val="auto"/>
              </w:rPr>
              <w:t>Term/Expiration Date:</w:t>
            </w:r>
          </w:p>
        </w:tc>
        <w:tc>
          <w:tcPr>
            <w:tcW w:w="6280" w:type="dxa"/>
            <w:vAlign w:val="bottom"/>
            <w:gridSpan w:val="3"/>
          </w:tcPr>
          <w:p>
            <w:pPr>
              <w:ind w:left="140"/>
              <w:spacing w:after="0"/>
              <w:rPr>
                <w:sz w:val="20"/>
                <w:szCs w:val="20"/>
                <w:color w:val="auto"/>
              </w:rPr>
            </w:pPr>
            <w:r>
              <w:rPr>
                <w:rFonts w:ascii="Arial" w:cs="Arial" w:eastAsia="Arial" w:hAnsi="Arial"/>
                <w:sz w:val="20"/>
                <w:szCs w:val="20"/>
                <w:color w:val="auto"/>
              </w:rPr>
              <w:t>[___________], 20[__]</w:t>
            </w:r>
          </w:p>
        </w:tc>
      </w:tr>
      <w:tr>
        <w:trPr>
          <w:trHeight w:val="425"/>
        </w:trPr>
        <w:tc>
          <w:tcPr>
            <w:tcW w:w="2580" w:type="dxa"/>
            <w:vAlign w:val="bottom"/>
          </w:tcPr>
          <w:p>
            <w:pPr>
              <w:spacing w:after="0"/>
              <w:rPr>
                <w:sz w:val="20"/>
                <w:szCs w:val="20"/>
                <w:color w:val="auto"/>
              </w:rPr>
            </w:pPr>
            <w:r>
              <w:rPr>
                <w:rFonts w:ascii="Arial" w:cs="Arial" w:eastAsia="Arial" w:hAnsi="Arial"/>
                <w:sz w:val="20"/>
                <w:szCs w:val="20"/>
                <w:color w:val="auto"/>
              </w:rPr>
              <w:t>Vesting Schedule:</w:t>
            </w:r>
          </w:p>
        </w:tc>
        <w:tc>
          <w:tcPr>
            <w:tcW w:w="220" w:type="dxa"/>
            <w:vAlign w:val="bottom"/>
          </w:tcPr>
          <w:p>
            <w:pPr>
              <w:spacing w:after="0"/>
              <w:rPr>
                <w:sz w:val="24"/>
                <w:szCs w:val="24"/>
                <w:color w:val="auto"/>
              </w:rPr>
            </w:pPr>
          </w:p>
        </w:tc>
        <w:tc>
          <w:tcPr>
            <w:tcW w:w="6060" w:type="dxa"/>
            <w:vAlign w:val="bottom"/>
            <w:gridSpan w:val="2"/>
          </w:tcPr>
          <w:p>
            <w:pPr>
              <w:ind w:left="220"/>
              <w:spacing w:after="0"/>
              <w:rPr>
                <w:sz w:val="20"/>
                <w:szCs w:val="20"/>
                <w:color w:val="auto"/>
              </w:rPr>
            </w:pPr>
            <w:r>
              <w:rPr>
                <w:rFonts w:ascii="Arial" w:cs="Arial" w:eastAsia="Arial" w:hAnsi="Arial"/>
                <w:sz w:val="20"/>
                <w:szCs w:val="20"/>
                <w:color w:val="auto"/>
                <w:w w:val="91"/>
              </w:rPr>
              <w:t>The Option shall become vested and exercisable in accordance with the</w:t>
            </w:r>
          </w:p>
        </w:tc>
      </w:tr>
      <w:tr>
        <w:trPr>
          <w:trHeight w:val="230"/>
        </w:trPr>
        <w:tc>
          <w:tcPr>
            <w:tcW w:w="2580" w:type="dxa"/>
            <w:vAlign w:val="bottom"/>
          </w:tcPr>
          <w:p>
            <w:pPr>
              <w:spacing w:after="0"/>
              <w:rPr>
                <w:sz w:val="19"/>
                <w:szCs w:val="19"/>
                <w:color w:val="auto"/>
              </w:rPr>
            </w:pPr>
          </w:p>
        </w:tc>
        <w:tc>
          <w:tcPr>
            <w:tcW w:w="6280" w:type="dxa"/>
            <w:vAlign w:val="bottom"/>
            <w:gridSpan w:val="3"/>
          </w:tcPr>
          <w:p>
            <w:pPr>
              <w:ind w:left="180"/>
              <w:spacing w:after="0"/>
              <w:rPr>
                <w:sz w:val="20"/>
                <w:szCs w:val="20"/>
                <w:color w:val="auto"/>
              </w:rPr>
            </w:pPr>
            <w:r>
              <w:rPr>
                <w:rFonts w:ascii="Arial" w:cs="Arial" w:eastAsia="Arial" w:hAnsi="Arial"/>
                <w:sz w:val="20"/>
                <w:szCs w:val="20"/>
                <w:color w:val="auto"/>
              </w:rPr>
              <w:t>following schedule:  Subject to the limitations set forth in this Option</w:t>
            </w:r>
          </w:p>
        </w:tc>
      </w:tr>
      <w:tr>
        <w:trPr>
          <w:trHeight w:val="230"/>
        </w:trPr>
        <w:tc>
          <w:tcPr>
            <w:tcW w:w="2580" w:type="dxa"/>
            <w:vAlign w:val="bottom"/>
          </w:tcPr>
          <w:p>
            <w:pPr>
              <w:spacing w:after="0"/>
              <w:rPr>
                <w:sz w:val="19"/>
                <w:szCs w:val="19"/>
                <w:color w:val="auto"/>
              </w:rPr>
            </w:pPr>
          </w:p>
        </w:tc>
        <w:tc>
          <w:tcPr>
            <w:tcW w:w="6280" w:type="dxa"/>
            <w:vAlign w:val="bottom"/>
            <w:gridSpan w:val="3"/>
          </w:tcPr>
          <w:p>
            <w:pPr>
              <w:ind w:left="180"/>
              <w:spacing w:after="0"/>
              <w:rPr>
                <w:sz w:val="20"/>
                <w:szCs w:val="20"/>
                <w:color w:val="auto"/>
              </w:rPr>
            </w:pPr>
            <w:r>
              <w:rPr>
                <w:rFonts w:ascii="Arial" w:cs="Arial" w:eastAsia="Arial" w:hAnsi="Arial"/>
                <w:sz w:val="20"/>
                <w:szCs w:val="20"/>
                <w:color w:val="auto"/>
                <w:w w:val="91"/>
              </w:rPr>
              <w:t>Agreement and the Plan, this Option will vest on the first to occur of (i) 5:00</w:t>
            </w:r>
          </w:p>
        </w:tc>
      </w:tr>
      <w:tr>
        <w:trPr>
          <w:trHeight w:val="230"/>
        </w:trPr>
        <w:tc>
          <w:tcPr>
            <w:tcW w:w="2580" w:type="dxa"/>
            <w:vAlign w:val="bottom"/>
          </w:tcPr>
          <w:p>
            <w:pPr>
              <w:spacing w:after="0"/>
              <w:rPr>
                <w:sz w:val="19"/>
                <w:szCs w:val="19"/>
                <w:color w:val="auto"/>
              </w:rPr>
            </w:pPr>
          </w:p>
        </w:tc>
        <w:tc>
          <w:tcPr>
            <w:tcW w:w="6280" w:type="dxa"/>
            <w:vAlign w:val="bottom"/>
            <w:gridSpan w:val="3"/>
          </w:tcPr>
          <w:p>
            <w:pPr>
              <w:ind w:left="180"/>
              <w:spacing w:after="0"/>
              <w:rPr>
                <w:sz w:val="20"/>
                <w:szCs w:val="20"/>
                <w:color w:val="auto"/>
              </w:rPr>
            </w:pPr>
            <w:r>
              <w:rPr>
                <w:rFonts w:ascii="Arial" w:cs="Arial" w:eastAsia="Arial" w:hAnsi="Arial"/>
                <w:sz w:val="20"/>
                <w:szCs w:val="20"/>
                <w:color w:val="auto"/>
                <w:w w:val="95"/>
              </w:rPr>
              <w:t>pm, Los Angeles, CA time on the last business day prior to the one-year</w:t>
            </w:r>
          </w:p>
        </w:tc>
      </w:tr>
      <w:tr>
        <w:trPr>
          <w:trHeight w:val="229"/>
        </w:trPr>
        <w:tc>
          <w:tcPr>
            <w:tcW w:w="2580" w:type="dxa"/>
            <w:vAlign w:val="bottom"/>
          </w:tcPr>
          <w:p>
            <w:pPr>
              <w:spacing w:after="0"/>
              <w:rPr>
                <w:sz w:val="19"/>
                <w:szCs w:val="19"/>
                <w:color w:val="auto"/>
              </w:rPr>
            </w:pPr>
          </w:p>
        </w:tc>
        <w:tc>
          <w:tcPr>
            <w:tcW w:w="6280" w:type="dxa"/>
            <w:vAlign w:val="bottom"/>
            <w:gridSpan w:val="3"/>
          </w:tcPr>
          <w:p>
            <w:pPr>
              <w:ind w:left="180"/>
              <w:spacing w:after="0"/>
              <w:rPr>
                <w:sz w:val="20"/>
                <w:szCs w:val="20"/>
                <w:color w:val="auto"/>
              </w:rPr>
            </w:pPr>
            <w:r>
              <w:rPr>
                <w:rFonts w:ascii="Arial" w:cs="Arial" w:eastAsia="Arial" w:hAnsi="Arial"/>
                <w:sz w:val="20"/>
                <w:szCs w:val="20"/>
                <w:color w:val="auto"/>
                <w:w w:val="94"/>
              </w:rPr>
              <w:t>anniversary of the Date of Grant if Optionee continues to provide or meet</w:t>
            </w:r>
          </w:p>
        </w:tc>
      </w:tr>
      <w:tr>
        <w:trPr>
          <w:trHeight w:val="230"/>
        </w:trPr>
        <w:tc>
          <w:tcPr>
            <w:tcW w:w="2580" w:type="dxa"/>
            <w:vAlign w:val="bottom"/>
          </w:tcPr>
          <w:p>
            <w:pPr>
              <w:spacing w:after="0"/>
              <w:rPr>
                <w:sz w:val="19"/>
                <w:szCs w:val="19"/>
                <w:color w:val="auto"/>
              </w:rPr>
            </w:pPr>
          </w:p>
        </w:tc>
        <w:tc>
          <w:tcPr>
            <w:tcW w:w="6280" w:type="dxa"/>
            <w:vAlign w:val="bottom"/>
            <w:gridSpan w:val="3"/>
          </w:tcPr>
          <w:p>
            <w:pPr>
              <w:ind w:left="180"/>
              <w:spacing w:after="0"/>
              <w:rPr>
                <w:sz w:val="20"/>
                <w:szCs w:val="20"/>
                <w:color w:val="auto"/>
              </w:rPr>
            </w:pPr>
            <w:r>
              <w:rPr>
                <w:rFonts w:ascii="Arial" w:cs="Arial" w:eastAsia="Arial" w:hAnsi="Arial"/>
                <w:sz w:val="20"/>
                <w:szCs w:val="20"/>
                <w:color w:val="auto"/>
                <w:w w:val="93"/>
              </w:rPr>
              <w:t>the requirement of “Service” under the Plan during such time period; or (ii)</w:t>
            </w:r>
          </w:p>
        </w:tc>
      </w:tr>
      <w:tr>
        <w:trPr>
          <w:trHeight w:val="230"/>
        </w:trPr>
        <w:tc>
          <w:tcPr>
            <w:tcW w:w="2580" w:type="dxa"/>
            <w:vAlign w:val="bottom"/>
          </w:tcPr>
          <w:p>
            <w:pPr>
              <w:spacing w:after="0"/>
              <w:rPr>
                <w:sz w:val="19"/>
                <w:szCs w:val="19"/>
                <w:color w:val="auto"/>
              </w:rPr>
            </w:pPr>
          </w:p>
        </w:tc>
        <w:tc>
          <w:tcPr>
            <w:tcW w:w="6280" w:type="dxa"/>
            <w:vAlign w:val="bottom"/>
            <w:gridSpan w:val="3"/>
          </w:tcPr>
          <w:p>
            <w:pPr>
              <w:ind w:left="180"/>
              <w:spacing w:after="0"/>
              <w:rPr>
                <w:sz w:val="20"/>
                <w:szCs w:val="20"/>
                <w:color w:val="auto"/>
              </w:rPr>
            </w:pPr>
            <w:r>
              <w:rPr>
                <w:rFonts w:ascii="Arial" w:cs="Arial" w:eastAsia="Arial" w:hAnsi="Arial"/>
                <w:sz w:val="20"/>
                <w:szCs w:val="20"/>
                <w:color w:val="auto"/>
                <w:w w:val="93"/>
              </w:rPr>
              <w:t>the date on which the Optionee has served such Optionee’s full term as a</w:t>
            </w:r>
          </w:p>
        </w:tc>
      </w:tr>
      <w:tr>
        <w:trPr>
          <w:trHeight w:val="250"/>
        </w:trPr>
        <w:tc>
          <w:tcPr>
            <w:tcW w:w="2580" w:type="dxa"/>
            <w:vAlign w:val="bottom"/>
          </w:tcPr>
          <w:p>
            <w:pPr>
              <w:spacing w:after="0"/>
              <w:rPr>
                <w:sz w:val="21"/>
                <w:szCs w:val="21"/>
                <w:color w:val="auto"/>
              </w:rPr>
            </w:pPr>
          </w:p>
        </w:tc>
        <w:tc>
          <w:tcPr>
            <w:tcW w:w="6280" w:type="dxa"/>
            <w:vAlign w:val="bottom"/>
            <w:gridSpan w:val="3"/>
          </w:tcPr>
          <w:p>
            <w:pPr>
              <w:ind w:left="180"/>
              <w:spacing w:after="0"/>
              <w:rPr>
                <w:sz w:val="20"/>
                <w:szCs w:val="20"/>
                <w:color w:val="auto"/>
              </w:rPr>
            </w:pPr>
            <w:r>
              <w:rPr>
                <w:rFonts w:ascii="Arial" w:cs="Arial" w:eastAsia="Arial" w:hAnsi="Arial"/>
                <w:sz w:val="20"/>
                <w:szCs w:val="20"/>
                <w:color w:val="auto"/>
              </w:rPr>
              <w:t>Director (the “Vesting Date”).</w:t>
            </w:r>
          </w:p>
        </w:tc>
      </w:tr>
      <w:tr>
        <w:trPr>
          <w:trHeight w:val="445"/>
        </w:trPr>
        <w:tc>
          <w:tcPr>
            <w:tcW w:w="2580" w:type="dxa"/>
            <w:vAlign w:val="bottom"/>
          </w:tcPr>
          <w:p>
            <w:pPr>
              <w:spacing w:after="0"/>
              <w:rPr>
                <w:sz w:val="24"/>
                <w:szCs w:val="24"/>
                <w:color w:val="auto"/>
              </w:rPr>
            </w:pPr>
          </w:p>
        </w:tc>
        <w:tc>
          <w:tcPr>
            <w:tcW w:w="6280" w:type="dxa"/>
            <w:vAlign w:val="bottom"/>
            <w:gridSpan w:val="3"/>
          </w:tcPr>
          <w:p>
            <w:pPr>
              <w:ind w:left="1800"/>
              <w:spacing w:after="0"/>
              <w:rPr>
                <w:sz w:val="20"/>
                <w:szCs w:val="20"/>
                <w:color w:val="auto"/>
              </w:rPr>
            </w:pPr>
            <w:r>
              <w:rPr>
                <w:rFonts w:ascii="Arial" w:cs="Arial" w:eastAsia="Arial" w:hAnsi="Arial"/>
                <w:sz w:val="20"/>
                <w:szCs w:val="20"/>
                <w:color w:val="auto"/>
              </w:rPr>
              <w:t>1</w:t>
            </w:r>
          </w:p>
        </w:tc>
      </w:tr>
      <w:tr>
        <w:trPr>
          <w:trHeight w:val="104"/>
        </w:trPr>
        <w:tc>
          <w:tcPr>
            <w:tcW w:w="2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760" w:type="dxa"/>
            <w:vAlign w:val="bottom"/>
            <w:tcBorders>
              <w:bottom w:val="single" w:sz="8" w:color="9A9A9A"/>
            </w:tcBorders>
          </w:tcPr>
          <w:p>
            <w:pPr>
              <w:spacing w:after="0"/>
              <w:rPr>
                <w:sz w:val="9"/>
                <w:szCs w:val="9"/>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5607685</wp:posOffset>
            </wp:positionH>
            <wp:positionV relativeFrom="paragraph">
              <wp:posOffset>-37465</wp:posOffset>
            </wp:positionV>
            <wp:extent cx="3365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-37465</wp:posOffset>
            </wp:positionV>
            <wp:extent cx="3365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8" w:name="page159"/>
    <w:bookmarkEnd w:id="158"/>
    <w:p>
      <w:pPr>
        <w:ind w:left="660" w:hanging="656"/>
        <w:spacing w:after="0"/>
        <w:tabs>
          <w:tab w:leader="none" w:pos="660" w:val="left"/>
        </w:tabs>
        <w:numPr>
          <w:ilvl w:val="0"/>
          <w:numId w:val="67"/>
        </w:numPr>
        <w:rPr>
          <w:rFonts w:ascii="Arial" w:cs="Arial" w:eastAsia="Arial" w:hAnsi="Arial"/>
          <w:sz w:val="20"/>
          <w:szCs w:val="20"/>
          <w:b w:val="1"/>
          <w:bCs w:val="1"/>
          <w:color w:val="2A2A2A"/>
        </w:rPr>
      </w:pPr>
      <w:r>
        <w:rPr>
          <w:rFonts w:ascii="Arial" w:cs="Arial" w:eastAsia="Arial" w:hAnsi="Arial"/>
          <w:sz w:val="20"/>
          <w:szCs w:val="20"/>
          <w:b w:val="1"/>
          <w:bCs w:val="1"/>
          <w:color w:val="auto"/>
        </w:rPr>
        <w:t>AGREEMENT</w:t>
      </w:r>
    </w:p>
    <w:p>
      <w:pPr>
        <w:spacing w:after="0" w:line="221" w:lineRule="exact"/>
        <w:rPr>
          <w:sz w:val="20"/>
          <w:szCs w:val="20"/>
          <w:color w:val="auto"/>
        </w:rPr>
      </w:pPr>
    </w:p>
    <w:p>
      <w:pPr>
        <w:ind w:left="1200" w:hanging="1196"/>
        <w:spacing w:after="0"/>
        <w:tabs>
          <w:tab w:leader="none" w:pos="1200" w:val="left"/>
        </w:tabs>
        <w:numPr>
          <w:ilvl w:val="0"/>
          <w:numId w:val="68"/>
        </w:numPr>
        <w:rPr>
          <w:rFonts w:ascii="Arial" w:cs="Arial" w:eastAsia="Arial" w:hAnsi="Arial"/>
          <w:sz w:val="20"/>
          <w:szCs w:val="20"/>
          <w:color w:val="2A2A2A"/>
        </w:rPr>
      </w:pPr>
      <w:r>
        <w:rPr>
          <w:rFonts w:ascii="Arial" w:cs="Arial" w:eastAsia="Arial" w:hAnsi="Arial"/>
          <w:sz w:val="20"/>
          <w:szCs w:val="20"/>
          <w:u w:val="single" w:color="auto"/>
          <w:color w:val="auto"/>
        </w:rPr>
        <w:t>Grant of Option.</w:t>
      </w:r>
    </w:p>
    <w:p>
      <w:pPr>
        <w:spacing w:after="0" w:line="215" w:lineRule="exact"/>
        <w:rPr>
          <w:rFonts w:ascii="Arial" w:cs="Arial" w:eastAsia="Arial" w:hAnsi="Arial"/>
          <w:sz w:val="20"/>
          <w:szCs w:val="20"/>
          <w:color w:val="2A2A2A"/>
        </w:rPr>
      </w:pPr>
    </w:p>
    <w:p>
      <w:pPr>
        <w:jc w:val="both"/>
        <w:ind w:right="519" w:firstLine="652"/>
        <w:spacing w:after="0" w:line="243" w:lineRule="auto"/>
        <w:tabs>
          <w:tab w:leader="none" w:pos="1273" w:val="left"/>
        </w:tabs>
        <w:numPr>
          <w:ilvl w:val="1"/>
          <w:numId w:val="68"/>
        </w:numPr>
        <w:rPr>
          <w:rFonts w:ascii="Arial" w:cs="Arial" w:eastAsia="Arial" w:hAnsi="Arial"/>
          <w:sz w:val="20"/>
          <w:szCs w:val="20"/>
          <w:color w:val="2A2A2A"/>
        </w:rPr>
      </w:pPr>
      <w:r>
        <w:rPr>
          <w:rFonts w:ascii="Arial" w:cs="Arial" w:eastAsia="Arial" w:hAnsi="Arial"/>
          <w:sz w:val="20"/>
          <w:szCs w:val="20"/>
          <w:color w:val="auto"/>
        </w:rPr>
        <w:t>The Board hereby grants to the Optionee named in the Notice of Grant contained in Part I of this Option Agreement (the “Notice of Grant”) an Option (this “Option”) to purchase the number of Shares set forth in the Notice of Grant, at the exercise price per Share set forth in the Notice of Grant (the “Exercise Price”), subject to the terms and conditions of the Plan, which is incorporated herein by reference. Subject to Section 12 of the Plan, in the event of a conflict between the terms and conditions of the Plan and the terms and conditions of this Option Agreement, the terms and conditions of the Plan shall prevail.</w:t>
      </w:r>
    </w:p>
    <w:p>
      <w:pPr>
        <w:spacing w:after="0" w:line="192" w:lineRule="exact"/>
        <w:rPr>
          <w:rFonts w:ascii="Arial" w:cs="Arial" w:eastAsia="Arial" w:hAnsi="Arial"/>
          <w:sz w:val="20"/>
          <w:szCs w:val="20"/>
          <w:color w:val="2A2A2A"/>
        </w:rPr>
      </w:pPr>
    </w:p>
    <w:p>
      <w:pPr>
        <w:jc w:val="both"/>
        <w:ind w:right="519" w:firstLine="652"/>
        <w:spacing w:after="0" w:line="246" w:lineRule="auto"/>
        <w:tabs>
          <w:tab w:leader="none" w:pos="1284" w:val="left"/>
        </w:tabs>
        <w:numPr>
          <w:ilvl w:val="1"/>
          <w:numId w:val="68"/>
        </w:numPr>
        <w:rPr>
          <w:rFonts w:ascii="Arial" w:cs="Arial" w:eastAsia="Arial" w:hAnsi="Arial"/>
          <w:sz w:val="20"/>
          <w:szCs w:val="20"/>
          <w:color w:val="2A2A2A"/>
        </w:rPr>
      </w:pPr>
      <w:r>
        <w:rPr>
          <w:rFonts w:ascii="Arial" w:cs="Arial" w:eastAsia="Arial" w:hAnsi="Arial"/>
          <w:sz w:val="20"/>
          <w:szCs w:val="20"/>
          <w:color w:val="auto"/>
        </w:rPr>
        <w:t>If designated in the Notice of Grant as an Incentive Stock Option, this Option is intended to qualify as an Incentive Stock Option under Section 422 of the Code; however, if this Option is intended to be an Incentive Stock Option, to the extent that it exceeds the $100,000 rule described in Section 10(d) of the Plan it shall be treated as a Nonstatutory Stock Option.</w:t>
      </w:r>
    </w:p>
    <w:p>
      <w:pPr>
        <w:spacing w:after="0" w:line="191" w:lineRule="exact"/>
        <w:rPr>
          <w:rFonts w:ascii="Arial" w:cs="Arial" w:eastAsia="Arial" w:hAnsi="Arial"/>
          <w:sz w:val="20"/>
          <w:szCs w:val="20"/>
          <w:color w:val="2A2A2A"/>
        </w:rPr>
      </w:pPr>
    </w:p>
    <w:p>
      <w:pPr>
        <w:ind w:left="680" w:hanging="676"/>
        <w:spacing w:after="0"/>
        <w:tabs>
          <w:tab w:leader="none" w:pos="680" w:val="left"/>
        </w:tabs>
        <w:numPr>
          <w:ilvl w:val="0"/>
          <w:numId w:val="68"/>
        </w:numPr>
        <w:rPr>
          <w:rFonts w:ascii="Arial" w:cs="Arial" w:eastAsia="Arial" w:hAnsi="Arial"/>
          <w:sz w:val="20"/>
          <w:szCs w:val="20"/>
          <w:color w:val="2A2A2A"/>
        </w:rPr>
      </w:pPr>
      <w:r>
        <w:rPr>
          <w:rFonts w:ascii="Arial" w:cs="Arial" w:eastAsia="Arial" w:hAnsi="Arial"/>
          <w:sz w:val="20"/>
          <w:szCs w:val="20"/>
          <w:u w:val="single" w:color="auto"/>
          <w:color w:val="auto"/>
        </w:rPr>
        <w:t>Vesting of Option Shares.</w:t>
      </w:r>
    </w:p>
    <w:p>
      <w:pPr>
        <w:spacing w:after="0" w:line="215" w:lineRule="exact"/>
        <w:rPr>
          <w:rFonts w:ascii="Arial" w:cs="Arial" w:eastAsia="Arial" w:hAnsi="Arial"/>
          <w:sz w:val="20"/>
          <w:szCs w:val="20"/>
          <w:color w:val="2A2A2A"/>
        </w:rPr>
      </w:pPr>
    </w:p>
    <w:p>
      <w:pPr>
        <w:jc w:val="both"/>
        <w:ind w:right="519" w:firstLine="652"/>
        <w:spacing w:after="0" w:line="282" w:lineRule="auto"/>
        <w:tabs>
          <w:tab w:leader="none" w:pos="1273" w:val="left"/>
        </w:tabs>
        <w:numPr>
          <w:ilvl w:val="1"/>
          <w:numId w:val="68"/>
        </w:numPr>
        <w:rPr>
          <w:rFonts w:ascii="Arial" w:cs="Arial" w:eastAsia="Arial" w:hAnsi="Arial"/>
          <w:sz w:val="18"/>
          <w:szCs w:val="18"/>
          <w:color w:val="2A2A2A"/>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The Option Shares as to which the Option shall have vested at any time in accordance with the terms of the Vesting Schedule set forth in the Notice of Grant are referred to as “Vested Shares,” and the Option Shares that shall not have vested are referred to as “Unvested Shares.” All of the Option Shares are Unvested Shares as of the date of this Option Agreement.</w:t>
      </w:r>
    </w:p>
    <w:p>
      <w:pPr>
        <w:spacing w:after="0" w:line="161" w:lineRule="exact"/>
        <w:rPr>
          <w:rFonts w:ascii="Arial" w:cs="Arial" w:eastAsia="Arial" w:hAnsi="Arial"/>
          <w:sz w:val="18"/>
          <w:szCs w:val="18"/>
          <w:color w:val="2A2A2A"/>
        </w:rPr>
      </w:pPr>
    </w:p>
    <w:p>
      <w:pPr>
        <w:jc w:val="both"/>
        <w:ind w:right="519" w:firstLine="652"/>
        <w:spacing w:after="0" w:line="257" w:lineRule="auto"/>
        <w:tabs>
          <w:tab w:leader="none" w:pos="1284" w:val="left"/>
        </w:tabs>
        <w:numPr>
          <w:ilvl w:val="1"/>
          <w:numId w:val="68"/>
        </w:numPr>
        <w:rPr>
          <w:rFonts w:ascii="Arial" w:cs="Arial" w:eastAsia="Arial" w:hAnsi="Arial"/>
          <w:sz w:val="19"/>
          <w:szCs w:val="19"/>
          <w:color w:val="2A2A2A"/>
        </w:rPr>
      </w:pPr>
      <w:r>
        <w:rPr>
          <w:rFonts w:ascii="Arial" w:cs="Arial" w:eastAsia="Arial" w:hAnsi="Arial"/>
          <w:sz w:val="19"/>
          <w:szCs w:val="19"/>
          <w:u w:val="single" w:color="auto"/>
          <w:color w:val="auto"/>
        </w:rPr>
        <w:t>Termination of Unvested Shares Upon Early Termination of Service As Director.</w:t>
      </w:r>
      <w:r>
        <w:rPr>
          <w:rFonts w:ascii="Arial" w:cs="Arial" w:eastAsia="Arial" w:hAnsi="Arial"/>
          <w:sz w:val="19"/>
          <w:szCs w:val="19"/>
          <w:color w:val="auto"/>
        </w:rPr>
        <w:t xml:space="preserve"> Subject to subparagraph (c) hereof, if the Optionee ceases to serve as a Director of the Company prior to the Vesting Date for any reason, (i) the Option shall immediately and automatically cease to be exercisable for any Unvested Shares as of the date of termination of service as a Director and (ii) the Optionee shall immediately and automatically cease to have any right under the Option with respect to Unvested Shares as of the date of termination of service as a Director. In such event, this Option Agreement shall remain in full force and effect with respect to any Vested Shares.</w:t>
      </w:r>
    </w:p>
    <w:p>
      <w:pPr>
        <w:spacing w:after="0" w:line="184" w:lineRule="exact"/>
        <w:rPr>
          <w:rFonts w:ascii="Arial" w:cs="Arial" w:eastAsia="Arial" w:hAnsi="Arial"/>
          <w:sz w:val="19"/>
          <w:szCs w:val="19"/>
          <w:color w:val="2A2A2A"/>
        </w:rPr>
      </w:pPr>
    </w:p>
    <w:p>
      <w:pPr>
        <w:jc w:val="both"/>
        <w:ind w:right="519" w:firstLine="652"/>
        <w:spacing w:after="0" w:line="246" w:lineRule="auto"/>
        <w:tabs>
          <w:tab w:leader="none" w:pos="1273" w:val="left"/>
        </w:tabs>
        <w:numPr>
          <w:ilvl w:val="1"/>
          <w:numId w:val="68"/>
        </w:numPr>
        <w:rPr>
          <w:rFonts w:ascii="Arial" w:cs="Arial" w:eastAsia="Arial" w:hAnsi="Arial"/>
          <w:sz w:val="20"/>
          <w:szCs w:val="20"/>
          <w:color w:val="2A2A2A"/>
        </w:rPr>
      </w:pPr>
      <w:r>
        <w:rPr>
          <w:rFonts w:ascii="Arial" w:cs="Arial" w:eastAsia="Arial" w:hAnsi="Arial"/>
          <w:sz w:val="20"/>
          <w:szCs w:val="20"/>
          <w:u w:val="single" w:color="auto"/>
          <w:color w:val="auto"/>
        </w:rPr>
        <w:t>Board Discretion of Vesting.</w:t>
      </w:r>
      <w:r>
        <w:rPr>
          <w:rFonts w:ascii="Arial" w:cs="Arial" w:eastAsia="Arial" w:hAnsi="Arial"/>
          <w:sz w:val="20"/>
          <w:szCs w:val="20"/>
          <w:color w:val="auto"/>
        </w:rPr>
        <w:t xml:space="preserve"> Upon recommendation of the Compensation and Stock Options Committee of the Board of Directors (the “Board”), the Board may take one or more actions that it finds in the best interest of the Company based on the applicable facts and circumstances with respect to vesting.</w:t>
      </w:r>
    </w:p>
    <w:p>
      <w:pPr>
        <w:spacing w:after="0" w:line="191" w:lineRule="exact"/>
        <w:rPr>
          <w:rFonts w:ascii="Arial" w:cs="Arial" w:eastAsia="Arial" w:hAnsi="Arial"/>
          <w:sz w:val="20"/>
          <w:szCs w:val="20"/>
          <w:color w:val="2A2A2A"/>
        </w:rPr>
      </w:pPr>
    </w:p>
    <w:p>
      <w:pPr>
        <w:ind w:left="680" w:hanging="676"/>
        <w:spacing w:after="0"/>
        <w:tabs>
          <w:tab w:leader="none" w:pos="680" w:val="left"/>
        </w:tabs>
        <w:numPr>
          <w:ilvl w:val="0"/>
          <w:numId w:val="68"/>
        </w:numPr>
        <w:rPr>
          <w:rFonts w:ascii="Arial" w:cs="Arial" w:eastAsia="Arial" w:hAnsi="Arial"/>
          <w:sz w:val="20"/>
          <w:szCs w:val="20"/>
          <w:color w:val="2A2A2A"/>
        </w:rPr>
      </w:pPr>
      <w:r>
        <w:rPr>
          <w:rFonts w:ascii="Arial" w:cs="Arial" w:eastAsia="Arial" w:hAnsi="Arial"/>
          <w:sz w:val="20"/>
          <w:szCs w:val="20"/>
          <w:u w:val="single" w:color="auto"/>
          <w:color w:val="auto"/>
        </w:rPr>
        <w:t>Acceleration of Vesting</w:t>
      </w:r>
      <w:r>
        <w:rPr>
          <w:rFonts w:ascii="Arial" w:cs="Arial" w:eastAsia="Arial" w:hAnsi="Arial"/>
          <w:sz w:val="20"/>
          <w:szCs w:val="20"/>
          <w:color w:val="auto"/>
        </w:rPr>
        <w:t>.</w:t>
      </w:r>
    </w:p>
    <w:p>
      <w:pPr>
        <w:spacing w:after="0" w:line="215" w:lineRule="exact"/>
        <w:rPr>
          <w:rFonts w:ascii="Arial" w:cs="Arial" w:eastAsia="Arial" w:hAnsi="Arial"/>
          <w:sz w:val="20"/>
          <w:szCs w:val="20"/>
          <w:color w:val="2A2A2A"/>
        </w:rPr>
      </w:pPr>
    </w:p>
    <w:p>
      <w:pPr>
        <w:ind w:right="519" w:firstLine="652"/>
        <w:spacing w:after="0" w:line="260" w:lineRule="auto"/>
        <w:tabs>
          <w:tab w:leader="none" w:pos="1273" w:val="left"/>
        </w:tabs>
        <w:numPr>
          <w:ilvl w:val="1"/>
          <w:numId w:val="68"/>
        </w:numPr>
        <w:rPr>
          <w:rFonts w:ascii="Arial" w:cs="Arial" w:eastAsia="Arial" w:hAnsi="Arial"/>
          <w:sz w:val="20"/>
          <w:szCs w:val="20"/>
          <w:color w:val="2A2A2A"/>
        </w:rPr>
      </w:pPr>
      <w:r>
        <w:rPr>
          <w:rFonts w:ascii="Arial" w:cs="Arial" w:eastAsia="Arial" w:hAnsi="Arial"/>
          <w:sz w:val="20"/>
          <w:szCs w:val="20"/>
          <w:color w:val="auto"/>
        </w:rPr>
        <w:t>In the event of Optionee’s death or Disability (as defined in the Plan), all Unvested Options shall immediately vest as of the date of death or Disability.</w:t>
      </w:r>
    </w:p>
    <w:p>
      <w:pPr>
        <w:spacing w:after="0" w:line="176" w:lineRule="exact"/>
        <w:rPr>
          <w:rFonts w:ascii="Arial" w:cs="Arial" w:eastAsia="Arial" w:hAnsi="Arial"/>
          <w:sz w:val="20"/>
          <w:szCs w:val="20"/>
          <w:color w:val="2A2A2A"/>
        </w:rPr>
      </w:pPr>
    </w:p>
    <w:p>
      <w:pPr>
        <w:jc w:val="both"/>
        <w:ind w:right="519" w:firstLine="652"/>
        <w:spacing w:after="0" w:line="243" w:lineRule="auto"/>
        <w:tabs>
          <w:tab w:leader="none" w:pos="1284" w:val="left"/>
        </w:tabs>
        <w:numPr>
          <w:ilvl w:val="1"/>
          <w:numId w:val="68"/>
        </w:numPr>
        <w:rPr>
          <w:rFonts w:ascii="Arial" w:cs="Arial" w:eastAsia="Arial" w:hAnsi="Arial"/>
          <w:sz w:val="20"/>
          <w:szCs w:val="20"/>
          <w:color w:val="2A2A2A"/>
        </w:rPr>
      </w:pPr>
      <w:r>
        <w:rPr>
          <w:rFonts w:ascii="Arial" w:cs="Arial" w:eastAsia="Arial" w:hAnsi="Arial"/>
          <w:sz w:val="20"/>
          <w:szCs w:val="20"/>
          <w:color w:val="auto"/>
        </w:rPr>
        <w:t>In the event that, within twenty-four months after a Change in Control, Optionee service as a Director is terminated by the Company or any successor Person, or Resigns For Good Reason, and the Optionee is not a Participant in such Change in Control, the vesting of all Unvested Options which are not otherwise fully vested shall automatically accelerate so that all such Unvested Options shall, immediately when the Optionee service as a Director is terminated or Resigns for Good Reason, become fully vested, free of all restrictions.</w:t>
      </w:r>
    </w:p>
    <w:p>
      <w:pPr>
        <w:spacing w:after="0" w:line="195" w:lineRule="exact"/>
        <w:rPr>
          <w:rFonts w:ascii="Arial" w:cs="Arial" w:eastAsia="Arial" w:hAnsi="Arial"/>
          <w:sz w:val="20"/>
          <w:szCs w:val="20"/>
          <w:color w:val="2A2A2A"/>
        </w:rPr>
      </w:pPr>
    </w:p>
    <w:p>
      <w:pPr>
        <w:jc w:val="both"/>
        <w:ind w:right="519" w:firstLine="652"/>
        <w:spacing w:after="0" w:line="282" w:lineRule="auto"/>
        <w:tabs>
          <w:tab w:leader="none" w:pos="1273" w:val="left"/>
        </w:tabs>
        <w:numPr>
          <w:ilvl w:val="1"/>
          <w:numId w:val="68"/>
        </w:numPr>
        <w:rPr>
          <w:rFonts w:ascii="Arial" w:cs="Arial" w:eastAsia="Arial" w:hAnsi="Arial"/>
          <w:sz w:val="18"/>
          <w:szCs w:val="18"/>
          <w:color w:val="2A2A2A"/>
        </w:rPr>
      </w:pPr>
      <w:r>
        <w:rPr>
          <w:rFonts w:ascii="Arial" w:cs="Arial" w:eastAsia="Arial" w:hAnsi="Arial"/>
          <w:sz w:val="18"/>
          <w:szCs w:val="18"/>
          <w:color w:val="auto"/>
        </w:rPr>
        <w:t>In the event of a Corporate Transaction in which the Unvested Options are not to be Appropriately Replaced at or prior to the effective time of such Corporate Transaction, the vesting of all Unvested Options which are not otherwise fully vested shall automatically accelerate so that all such Unvested Options shall, immediately prior to the effective time of the Corporate Transaction, become</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5648960"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564896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color w:val="auto"/>
        </w:rPr>
        <w:t>fully vested, free of all restrictions.</w:t>
      </w:r>
    </w:p>
    <w:p>
      <w:pPr>
        <w:spacing w:after="0" w:line="217" w:lineRule="exact"/>
        <w:rPr>
          <w:sz w:val="20"/>
          <w:szCs w:val="20"/>
          <w:color w:val="auto"/>
        </w:rPr>
      </w:pPr>
    </w:p>
    <w:p>
      <w:pPr>
        <w:jc w:val="both"/>
        <w:ind w:right="519" w:firstLine="652"/>
        <w:spacing w:after="0" w:line="242" w:lineRule="auto"/>
        <w:tabs>
          <w:tab w:leader="none" w:pos="1284" w:val="left"/>
        </w:tabs>
        <w:numPr>
          <w:ilvl w:val="0"/>
          <w:numId w:val="69"/>
        </w:numPr>
        <w:rPr>
          <w:rFonts w:ascii="Arial" w:cs="Arial" w:eastAsia="Arial" w:hAnsi="Arial"/>
          <w:sz w:val="20"/>
          <w:szCs w:val="20"/>
          <w:color w:val="2A2A2A"/>
        </w:rPr>
      </w:pPr>
      <w:r>
        <w:rPr>
          <w:rFonts w:ascii="Arial" w:cs="Arial" w:eastAsia="Arial" w:hAnsi="Arial"/>
          <w:sz w:val="20"/>
          <w:szCs w:val="20"/>
          <w:color w:val="auto"/>
        </w:rPr>
        <w:t>In the event that, within twenty-four months after a Corporate Transaction at or prior to which the Unvested Options have been Appropriately Replaced, Optionee service as a Director is terminated by the Company or any successor Person, or Resigns For Good Reason, and the Optionee is not a Participant in such Corporate Transaction, the vesting of all Unvested Options (or the substitute awards by which the Unvested Options are Appropriately Replaced) which are not otherwise fully vested shall automatically accelerate so that all such Unvested Options (or such substitute awards) shall, immediately when the Optionee’s service as a Director is terminated or Resigns For Good Reason, become fully vested, free of all restrictions.</w:t>
      </w:r>
    </w:p>
    <w:p>
      <w:pPr>
        <w:spacing w:after="0" w:line="196" w:lineRule="exact"/>
        <w:rPr>
          <w:rFonts w:ascii="Arial" w:cs="Arial" w:eastAsia="Arial" w:hAnsi="Arial"/>
          <w:sz w:val="20"/>
          <w:szCs w:val="20"/>
          <w:color w:val="2A2A2A"/>
        </w:rPr>
      </w:pPr>
    </w:p>
    <w:p>
      <w:pPr>
        <w:ind w:left="1280" w:hanging="628"/>
        <w:spacing w:after="0"/>
        <w:tabs>
          <w:tab w:leader="none" w:pos="1280" w:val="left"/>
        </w:tabs>
        <w:numPr>
          <w:ilvl w:val="0"/>
          <w:numId w:val="69"/>
        </w:numPr>
        <w:rPr>
          <w:rFonts w:ascii="Arial" w:cs="Arial" w:eastAsia="Arial" w:hAnsi="Arial"/>
          <w:sz w:val="20"/>
          <w:szCs w:val="20"/>
          <w:color w:val="2A2A2A"/>
        </w:rPr>
      </w:pPr>
      <w:r>
        <w:rPr>
          <w:rFonts w:ascii="Arial" w:cs="Arial" w:eastAsia="Arial" w:hAnsi="Arial"/>
          <w:sz w:val="20"/>
          <w:szCs w:val="20"/>
          <w:color w:val="auto"/>
        </w:rPr>
        <w:t>For purposes of this Section II.C.:</w:t>
      </w:r>
    </w:p>
    <w:p>
      <w:pPr>
        <w:spacing w:after="0" w:line="215" w:lineRule="exact"/>
        <w:rPr>
          <w:rFonts w:ascii="Arial" w:cs="Arial" w:eastAsia="Arial" w:hAnsi="Arial"/>
          <w:sz w:val="20"/>
          <w:szCs w:val="20"/>
          <w:color w:val="2A2A2A"/>
        </w:rPr>
      </w:pPr>
    </w:p>
    <w:p>
      <w:pPr>
        <w:jc w:val="both"/>
        <w:ind w:right="339" w:firstLine="1381"/>
        <w:spacing w:after="0" w:line="268" w:lineRule="auto"/>
        <w:tabs>
          <w:tab w:leader="none" w:pos="19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Unvested Options shall be considered “Appropriately Replaced” if, in addition to providing for acceleration as provided in clause (d) of this Section II.C., at or prior to the Corporate Transaction, in the judgment of the Committee as constituted at the time the Corporate Transaction is proposed or announced to the Company (the “Evaluating Committee”), the Unvested Options or a substituted award will confer the right to receive, for each share of Common Stock that may be received pursuant to the Unvested Options existing immediately prior to the Corporate Transaction, on substantially the same vesting and other terms and conditions (including acceleration if the Optionee is Terminated Without Cause or Resigns For Good Reason) as were applicable to the Unvested Options immediately prior to the Corporate Transaction, the consideration (whether stock, cash or other securities or property) to be received in the Corporate Transaction by holders of Common Stock for each such share held on the effective date of such transaction (and if holders were offered a choice of consideration, the type of consideration chosen by the holders of a majority of the outstanding shares of Common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such consideration to be received in the transaction constituting a Corporate Transaction is not solely cash and/or common stock of the successor company or its parent or subsidiary, the Evaluating Committee may, if the obligations are to be assumed by the successor company, or its parent or subsidiary, approve that the consideration to be received upon the exercise or vesting of the Unvested Options (or the substituted award) will be common stock of the successor company or its parent or subsidiary substantially equal in fair market value to the per-share consideration received by holders of Common Stock in the transaction constituting a Corporate Transaction. The determination of such substantial equality of value of consideration shall be made by the Evaluating Committee in its sole discretion and its determination shall be conclusive and binding.</w:t>
      </w:r>
    </w:p>
    <w:p>
      <w:pPr>
        <w:spacing w:after="0" w:line="181" w:lineRule="exact"/>
        <w:rPr>
          <w:rFonts w:ascii="Arial" w:cs="Arial" w:eastAsia="Arial" w:hAnsi="Arial"/>
          <w:sz w:val="18"/>
          <w:szCs w:val="18"/>
          <w:color w:val="auto"/>
        </w:rPr>
      </w:pPr>
    </w:p>
    <w:p>
      <w:pPr>
        <w:ind w:left="1960" w:hanging="579"/>
        <w:spacing w:after="0"/>
        <w:tabs>
          <w:tab w:leader="none" w:pos="196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term “Change in Control” shall mean:</w:t>
      </w:r>
    </w:p>
    <w:p>
      <w:pPr>
        <w:spacing w:after="0" w:line="215" w:lineRule="exact"/>
        <w:rPr>
          <w:rFonts w:ascii="Arial" w:cs="Arial" w:eastAsia="Arial" w:hAnsi="Arial"/>
          <w:sz w:val="20"/>
          <w:szCs w:val="20"/>
          <w:color w:val="auto"/>
        </w:rPr>
      </w:pPr>
    </w:p>
    <w:p>
      <w:pPr>
        <w:ind w:left="660" w:right="579" w:firstLine="1288"/>
        <w:spacing w:after="0" w:line="316" w:lineRule="auto"/>
        <w:tabs>
          <w:tab w:leader="none" w:pos="2607"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change, after the Grant Date, in the composition of the Board such that the Incumbent Board ceases for any reason to constitute at least a majority of the Board; or</w:t>
      </w:r>
    </w:p>
    <w:p>
      <w:pPr>
        <w:spacing w:after="0" w:line="129" w:lineRule="exact"/>
        <w:rPr>
          <w:rFonts w:ascii="Arial" w:cs="Arial" w:eastAsia="Arial" w:hAnsi="Arial"/>
          <w:sz w:val="18"/>
          <w:szCs w:val="18"/>
          <w:color w:val="auto"/>
        </w:rPr>
      </w:pPr>
    </w:p>
    <w:p>
      <w:pPr>
        <w:jc w:val="both"/>
        <w:ind w:left="660" w:right="579" w:firstLine="1288"/>
        <w:spacing w:after="0" w:line="259" w:lineRule="auto"/>
        <w:tabs>
          <w:tab w:leader="none" w:pos="2596" w:val="left"/>
        </w:tabs>
        <w:numPr>
          <w:ilvl w:val="2"/>
          <w:numId w:val="69"/>
        </w:numPr>
        <w:rPr>
          <w:rFonts w:ascii="Arial" w:cs="Arial" w:eastAsia="Arial" w:hAnsi="Arial"/>
          <w:sz w:val="19"/>
          <w:szCs w:val="19"/>
          <w:color w:val="auto"/>
        </w:rPr>
      </w:pPr>
      <w:r>
        <w:rPr>
          <w:rFonts w:ascii="Arial" w:cs="Arial" w:eastAsia="Arial" w:hAnsi="Arial"/>
          <w:sz w:val="19"/>
          <w:szCs w:val="19"/>
          <w:color w:val="auto"/>
        </w:rPr>
        <w:t xml:space="preserve">after the Grant Date a Person (as defined below) other than a Permitted Holder (as defined below) becomes the “Beneficial Owner” (as defined in Rules 13d-3 and 13d-5 under the Exchange Act), directly or indirectly, of securities of the Company representing in the aggregate thirty percent (30%) or more of the then outstanding Voting Securities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a Change in Control shall not be deemed to have occurred for purposes of this clause (B) solely as the result of:</w:t>
      </w:r>
    </w:p>
    <w:p>
      <w:pPr>
        <w:spacing w:after="0" w:line="178" w:lineRule="exact"/>
        <w:rPr>
          <w:rFonts w:ascii="Arial" w:cs="Arial" w:eastAsia="Arial" w:hAnsi="Arial"/>
          <w:sz w:val="19"/>
          <w:szCs w:val="19"/>
          <w:color w:val="auto"/>
        </w:rPr>
      </w:pPr>
    </w:p>
    <w:p>
      <w:pPr>
        <w:jc w:val="both"/>
        <w:ind w:left="1300" w:right="559" w:firstLine="1296"/>
        <w:spacing w:after="0" w:line="250" w:lineRule="auto"/>
        <w:tabs>
          <w:tab w:leader="none" w:pos="3243" w:val="left"/>
        </w:tabs>
        <w:numPr>
          <w:ilvl w:val="3"/>
          <w:numId w:val="69"/>
        </w:numPr>
        <w:rPr>
          <w:rFonts w:ascii="Arial" w:cs="Arial" w:eastAsia="Arial" w:hAnsi="Arial"/>
          <w:sz w:val="20"/>
          <w:szCs w:val="20"/>
          <w:color w:val="2A2A2A"/>
        </w:rPr>
      </w:pPr>
      <w:r>
        <w:rPr>
          <w:rFonts w:ascii="Arial" w:cs="Arial" w:eastAsia="Arial" w:hAnsi="Arial"/>
          <w:sz w:val="20"/>
          <w:szCs w:val="20"/>
          <w:color w:val="auto"/>
        </w:rPr>
        <w:t>any acquisition directly from the Company, other than an acquisition by virtue of the exercise of a conversion privilege unless the security being so converted itself was acquired directly from the Company,</w:t>
      </w:r>
    </w:p>
    <w:p>
      <w:pPr>
        <w:spacing w:after="0" w:line="185" w:lineRule="exact"/>
        <w:rPr>
          <w:rFonts w:ascii="Arial" w:cs="Arial" w:eastAsia="Arial" w:hAnsi="Arial"/>
          <w:sz w:val="20"/>
          <w:szCs w:val="20"/>
          <w:color w:val="2A2A2A"/>
        </w:rPr>
      </w:pPr>
    </w:p>
    <w:p>
      <w:pPr>
        <w:ind w:left="3240" w:hanging="644"/>
        <w:spacing w:after="0"/>
        <w:tabs>
          <w:tab w:leader="none" w:pos="3240" w:val="left"/>
        </w:tabs>
        <w:numPr>
          <w:ilvl w:val="3"/>
          <w:numId w:val="69"/>
        </w:numPr>
        <w:rPr>
          <w:rFonts w:ascii="Arial" w:cs="Arial" w:eastAsia="Arial" w:hAnsi="Arial"/>
          <w:sz w:val="20"/>
          <w:szCs w:val="20"/>
          <w:color w:val="2A2A2A"/>
        </w:rPr>
      </w:pPr>
      <w:r>
        <w:rPr>
          <w:rFonts w:ascii="Arial" w:cs="Arial" w:eastAsia="Arial" w:hAnsi="Arial"/>
          <w:sz w:val="20"/>
          <w:szCs w:val="20"/>
          <w:color w:val="auto"/>
        </w:rPr>
        <w:t>any repurchase of securities by the Company,</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5648960"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5648960" cy="508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0" w:name="page161"/>
    <w:bookmarkEnd w:id="160"/>
    <w:p>
      <w:pPr>
        <w:ind w:left="1300" w:right="559" w:firstLine="1296"/>
        <w:spacing w:after="0" w:line="317" w:lineRule="auto"/>
        <w:tabs>
          <w:tab w:leader="none" w:pos="3243" w:val="left"/>
        </w:tabs>
        <w:numPr>
          <w:ilvl w:val="2"/>
          <w:numId w:val="70"/>
        </w:numPr>
        <w:rPr>
          <w:rFonts w:ascii="Arial" w:cs="Arial" w:eastAsia="Arial" w:hAnsi="Arial"/>
          <w:sz w:val="18"/>
          <w:szCs w:val="18"/>
          <w:color w:val="2A2A2A"/>
        </w:rPr>
      </w:pPr>
      <w:r>
        <w:rPr>
          <w:rFonts w:ascii="Arial" w:cs="Arial" w:eastAsia="Arial" w:hAnsi="Arial"/>
          <w:sz w:val="18"/>
          <w:szCs w:val="18"/>
          <w:color w:val="auto"/>
        </w:rPr>
        <w:t>any acquisition by any employee benefit plan (or related trust) sponsored or maintained by the Company or any entity controlled by the Company, and</w:t>
      </w:r>
    </w:p>
    <w:p>
      <w:pPr>
        <w:spacing w:after="0" w:line="129" w:lineRule="exact"/>
        <w:rPr>
          <w:rFonts w:ascii="Arial" w:cs="Arial" w:eastAsia="Arial" w:hAnsi="Arial"/>
          <w:sz w:val="18"/>
          <w:szCs w:val="18"/>
          <w:color w:val="2A2A2A"/>
        </w:rPr>
      </w:pPr>
    </w:p>
    <w:p>
      <w:pPr>
        <w:ind w:left="1300" w:right="559" w:firstLine="1296"/>
        <w:spacing w:after="0" w:line="287" w:lineRule="auto"/>
        <w:tabs>
          <w:tab w:leader="none" w:pos="3243" w:val="left"/>
        </w:tabs>
        <w:numPr>
          <w:ilvl w:val="2"/>
          <w:numId w:val="70"/>
        </w:numPr>
        <w:rPr>
          <w:rFonts w:ascii="Arial" w:cs="Arial" w:eastAsia="Arial" w:hAnsi="Arial"/>
          <w:sz w:val="19"/>
          <w:szCs w:val="19"/>
          <w:color w:val="2A2A2A"/>
        </w:rPr>
      </w:pPr>
      <w:r>
        <w:rPr>
          <w:rFonts w:ascii="Arial" w:cs="Arial" w:eastAsia="Arial" w:hAnsi="Arial"/>
          <w:sz w:val="19"/>
          <w:szCs w:val="19"/>
          <w:color w:val="auto"/>
        </w:rPr>
        <w:t>any acquisition pursuant to a transaction that is excluded from the definition of Corporate Transaction pursuant to approval by the Incumbent Board.</w:t>
      </w:r>
    </w:p>
    <w:p>
      <w:pPr>
        <w:spacing w:after="0" w:line="152" w:lineRule="exact"/>
        <w:rPr>
          <w:rFonts w:ascii="Arial" w:cs="Arial" w:eastAsia="Arial" w:hAnsi="Arial"/>
          <w:sz w:val="19"/>
          <w:szCs w:val="19"/>
          <w:color w:val="2A2A2A"/>
        </w:rPr>
      </w:pPr>
    </w:p>
    <w:p>
      <w:pPr>
        <w:ind w:left="1980" w:hanging="599"/>
        <w:spacing w:after="0"/>
        <w:tabs>
          <w:tab w:leader="none" w:pos="19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term “Corporate Transaction” shall mean:</w:t>
      </w:r>
    </w:p>
    <w:p>
      <w:pPr>
        <w:spacing w:after="0" w:line="215" w:lineRule="exact"/>
        <w:rPr>
          <w:rFonts w:ascii="Arial" w:cs="Arial" w:eastAsia="Arial" w:hAnsi="Arial"/>
          <w:sz w:val="20"/>
          <w:szCs w:val="20"/>
          <w:color w:val="auto"/>
        </w:rPr>
      </w:pPr>
    </w:p>
    <w:p>
      <w:pPr>
        <w:jc w:val="both"/>
        <w:ind w:left="660" w:right="579" w:firstLine="1288"/>
        <w:spacing w:after="0" w:line="244" w:lineRule="auto"/>
        <w:tabs>
          <w:tab w:leader="none" w:pos="2607" w:val="left"/>
        </w:tabs>
        <w:numPr>
          <w:ilvl w:val="1"/>
          <w:numId w:val="71"/>
        </w:numPr>
        <w:rPr>
          <w:rFonts w:ascii="Arial" w:cs="Arial" w:eastAsia="Arial" w:hAnsi="Arial"/>
          <w:sz w:val="20"/>
          <w:szCs w:val="20"/>
          <w:color w:val="auto"/>
        </w:rPr>
      </w:pPr>
      <w:r>
        <w:rPr>
          <w:rFonts w:ascii="Arial" w:cs="Arial" w:eastAsia="Arial" w:hAnsi="Arial"/>
          <w:sz w:val="20"/>
          <w:szCs w:val="20"/>
          <w:color w:val="auto"/>
        </w:rPr>
        <w:t xml:space="preserve">the consummation of a reorganization, merger or consolidation or sale or other disposition of all or substantially all of the assets of the Company, whether directly or indirectly through the sale of any one or more of the Company’s subsidiaries or the assets of such one or more subsidiaries; </w:t>
      </w:r>
      <w:r>
        <w:rPr>
          <w:rFonts w:ascii="Arial" w:cs="Arial" w:eastAsia="Arial" w:hAnsi="Arial"/>
          <w:sz w:val="20"/>
          <w:szCs w:val="20"/>
          <w:u w:val="single" w:color="auto"/>
          <w:color w:val="auto"/>
        </w:rPr>
        <w:t>excluding</w:t>
      </w:r>
      <w:r>
        <w:rPr>
          <w:rFonts w:ascii="Arial" w:cs="Arial" w:eastAsia="Arial" w:hAnsi="Arial"/>
          <w:sz w:val="20"/>
          <w:szCs w:val="20"/>
          <w:color w:val="auto"/>
        </w:rPr>
        <w:t>, however, any such transaction approved by the Incumbent Board (as defined below); or</w:t>
      </w:r>
    </w:p>
    <w:p>
      <w:pPr>
        <w:spacing w:after="0" w:line="194" w:lineRule="exact"/>
        <w:rPr>
          <w:rFonts w:ascii="Arial" w:cs="Arial" w:eastAsia="Arial" w:hAnsi="Arial"/>
          <w:sz w:val="20"/>
          <w:szCs w:val="20"/>
          <w:color w:val="auto"/>
        </w:rPr>
      </w:pPr>
    </w:p>
    <w:p>
      <w:pPr>
        <w:ind w:left="2580" w:hanging="632"/>
        <w:spacing w:after="0"/>
        <w:tabs>
          <w:tab w:leader="none" w:pos="258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liquidation or dissolution of the Company.</w:t>
      </w:r>
    </w:p>
    <w:p>
      <w:pPr>
        <w:spacing w:after="0" w:line="215" w:lineRule="exact"/>
        <w:rPr>
          <w:rFonts w:ascii="Arial" w:cs="Arial" w:eastAsia="Arial" w:hAnsi="Arial"/>
          <w:sz w:val="20"/>
          <w:szCs w:val="20"/>
          <w:color w:val="auto"/>
        </w:rPr>
      </w:pPr>
    </w:p>
    <w:p>
      <w:pPr>
        <w:jc w:val="both"/>
        <w:ind w:right="339" w:firstLine="1381"/>
        <w:spacing w:after="0" w:line="272" w:lineRule="auto"/>
        <w:tabs>
          <w:tab w:leader="none" w:pos="19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term “Incumbent Board” shall mean the individuals who, as of the Grant Date, constitute the entire Board together with any individual(s) who becomes a member of the Board subsequent to the Grant Date, whose election, or nomination for election by the Company’s stockholders, was approved by a vote of at least a majority of those individuals who are members of the Board and who were also members of the then-Incumbent Board (or deemed to be such pursuant to this proviso); provided,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p>
      <w:pPr>
        <w:spacing w:after="0" w:line="170" w:lineRule="exact"/>
        <w:rPr>
          <w:rFonts w:ascii="Arial" w:cs="Arial" w:eastAsia="Arial" w:hAnsi="Arial"/>
          <w:sz w:val="18"/>
          <w:szCs w:val="18"/>
          <w:color w:val="auto"/>
        </w:rPr>
      </w:pPr>
    </w:p>
    <w:p>
      <w:pPr>
        <w:jc w:val="both"/>
        <w:ind w:right="339" w:firstLine="1381"/>
        <w:spacing w:after="0" w:line="243" w:lineRule="auto"/>
        <w:tabs>
          <w:tab w:leader="none" w:pos="1931"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term “Participant” in a Change in Control or a Corporate Transaction shall mean any Person who, after such Change in Control or Corporate Transaction either (a) is or controls any Person whose acquisition or control of securities of the Company gives rise to the Change in Control pursuant to Section II.C.(e)(ii)(B) above, or (b) is or controls any Permitted Holder as of the effective date of such Change in Control or Corporate Transaction but was not or did not control such Permitted Holder· as of the date hereof.</w:t>
      </w:r>
    </w:p>
    <w:p>
      <w:pPr>
        <w:spacing w:after="0" w:line="195" w:lineRule="exact"/>
        <w:rPr>
          <w:rFonts w:ascii="Arial" w:cs="Arial" w:eastAsia="Arial" w:hAnsi="Arial"/>
          <w:sz w:val="20"/>
          <w:szCs w:val="20"/>
          <w:color w:val="auto"/>
        </w:rPr>
      </w:pPr>
    </w:p>
    <w:p>
      <w:pPr>
        <w:jc w:val="both"/>
        <w:ind w:right="339" w:firstLine="1381"/>
        <w:spacing w:after="0" w:line="244" w:lineRule="auto"/>
        <w:tabs>
          <w:tab w:leader="none" w:pos="1958"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term “Permitted Holder” shall mean (a) the Company or any trustee or other fiduciary holding securities under an employee benefit plan of the Company, (b) any Person who, since the Grant Date, has continuously been the Beneficial Owner of not less than thirty percent (30%) of the Voting Securities, or (c) any Person controlled, directly or indirectly, by one or more of the foregoing Persons referred to in the immediately preceding clause (b).</w:t>
      </w:r>
    </w:p>
    <w:p>
      <w:pPr>
        <w:spacing w:after="0" w:line="194" w:lineRule="exact"/>
        <w:rPr>
          <w:rFonts w:ascii="Arial" w:cs="Arial" w:eastAsia="Arial" w:hAnsi="Arial"/>
          <w:sz w:val="20"/>
          <w:szCs w:val="20"/>
          <w:color w:val="auto"/>
        </w:rPr>
      </w:pPr>
    </w:p>
    <w:p>
      <w:pPr>
        <w:jc w:val="both"/>
        <w:ind w:right="339" w:firstLine="1381"/>
        <w:spacing w:after="0" w:line="259" w:lineRule="auto"/>
        <w:tabs>
          <w:tab w:leader="none" w:pos="1986"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term “Person” shall mean any individual (whether acting in an individual capacity or in a representative capacity so as to have sole or shared voting power of Voting Securities), entity (including, without limitation, any corporation, charitable or not-for profit corporation, private foundation, partnership, limited liability company, trust (including, without limitation, any private, charitable or split-interest trust), joint venture, association or governmental body) or group (as defined in Section 13(d)(3) or 14(d)(2) of the Exchange Act and the rules and regulations thereunder.</w:t>
      </w:r>
    </w:p>
    <w:p>
      <w:pPr>
        <w:spacing w:after="0" w:line="178" w:lineRule="exact"/>
        <w:rPr>
          <w:rFonts w:ascii="Arial" w:cs="Arial" w:eastAsia="Arial" w:hAnsi="Arial"/>
          <w:sz w:val="19"/>
          <w:szCs w:val="19"/>
          <w:color w:val="auto"/>
        </w:rPr>
      </w:pPr>
    </w:p>
    <w:p>
      <w:pPr>
        <w:jc w:val="both"/>
        <w:ind w:right="339" w:firstLine="1381"/>
        <w:spacing w:after="0" w:line="274" w:lineRule="auto"/>
        <w:tabs>
          <w:tab w:leader="none" w:pos="20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 “Resigns For Good Reason” shall mean the termination by Optionee of Optionee’s Services or election not to continue to provide such Services for Good Reason. The term “Good Reason” shall mean in the case of a Director: (A) any material, adverse change in the Optionee’s compensation or work arrangements as a Director under the control of the Company, (B) any reduction in Optionee’s indemnification rights and/or insurance coverage if such rights or coverage are a contractual obligation of the Company for the benefit of the consultant, or (C) any material, adverse change under the control of the Company in the manner or location required for the performance of Optionee’s Services as a</w:t>
      </w:r>
    </w:p>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5648960"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5648960" cy="508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1" w:name="page162"/>
    <w:bookmarkEnd w:id="161"/>
    <w:p>
      <w:pPr>
        <w:jc w:val="both"/>
        <w:ind w:right="339"/>
        <w:spacing w:after="0" w:line="261" w:lineRule="auto"/>
        <w:rPr>
          <w:sz w:val="20"/>
          <w:szCs w:val="20"/>
          <w:color w:val="auto"/>
        </w:rPr>
      </w:pPr>
      <w:r>
        <w:rPr>
          <w:rFonts w:ascii="Arial" w:cs="Arial" w:eastAsia="Arial" w:hAnsi="Arial"/>
          <w:sz w:val="19"/>
          <w:szCs w:val="19"/>
          <w:color w:val="auto"/>
        </w:rPr>
        <w:t>Director; provided, however, that Optionee shall give written notice to the Company or the successor entity of any events giving that would constitute Good Reason within ninety (90) days of date on which such facts or events arise, the Company or such successor shall have not less than thirty (30) days’ opportunity to cure, and Optionee shall terminate his or her service as a Director not later than thirty (30) days of the failure of the Company or such successor to timely cure.</w:t>
      </w:r>
    </w:p>
    <w:p>
      <w:pPr>
        <w:spacing w:after="0" w:line="177"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9"/>
          <w:szCs w:val="19"/>
          <w:color w:val="auto"/>
        </w:rPr>
        <w:t>ix.</w:t>
      </w:r>
      <w:r>
        <w:rPr>
          <w:sz w:val="20"/>
          <w:szCs w:val="20"/>
          <w:color w:val="auto"/>
        </w:rPr>
        <w:tab/>
      </w:r>
      <w:r>
        <w:rPr>
          <w:rFonts w:ascii="Arial" w:cs="Arial" w:eastAsia="Arial" w:hAnsi="Arial"/>
          <w:sz w:val="19"/>
          <w:szCs w:val="19"/>
          <w:color w:val="auto"/>
        </w:rPr>
        <w:t>Services shall mean Optionee’s services as a Director of the Company or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successor.</w:t>
      </w:r>
    </w:p>
    <w:p>
      <w:pPr>
        <w:spacing w:after="0" w:line="200" w:lineRule="exact"/>
        <w:rPr>
          <w:sz w:val="20"/>
          <w:szCs w:val="20"/>
          <w:color w:val="auto"/>
        </w:rPr>
      </w:pPr>
    </w:p>
    <w:p>
      <w:pPr>
        <w:jc w:val="both"/>
        <w:ind w:right="339" w:firstLine="1381"/>
        <w:spacing w:after="0" w:line="244" w:lineRule="auto"/>
        <w:tabs>
          <w:tab w:leader="none" w:pos="1944" w:val="left"/>
        </w:tabs>
        <w:numPr>
          <w:ilvl w:val="2"/>
          <w:numId w:val="72"/>
        </w:numPr>
        <w:rPr>
          <w:rFonts w:ascii="Arial" w:cs="Arial" w:eastAsia="Arial" w:hAnsi="Arial"/>
          <w:sz w:val="20"/>
          <w:szCs w:val="20"/>
          <w:color w:val="auto"/>
        </w:rPr>
      </w:pPr>
      <w:r>
        <w:rPr>
          <w:rFonts w:ascii="Arial" w:cs="Arial" w:eastAsia="Arial" w:hAnsi="Arial"/>
          <w:sz w:val="20"/>
          <w:szCs w:val="20"/>
          <w:color w:val="auto"/>
        </w:rPr>
        <w:t>The term “Voting Securities” shall mean all securities of a corporation having the right under ordinary circumstances to vote in an election of the board of directors of such corporation, or other interests having comparable rights to elect managers or fiduciary persons or boards in noncorporate entities. As of the date hereof, the Voting Securities of the Company includes the shares of Class 8 Common Stock of the Company.</w:t>
      </w:r>
    </w:p>
    <w:p>
      <w:pPr>
        <w:spacing w:after="0" w:line="194" w:lineRule="exact"/>
        <w:rPr>
          <w:rFonts w:ascii="Arial" w:cs="Arial" w:eastAsia="Arial" w:hAnsi="Arial"/>
          <w:sz w:val="20"/>
          <w:szCs w:val="20"/>
          <w:color w:val="auto"/>
        </w:rPr>
      </w:pPr>
    </w:p>
    <w:p>
      <w:pPr>
        <w:ind w:left="700" w:hanging="696"/>
        <w:spacing w:after="0"/>
        <w:tabs>
          <w:tab w:leader="none" w:pos="700" w:val="left"/>
        </w:tabs>
        <w:numPr>
          <w:ilvl w:val="0"/>
          <w:numId w:val="73"/>
        </w:numPr>
        <w:rPr>
          <w:rFonts w:ascii="Arial" w:cs="Arial" w:eastAsia="Arial" w:hAnsi="Arial"/>
          <w:sz w:val="20"/>
          <w:szCs w:val="20"/>
          <w:color w:val="2A2A2A"/>
        </w:rPr>
      </w:pPr>
      <w:r>
        <w:rPr>
          <w:rFonts w:ascii="Arial" w:cs="Arial" w:eastAsia="Arial" w:hAnsi="Arial"/>
          <w:sz w:val="20"/>
          <w:szCs w:val="20"/>
          <w:u w:val="single" w:color="auto"/>
          <w:color w:val="auto"/>
        </w:rPr>
        <w:t>Exercise of Option.</w:t>
      </w:r>
    </w:p>
    <w:p>
      <w:pPr>
        <w:spacing w:after="0" w:line="215" w:lineRule="exact"/>
        <w:rPr>
          <w:rFonts w:ascii="Arial" w:cs="Arial" w:eastAsia="Arial" w:hAnsi="Arial"/>
          <w:sz w:val="20"/>
          <w:szCs w:val="20"/>
          <w:color w:val="2A2A2A"/>
        </w:rPr>
      </w:pPr>
    </w:p>
    <w:p>
      <w:pPr>
        <w:jc w:val="both"/>
        <w:ind w:right="299" w:firstLine="652"/>
        <w:spacing w:after="0" w:line="316" w:lineRule="auto"/>
        <w:tabs>
          <w:tab w:leader="none" w:pos="1273" w:val="left"/>
        </w:tabs>
        <w:numPr>
          <w:ilvl w:val="1"/>
          <w:numId w:val="73"/>
        </w:numPr>
        <w:rPr>
          <w:rFonts w:ascii="Arial" w:cs="Arial" w:eastAsia="Arial" w:hAnsi="Arial"/>
          <w:sz w:val="18"/>
          <w:szCs w:val="18"/>
          <w:color w:val="2A2A2A"/>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is exercisable during its term in accordance with the Vesting Schedule set out in the Notice of Grant and the applicable provisions of the Plan and this Option Agreement.</w:t>
      </w:r>
    </w:p>
    <w:p>
      <w:pPr>
        <w:spacing w:after="0" w:line="129" w:lineRule="exact"/>
        <w:rPr>
          <w:rFonts w:ascii="Arial" w:cs="Arial" w:eastAsia="Arial" w:hAnsi="Arial"/>
          <w:sz w:val="18"/>
          <w:szCs w:val="18"/>
          <w:color w:val="2A2A2A"/>
        </w:rPr>
      </w:pPr>
    </w:p>
    <w:p>
      <w:pPr>
        <w:jc w:val="both"/>
        <w:ind w:right="299" w:firstLine="652"/>
        <w:spacing w:after="0" w:line="273" w:lineRule="auto"/>
        <w:tabs>
          <w:tab w:leader="none" w:pos="1284" w:val="left"/>
        </w:tabs>
        <w:numPr>
          <w:ilvl w:val="1"/>
          <w:numId w:val="73"/>
        </w:numPr>
        <w:rPr>
          <w:rFonts w:ascii="Arial" w:cs="Arial" w:eastAsia="Arial" w:hAnsi="Arial"/>
          <w:sz w:val="18"/>
          <w:szCs w:val="18"/>
          <w:color w:val="2A2A2A"/>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This Option is exercisable by delivery to the Company of an exercise notice in substantially the form attached hereto as Exhibit A, or such other form as the Board may approve (the “Exercise Notice”), which shall state the election to exercise the Option, the number of Shares in respect of which the Option is being exercised (the “Exercised Shares”), and such other representations and agreements as may be required by the Company pursuant to the provisions of the Plan. The Exercise Notice shall be accompanied by payment of the aggregate Exercise Price as to all Exercised Shares, pursuant to Part II(D)(c) of this Option Agreement. This Option shall be deemed to be exercised upon receipt by the Company of such fully executed Exercise Notice accompanied by such aggregate Exercise Price.</w:t>
      </w:r>
    </w:p>
    <w:p>
      <w:pPr>
        <w:spacing w:after="0" w:line="168" w:lineRule="exact"/>
        <w:rPr>
          <w:sz w:val="20"/>
          <w:szCs w:val="20"/>
          <w:color w:val="auto"/>
        </w:rPr>
      </w:pPr>
    </w:p>
    <w:p>
      <w:pPr>
        <w:jc w:val="both"/>
        <w:ind w:right="299" w:firstLine="1256"/>
        <w:spacing w:after="0" w:line="246" w:lineRule="auto"/>
        <w:rPr>
          <w:sz w:val="20"/>
          <w:szCs w:val="20"/>
          <w:color w:val="auto"/>
        </w:rPr>
      </w:pPr>
      <w:r>
        <w:rPr>
          <w:rFonts w:ascii="Arial" w:cs="Arial" w:eastAsia="Arial" w:hAnsi="Arial"/>
          <w:sz w:val="20"/>
          <w:szCs w:val="20"/>
          <w:color w:val="auto"/>
        </w:rPr>
        <w:t>No Shares shall be issued pursuant to the exercise of this Option unless such issuance and exercise complies with Applicable Laws. Assuming such compliance, for income tax purposes the Exercised Shares shall be considered transferred to the Optionee on the date the Option is exercised with respect to such Exercised Shares.</w:t>
      </w:r>
    </w:p>
    <w:p>
      <w:pPr>
        <w:spacing w:after="0" w:line="191" w:lineRule="exact"/>
        <w:rPr>
          <w:sz w:val="20"/>
          <w:szCs w:val="20"/>
          <w:color w:val="auto"/>
        </w:rPr>
      </w:pPr>
    </w:p>
    <w:p>
      <w:pPr>
        <w:jc w:val="both"/>
        <w:ind w:right="299" w:firstLine="652"/>
        <w:spacing w:after="0" w:line="250" w:lineRule="auto"/>
        <w:tabs>
          <w:tab w:leader="none" w:pos="1273" w:val="left"/>
        </w:tabs>
        <w:numPr>
          <w:ilvl w:val="1"/>
          <w:numId w:val="74"/>
        </w:numPr>
        <w:rPr>
          <w:rFonts w:ascii="Arial" w:cs="Arial" w:eastAsia="Arial" w:hAnsi="Arial"/>
          <w:sz w:val="20"/>
          <w:szCs w:val="20"/>
          <w:color w:val="2A2A2A"/>
        </w:rPr>
      </w:pPr>
      <w:r>
        <w:rPr>
          <w:rFonts w:ascii="Arial" w:cs="Arial" w:eastAsia="Arial" w:hAnsi="Arial"/>
          <w:sz w:val="20"/>
          <w:szCs w:val="20"/>
          <w:u w:val="single" w:color="auto"/>
          <w:color w:val="auto"/>
        </w:rPr>
        <w:t>Method of Payment and Consideration.</w:t>
      </w:r>
      <w:r>
        <w:rPr>
          <w:rFonts w:ascii="Arial" w:cs="Arial" w:eastAsia="Arial" w:hAnsi="Arial"/>
          <w:sz w:val="20"/>
          <w:szCs w:val="20"/>
          <w:color w:val="auto"/>
        </w:rPr>
        <w:t xml:space="preserve"> Payment of the aggregate Exercise Price shall be by any method permitted under the Plan by the payment or transfer of any Consideration permitted under the Plan.</w:t>
      </w:r>
    </w:p>
    <w:p>
      <w:pPr>
        <w:spacing w:after="0" w:line="185" w:lineRule="exact"/>
        <w:rPr>
          <w:rFonts w:ascii="Arial" w:cs="Arial" w:eastAsia="Arial" w:hAnsi="Arial"/>
          <w:sz w:val="20"/>
          <w:szCs w:val="20"/>
          <w:color w:val="2A2A2A"/>
        </w:rPr>
      </w:pPr>
    </w:p>
    <w:p>
      <w:pPr>
        <w:ind w:left="680" w:hanging="676"/>
        <w:spacing w:after="0"/>
        <w:tabs>
          <w:tab w:leader="none" w:pos="680" w:val="left"/>
        </w:tabs>
        <w:numPr>
          <w:ilvl w:val="0"/>
          <w:numId w:val="75"/>
        </w:numPr>
        <w:rPr>
          <w:rFonts w:ascii="Arial" w:cs="Arial" w:eastAsia="Arial" w:hAnsi="Arial"/>
          <w:sz w:val="20"/>
          <w:szCs w:val="20"/>
          <w:color w:val="2A2A2A"/>
        </w:rPr>
      </w:pPr>
      <w:r>
        <w:rPr>
          <w:rFonts w:ascii="Arial" w:cs="Arial" w:eastAsia="Arial" w:hAnsi="Arial"/>
          <w:sz w:val="20"/>
          <w:szCs w:val="20"/>
          <w:u w:val="single" w:color="auto"/>
          <w:color w:val="auto"/>
        </w:rPr>
        <w:t>Non-Transferability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-572135</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6" w:lineRule="exact"/>
        <w:rPr>
          <w:sz w:val="20"/>
          <w:szCs w:val="20"/>
          <w:color w:val="auto"/>
        </w:rPr>
      </w:pPr>
    </w:p>
    <w:p>
      <w:pPr>
        <w:jc w:val="both"/>
        <w:ind w:right="219" w:firstLine="648"/>
        <w:spacing w:after="0" w:line="243" w:lineRule="auto"/>
        <w:rPr>
          <w:sz w:val="20"/>
          <w:szCs w:val="20"/>
          <w:color w:val="auto"/>
        </w:rPr>
      </w:pPr>
      <w:r>
        <w:rPr>
          <w:rFonts w:ascii="Arial" w:cs="Arial" w:eastAsia="Arial" w:hAnsi="Arial"/>
          <w:sz w:val="20"/>
          <w:szCs w:val="20"/>
          <w:color w:val="auto"/>
        </w:rPr>
        <w:t>This Option may not be transferred in any manner other than by will or by the laws of descent or distribution and may be exercised during the lifetime of the Optionee only by the Optionee; provided, however, if the Option granted to Optionee herein is an NSO, the Optionee, may, by delivering written notice to the Company, in a form satisfactory to the Company, designate a third party who, in the event of the death of the Optionee or otherwise, will thereafter be entitled to exercise this Option. The terms of the Plan and this Option Agreement shall be binding upon the executors, administrators, heirs, successors and assigns of the Optionee.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hanging="636"/>
        <w:spacing w:after="0"/>
        <w:tabs>
          <w:tab w:leader="none" w:pos="640" w:val="left"/>
        </w:tabs>
        <w:numPr>
          <w:ilvl w:val="0"/>
          <w:numId w:val="76"/>
        </w:numPr>
        <w:rPr>
          <w:rFonts w:ascii="Arial" w:cs="Arial" w:eastAsia="Arial" w:hAnsi="Arial"/>
          <w:sz w:val="20"/>
          <w:szCs w:val="20"/>
          <w:color w:val="2A2A2A"/>
        </w:rPr>
      </w:pPr>
      <w:r>
        <w:rPr>
          <w:rFonts w:ascii="Arial" w:cs="Arial" w:eastAsia="Arial" w:hAnsi="Arial"/>
          <w:sz w:val="20"/>
          <w:szCs w:val="20"/>
          <w:u w:val="single" w:color="auto"/>
          <w:color w:val="auto"/>
        </w:rPr>
        <w:t>Exercise Period; Term of Option.</w:t>
      </w:r>
    </w:p>
    <w:p>
      <w:pPr>
        <w:spacing w:after="0" w:line="215" w:lineRule="exact"/>
        <w:rPr>
          <w:rFonts w:ascii="Arial" w:cs="Arial" w:eastAsia="Arial" w:hAnsi="Arial"/>
          <w:sz w:val="20"/>
          <w:szCs w:val="20"/>
          <w:color w:val="2A2A2A"/>
        </w:rPr>
      </w:pPr>
    </w:p>
    <w:p>
      <w:pPr>
        <w:ind w:left="4380" w:right="519" w:hanging="3728"/>
        <w:spacing w:after="0" w:line="486" w:lineRule="auto"/>
        <w:tabs>
          <w:tab w:leader="none" w:pos="1283" w:val="left"/>
        </w:tabs>
        <w:numPr>
          <w:ilvl w:val="1"/>
          <w:numId w:val="76"/>
        </w:numPr>
        <w:rPr>
          <w:rFonts w:ascii="Arial" w:cs="Arial" w:eastAsia="Arial" w:hAnsi="Arial"/>
          <w:sz w:val="20"/>
          <w:szCs w:val="20"/>
          <w:color w:val="2A2A2A"/>
        </w:rPr>
      </w:pPr>
      <w:r>
        <w:rPr>
          <w:rFonts w:ascii="Arial" w:cs="Arial" w:eastAsia="Arial" w:hAnsi="Arial"/>
          <w:sz w:val="20"/>
          <w:szCs w:val="20"/>
          <w:u w:val="single" w:color="auto"/>
          <w:color w:val="auto"/>
        </w:rPr>
        <w:t>General</w:t>
      </w:r>
      <w:r>
        <w:rPr>
          <w:rFonts w:ascii="Arial" w:cs="Arial" w:eastAsia="Arial" w:hAnsi="Arial"/>
          <w:sz w:val="20"/>
          <w:szCs w:val="20"/>
          <w:color w:val="auto"/>
        </w:rPr>
        <w:t>. This Option may be exercised for three months after Optionee ceases to serve as 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5648960"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5648960" cy="514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2" w:name="page163"/>
    <w:bookmarkEnd w:id="162"/>
    <w:p>
      <w:pPr>
        <w:jc w:val="both"/>
        <w:ind w:right="299"/>
        <w:spacing w:after="0" w:line="261" w:lineRule="auto"/>
        <w:rPr>
          <w:sz w:val="20"/>
          <w:szCs w:val="20"/>
          <w:color w:val="auto"/>
        </w:rPr>
      </w:pPr>
      <w:r>
        <w:rPr>
          <w:rFonts w:ascii="Arial" w:cs="Arial" w:eastAsia="Arial" w:hAnsi="Arial"/>
          <w:sz w:val="19"/>
          <w:szCs w:val="19"/>
          <w:color w:val="auto"/>
        </w:rPr>
        <w:t>Director of the Company, to the extent this Option was exercisable on the date Optionee ceases to serve as a Director of the Company. Upon the death or Disability of the Optionee, this Option may be exercised for twelve months after Optionee ceases to be a Director of the Company, to the extent this Option was exercisable on the date Optionee ceases to be a Director. In no event, however, shall this Option be exercised later than the Term/Expiration Date set out in the Notice of Grant.</w:t>
      </w:r>
    </w:p>
    <w:p>
      <w:pPr>
        <w:spacing w:after="0" w:line="177" w:lineRule="exact"/>
        <w:rPr>
          <w:sz w:val="20"/>
          <w:szCs w:val="20"/>
          <w:color w:val="auto"/>
        </w:rPr>
      </w:pPr>
    </w:p>
    <w:p>
      <w:pPr>
        <w:jc w:val="both"/>
        <w:ind w:right="299" w:firstLine="652"/>
        <w:spacing w:after="0" w:line="259" w:lineRule="auto"/>
        <w:tabs>
          <w:tab w:leader="none" w:pos="1284" w:val="left"/>
        </w:tabs>
        <w:numPr>
          <w:ilvl w:val="1"/>
          <w:numId w:val="77"/>
        </w:numPr>
        <w:rPr>
          <w:rFonts w:ascii="Arial" w:cs="Arial" w:eastAsia="Arial" w:hAnsi="Arial"/>
          <w:sz w:val="19"/>
          <w:szCs w:val="19"/>
          <w:color w:val="2A2A2A"/>
        </w:rPr>
      </w:pPr>
      <w:r>
        <w:rPr>
          <w:rFonts w:ascii="Arial" w:cs="Arial" w:eastAsia="Arial" w:hAnsi="Arial"/>
          <w:sz w:val="19"/>
          <w:szCs w:val="19"/>
          <w:u w:val="single" w:color="auto"/>
          <w:color w:val="auto"/>
        </w:rPr>
        <w:t>Extension of Termination Date</w:t>
      </w:r>
      <w:r>
        <w:rPr>
          <w:rFonts w:ascii="Arial" w:cs="Arial" w:eastAsia="Arial" w:hAnsi="Arial"/>
          <w:sz w:val="19"/>
          <w:szCs w:val="19"/>
          <w:color w:val="auto"/>
        </w:rPr>
        <w:t>. If following the Director’s termination of Service for any reason the exercise of the Option is prohibited because the exercise of the Option would violate the registration requirements under the Securities Act or any other state or federal securities law or the rules of any securities exchange or interdealer quotation system, then the expiration of the Option shall be tolled until the date that is thirty (30) days after the end of the period during which the exercise of the Option would be in violation of such registration or other securities requirements.</w:t>
      </w:r>
    </w:p>
    <w:p>
      <w:pPr>
        <w:spacing w:after="0" w:line="178" w:lineRule="exact"/>
        <w:rPr>
          <w:rFonts w:ascii="Arial" w:cs="Arial" w:eastAsia="Arial" w:hAnsi="Arial"/>
          <w:sz w:val="19"/>
          <w:szCs w:val="19"/>
          <w:color w:val="2A2A2A"/>
        </w:rPr>
      </w:pPr>
    </w:p>
    <w:p>
      <w:pPr>
        <w:ind w:left="700" w:hanging="696"/>
        <w:spacing w:after="0"/>
        <w:tabs>
          <w:tab w:leader="none" w:pos="700" w:val="left"/>
        </w:tabs>
        <w:numPr>
          <w:ilvl w:val="0"/>
          <w:numId w:val="78"/>
        </w:numPr>
        <w:rPr>
          <w:rFonts w:ascii="Arial" w:cs="Arial" w:eastAsia="Arial" w:hAnsi="Arial"/>
          <w:sz w:val="20"/>
          <w:szCs w:val="20"/>
          <w:color w:val="2A2A2A"/>
        </w:rPr>
      </w:pPr>
      <w:r>
        <w:rPr>
          <w:rFonts w:ascii="Arial" w:cs="Arial" w:eastAsia="Arial" w:hAnsi="Arial"/>
          <w:sz w:val="20"/>
          <w:szCs w:val="20"/>
          <w:u w:val="single" w:color="auto"/>
          <w:color w:val="auto"/>
        </w:rPr>
        <w:t>Tax Obligations.</w:t>
      </w:r>
    </w:p>
    <w:p>
      <w:pPr>
        <w:spacing w:after="0" w:line="215" w:lineRule="exact"/>
        <w:rPr>
          <w:rFonts w:ascii="Arial" w:cs="Arial" w:eastAsia="Arial" w:hAnsi="Arial"/>
          <w:sz w:val="20"/>
          <w:szCs w:val="20"/>
          <w:color w:val="2A2A2A"/>
        </w:rPr>
      </w:pPr>
    </w:p>
    <w:p>
      <w:pPr>
        <w:jc w:val="both"/>
        <w:ind w:right="299" w:firstLine="652"/>
        <w:spacing w:after="0" w:line="269" w:lineRule="auto"/>
        <w:tabs>
          <w:tab w:leader="none" w:pos="1273" w:val="left"/>
        </w:tabs>
        <w:numPr>
          <w:ilvl w:val="1"/>
          <w:numId w:val="78"/>
        </w:numPr>
        <w:rPr>
          <w:rFonts w:ascii="Arial" w:cs="Arial" w:eastAsia="Arial" w:hAnsi="Arial"/>
          <w:sz w:val="18"/>
          <w:szCs w:val="18"/>
          <w:color w:val="2A2A2A"/>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Optionee agrees to make appropriate arrangements with the Company (or the Parent or Subsidiary employing or retaining Optionee) for the satisfaction of all Federal, state, local and/or foreign income and employment tax withholding requirements applicable to the Option exercise as provided in the Plan (including, without limitation, the withholding of Shares otherwise issuable upon exercise of the applicable Option). Optionee acknowledges and agrees that the Company may refuse to honor the exercise and refuse to deliver Shares if such withholding amounts are not delivered (either in cash, or by withholding of Shares otherwise issuable upon exercise of the applicable Option or through such other method of satisfaction as may be provided under the Plan) at the time of exercise. Notwithstanding any action the Company takes with respect to any or all income tax, social insurance, payroll tax, or other tax-related withholding (“Tax-Related Items”), the ultimate liability for all Tax-Related Items is and remains the Optionee’s responsibility and the Company: (i) makes no representations or undertakings regarding the treatment of any Tax-Related Items in connection with the grant, vesting, or exercise of the Option or the subsequent sale of any shares acquired on exercise; and (ii) does not commit to structure the Option to reduce or eliminate the Director’s liability for Tax-Related Items.</w:t>
      </w:r>
    </w:p>
    <w:p>
      <w:pPr>
        <w:spacing w:after="0" w:line="181" w:lineRule="exact"/>
        <w:rPr>
          <w:rFonts w:ascii="Arial" w:cs="Arial" w:eastAsia="Arial" w:hAnsi="Arial"/>
          <w:sz w:val="18"/>
          <w:szCs w:val="18"/>
          <w:color w:val="2A2A2A"/>
        </w:rPr>
      </w:pPr>
    </w:p>
    <w:p>
      <w:pPr>
        <w:jc w:val="both"/>
        <w:ind w:right="299" w:firstLine="652"/>
        <w:spacing w:after="0" w:line="243" w:lineRule="auto"/>
        <w:tabs>
          <w:tab w:leader="none" w:pos="1284" w:val="left"/>
        </w:tabs>
        <w:numPr>
          <w:ilvl w:val="1"/>
          <w:numId w:val="78"/>
        </w:numPr>
        <w:rPr>
          <w:rFonts w:ascii="Arial" w:cs="Arial" w:eastAsia="Arial" w:hAnsi="Arial"/>
          <w:sz w:val="20"/>
          <w:szCs w:val="20"/>
          <w:color w:val="2A2A2A"/>
        </w:rPr>
      </w:pPr>
      <w:r>
        <w:rPr>
          <w:rFonts w:ascii="Arial" w:cs="Arial" w:eastAsia="Arial" w:hAnsi="Arial"/>
          <w:sz w:val="20"/>
          <w:szCs w:val="20"/>
          <w:u w:val="single" w:color="auto"/>
          <w:color w:val="auto"/>
        </w:rPr>
        <w:t>Notice of Disqualifying Disposition of ISO Shares.</w:t>
      </w:r>
      <w:r>
        <w:rPr>
          <w:rFonts w:ascii="Arial" w:cs="Arial" w:eastAsia="Arial" w:hAnsi="Arial"/>
          <w:sz w:val="20"/>
          <w:szCs w:val="20"/>
          <w:color w:val="auto"/>
        </w:rPr>
        <w:t xml:space="preserve"> If the Option granted to Optionee herein is an ISO, and if Optionee sells or otherwise disposes of any of the Shares acquired pursuant to the ISO on or before the later of (1) the date two years after the Date of Grant, or (2) the date one year after the date of exercise, the Optionee shall immediately notify the Company in writing of such disposition. Optionee agrees that Optionee may be subject to income tax withholding by the Company on the compensation income recognized by the Optionee.</w:t>
      </w:r>
    </w:p>
    <w:p>
      <w:pPr>
        <w:spacing w:after="0" w:line="195" w:lineRule="exact"/>
        <w:rPr>
          <w:rFonts w:ascii="Arial" w:cs="Arial" w:eastAsia="Arial" w:hAnsi="Arial"/>
          <w:sz w:val="20"/>
          <w:szCs w:val="20"/>
          <w:color w:val="2A2A2A"/>
        </w:rPr>
      </w:pPr>
    </w:p>
    <w:p>
      <w:pPr>
        <w:ind w:left="700" w:hanging="696"/>
        <w:spacing w:after="0"/>
        <w:tabs>
          <w:tab w:leader="none" w:pos="700" w:val="left"/>
        </w:tabs>
        <w:numPr>
          <w:ilvl w:val="0"/>
          <w:numId w:val="78"/>
        </w:numPr>
        <w:rPr>
          <w:rFonts w:ascii="Arial" w:cs="Arial" w:eastAsia="Arial" w:hAnsi="Arial"/>
          <w:sz w:val="20"/>
          <w:szCs w:val="20"/>
          <w:color w:val="2A2A2A"/>
        </w:rPr>
      </w:pPr>
      <w:r>
        <w:rPr>
          <w:rFonts w:ascii="Arial" w:cs="Arial" w:eastAsia="Arial" w:hAnsi="Arial"/>
          <w:sz w:val="20"/>
          <w:szCs w:val="20"/>
          <w:u w:val="single" w:color="auto"/>
          <w:color w:val="auto"/>
        </w:rPr>
        <w:t>Entire Agreement; Governing Law.</w:t>
      </w:r>
    </w:p>
    <w:p>
      <w:pPr>
        <w:spacing w:after="0" w:line="216" w:lineRule="exact"/>
        <w:rPr>
          <w:sz w:val="20"/>
          <w:szCs w:val="20"/>
          <w:color w:val="auto"/>
        </w:rPr>
      </w:pPr>
    </w:p>
    <w:p>
      <w:pPr>
        <w:jc w:val="both"/>
        <w:ind w:right="359" w:firstLine="648"/>
        <w:spacing w:after="0" w:line="278" w:lineRule="auto"/>
        <w:rPr>
          <w:sz w:val="20"/>
          <w:szCs w:val="20"/>
          <w:color w:val="auto"/>
        </w:rPr>
      </w:pPr>
      <w:r>
        <w:rPr>
          <w:rFonts w:ascii="Arial" w:cs="Arial" w:eastAsia="Arial" w:hAnsi="Arial"/>
          <w:sz w:val="18"/>
          <w:szCs w:val="18"/>
          <w:color w:val="auto"/>
        </w:rPr>
        <w:t>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the internal substantive laws, but not the choice of law rules, of Nevada.</w:t>
      </w:r>
    </w:p>
    <w:p>
      <w:pPr>
        <w:spacing w:after="0" w:line="165" w:lineRule="exact"/>
        <w:rPr>
          <w:sz w:val="20"/>
          <w:szCs w:val="20"/>
          <w:color w:val="auto"/>
        </w:rPr>
      </w:pPr>
    </w:p>
    <w:p>
      <w:pPr>
        <w:ind w:left="1120" w:hanging="1116"/>
        <w:spacing w:after="0"/>
        <w:tabs>
          <w:tab w:leader="none" w:pos="1120" w:val="left"/>
        </w:tabs>
        <w:numPr>
          <w:ilvl w:val="0"/>
          <w:numId w:val="79"/>
        </w:numPr>
        <w:rPr>
          <w:rFonts w:ascii="Arial" w:cs="Arial" w:eastAsia="Arial" w:hAnsi="Arial"/>
          <w:sz w:val="20"/>
          <w:szCs w:val="20"/>
          <w:color w:val="2A2A2A"/>
        </w:rPr>
      </w:pPr>
      <w:r>
        <w:rPr>
          <w:rFonts w:ascii="Arial" w:cs="Arial" w:eastAsia="Arial" w:hAnsi="Arial"/>
          <w:sz w:val="20"/>
          <w:szCs w:val="20"/>
          <w:u w:val="single" w:color="auto"/>
          <w:color w:val="auto"/>
        </w:rPr>
        <w:t>NO GUARANTEE OF CONTINUED RETENTION.</w:t>
      </w:r>
    </w:p>
    <w:p>
      <w:pPr>
        <w:spacing w:after="0" w:line="216" w:lineRule="exact"/>
        <w:rPr>
          <w:sz w:val="20"/>
          <w:szCs w:val="20"/>
          <w:color w:val="auto"/>
        </w:rPr>
      </w:pPr>
    </w:p>
    <w:p>
      <w:pPr>
        <w:jc w:val="both"/>
        <w:ind w:right="359" w:firstLine="648"/>
        <w:spacing w:after="0" w:line="259" w:lineRule="auto"/>
        <w:rPr>
          <w:sz w:val="20"/>
          <w:szCs w:val="20"/>
          <w:color w:val="auto"/>
        </w:rPr>
      </w:pPr>
      <w:r>
        <w:rPr>
          <w:rFonts w:ascii="Arial" w:cs="Arial" w:eastAsia="Arial" w:hAnsi="Arial"/>
          <w:sz w:val="19"/>
          <w:szCs w:val="19"/>
          <w:color w:val="auto"/>
        </w:rPr>
        <w:t>OPTIONEE ACKNOWLEDGES AND AGREES THAT THE VESTING OF SHARES PURSUANT TO THE VESTING SCHEDULE HEREOF IS EARNED ONLY BY CONTINUING RETENTION THROUGH THE VESTING DATE (AND NOT THROUGH THE ACT OF BEING GRANTED AN OPTION OR PURCHASING SHARES HEREUNDER). OPTIONEE FURTHER ACKNOWLEDGES AND AGREES THAT THIS OPTION AGREEMENT, THE TRANSACTIONS CONTEMPLATED HEREUNDER AND THE VESTING SCHEDULE SET FORTH HEREIN DO NOT</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5648960"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5648960" cy="508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3" w:name="page164"/>
    <w:bookmarkEnd w:id="163"/>
    <w:p>
      <w:pPr>
        <w:jc w:val="both"/>
        <w:ind w:right="359"/>
        <w:spacing w:after="0" w:line="262" w:lineRule="auto"/>
        <w:rPr>
          <w:sz w:val="20"/>
          <w:szCs w:val="20"/>
          <w:color w:val="auto"/>
        </w:rPr>
      </w:pPr>
      <w:r>
        <w:rPr>
          <w:rFonts w:ascii="Arial" w:cs="Arial" w:eastAsia="Arial" w:hAnsi="Arial"/>
          <w:sz w:val="20"/>
          <w:szCs w:val="20"/>
          <w:color w:val="auto"/>
        </w:rPr>
        <w:t>CONSTITUTE AN EXPRESS OR IMPLIED PROMISE OF CONTINUED RETENTION AS A DIRECTOR FOR THE VESTING PERIOD, FOR ANY PERIOD, OR AT ALL.</w:t>
      </w:r>
    </w:p>
    <w:p>
      <w:pPr>
        <w:spacing w:after="0" w:line="174" w:lineRule="exact"/>
        <w:rPr>
          <w:sz w:val="20"/>
          <w:szCs w:val="20"/>
          <w:color w:val="auto"/>
        </w:rPr>
      </w:pPr>
    </w:p>
    <w:p>
      <w:pPr>
        <w:jc w:val="both"/>
        <w:ind w:right="359" w:firstLine="648"/>
        <w:spacing w:after="0" w:line="273"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that this Option is granted under and governed by the terms and conditions of the Plan and this Option Agreement. By your signature below, you acknowledge and agree that you have reviewed the Plan and this Option Agreement in their entirety, have had an opportunity to obtain the advice of counsel prior to executing this Option Agreement and fully understand all provisions of the Plan and this Option Agreement. Optionee hereby agrees to accept as binding, conclusive and final all decisions or interpretations of the Board upon any questions relating to the Plan and this Option Agreement. Optionee further agrees to notify the Company upon any change in the residence address indicated below.</w:t>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564896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5648960" cy="508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4" w:name="page165"/>
    <w:bookmarkEnd w:id="164"/>
    <w:p>
      <w:pPr>
        <w:ind w:right="219" w:firstLine="648"/>
        <w:spacing w:after="0" w:line="262" w:lineRule="auto"/>
        <w:rPr>
          <w:sz w:val="20"/>
          <w:szCs w:val="20"/>
          <w:color w:val="auto"/>
        </w:rPr>
      </w:pPr>
      <w:r>
        <w:rPr>
          <w:rFonts w:ascii="Arial" w:cs="Arial" w:eastAsia="Arial" w:hAnsi="Arial"/>
          <w:sz w:val="20"/>
          <w:szCs w:val="20"/>
          <w:color w:val="auto"/>
        </w:rPr>
        <w:t>This Option Agreement may be executed by facsimile and in counterparts, each of which shall be deemed an original, but both of which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4420" w:val="left"/>
        </w:tabs>
        <w:rPr>
          <w:sz w:val="20"/>
          <w:szCs w:val="20"/>
          <w:color w:val="auto"/>
        </w:rPr>
      </w:pPr>
      <w:r>
        <w:rPr>
          <w:rFonts w:ascii="Arial" w:cs="Arial" w:eastAsia="Arial" w:hAnsi="Arial"/>
          <w:sz w:val="20"/>
          <w:szCs w:val="20"/>
          <w:color w:val="auto"/>
        </w:rPr>
        <w:t>OPTIONEE:</w:t>
      </w:r>
      <w:r>
        <w:rPr>
          <w:sz w:val="20"/>
          <w:szCs w:val="20"/>
          <w:color w:val="auto"/>
        </w:rPr>
        <w:tab/>
      </w:r>
      <w:r>
        <w:rPr>
          <w:rFonts w:ascii="Arial" w:cs="Arial" w:eastAsia="Arial" w:hAnsi="Arial"/>
          <w:sz w:val="20"/>
          <w:szCs w:val="20"/>
          <w:color w:val="auto"/>
        </w:rPr>
        <w:t>READING INTERNATIONAL,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tabs>
          <w:tab w:leader="none" w:pos="442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6064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8890</wp:posOffset>
            </wp:positionV>
            <wp:extent cx="23317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-144780</wp:posOffset>
            </wp:positionV>
            <wp:extent cx="23317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425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66040</wp:posOffset>
            </wp:positionV>
            <wp:extent cx="550291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5502910" cy="508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5" w:name="page166"/>
    <w:bookmarkEnd w:id="165"/>
    <w:p>
      <w:pPr>
        <w:jc w:val="center"/>
        <w:ind w:right="439"/>
        <w:spacing w:after="0"/>
        <w:rPr>
          <w:sz w:val="20"/>
          <w:szCs w:val="20"/>
          <w:color w:val="auto"/>
        </w:rPr>
      </w:pPr>
      <w:r>
        <w:rPr>
          <w:rFonts w:ascii="Arial" w:cs="Arial" w:eastAsia="Arial" w:hAnsi="Arial"/>
          <w:sz w:val="20"/>
          <w:szCs w:val="20"/>
          <w:u w:val="single" w:color="auto"/>
          <w:color w:val="auto"/>
        </w:rPr>
        <w:t>EXHIBIT A</w:t>
      </w: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NOTICE OF EXERCISE OF OPTION TO PURCHASE</w:t>
      </w:r>
    </w:p>
    <w:p>
      <w:pPr>
        <w:spacing w:after="0" w:line="16"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COMMON STOCK</w:t>
      </w:r>
    </w:p>
    <w:p>
      <w:pPr>
        <w:spacing w:after="0" w:line="200" w:lineRule="exact"/>
        <w:rPr>
          <w:sz w:val="20"/>
          <w:szCs w:val="20"/>
          <w:color w:val="auto"/>
        </w:rPr>
      </w:pPr>
    </w:p>
    <w:p>
      <w:pPr>
        <w:spacing w:after="0"/>
        <w:tabs>
          <w:tab w:leader="none" w:pos="152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__________________________________________________________________</w:t>
      </w:r>
    </w:p>
    <w:p>
      <w:pPr>
        <w:spacing w:after="0" w:line="27" w:lineRule="exact"/>
        <w:rPr>
          <w:sz w:val="20"/>
          <w:szCs w:val="20"/>
          <w:color w:val="auto"/>
        </w:rPr>
      </w:pPr>
    </w:p>
    <w:p>
      <w:pPr>
        <w:spacing w:after="0"/>
        <w:tabs>
          <w:tab w:leader="none" w:pos="150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9"/>
          <w:szCs w:val="19"/>
          <w:color w:val="auto"/>
        </w:rPr>
        <w:t>__________________________________________________________________</w:t>
      </w:r>
    </w:p>
    <w:p>
      <w:pPr>
        <w:spacing w:after="0" w:line="11" w:lineRule="exact"/>
        <w:rPr>
          <w:sz w:val="20"/>
          <w:szCs w:val="20"/>
          <w:color w:val="auto"/>
        </w:rPr>
      </w:pPr>
    </w:p>
    <w:p>
      <w:pPr>
        <w:spacing w:after="0"/>
        <w:tabs>
          <w:tab w:leader="none" w:pos="1460" w:val="left"/>
        </w:tabs>
        <w:rPr>
          <w:sz w:val="20"/>
          <w:szCs w:val="20"/>
          <w:color w:val="auto"/>
        </w:rPr>
      </w:pPr>
      <w:r>
        <w:rPr>
          <w:rFonts w:ascii="Arial" w:cs="Arial" w:eastAsia="Arial" w:hAnsi="Arial"/>
          <w:sz w:val="19"/>
          <w:szCs w:val="19"/>
          <w:color w:val="auto"/>
        </w:rPr>
        <w:t>SSN:</w:t>
      </w:r>
      <w:r>
        <w:rPr>
          <w:sz w:val="20"/>
          <w:szCs w:val="20"/>
          <w:color w:val="auto"/>
        </w:rPr>
        <w:tab/>
      </w:r>
      <w:r>
        <w:rPr>
          <w:rFonts w:ascii="Arial" w:cs="Arial" w:eastAsia="Arial" w:hAnsi="Arial"/>
          <w:sz w:val="19"/>
          <w:szCs w:val="19"/>
          <w:color w:val="auto"/>
        </w:rPr>
        <w:t>__________________________________________________________________</w:t>
      </w:r>
    </w:p>
    <w:p>
      <w:pPr>
        <w:spacing w:after="0" w:line="11"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Reading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Attention: Corporate Secretary</w:t>
      </w:r>
    </w:p>
    <w:p>
      <w:pPr>
        <w:spacing w:after="0"/>
        <w:rPr>
          <w:sz w:val="20"/>
          <w:szCs w:val="20"/>
          <w:color w:val="auto"/>
        </w:rPr>
      </w:pPr>
      <w:r>
        <w:rPr>
          <w:rFonts w:ascii="Arial" w:cs="Arial" w:eastAsia="Arial" w:hAnsi="Arial"/>
          <w:sz w:val="20"/>
          <w:szCs w:val="20"/>
          <w:color w:val="auto"/>
        </w:rPr>
        <w:t>5995 Sepulveda Blvd, Suite 300</w:t>
      </w:r>
    </w:p>
    <w:p>
      <w:pPr>
        <w:spacing w:after="0"/>
        <w:rPr>
          <w:sz w:val="20"/>
          <w:szCs w:val="20"/>
          <w:color w:val="auto"/>
        </w:rPr>
      </w:pPr>
      <w:r>
        <w:rPr>
          <w:rFonts w:ascii="Arial" w:cs="Arial" w:eastAsia="Arial" w:hAnsi="Arial"/>
          <w:sz w:val="20"/>
          <w:szCs w:val="20"/>
          <w:color w:val="auto"/>
        </w:rPr>
        <w:t>Culver City, California 90230</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Exercise of Stock Option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elect to purchase ___________________ shares of Class A Non-voting Common Stock of</w:t>
      </w:r>
    </w:p>
    <w:p>
      <w:pPr>
        <w:spacing w:after="0" w:line="27" w:lineRule="exact"/>
        <w:rPr>
          <w:sz w:val="20"/>
          <w:szCs w:val="20"/>
          <w:color w:val="auto"/>
        </w:rPr>
      </w:pPr>
    </w:p>
    <w:p>
      <w:pPr>
        <w:jc w:val="both"/>
        <w:ind w:right="499"/>
        <w:spacing w:after="0" w:line="266" w:lineRule="auto"/>
        <w:rPr>
          <w:sz w:val="20"/>
          <w:szCs w:val="20"/>
          <w:color w:val="auto"/>
        </w:rPr>
      </w:pPr>
      <w:r>
        <w:rPr>
          <w:rFonts w:ascii="Arial" w:cs="Arial" w:eastAsia="Arial" w:hAnsi="Arial"/>
          <w:sz w:val="18"/>
          <w:szCs w:val="18"/>
          <w:color w:val="auto"/>
        </w:rPr>
        <w:t>Reading International, Inc. (the “Company”) pursuant to the Reading International, Inc. Stock Option Agreement dated ______________________ and the Reading International, Inc. 2020 Stock Incentive</w:t>
      </w:r>
    </w:p>
    <w:p>
      <w:pPr>
        <w:jc w:val="both"/>
        <w:ind w:right="499"/>
        <w:spacing w:after="0" w:line="257" w:lineRule="auto"/>
        <w:rPr>
          <w:sz w:val="20"/>
          <w:szCs w:val="20"/>
          <w:color w:val="auto"/>
        </w:rPr>
      </w:pPr>
      <w:r>
        <w:rPr>
          <w:rFonts w:ascii="Arial" w:cs="Arial" w:eastAsia="Arial" w:hAnsi="Arial"/>
          <w:sz w:val="19"/>
          <w:szCs w:val="19"/>
          <w:color w:val="auto"/>
        </w:rPr>
        <w:t>Plan, as amended. The purchase will take place on the Exercise Date, which will be (i) as soon as practicable following the date this notice and all other necessary forms and payments are received by the Company, unless I specify a later date (not to exceed 30 days following the date of this notice) or (ii) in the case of a Broker-assisted cashless exercise (as indicated below), the date of this notice.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or before the Exercise Date, I will pay the full exercise price in the form specified below (check</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one):</w:t>
      </w:r>
    </w:p>
    <w:p>
      <w:pPr>
        <w:spacing w:after="0" w:line="20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16"/>
          <w:szCs w:val="16"/>
          <w:u w:val="single" w:color="auto"/>
          <w:color w:val="auto"/>
        </w:rPr>
        <w:t>Cash</w:t>
      </w:r>
      <w:r>
        <w:rPr>
          <w:rFonts w:ascii="Arial" w:cs="Arial" w:eastAsia="Arial" w:hAnsi="Arial"/>
          <w:sz w:val="16"/>
          <w:szCs w:val="16"/>
          <w:color w:val="auto"/>
        </w:rPr>
        <w:t>: by delivering cash to the Company for $____________.</w:t>
      </w:r>
    </w:p>
    <w:p>
      <w:pPr>
        <w:spacing w:after="0" w:line="21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16"/>
          <w:szCs w:val="16"/>
          <w:u w:val="single" w:color="auto"/>
          <w:color w:val="auto"/>
        </w:rPr>
        <w:t>Check</w:t>
      </w:r>
      <w:r>
        <w:rPr>
          <w:rFonts w:ascii="Arial" w:cs="Arial" w:eastAsia="Arial" w:hAnsi="Arial"/>
          <w:sz w:val="16"/>
          <w:szCs w:val="16"/>
          <w:color w:val="auto"/>
        </w:rPr>
        <w:t>: by delivering a check made payable to the Company for $____________.</w:t>
      </w:r>
    </w:p>
    <w:p>
      <w:pPr>
        <w:spacing w:after="0" w:line="216" w:lineRule="exact"/>
        <w:rPr>
          <w:sz w:val="20"/>
          <w:szCs w:val="20"/>
          <w:color w:val="auto"/>
        </w:rPr>
      </w:pPr>
    </w:p>
    <w:p>
      <w:pPr>
        <w:ind w:right="499" w:firstLine="656"/>
        <w:spacing w:after="0" w:line="287" w:lineRule="auto"/>
        <w:tabs>
          <w:tab w:leader="none" w:pos="813"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Other Company Shares:</w:t>
      </w:r>
      <w:r>
        <w:rPr>
          <w:rFonts w:ascii="Arial" w:cs="Arial" w:eastAsia="Arial" w:hAnsi="Arial"/>
          <w:sz w:val="19"/>
          <w:szCs w:val="19"/>
          <w:color w:val="auto"/>
        </w:rPr>
        <w:t xml:space="preserve"> by delivering for surrender or delivering of an assignment of other shares of the Company’s Common Stock of the same class as the Shares, as provided in the Plan.</w:t>
      </w:r>
    </w:p>
    <w:p>
      <w:pPr>
        <w:spacing w:after="0" w:line="15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18"/>
          <w:szCs w:val="18"/>
          <w:u w:val="single" w:color="auto"/>
          <w:color w:val="auto"/>
        </w:rPr>
        <w:t xml:space="preserve">Net Exercise:  </w:t>
      </w:r>
      <w:r>
        <w:rPr>
          <w:rFonts w:ascii="Arial" w:cs="Arial" w:eastAsia="Arial" w:hAnsi="Arial"/>
          <w:sz w:val="18"/>
          <w:szCs w:val="18"/>
          <w:color w:val="auto"/>
        </w:rPr>
        <w:t>as provided in the Plan.</w:t>
      </w:r>
    </w:p>
    <w:p>
      <w:pPr>
        <w:spacing w:after="0" w:line="216"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u w:val="single" w:color="auto"/>
          <w:color w:val="auto"/>
        </w:rPr>
        <w:t>Approved Cashless Exercise</w:t>
      </w:r>
      <w:r>
        <w:rPr>
          <w:rFonts w:ascii="Arial" w:cs="Arial" w:eastAsia="Arial" w:hAnsi="Arial"/>
          <w:sz w:val="18"/>
          <w:szCs w:val="18"/>
          <w:color w:val="auto"/>
        </w:rPr>
        <w:t>:  as provided in the Plan.</w:t>
      </w:r>
    </w:p>
    <w:p>
      <w:pPr>
        <w:spacing w:after="0" w:line="216" w:lineRule="exact"/>
        <w:rPr>
          <w:sz w:val="20"/>
          <w:szCs w:val="20"/>
          <w:color w:val="auto"/>
        </w:rPr>
      </w:pPr>
    </w:p>
    <w:p>
      <w:pPr>
        <w:jc w:val="both"/>
        <w:ind w:right="499" w:firstLine="656"/>
        <w:spacing w:after="0" w:line="276" w:lineRule="auto"/>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Cash From Broker:</w:t>
      </w:r>
      <w:r>
        <w:rPr>
          <w:rFonts w:ascii="Arial" w:cs="Arial" w:eastAsia="Arial" w:hAnsi="Arial"/>
          <w:sz w:val="18"/>
          <w:szCs w:val="18"/>
          <w:color w:val="auto"/>
        </w:rPr>
        <w:t xml:space="preserve"> by delivering the purchase price from _____</w:t>
      </w:r>
      <w:r>
        <w:rPr>
          <w:rFonts w:ascii="Arial" w:cs="Arial" w:eastAsia="Arial" w:hAnsi="Arial"/>
          <w:sz w:val="18"/>
          <w:szCs w:val="18"/>
          <w:u w:val="single" w:color="auto"/>
          <w:color w:val="auto"/>
        </w:rPr>
        <w:t>__________________</w:t>
      </w:r>
      <w:r>
        <w:rPr>
          <w:rFonts w:ascii="Arial" w:cs="Arial" w:eastAsia="Arial" w:hAnsi="Arial"/>
          <w:sz w:val="18"/>
          <w:szCs w:val="18"/>
          <w:color w:val="auto"/>
        </w:rPr>
        <w:t>, a broker, dealer or other “creditor” as defined by Regulation T issued by the Board of Governors of the Federal Reserve System (the “Broker”). I authorize the Company to issue a stock certificate in the number of shares indicated above in the name of the Broker in accordance with instructions received by the Company from the Broker and to deliver such stock certificate directly to the Broker (or to any other party specified in the instructions from the Broker) upon receiving the exercise price from the Broker.</w:t>
      </w:r>
    </w:p>
    <w:p>
      <w:pPr>
        <w:spacing w:after="0" w:line="200" w:lineRule="exact"/>
        <w:rPr>
          <w:sz w:val="20"/>
          <w:szCs w:val="20"/>
          <w:color w:val="auto"/>
        </w:rPr>
      </w:pPr>
    </w:p>
    <w:p>
      <w:pPr>
        <w:spacing w:after="0" w:line="302"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550291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5502910" cy="50800"/>
                    </a:xfrm>
                    <a:prstGeom prst="rect">
                      <a:avLst/>
                    </a:prstGeom>
                    <a:noFill/>
                  </pic:spPr>
                </pic:pic>
              </a:graphicData>
            </a:graphic>
          </wp:anchor>
        </w:drawing>
      </w:r>
    </w:p>
    <w:p>
      <w:pPr>
        <w:sectPr>
          <w:pgSz w:w="11900" w:h="16838" w:orient="portrait"/>
          <w:cols w:equalWidth="0" w:num="1">
            <w:col w:w="9059"/>
          </w:cols>
          <w:pgMar w:left="1400" w:top="122" w:right="1440" w:bottom="1440" w:gutter="0" w:footer="0" w:header="0"/>
        </w:sectPr>
      </w:pPr>
    </w:p>
    <w:bookmarkStart w:id="166" w:name="page167"/>
    <w:bookmarkEnd w:id="166"/>
    <w:p>
      <w:pPr>
        <w:ind w:right="499" w:firstLine="648"/>
        <w:spacing w:after="0" w:line="262" w:lineRule="auto"/>
        <w:rPr>
          <w:sz w:val="20"/>
          <w:szCs w:val="20"/>
          <w:color w:val="auto"/>
        </w:rPr>
      </w:pPr>
      <w:r>
        <w:rPr>
          <w:rFonts w:ascii="Arial" w:cs="Arial" w:eastAsia="Arial" w:hAnsi="Arial"/>
          <w:sz w:val="20"/>
          <w:szCs w:val="20"/>
          <w:color w:val="auto"/>
        </w:rPr>
        <w:t>On or before the Exercise Date, I will pay (or otherwise provide for as provided in the Plan) any applicable tax withholding obligations.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deliver the stock certificate to me (unless I have chosen to pay the purchase price through a</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broker).</w:t>
      </w:r>
    </w:p>
    <w:p>
      <w:pPr>
        <w:spacing w:after="0" w:line="200"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READING INTERNATIONAL,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______________________________</w:t>
      </w:r>
    </w:p>
    <w:p>
      <w:pPr>
        <w:spacing w:after="0" w:line="216"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______________________________</w:t>
      </w:r>
    </w:p>
    <w:p>
      <w:pPr>
        <w:spacing w:after="0" w:line="216"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tabs>
          <w:tab w:leader="none" w:pos="3540" w:val="left"/>
        </w:tabs>
        <w:rPr>
          <w:sz w:val="20"/>
          <w:szCs w:val="20"/>
          <w:color w:val="auto"/>
        </w:rPr>
      </w:pPr>
      <w:r>
        <w:rPr>
          <w:rFonts w:ascii="Arial" w:cs="Arial" w:eastAsia="Arial" w:hAnsi="Arial"/>
          <w:sz w:val="20"/>
          <w:szCs w:val="20"/>
          <w:color w:val="auto"/>
        </w:rPr>
        <w:t>Number of Option Shares Exercised:</w:t>
      </w:r>
      <w:r>
        <w:rPr>
          <w:sz w:val="20"/>
          <w:szCs w:val="20"/>
          <w:color w:val="auto"/>
        </w:rPr>
        <w:tab/>
      </w:r>
      <w:r>
        <w:rPr>
          <w:rFonts w:ascii="Arial" w:cs="Arial" w:eastAsia="Arial" w:hAnsi="Arial"/>
          <w:sz w:val="16"/>
          <w:szCs w:val="16"/>
          <w:color w:val="auto"/>
        </w:rPr>
        <w:t>______________________________</w:t>
      </w:r>
    </w:p>
    <w:p>
      <w:pPr>
        <w:spacing w:after="0" w:line="216" w:lineRule="exact"/>
        <w:rPr>
          <w:sz w:val="20"/>
          <w:szCs w:val="20"/>
          <w:color w:val="auto"/>
        </w:rPr>
      </w:pPr>
    </w:p>
    <w:p>
      <w:pPr>
        <w:ind w:left="340"/>
        <w:spacing w:after="0"/>
        <w:tabs>
          <w:tab w:leader="none" w:pos="3520" w:val="left"/>
        </w:tabs>
        <w:rPr>
          <w:sz w:val="20"/>
          <w:szCs w:val="20"/>
          <w:color w:val="auto"/>
        </w:rPr>
      </w:pPr>
      <w:r>
        <w:rPr>
          <w:rFonts w:ascii="Arial" w:cs="Arial" w:eastAsia="Arial" w:hAnsi="Arial"/>
          <w:sz w:val="20"/>
          <w:szCs w:val="20"/>
          <w:color w:val="auto"/>
        </w:rPr>
        <w:t>Number of Option Shares Remaining:</w:t>
      </w:r>
      <w:r>
        <w:rPr>
          <w:sz w:val="20"/>
          <w:szCs w:val="20"/>
          <w:color w:val="auto"/>
        </w:rPr>
        <w:tab/>
      </w:r>
      <w:r>
        <w:rPr>
          <w:rFonts w:ascii="Arial" w:cs="Arial" w:eastAsia="Arial" w:hAnsi="Arial"/>
          <w:sz w:val="16"/>
          <w:szCs w:val="16"/>
          <w:color w:val="auto"/>
        </w:rPr>
        <w:t>______________________________</w:t>
      </w:r>
    </w:p>
    <w:p>
      <w:pPr>
        <w:spacing w:after="0" w:line="216"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5502910"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5502910" cy="51435"/>
                    </a:xfrm>
                    <a:prstGeom prst="rect">
                      <a:avLst/>
                    </a:prstGeom>
                    <a:noFill/>
                  </pic:spPr>
                </pic:pic>
              </a:graphicData>
            </a:graphic>
          </wp:anchor>
        </w:drawing>
      </w:r>
    </w:p>
    <w:p>
      <w:pPr>
        <w:sectPr>
          <w:pgSz w:w="11900" w:h="16838" w:orient="portrait"/>
          <w:cols w:equalWidth="0" w:num="1">
            <w:col w:w="9059"/>
          </w:cols>
          <w:pgMar w:left="1400" w:top="122" w:right="1440" w:bottom="1440" w:gutter="0" w:footer="0" w:header="0"/>
        </w:sectPr>
      </w:pPr>
    </w:p>
    <w:bookmarkStart w:id="167" w:name="page168"/>
    <w:bookmarkEnd w:id="167"/>
    <w:tbl>
      <w:tblPr>
        <w:tblLayout w:type="fixed"/>
        <w:tblInd w:w="180" w:type="dxa"/>
        <w:tblCellMar>
          <w:top w:w="0" w:type="dxa"/>
          <w:left w:w="0" w:type="dxa"/>
          <w:bottom w:w="0" w:type="dxa"/>
          <w:right w:w="0" w:type="dxa"/>
        </w:tblCellMar>
      </w:tblPr>
      <w:tr>
        <w:trPr>
          <w:trHeight w:val="256"/>
        </w:trPr>
        <w:tc>
          <w:tcPr>
            <w:tcW w:w="5880" w:type="dxa"/>
            <w:vAlign w:val="bottom"/>
          </w:tcPr>
          <w:p>
            <w:pPr>
              <w:spacing w:after="0"/>
              <w:rPr>
                <w:sz w:val="20"/>
                <w:szCs w:val="20"/>
                <w:color w:val="auto"/>
              </w:rPr>
            </w:pPr>
            <w:r>
              <w:rPr>
                <w:rFonts w:ascii="Arial" w:cs="Arial" w:eastAsia="Arial" w:hAnsi="Arial"/>
                <w:sz w:val="20"/>
                <w:szCs w:val="20"/>
                <w:b w:val="1"/>
                <w:bCs w:val="1"/>
                <w:color w:val="auto"/>
              </w:rPr>
              <w:t>READING INTERNATIONAL, INC. – LIST OF SUBSIDIARIES</w:t>
            </w:r>
          </w:p>
        </w:tc>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29"/>
        </w:trPr>
        <w:tc>
          <w:tcPr>
            <w:tcW w:w="58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Subsidiary</w:t>
            </w:r>
          </w:p>
        </w:tc>
        <w:tc>
          <w:tcPr>
            <w:tcW w:w="276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Jurisdiction of Incorporation</w:t>
            </w:r>
          </w:p>
        </w:tc>
        <w:tc>
          <w:tcPr>
            <w:tcW w:w="40" w:type="dxa"/>
            <w:vAlign w:val="bottom"/>
          </w:tcPr>
          <w:p>
            <w:pPr>
              <w:spacing w:after="0"/>
              <w:rPr>
                <w:sz w:val="24"/>
                <w:szCs w:val="24"/>
                <w:color w:val="auto"/>
              </w:rPr>
            </w:pPr>
          </w:p>
        </w:tc>
      </w:tr>
      <w:tr>
        <w:trPr>
          <w:trHeight w:val="250"/>
        </w:trPr>
        <w:tc>
          <w:tcPr>
            <w:tcW w:w="5880" w:type="dxa"/>
            <w:vAlign w:val="bottom"/>
          </w:tcPr>
          <w:p>
            <w:pPr>
              <w:ind w:left="120"/>
              <w:spacing w:after="0"/>
              <w:rPr>
                <w:sz w:val="20"/>
                <w:szCs w:val="20"/>
                <w:color w:val="auto"/>
              </w:rPr>
            </w:pPr>
            <w:r>
              <w:rPr>
                <w:rFonts w:ascii="Arial" w:cs="Arial" w:eastAsia="Arial" w:hAnsi="Arial"/>
                <w:sz w:val="20"/>
                <w:szCs w:val="20"/>
                <w:color w:val="auto"/>
              </w:rPr>
              <w:t>A.C.N. 143 633 096 Pty Ltd</w:t>
            </w:r>
          </w:p>
        </w:tc>
        <w:tc>
          <w:tcPr>
            <w:tcW w:w="2760" w:type="dxa"/>
            <w:vAlign w:val="bottom"/>
          </w:tcPr>
          <w:p>
            <w:pPr>
              <w:ind w:left="28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1"/>
                <w:szCs w:val="21"/>
                <w:color w:val="auto"/>
              </w:rPr>
            </w:pPr>
          </w:p>
        </w:tc>
      </w:tr>
      <w:tr>
        <w:trPr>
          <w:trHeight w:val="267"/>
        </w:trPr>
        <w:tc>
          <w:tcPr>
            <w:tcW w:w="5880" w:type="dxa"/>
            <w:vAlign w:val="bottom"/>
          </w:tcPr>
          <w:p>
            <w:pPr>
              <w:ind w:left="120"/>
              <w:spacing w:after="0"/>
              <w:rPr>
                <w:sz w:val="20"/>
                <w:szCs w:val="20"/>
                <w:color w:val="auto"/>
              </w:rPr>
            </w:pPr>
            <w:r>
              <w:rPr>
                <w:rFonts w:ascii="Arial" w:cs="Arial" w:eastAsia="Arial" w:hAnsi="Arial"/>
                <w:sz w:val="20"/>
                <w:szCs w:val="20"/>
                <w:color w:val="auto"/>
              </w:rPr>
              <w:t>AHGP, Inc.</w:t>
            </w:r>
          </w:p>
        </w:tc>
        <w:tc>
          <w:tcPr>
            <w:tcW w:w="2760" w:type="dxa"/>
            <w:vAlign w:val="bottom"/>
          </w:tcPr>
          <w:p>
            <w:pPr>
              <w:ind w:left="28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AHLP, Inc.</w:t>
            </w:r>
          </w:p>
        </w:tc>
        <w:tc>
          <w:tcPr>
            <w:tcW w:w="2760" w:type="dxa"/>
            <w:vAlign w:val="bottom"/>
          </w:tcPr>
          <w:p>
            <w:pPr>
              <w:ind w:left="28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Film Centers, LLC</w:t>
            </w:r>
          </w:p>
        </w:tc>
        <w:tc>
          <w:tcPr>
            <w:tcW w:w="2760" w:type="dxa"/>
            <w:vAlign w:val="bottom"/>
          </w:tcPr>
          <w:p>
            <w:pPr>
              <w:ind w:left="28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Anywhere Limited</w:t>
            </w:r>
          </w:p>
        </w:tc>
        <w:tc>
          <w:tcPr>
            <w:tcW w:w="2760" w:type="dxa"/>
            <w:vAlign w:val="bottom"/>
          </w:tcPr>
          <w:p>
            <w:pPr>
              <w:ind w:left="28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Anywhere Pty Limited</w:t>
            </w:r>
          </w:p>
        </w:tc>
        <w:tc>
          <w:tcPr>
            <w:tcW w:w="2760" w:type="dxa"/>
            <w:vAlign w:val="bottom"/>
          </w:tcPr>
          <w:p>
            <w:pPr>
              <w:ind w:left="28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Anywhere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Film Center Mosaic,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Film Centers (Dallas), Inc.</w:t>
            </w:r>
          </w:p>
        </w:tc>
        <w:tc>
          <w:tcPr>
            <w:tcW w:w="2760" w:type="dxa"/>
            <w:vAlign w:val="bottom"/>
          </w:tcPr>
          <w:p>
            <w:pPr>
              <w:ind w:left="280"/>
              <w:spacing w:after="0"/>
              <w:rPr>
                <w:sz w:val="20"/>
                <w:szCs w:val="20"/>
                <w:color w:val="auto"/>
              </w:rPr>
            </w:pPr>
            <w:r>
              <w:rPr>
                <w:rFonts w:ascii="Arial" w:cs="Arial" w:eastAsia="Arial" w:hAnsi="Arial"/>
                <w:sz w:val="20"/>
                <w:szCs w:val="20"/>
                <w:color w:val="auto"/>
              </w:rPr>
              <w:t>Texas</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Film Center Union Market,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Film Centers (Plano) LP</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Plano Beverage LLC</w:t>
            </w:r>
          </w:p>
        </w:tc>
        <w:tc>
          <w:tcPr>
            <w:tcW w:w="2760" w:type="dxa"/>
            <w:vAlign w:val="bottom"/>
          </w:tcPr>
          <w:p>
            <w:pPr>
              <w:ind w:left="280"/>
              <w:spacing w:after="0"/>
              <w:rPr>
                <w:sz w:val="20"/>
                <w:szCs w:val="20"/>
                <w:color w:val="auto"/>
              </w:rPr>
            </w:pPr>
            <w:r>
              <w:rPr>
                <w:rFonts w:ascii="Arial" w:cs="Arial" w:eastAsia="Arial" w:hAnsi="Arial"/>
                <w:sz w:val="20"/>
                <w:szCs w:val="20"/>
                <w:color w:val="auto"/>
              </w:rPr>
              <w:t>Texas</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Angelika Plano Holdings,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Australia Country Cinemas Pty Ltd</w:t>
            </w:r>
          </w:p>
        </w:tc>
        <w:tc>
          <w:tcPr>
            <w:tcW w:w="2760" w:type="dxa"/>
            <w:vAlign w:val="bottom"/>
          </w:tcPr>
          <w:p>
            <w:pPr>
              <w:ind w:left="28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Australian Equipment Supply Pty Ltd</w:t>
            </w:r>
          </w:p>
        </w:tc>
        <w:tc>
          <w:tcPr>
            <w:tcW w:w="2760" w:type="dxa"/>
            <w:vAlign w:val="bottom"/>
          </w:tcPr>
          <w:p>
            <w:pPr>
              <w:ind w:left="28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Bayou Cinemas LP</w:t>
            </w:r>
          </w:p>
        </w:tc>
        <w:tc>
          <w:tcPr>
            <w:tcW w:w="2760" w:type="dxa"/>
            <w:vAlign w:val="bottom"/>
          </w:tcPr>
          <w:p>
            <w:pPr>
              <w:ind w:left="28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Bogart Holdings Ltd</w:t>
            </w:r>
          </w:p>
        </w:tc>
        <w:tc>
          <w:tcPr>
            <w:tcW w:w="2760" w:type="dxa"/>
            <w:vAlign w:val="bottom"/>
          </w:tcPr>
          <w:p>
            <w:pPr>
              <w:ind w:left="28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Burwood Developments Pty Ltd</w:t>
            </w:r>
          </w:p>
        </w:tc>
        <w:tc>
          <w:tcPr>
            <w:tcW w:w="2760" w:type="dxa"/>
            <w:vAlign w:val="bottom"/>
          </w:tcPr>
          <w:p>
            <w:pPr>
              <w:ind w:left="28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Carmel Theatres,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Citadel Agriculture, Inc.</w:t>
            </w:r>
          </w:p>
        </w:tc>
        <w:tc>
          <w:tcPr>
            <w:tcW w:w="2760" w:type="dxa"/>
            <w:vAlign w:val="bottom"/>
          </w:tcPr>
          <w:p>
            <w:pPr>
              <w:ind w:left="280"/>
              <w:spacing w:after="0"/>
              <w:rPr>
                <w:sz w:val="20"/>
                <w:szCs w:val="20"/>
                <w:color w:val="auto"/>
              </w:rPr>
            </w:pPr>
            <w:r>
              <w:rPr>
                <w:rFonts w:ascii="Arial" w:cs="Arial" w:eastAsia="Arial" w:hAnsi="Arial"/>
                <w:sz w:val="20"/>
                <w:szCs w:val="20"/>
                <w:color w:val="auto"/>
              </w:rPr>
              <w:t>California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Citadel Cinemas, Inc.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Citadel Realty, Inc.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City Cinemas,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Consolidated Amusement Holdings,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Consolidated Cinema Services,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Consolidated Cinemas Kapolei,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Consolidated Entertainment,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Consolidated Entertainment, Inc.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Courtenay Car Park Ltd</w:t>
            </w:r>
          </w:p>
        </w:tc>
        <w:tc>
          <w:tcPr>
            <w:tcW w:w="2760" w:type="dxa"/>
            <w:vAlign w:val="bottom"/>
          </w:tcPr>
          <w:p>
            <w:pPr>
              <w:ind w:left="28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Craig Corporation</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Darnelle Enterprises Ltd</w:t>
            </w:r>
          </w:p>
        </w:tc>
        <w:tc>
          <w:tcPr>
            <w:tcW w:w="2760" w:type="dxa"/>
            <w:vAlign w:val="bottom"/>
          </w:tcPr>
          <w:p>
            <w:pPr>
              <w:ind w:left="28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Dimension Specialty, Inc.</w:t>
            </w:r>
          </w:p>
        </w:tc>
        <w:tc>
          <w:tcPr>
            <w:tcW w:w="2760" w:type="dxa"/>
            <w:vAlign w:val="bottom"/>
          </w:tcPr>
          <w:p>
            <w:pPr>
              <w:ind w:left="28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Epping Cinemas Pty Ltd</w:t>
            </w:r>
          </w:p>
        </w:tc>
        <w:tc>
          <w:tcPr>
            <w:tcW w:w="2760" w:type="dxa"/>
            <w:vAlign w:val="bottom"/>
          </w:tcPr>
          <w:p>
            <w:pPr>
              <w:ind w:left="28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Gaslamp Theatres,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Hope Street Hospitality, LLC</w:t>
            </w:r>
          </w:p>
        </w:tc>
        <w:tc>
          <w:tcPr>
            <w:tcW w:w="2760" w:type="dxa"/>
            <w:vAlign w:val="bottom"/>
          </w:tcPr>
          <w:p>
            <w:pPr>
              <w:ind w:left="280"/>
              <w:spacing w:after="0"/>
              <w:rPr>
                <w:sz w:val="20"/>
                <w:szCs w:val="20"/>
                <w:color w:val="auto"/>
              </w:rPr>
            </w:pPr>
            <w:r>
              <w:rPr>
                <w:rFonts w:ascii="Arial" w:cs="Arial" w:eastAsia="Arial" w:hAnsi="Arial"/>
                <w:sz w:val="20"/>
                <w:szCs w:val="20"/>
                <w:color w:val="auto"/>
              </w:rPr>
              <w:t>Delaware</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Hotel Newmarket Pty Ltd</w:t>
            </w:r>
          </w:p>
        </w:tc>
        <w:tc>
          <w:tcPr>
            <w:tcW w:w="2760" w:type="dxa"/>
            <w:vAlign w:val="bottom"/>
          </w:tcPr>
          <w:p>
            <w:pPr>
              <w:ind w:left="28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Kaahumanu Cinemas,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Kahala Cinema Company,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KMA Cinemas,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Landplan Property Partners Manukau Trust</w:t>
            </w:r>
          </w:p>
        </w:tc>
        <w:tc>
          <w:tcPr>
            <w:tcW w:w="2760" w:type="dxa"/>
            <w:vAlign w:val="bottom"/>
          </w:tcPr>
          <w:p>
            <w:pPr>
              <w:ind w:left="280"/>
              <w:spacing w:after="0"/>
              <w:rPr>
                <w:sz w:val="20"/>
                <w:szCs w:val="20"/>
                <w:color w:val="auto"/>
              </w:rPr>
            </w:pPr>
            <w:r>
              <w:rPr>
                <w:rFonts w:ascii="Arial" w:cs="Arial" w:eastAsia="Arial" w:hAnsi="Arial"/>
                <w:sz w:val="20"/>
                <w:szCs w:val="20"/>
                <w:color w:val="auto"/>
              </w:rPr>
              <w:t>New Zealand</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Landplan Property Partners Discretionary Trust</w:t>
            </w:r>
          </w:p>
        </w:tc>
        <w:tc>
          <w:tcPr>
            <w:tcW w:w="2760" w:type="dxa"/>
            <w:vAlign w:val="bottom"/>
          </w:tcPr>
          <w:p>
            <w:pPr>
              <w:ind w:left="280"/>
              <w:spacing w:after="0"/>
              <w:rPr>
                <w:sz w:val="20"/>
                <w:szCs w:val="20"/>
                <w:color w:val="auto"/>
              </w:rPr>
            </w:pPr>
            <w:r>
              <w:rPr>
                <w:rFonts w:ascii="Arial" w:cs="Arial" w:eastAsia="Arial" w:hAnsi="Arial"/>
                <w:sz w:val="20"/>
                <w:szCs w:val="20"/>
                <w:color w:val="auto"/>
              </w:rPr>
              <w:t>Australia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Liberty Live,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70"/>
        </w:trPr>
        <w:tc>
          <w:tcPr>
            <w:tcW w:w="5880" w:type="dxa"/>
            <w:vAlign w:val="bottom"/>
          </w:tcPr>
          <w:p>
            <w:pPr>
              <w:ind w:left="120"/>
              <w:spacing w:after="0"/>
              <w:rPr>
                <w:sz w:val="20"/>
                <w:szCs w:val="20"/>
                <w:color w:val="auto"/>
              </w:rPr>
            </w:pPr>
            <w:r>
              <w:rPr>
                <w:rFonts w:ascii="Arial" w:cs="Arial" w:eastAsia="Arial" w:hAnsi="Arial"/>
                <w:sz w:val="20"/>
                <w:szCs w:val="20"/>
                <w:color w:val="auto"/>
              </w:rPr>
              <w:t>Liberty Theaters, LLC</w:t>
            </w:r>
          </w:p>
        </w:tc>
        <w:tc>
          <w:tcPr>
            <w:tcW w:w="2760" w:type="dxa"/>
            <w:vAlign w:val="bottom"/>
          </w:tcPr>
          <w:p>
            <w:pPr>
              <w:ind w:left="280"/>
              <w:spacing w:after="0"/>
              <w:rPr>
                <w:sz w:val="20"/>
                <w:szCs w:val="20"/>
                <w:color w:val="auto"/>
              </w:rPr>
            </w:pPr>
            <w:r>
              <w:rPr>
                <w:rFonts w:ascii="Arial" w:cs="Arial" w:eastAsia="Arial" w:hAnsi="Arial"/>
                <w:sz w:val="20"/>
                <w:szCs w:val="20"/>
                <w:color w:val="auto"/>
              </w:rPr>
              <w:t>Nevada</w:t>
            </w:r>
          </w:p>
        </w:tc>
        <w:tc>
          <w:tcPr>
            <w:tcW w:w="40" w:type="dxa"/>
            <w:vAlign w:val="bottom"/>
          </w:tcPr>
          <w:p>
            <w:pPr>
              <w:spacing w:after="0"/>
              <w:rPr>
                <w:sz w:val="23"/>
                <w:szCs w:val="23"/>
                <w:color w:val="auto"/>
              </w:rPr>
            </w:pPr>
          </w:p>
        </w:tc>
      </w:tr>
      <w:tr>
        <w:trPr>
          <w:trHeight w:val="226"/>
        </w:trPr>
        <w:tc>
          <w:tcPr>
            <w:tcW w:w="5880" w:type="dxa"/>
            <w:vAlign w:val="bottom"/>
            <w:tcBorders>
              <w:bottom w:val="single" w:sz="8" w:color="9A9A9A"/>
            </w:tcBorders>
          </w:tcPr>
          <w:p>
            <w:pPr>
              <w:spacing w:after="0"/>
              <w:rPr>
                <w:sz w:val="19"/>
                <w:szCs w:val="19"/>
                <w:color w:val="auto"/>
              </w:rPr>
            </w:pPr>
          </w:p>
        </w:tc>
        <w:tc>
          <w:tcPr>
            <w:tcW w:w="27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r>
      <w:tr>
        <w:trPr>
          <w:trHeight w:val="20"/>
        </w:trPr>
        <w:tc>
          <w:tcPr>
            <w:tcW w:w="588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8" w:name="page169"/>
    <w:bookmarkEnd w:id="168"/>
    <w:tbl>
      <w:tblPr>
        <w:tblLayout w:type="fixed"/>
        <w:tblInd w:w="180" w:type="dxa"/>
        <w:tblCellMar>
          <w:top w:w="0" w:type="dxa"/>
          <w:left w:w="0" w:type="dxa"/>
          <w:bottom w:w="0" w:type="dxa"/>
          <w:right w:w="0" w:type="dxa"/>
        </w:tblCellMar>
      </w:tblPr>
      <w:tr>
        <w:trPr>
          <w:trHeight w:val="250"/>
        </w:trPr>
        <w:tc>
          <w:tcPr>
            <w:tcW w:w="5980" w:type="dxa"/>
            <w:vAlign w:val="bottom"/>
          </w:tcPr>
          <w:p>
            <w:pPr>
              <w:ind w:left="120"/>
              <w:spacing w:after="0"/>
              <w:rPr>
                <w:sz w:val="20"/>
                <w:szCs w:val="20"/>
                <w:color w:val="auto"/>
              </w:rPr>
            </w:pPr>
            <w:r>
              <w:rPr>
                <w:rFonts w:ascii="Arial" w:cs="Arial" w:eastAsia="Arial" w:hAnsi="Arial"/>
                <w:sz w:val="20"/>
                <w:szCs w:val="20"/>
                <w:color w:val="auto"/>
              </w:rPr>
              <w:t>Liberty Theatricals,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Liberty Theatres Properties,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Minetta Live,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Movieland Cinemas (NZ)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New Zealand Equipment Supply Limited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Newmarket Properties #3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Newmarket Properties No. 2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Newmarket Properties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Orpheum Live,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Queenstown Land Holdings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RCPA LLC (fka Reading Company)</w:t>
            </w:r>
          </w:p>
        </w:tc>
        <w:tc>
          <w:tcPr>
            <w:tcW w:w="2700" w:type="dxa"/>
            <w:vAlign w:val="bottom"/>
          </w:tcPr>
          <w:p>
            <w:pPr>
              <w:ind w:left="18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RDI Employee Investment Fund LLC</w:t>
            </w:r>
          </w:p>
        </w:tc>
        <w:tc>
          <w:tcPr>
            <w:tcW w:w="2700" w:type="dxa"/>
            <w:vAlign w:val="bottom"/>
          </w:tcPr>
          <w:p>
            <w:pPr>
              <w:ind w:left="18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Alphington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Arthouse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Altona Pty Limited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Auburn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Australia Leasing (E&amp;R)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Belmont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Beverages (California)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Bundaberg 2012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Burwood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Cannon Park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Capital Corporation</w:t>
            </w:r>
          </w:p>
        </w:tc>
        <w:tc>
          <w:tcPr>
            <w:tcW w:w="2700" w:type="dxa"/>
            <w:vAlign w:val="bottom"/>
          </w:tcPr>
          <w:p>
            <w:pPr>
              <w:ind w:left="18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Center Development Corporation</w:t>
            </w:r>
          </w:p>
        </w:tc>
        <w:tc>
          <w:tcPr>
            <w:tcW w:w="2700" w:type="dxa"/>
            <w:vAlign w:val="bottom"/>
          </w:tcPr>
          <w:p>
            <w:pPr>
              <w:ind w:left="18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Charlestown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Courtenay Central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49"/>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Management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192"/>
        </w:trPr>
        <w:tc>
          <w:tcPr>
            <w:tcW w:w="5980" w:type="dxa"/>
            <w:vAlign w:val="bottom"/>
          </w:tcPr>
          <w:p>
            <w:pPr>
              <w:ind w:left="120"/>
              <w:spacing w:after="0" w:line="192" w:lineRule="exact"/>
              <w:rPr>
                <w:sz w:val="20"/>
                <w:szCs w:val="20"/>
                <w:color w:val="auto"/>
              </w:rPr>
            </w:pPr>
            <w:r>
              <w:rPr>
                <w:rFonts w:ascii="Arial" w:cs="Arial" w:eastAsia="Arial" w:hAnsi="Arial"/>
                <w:sz w:val="20"/>
                <w:szCs w:val="20"/>
                <w:color w:val="auto"/>
                <w:w w:val="92"/>
              </w:rPr>
              <w:t>Reading Cinemas New Zealand Trust (fka - Landplan Property Partners</w:t>
            </w:r>
          </w:p>
        </w:tc>
        <w:tc>
          <w:tcPr>
            <w:tcW w:w="2700" w:type="dxa"/>
            <w:vAlign w:val="bottom"/>
            <w:vMerge w:val="restart"/>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153"/>
        </w:trPr>
        <w:tc>
          <w:tcPr>
            <w:tcW w:w="5980" w:type="dxa"/>
            <w:vAlign w:val="bottom"/>
            <w:vMerge w:val="restart"/>
          </w:tcPr>
          <w:p>
            <w:pPr>
              <w:ind w:left="120"/>
              <w:spacing w:after="0" w:line="189" w:lineRule="exact"/>
              <w:rPr>
                <w:sz w:val="20"/>
                <w:szCs w:val="20"/>
                <w:color w:val="auto"/>
              </w:rPr>
            </w:pPr>
            <w:r>
              <w:rPr>
                <w:rFonts w:ascii="Arial" w:cs="Arial" w:eastAsia="Arial" w:hAnsi="Arial"/>
                <w:sz w:val="20"/>
                <w:szCs w:val="20"/>
                <w:color w:val="auto"/>
              </w:rPr>
              <w:t>Taupo Trust)</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980" w:type="dxa"/>
            <w:vAlign w:val="bottom"/>
            <w:vMerge w:val="continue"/>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tcPr>
          <w:p>
            <w:pPr>
              <w:ind w:left="120"/>
              <w:spacing w:after="0" w:line="189" w:lineRule="exact"/>
              <w:rPr>
                <w:sz w:val="20"/>
                <w:szCs w:val="20"/>
                <w:color w:val="auto"/>
              </w:rPr>
            </w:pPr>
            <w:r>
              <w:rPr>
                <w:rFonts w:ascii="Arial" w:cs="Arial" w:eastAsia="Arial" w:hAnsi="Arial"/>
                <w:sz w:val="20"/>
                <w:szCs w:val="20"/>
                <w:color w:val="auto"/>
              </w:rPr>
              <w:t>Reading Cinemas New Zealand Trustee Limited (fka - Reading</w:t>
            </w:r>
          </w:p>
        </w:tc>
        <w:tc>
          <w:tcPr>
            <w:tcW w:w="2700" w:type="dxa"/>
            <w:vAlign w:val="bottom"/>
            <w:vMerge w:val="restart"/>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152"/>
        </w:trPr>
        <w:tc>
          <w:tcPr>
            <w:tcW w:w="5980" w:type="dxa"/>
            <w:vAlign w:val="bottom"/>
            <w:vMerge w:val="restart"/>
          </w:tcPr>
          <w:p>
            <w:pPr>
              <w:ind w:left="120"/>
              <w:spacing w:after="0" w:line="227" w:lineRule="exact"/>
              <w:rPr>
                <w:sz w:val="20"/>
                <w:szCs w:val="20"/>
                <w:color w:val="auto"/>
              </w:rPr>
            </w:pPr>
            <w:r>
              <w:rPr>
                <w:rFonts w:ascii="Arial" w:cs="Arial" w:eastAsia="Arial" w:hAnsi="Arial"/>
                <w:sz w:val="20"/>
                <w:szCs w:val="20"/>
                <w:color w:val="auto"/>
              </w:rPr>
              <w:t>Properties Lake Taupo Ltd)</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5980" w:type="dxa"/>
            <w:vAlign w:val="bottom"/>
            <w:vMerge w:val="continue"/>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NJ, Inc.</w:t>
            </w:r>
          </w:p>
        </w:tc>
        <w:tc>
          <w:tcPr>
            <w:tcW w:w="2700" w:type="dxa"/>
            <w:vAlign w:val="bottom"/>
          </w:tcPr>
          <w:p>
            <w:pPr>
              <w:ind w:left="18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Puerto Rico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Cinemas USA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Consolidated Holdings, Inc.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Consolidated Holdings (Hawaii), Inc.</w:t>
            </w:r>
          </w:p>
        </w:tc>
        <w:tc>
          <w:tcPr>
            <w:tcW w:w="2700" w:type="dxa"/>
            <w:vAlign w:val="bottom"/>
          </w:tcPr>
          <w:p>
            <w:pPr>
              <w:ind w:left="180"/>
              <w:spacing w:after="0"/>
              <w:rPr>
                <w:sz w:val="20"/>
                <w:szCs w:val="20"/>
                <w:color w:val="auto"/>
              </w:rPr>
            </w:pPr>
            <w:r>
              <w:rPr>
                <w:rFonts w:ascii="Arial" w:cs="Arial" w:eastAsia="Arial" w:hAnsi="Arial"/>
                <w:sz w:val="20"/>
                <w:szCs w:val="20"/>
                <w:color w:val="auto"/>
              </w:rPr>
              <w:t>Hawaii</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Courtenay Central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Dandenong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Devonport Pty Limited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Dunedin Limited</w:t>
            </w:r>
          </w:p>
        </w:tc>
        <w:tc>
          <w:tcPr>
            <w:tcW w:w="2700" w:type="dxa"/>
            <w:vAlign w:val="bottom"/>
          </w:tcPr>
          <w:p>
            <w:pPr>
              <w:ind w:left="180"/>
              <w:spacing w:after="0"/>
              <w:rPr>
                <w:sz w:val="20"/>
                <w:szCs w:val="20"/>
                <w:color w:val="auto"/>
              </w:rPr>
            </w:pPr>
            <w:r>
              <w:rPr>
                <w:rFonts w:ascii="Arial" w:cs="Arial" w:eastAsia="Arial" w:hAnsi="Arial"/>
                <w:sz w:val="20"/>
                <w:szCs w:val="20"/>
                <w:color w:val="auto"/>
              </w:rPr>
              <w:t>New Zealand</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Elizabeth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Entertainment Australia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Exhibition Pty Ltd</w:t>
            </w:r>
          </w:p>
        </w:tc>
        <w:tc>
          <w:tcPr>
            <w:tcW w:w="2700" w:type="dxa"/>
            <w:vAlign w:val="bottom"/>
          </w:tcPr>
          <w:p>
            <w:pPr>
              <w:ind w:left="18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Foundation, LTD</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Holdings, Inc.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70"/>
        </w:trPr>
        <w:tc>
          <w:tcPr>
            <w:tcW w:w="5980" w:type="dxa"/>
            <w:vAlign w:val="bottom"/>
          </w:tcPr>
          <w:p>
            <w:pPr>
              <w:ind w:left="120"/>
              <w:spacing w:after="0"/>
              <w:rPr>
                <w:sz w:val="20"/>
                <w:szCs w:val="20"/>
                <w:color w:val="auto"/>
              </w:rPr>
            </w:pPr>
            <w:r>
              <w:rPr>
                <w:rFonts w:ascii="Arial" w:cs="Arial" w:eastAsia="Arial" w:hAnsi="Arial"/>
                <w:sz w:val="20"/>
                <w:szCs w:val="20"/>
                <w:color w:val="auto"/>
              </w:rPr>
              <w:t>Reading International, LLC</w:t>
            </w:r>
          </w:p>
        </w:tc>
        <w:tc>
          <w:tcPr>
            <w:tcW w:w="2700" w:type="dxa"/>
            <w:vAlign w:val="bottom"/>
          </w:tcPr>
          <w:p>
            <w:pPr>
              <w:ind w:left="180"/>
              <w:spacing w:after="0"/>
              <w:rPr>
                <w:sz w:val="20"/>
                <w:szCs w:val="20"/>
                <w:color w:val="auto"/>
              </w:rPr>
            </w:pPr>
            <w:r>
              <w:rPr>
                <w:rFonts w:ascii="Arial" w:cs="Arial" w:eastAsia="Arial" w:hAnsi="Arial"/>
                <w:sz w:val="20"/>
                <w:szCs w:val="20"/>
                <w:color w:val="auto"/>
              </w:rPr>
              <w:t>Nevada</w:t>
            </w:r>
          </w:p>
        </w:tc>
        <w:tc>
          <w:tcPr>
            <w:tcW w:w="0" w:type="dxa"/>
            <w:vAlign w:val="bottom"/>
          </w:tcPr>
          <w:p>
            <w:pPr>
              <w:spacing w:after="0"/>
              <w:rPr>
                <w:sz w:val="1"/>
                <w:szCs w:val="1"/>
                <w:color w:val="auto"/>
              </w:rPr>
            </w:pPr>
          </w:p>
        </w:tc>
      </w:tr>
      <w:tr>
        <w:trPr>
          <w:trHeight w:val="226"/>
        </w:trPr>
        <w:tc>
          <w:tcPr>
            <w:tcW w:w="5980" w:type="dxa"/>
            <w:vAlign w:val="bottom"/>
            <w:tcBorders>
              <w:bottom w:val="single" w:sz="8" w:color="9A9A9A"/>
            </w:tcBorders>
          </w:tcPr>
          <w:p>
            <w:pPr>
              <w:spacing w:after="0"/>
              <w:rPr>
                <w:sz w:val="19"/>
                <w:szCs w:val="19"/>
                <w:color w:val="auto"/>
              </w:rPr>
            </w:pPr>
          </w:p>
        </w:tc>
        <w:tc>
          <w:tcPr>
            <w:tcW w:w="27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EEEEEE"/>
            </w:tcBorders>
          </w:tcPr>
          <w:p>
            <w:pPr>
              <w:spacing w:after="0" w:line="20" w:lineRule="exact"/>
              <w:rPr>
                <w:sz w:val="1"/>
                <w:szCs w:val="1"/>
                <w:color w:val="auto"/>
              </w:rPr>
            </w:pPr>
          </w:p>
        </w:tc>
        <w:tc>
          <w:tcPr>
            <w:tcW w:w="27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69" w:name="page170"/>
    <w:bookmarkEnd w:id="169"/>
    <w:tbl>
      <w:tblPr>
        <w:tblLayout w:type="fixed"/>
        <w:tblInd w:w="180" w:type="dxa"/>
        <w:tblCellMar>
          <w:top w:w="0" w:type="dxa"/>
          <w:left w:w="0" w:type="dxa"/>
          <w:bottom w:w="0" w:type="dxa"/>
          <w:right w:w="0" w:type="dxa"/>
        </w:tblCellMar>
      </w:tblPr>
      <w:tr>
        <w:trPr>
          <w:trHeight w:val="250"/>
        </w:trPr>
        <w:tc>
          <w:tcPr>
            <w:tcW w:w="5500" w:type="dxa"/>
            <w:vAlign w:val="bottom"/>
          </w:tcPr>
          <w:p>
            <w:pPr>
              <w:ind w:left="120"/>
              <w:spacing w:after="0"/>
              <w:rPr>
                <w:sz w:val="20"/>
                <w:szCs w:val="20"/>
                <w:color w:val="auto"/>
              </w:rPr>
            </w:pPr>
            <w:r>
              <w:rPr>
                <w:rFonts w:ascii="Arial" w:cs="Arial" w:eastAsia="Arial" w:hAnsi="Arial"/>
                <w:sz w:val="20"/>
                <w:szCs w:val="20"/>
                <w:color w:val="auto"/>
              </w:rPr>
              <w:t>Reading International Cinemas LLC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International Services Company</w:t>
            </w:r>
          </w:p>
        </w:tc>
        <w:tc>
          <w:tcPr>
            <w:tcW w:w="3180" w:type="dxa"/>
            <w:vAlign w:val="bottom"/>
          </w:tcPr>
          <w:p>
            <w:pPr>
              <w:ind w:left="660"/>
              <w:spacing w:after="0"/>
              <w:rPr>
                <w:sz w:val="20"/>
                <w:szCs w:val="20"/>
                <w:color w:val="auto"/>
              </w:rPr>
            </w:pPr>
            <w:r>
              <w:rPr>
                <w:rFonts w:ascii="Arial" w:cs="Arial" w:eastAsia="Arial" w:hAnsi="Arial"/>
                <w:sz w:val="20"/>
                <w:szCs w:val="20"/>
                <w:color w:val="auto"/>
              </w:rPr>
              <w:t>California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IP,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Jindalee Pty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Licenses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Maitland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Malulani,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Management NZ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Melton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Murrieta Theater,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New Lynn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New Zealand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Pacific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Productions,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LLC (fka - GardenWalk Cinemas,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Indooroopilly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Manukau Ltd (Trustee)</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New Zealand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Property Partners No. 1 Discretionary</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Properties Taringa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Property Holdings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Queenstown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RREC LLC (Reading Real Estate Company)</w:t>
            </w:r>
          </w:p>
        </w:tc>
        <w:tc>
          <w:tcPr>
            <w:tcW w:w="3180" w:type="dxa"/>
            <w:vAlign w:val="bottom"/>
          </w:tcPr>
          <w:p>
            <w:pPr>
              <w:ind w:left="660"/>
              <w:spacing w:after="0"/>
              <w:rPr>
                <w:sz w:val="20"/>
                <w:szCs w:val="20"/>
                <w:color w:val="auto"/>
              </w:rPr>
            </w:pPr>
            <w:r>
              <w:rPr>
                <w:rFonts w:ascii="Arial" w:cs="Arial" w:eastAsia="Arial" w:hAnsi="Arial"/>
                <w:sz w:val="20"/>
                <w:szCs w:val="20"/>
                <w:color w:val="auto"/>
              </w:rPr>
              <w:t>Pennsylvania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Restaurants NZ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Rouse Hill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Royal George, LLC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South City Square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Sunbury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Tammany Mezz, LLC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Tammany Owner, LLC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Theaters, Inc.</w:t>
            </w:r>
          </w:p>
        </w:tc>
        <w:tc>
          <w:tcPr>
            <w:tcW w:w="3180" w:type="dxa"/>
            <w:vAlign w:val="bottom"/>
          </w:tcPr>
          <w:p>
            <w:pPr>
              <w:ind w:left="660"/>
              <w:spacing w:after="0"/>
              <w:rPr>
                <w:sz w:val="20"/>
                <w:szCs w:val="20"/>
                <w:color w:val="auto"/>
              </w:rPr>
            </w:pPr>
            <w:r>
              <w:rPr>
                <w:rFonts w:ascii="Arial" w:cs="Arial" w:eastAsia="Arial" w:hAnsi="Arial"/>
                <w:sz w:val="20"/>
                <w:szCs w:val="20"/>
                <w:color w:val="auto"/>
              </w:rPr>
              <w:t>Delaware</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Traralgon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Reading Wellington Properties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Rhodes Peninsula Cinema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Rialto Cinemas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Rialto Entertainment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Ronwood Investments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Rydal Equipment Co.</w:t>
            </w:r>
          </w:p>
        </w:tc>
        <w:tc>
          <w:tcPr>
            <w:tcW w:w="3180" w:type="dxa"/>
            <w:vAlign w:val="bottom"/>
          </w:tcPr>
          <w:p>
            <w:pPr>
              <w:ind w:left="660"/>
              <w:spacing w:after="0"/>
              <w:rPr>
                <w:sz w:val="20"/>
                <w:szCs w:val="20"/>
                <w:color w:val="auto"/>
              </w:rPr>
            </w:pPr>
            <w:r>
              <w:rPr>
                <w:rFonts w:ascii="Arial" w:cs="Arial" w:eastAsia="Arial" w:hAnsi="Arial"/>
                <w:sz w:val="20"/>
                <w:szCs w:val="20"/>
                <w:color w:val="auto"/>
              </w:rPr>
              <w:t>Pennsylvania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 Note Liquidation Company,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Sails Apartments Management Ltd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Shadow View Land and Farming,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Southern Gateway (Manukau) Limited</w:t>
            </w:r>
          </w:p>
        </w:tc>
        <w:tc>
          <w:tcPr>
            <w:tcW w:w="3180" w:type="dxa"/>
            <w:vAlign w:val="bottom"/>
          </w:tcPr>
          <w:p>
            <w:pPr>
              <w:ind w:left="660"/>
              <w:spacing w:after="0"/>
              <w:rPr>
                <w:sz w:val="20"/>
                <w:szCs w:val="20"/>
                <w:color w:val="auto"/>
              </w:rPr>
            </w:pPr>
            <w:r>
              <w:rPr>
                <w:rFonts w:ascii="Arial" w:cs="Arial" w:eastAsia="Arial" w:hAnsi="Arial"/>
                <w:sz w:val="20"/>
                <w:szCs w:val="20"/>
                <w:color w:val="auto"/>
              </w:rPr>
              <w:t>New Zealand</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State Cinema Hobart Pty Ltd (fka - Reading Colac Pty Ltd)</w:t>
            </w:r>
          </w:p>
        </w:tc>
        <w:tc>
          <w:tcPr>
            <w:tcW w:w="3180" w:type="dxa"/>
            <w:vAlign w:val="bottom"/>
          </w:tcPr>
          <w:p>
            <w:pPr>
              <w:ind w:left="660"/>
              <w:spacing w:after="0"/>
              <w:rPr>
                <w:sz w:val="20"/>
                <w:szCs w:val="20"/>
                <w:color w:val="auto"/>
              </w:rPr>
            </w:pPr>
            <w:r>
              <w:rPr>
                <w:rFonts w:ascii="Arial" w:cs="Arial" w:eastAsia="Arial" w:hAnsi="Arial"/>
                <w:sz w:val="20"/>
                <w:szCs w:val="20"/>
                <w:color w:val="auto"/>
              </w:rPr>
              <w:t>Australia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Sutton Hill Properties, LLC</w:t>
            </w:r>
          </w:p>
        </w:tc>
        <w:tc>
          <w:tcPr>
            <w:tcW w:w="3180" w:type="dxa"/>
            <w:vAlign w:val="bottom"/>
          </w:tcPr>
          <w:p>
            <w:pPr>
              <w:ind w:left="660"/>
              <w:spacing w:after="0"/>
              <w:rPr>
                <w:sz w:val="20"/>
                <w:szCs w:val="20"/>
                <w:color w:val="auto"/>
              </w:rPr>
            </w:pPr>
            <w:r>
              <w:rPr>
                <w:rFonts w:ascii="Arial" w:cs="Arial" w:eastAsia="Arial" w:hAnsi="Arial"/>
                <w:sz w:val="20"/>
                <w:szCs w:val="20"/>
                <w:color w:val="auto"/>
              </w:rPr>
              <w:t>Nevada</w:t>
            </w:r>
          </w:p>
        </w:tc>
      </w:tr>
      <w:tr>
        <w:trPr>
          <w:trHeight w:val="270"/>
        </w:trPr>
        <w:tc>
          <w:tcPr>
            <w:tcW w:w="5500" w:type="dxa"/>
            <w:vAlign w:val="bottom"/>
          </w:tcPr>
          <w:p>
            <w:pPr>
              <w:ind w:left="120"/>
              <w:spacing w:after="0"/>
              <w:rPr>
                <w:sz w:val="20"/>
                <w:szCs w:val="20"/>
                <w:color w:val="auto"/>
              </w:rPr>
            </w:pPr>
            <w:r>
              <w:rPr>
                <w:rFonts w:ascii="Arial" w:cs="Arial" w:eastAsia="Arial" w:hAnsi="Arial"/>
                <w:sz w:val="20"/>
                <w:szCs w:val="20"/>
                <w:color w:val="auto"/>
              </w:rPr>
              <w:t>The Theatre At Legacy L.P.</w:t>
            </w:r>
          </w:p>
        </w:tc>
        <w:tc>
          <w:tcPr>
            <w:tcW w:w="3180" w:type="dxa"/>
            <w:vAlign w:val="bottom"/>
          </w:tcPr>
          <w:p>
            <w:pPr>
              <w:ind w:left="660"/>
              <w:spacing w:after="0"/>
              <w:rPr>
                <w:sz w:val="20"/>
                <w:szCs w:val="20"/>
                <w:color w:val="auto"/>
              </w:rPr>
            </w:pPr>
            <w:r>
              <w:rPr>
                <w:rFonts w:ascii="Arial" w:cs="Arial" w:eastAsia="Arial" w:hAnsi="Arial"/>
                <w:sz w:val="20"/>
                <w:szCs w:val="20"/>
                <w:color w:val="auto"/>
              </w:rPr>
              <w:t>Texas</w:t>
            </w:r>
          </w:p>
        </w:tc>
      </w:tr>
      <w:tr>
        <w:trPr>
          <w:trHeight w:val="226"/>
        </w:trPr>
        <w:tc>
          <w:tcPr>
            <w:tcW w:w="5500" w:type="dxa"/>
            <w:vAlign w:val="bottom"/>
            <w:tcBorders>
              <w:bottom w:val="single" w:sz="8" w:color="9A9A9A"/>
            </w:tcBorders>
          </w:tcPr>
          <w:p>
            <w:pPr>
              <w:spacing w:after="0"/>
              <w:rPr>
                <w:sz w:val="19"/>
                <w:szCs w:val="19"/>
                <w:color w:val="auto"/>
              </w:rPr>
            </w:pPr>
          </w:p>
        </w:tc>
        <w:tc>
          <w:tcPr>
            <w:tcW w:w="3180" w:type="dxa"/>
            <w:vAlign w:val="bottom"/>
            <w:tcBorders>
              <w:bottom w:val="single" w:sz="8" w:color="9A9A9A"/>
            </w:tcBorders>
          </w:tcPr>
          <w:p>
            <w:pPr>
              <w:spacing w:after="0"/>
              <w:rPr>
                <w:sz w:val="19"/>
                <w:szCs w:val="19"/>
                <w:color w:val="auto"/>
              </w:rPr>
            </w:pPr>
          </w:p>
        </w:tc>
      </w:tr>
      <w:tr>
        <w:trPr>
          <w:trHeight w:val="20"/>
        </w:trPr>
        <w:tc>
          <w:tcPr>
            <w:tcW w:w="5500" w:type="dxa"/>
            <w:vAlign w:val="bottom"/>
            <w:tcBorders>
              <w:bottom w:val="single" w:sz="8" w:color="EEEEEE"/>
            </w:tcBorders>
          </w:tcPr>
          <w:p>
            <w:pPr>
              <w:spacing w:after="0" w:line="20" w:lineRule="exact"/>
              <w:rPr>
                <w:sz w:val="1"/>
                <w:szCs w:val="1"/>
                <w:color w:val="auto"/>
              </w:rPr>
            </w:pPr>
          </w:p>
        </w:tc>
        <w:tc>
          <w:tcPr>
            <w:tcW w:w="3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70" w:name="page171"/>
    <w:bookmarkEnd w:id="170"/>
    <w:tbl>
      <w:tblPr>
        <w:tblLayout w:type="fixed"/>
        <w:tblInd w:w="180" w:type="dxa"/>
        <w:tblCellMar>
          <w:top w:w="0" w:type="dxa"/>
          <w:left w:w="0" w:type="dxa"/>
          <w:bottom w:w="0" w:type="dxa"/>
          <w:right w:w="0" w:type="dxa"/>
        </w:tblCellMar>
      </w:tblPr>
      <w:tr>
        <w:trPr>
          <w:trHeight w:val="250"/>
        </w:trPr>
        <w:tc>
          <w:tcPr>
            <w:tcW w:w="4940" w:type="dxa"/>
            <w:vAlign w:val="bottom"/>
          </w:tcPr>
          <w:p>
            <w:pPr>
              <w:ind w:left="120"/>
              <w:spacing w:after="0"/>
              <w:rPr>
                <w:sz w:val="20"/>
                <w:szCs w:val="20"/>
                <w:color w:val="auto"/>
              </w:rPr>
            </w:pPr>
            <w:r>
              <w:rPr>
                <w:rFonts w:ascii="Arial" w:cs="Arial" w:eastAsia="Arial" w:hAnsi="Arial"/>
                <w:sz w:val="20"/>
                <w:szCs w:val="20"/>
                <w:color w:val="auto"/>
              </w:rPr>
              <w:t>Tobrooke Holdings Ltd</w:t>
            </w:r>
          </w:p>
        </w:tc>
        <w:tc>
          <w:tcPr>
            <w:tcW w:w="3740" w:type="dxa"/>
            <w:vAlign w:val="bottom"/>
          </w:tcPr>
          <w:p>
            <w:pPr>
              <w:ind w:left="1220"/>
              <w:spacing w:after="0"/>
              <w:rPr>
                <w:sz w:val="20"/>
                <w:szCs w:val="20"/>
                <w:color w:val="auto"/>
              </w:rPr>
            </w:pPr>
            <w:r>
              <w:rPr>
                <w:rFonts w:ascii="Arial" w:cs="Arial" w:eastAsia="Arial" w:hAnsi="Arial"/>
                <w:sz w:val="20"/>
                <w:szCs w:val="20"/>
                <w:color w:val="auto"/>
              </w:rPr>
              <w:t>New Zealand</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Trans-Pacific Finance Fund I, LLC</w:t>
            </w:r>
          </w:p>
        </w:tc>
        <w:tc>
          <w:tcPr>
            <w:tcW w:w="3740" w:type="dxa"/>
            <w:vAlign w:val="bottom"/>
          </w:tcPr>
          <w:p>
            <w:pPr>
              <w:ind w:left="1220"/>
              <w:spacing w:after="0"/>
              <w:rPr>
                <w:sz w:val="20"/>
                <w:szCs w:val="20"/>
                <w:color w:val="auto"/>
              </w:rPr>
            </w:pPr>
            <w:r>
              <w:rPr>
                <w:rFonts w:ascii="Arial" w:cs="Arial" w:eastAsia="Arial" w:hAnsi="Arial"/>
                <w:sz w:val="20"/>
                <w:szCs w:val="20"/>
                <w:color w:val="auto"/>
              </w:rPr>
              <w:t>Delaware</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Trenton-Princeton Traction Company</w:t>
            </w:r>
          </w:p>
        </w:tc>
        <w:tc>
          <w:tcPr>
            <w:tcW w:w="3740" w:type="dxa"/>
            <w:vAlign w:val="bottom"/>
          </w:tcPr>
          <w:p>
            <w:pPr>
              <w:ind w:left="1220"/>
              <w:spacing w:after="0"/>
              <w:rPr>
                <w:sz w:val="20"/>
                <w:szCs w:val="20"/>
                <w:color w:val="auto"/>
              </w:rPr>
            </w:pPr>
            <w:r>
              <w:rPr>
                <w:rFonts w:ascii="Arial" w:cs="Arial" w:eastAsia="Arial" w:hAnsi="Arial"/>
                <w:sz w:val="20"/>
                <w:szCs w:val="20"/>
                <w:color w:val="auto"/>
              </w:rPr>
              <w:t>New Jersey</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Twin Cities Cinemas, Inc.</w:t>
            </w:r>
          </w:p>
        </w:tc>
        <w:tc>
          <w:tcPr>
            <w:tcW w:w="3740" w:type="dxa"/>
            <w:vAlign w:val="bottom"/>
          </w:tcPr>
          <w:p>
            <w:pPr>
              <w:ind w:left="1220"/>
              <w:spacing w:after="0"/>
              <w:rPr>
                <w:sz w:val="20"/>
                <w:szCs w:val="20"/>
                <w:color w:val="auto"/>
              </w:rPr>
            </w:pPr>
            <w:r>
              <w:rPr>
                <w:rFonts w:ascii="Arial" w:cs="Arial" w:eastAsia="Arial" w:hAnsi="Arial"/>
                <w:sz w:val="20"/>
                <w:szCs w:val="20"/>
                <w:color w:val="auto"/>
              </w:rPr>
              <w:t>Delaware</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US Agricultural Investors, LLC</w:t>
            </w:r>
          </w:p>
        </w:tc>
        <w:tc>
          <w:tcPr>
            <w:tcW w:w="3740" w:type="dxa"/>
            <w:vAlign w:val="bottom"/>
          </w:tcPr>
          <w:p>
            <w:pPr>
              <w:ind w:left="1220"/>
              <w:spacing w:after="0"/>
              <w:rPr>
                <w:sz w:val="20"/>
                <w:szCs w:val="20"/>
                <w:color w:val="auto"/>
              </w:rPr>
            </w:pPr>
            <w:r>
              <w:rPr>
                <w:rFonts w:ascii="Arial" w:cs="Arial" w:eastAsia="Arial" w:hAnsi="Arial"/>
                <w:sz w:val="20"/>
                <w:szCs w:val="20"/>
                <w:color w:val="auto"/>
              </w:rPr>
              <w:t>Delaware</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US Development, LLC</w:t>
            </w:r>
          </w:p>
        </w:tc>
        <w:tc>
          <w:tcPr>
            <w:tcW w:w="3740" w:type="dxa"/>
            <w:vAlign w:val="bottom"/>
          </w:tcPr>
          <w:p>
            <w:pPr>
              <w:ind w:left="1220"/>
              <w:spacing w:after="0"/>
              <w:rPr>
                <w:sz w:val="20"/>
                <w:szCs w:val="20"/>
                <w:color w:val="auto"/>
              </w:rPr>
            </w:pPr>
            <w:r>
              <w:rPr>
                <w:rFonts w:ascii="Arial" w:cs="Arial" w:eastAsia="Arial" w:hAnsi="Arial"/>
                <w:sz w:val="20"/>
                <w:szCs w:val="20"/>
                <w:color w:val="auto"/>
              </w:rPr>
              <w:t>Nevada</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US International Property Finance Pty Ltd</w:t>
            </w:r>
          </w:p>
        </w:tc>
        <w:tc>
          <w:tcPr>
            <w:tcW w:w="3740" w:type="dxa"/>
            <w:vAlign w:val="bottom"/>
          </w:tcPr>
          <w:p>
            <w:pPr>
              <w:ind w:left="1220"/>
              <w:spacing w:after="0"/>
              <w:rPr>
                <w:sz w:val="20"/>
                <w:szCs w:val="20"/>
                <w:color w:val="auto"/>
              </w:rPr>
            </w:pPr>
            <w:r>
              <w:rPr>
                <w:rFonts w:ascii="Arial" w:cs="Arial" w:eastAsia="Arial" w:hAnsi="Arial"/>
                <w:sz w:val="20"/>
                <w:szCs w:val="20"/>
                <w:color w:val="auto"/>
              </w:rPr>
              <w:t>Australia</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Washington and Franklin Railway Company</w:t>
            </w:r>
          </w:p>
        </w:tc>
        <w:tc>
          <w:tcPr>
            <w:tcW w:w="3740" w:type="dxa"/>
            <w:vAlign w:val="bottom"/>
          </w:tcPr>
          <w:p>
            <w:pPr>
              <w:ind w:left="1220"/>
              <w:spacing w:after="0"/>
              <w:rPr>
                <w:sz w:val="20"/>
                <w:szCs w:val="20"/>
                <w:color w:val="auto"/>
              </w:rPr>
            </w:pPr>
            <w:r>
              <w:rPr>
                <w:rFonts w:ascii="Arial" w:cs="Arial" w:eastAsia="Arial" w:hAnsi="Arial"/>
                <w:sz w:val="20"/>
                <w:szCs w:val="20"/>
                <w:color w:val="auto"/>
              </w:rPr>
              <w:t>Pennsylvania</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Westlakes Cinema Pty Ltd</w:t>
            </w:r>
          </w:p>
        </w:tc>
        <w:tc>
          <w:tcPr>
            <w:tcW w:w="3740" w:type="dxa"/>
            <w:vAlign w:val="bottom"/>
          </w:tcPr>
          <w:p>
            <w:pPr>
              <w:ind w:left="1220"/>
              <w:spacing w:after="0"/>
              <w:rPr>
                <w:sz w:val="20"/>
                <w:szCs w:val="20"/>
                <w:color w:val="auto"/>
              </w:rPr>
            </w:pPr>
            <w:r>
              <w:rPr>
                <w:rFonts w:ascii="Arial" w:cs="Arial" w:eastAsia="Arial" w:hAnsi="Arial"/>
                <w:sz w:val="20"/>
                <w:szCs w:val="20"/>
                <w:color w:val="auto"/>
              </w:rPr>
              <w:t>Australia</w:t>
            </w:r>
          </w:p>
        </w:tc>
      </w:tr>
      <w:tr>
        <w:trPr>
          <w:trHeight w:val="270"/>
        </w:trPr>
        <w:tc>
          <w:tcPr>
            <w:tcW w:w="4940" w:type="dxa"/>
            <w:vAlign w:val="bottom"/>
          </w:tcPr>
          <w:p>
            <w:pPr>
              <w:ind w:left="120"/>
              <w:spacing w:after="0"/>
              <w:rPr>
                <w:sz w:val="20"/>
                <w:szCs w:val="20"/>
                <w:color w:val="auto"/>
              </w:rPr>
            </w:pPr>
            <w:r>
              <w:rPr>
                <w:rFonts w:ascii="Arial" w:cs="Arial" w:eastAsia="Arial" w:hAnsi="Arial"/>
                <w:sz w:val="20"/>
                <w:szCs w:val="20"/>
                <w:color w:val="auto"/>
              </w:rPr>
              <w:t>Wilmington and Northern Railroad Company</w:t>
            </w:r>
          </w:p>
        </w:tc>
        <w:tc>
          <w:tcPr>
            <w:tcW w:w="3740" w:type="dxa"/>
            <w:vAlign w:val="bottom"/>
          </w:tcPr>
          <w:p>
            <w:pPr>
              <w:ind w:left="1220"/>
              <w:spacing w:after="0"/>
              <w:rPr>
                <w:sz w:val="20"/>
                <w:szCs w:val="20"/>
                <w:color w:val="auto"/>
              </w:rPr>
            </w:pPr>
            <w:r>
              <w:rPr>
                <w:rFonts w:ascii="Arial" w:cs="Arial" w:eastAsia="Arial" w:hAnsi="Arial"/>
                <w:sz w:val="20"/>
                <w:szCs w:val="20"/>
                <w:color w:val="auto"/>
              </w:rPr>
              <w:t>Pennsylvania</w:t>
            </w:r>
          </w:p>
        </w:tc>
      </w:tr>
      <w:tr>
        <w:trPr>
          <w:trHeight w:val="495"/>
        </w:trPr>
        <w:tc>
          <w:tcPr>
            <w:tcW w:w="49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r>
        <w:trPr>
          <w:trHeight w:val="20"/>
        </w:trPr>
        <w:tc>
          <w:tcPr>
            <w:tcW w:w="4940" w:type="dxa"/>
            <w:vAlign w:val="bottom"/>
            <w:tcBorders>
              <w:bottom w:val="single" w:sz="8" w:color="EEEEEE"/>
            </w:tcBorders>
          </w:tcPr>
          <w:p>
            <w:pPr>
              <w:spacing w:after="0" w:line="20" w:lineRule="exact"/>
              <w:rPr>
                <w:sz w:val="1"/>
                <w:szCs w:val="1"/>
                <w:color w:val="auto"/>
              </w:rPr>
            </w:pPr>
          </w:p>
        </w:tc>
        <w:tc>
          <w:tcPr>
            <w:tcW w:w="3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50"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123" w:lineRule="exact"/>
        <w:rPr>
          <w:sz w:val="20"/>
          <w:szCs w:val="20"/>
          <w:color w:val="auto"/>
        </w:rPr>
      </w:pPr>
    </w:p>
    <w:p>
      <w:pPr>
        <w:ind w:left="180" w:right="319"/>
        <w:spacing w:after="0" w:line="221" w:lineRule="auto"/>
        <w:rPr>
          <w:sz w:val="20"/>
          <w:szCs w:val="20"/>
          <w:color w:val="auto"/>
        </w:rPr>
      </w:pPr>
      <w:r>
        <w:rPr>
          <w:rFonts w:ascii="Arial" w:cs="Arial" w:eastAsia="Arial" w:hAnsi="Arial"/>
          <w:sz w:val="20"/>
          <w:szCs w:val="20"/>
          <w:color w:val="auto"/>
        </w:rPr>
        <w:t>We have issued our reports dated March 31, 2021 with respect to the consolidated financial statements and internal control over financial reporting included in the Annual Report of Reading International, Inc. on Form 10-K for the year ended December 31, 2020. We consent to the incorporation by reference of the said reports in the Registration Statements of Reading International, Inc. on Forms S-8 File No. 333 167101 and File No. 333-225471.</w:t>
      </w: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GRANT THORNTON LLP</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Los Angeles, California</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349250</wp:posOffset>
            </wp:positionV>
            <wp:extent cx="5528945"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2" w:name="page173"/>
    <w:bookmarkEnd w:id="172"/>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CERTIFICATION OF PRINCIPAL EXECUTIVE OFFICER PURSUANT TO EXCHANGE ACT RULE 13a-</w:t>
      </w:r>
    </w:p>
    <w:p>
      <w:pPr>
        <w:ind w:left="680"/>
        <w:spacing w:after="0"/>
        <w:rPr>
          <w:sz w:val="20"/>
          <w:szCs w:val="20"/>
          <w:color w:val="auto"/>
        </w:rPr>
      </w:pPr>
      <w:r>
        <w:rPr>
          <w:rFonts w:ascii="Arial" w:cs="Arial" w:eastAsia="Arial" w:hAnsi="Arial"/>
          <w:sz w:val="18"/>
          <w:szCs w:val="18"/>
          <w:b w:val="1"/>
          <w:bCs w:val="1"/>
          <w:color w:val="auto"/>
        </w:rPr>
        <w:t>14(a) AS ADOPTED PURSUANT TO SECTION 302 OF THE SARBANES-OXLEY ACT OF 2002</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Ellen M. Cotter, certify that:</w:t>
      </w:r>
    </w:p>
    <w:p>
      <w:pPr>
        <w:spacing w:after="0" w:line="158" w:lineRule="exact"/>
        <w:rPr>
          <w:sz w:val="20"/>
          <w:szCs w:val="20"/>
          <w:color w:val="auto"/>
        </w:rPr>
      </w:pPr>
    </w:p>
    <w:p>
      <w:pPr>
        <w:ind w:left="500" w:hanging="316"/>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Reading International, Inc.;</w:t>
      </w:r>
    </w:p>
    <w:p>
      <w:pPr>
        <w:spacing w:after="0" w:line="144"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500" w:right="199" w:hanging="316"/>
        <w:spacing w:after="0" w:line="237" w:lineRule="auto"/>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jc w:val="both"/>
        <w:ind w:left="840" w:right="199" w:hanging="332"/>
        <w:spacing w:after="0" w:line="219" w:lineRule="auto"/>
        <w:tabs>
          <w:tab w:leader="none" w:pos="8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840" w:right="199" w:hanging="332"/>
        <w:spacing w:after="0" w:line="219" w:lineRule="auto"/>
        <w:tabs>
          <w:tab w:leader="none" w:pos="8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199" w:hanging="332"/>
        <w:spacing w:after="0" w:line="224" w:lineRule="auto"/>
        <w:tabs>
          <w:tab w:leader="none" w:pos="8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840" w:right="199" w:hanging="332"/>
        <w:spacing w:after="0" w:line="219" w:lineRule="auto"/>
        <w:tabs>
          <w:tab w:leader="none" w:pos="8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840" w:right="199" w:hanging="332"/>
        <w:spacing w:after="0" w:line="224" w:lineRule="auto"/>
        <w:tabs>
          <w:tab w:leader="none" w:pos="8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199" w:hanging="332"/>
        <w:spacing w:after="0" w:line="235" w:lineRule="auto"/>
        <w:tabs>
          <w:tab w:leader="none" w:pos="8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Ellen M. Cotter</w:t>
      </w:r>
    </w:p>
    <w:p>
      <w:pPr>
        <w:ind w:left="180"/>
        <w:spacing w:after="0" w:line="200" w:lineRule="auto"/>
        <w:rPr>
          <w:sz w:val="20"/>
          <w:szCs w:val="20"/>
          <w:color w:val="auto"/>
        </w:rPr>
      </w:pPr>
      <w:r>
        <w:rPr>
          <w:rFonts w:ascii="Arial" w:cs="Arial" w:eastAsia="Arial" w:hAnsi="Arial"/>
          <w:sz w:val="18"/>
          <w:szCs w:val="18"/>
          <w:color w:val="auto"/>
        </w:rPr>
        <w:t>Ellen M. Cotter</w:t>
      </w:r>
    </w:p>
    <w:p>
      <w:pPr>
        <w:ind w:left="180"/>
        <w:spacing w:after="0" w:line="197" w:lineRule="auto"/>
        <w:rPr>
          <w:sz w:val="20"/>
          <w:szCs w:val="20"/>
          <w:color w:val="auto"/>
        </w:rPr>
      </w:pPr>
      <w:r>
        <w:rPr>
          <w:rFonts w:ascii="Arial" w:cs="Arial" w:eastAsia="Arial" w:hAnsi="Arial"/>
          <w:sz w:val="20"/>
          <w:szCs w:val="20"/>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(Principal Executive Officer)</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310515</wp:posOffset>
            </wp:positionV>
            <wp:extent cx="5528945" cy="51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3" w:name="page174"/>
    <w:bookmarkEnd w:id="173"/>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CERTIFICATION OF PRINCIPAL FINANCIAL OFFICER PURSUANT TO EXCHANGE ACT RULE 13a-</w:t>
      </w:r>
    </w:p>
    <w:p>
      <w:pPr>
        <w:ind w:left="680"/>
        <w:spacing w:after="0"/>
        <w:rPr>
          <w:sz w:val="20"/>
          <w:szCs w:val="20"/>
          <w:color w:val="auto"/>
        </w:rPr>
      </w:pPr>
      <w:r>
        <w:rPr>
          <w:rFonts w:ascii="Arial" w:cs="Arial" w:eastAsia="Arial" w:hAnsi="Arial"/>
          <w:sz w:val="18"/>
          <w:szCs w:val="18"/>
          <w:b w:val="1"/>
          <w:bCs w:val="1"/>
          <w:color w:val="auto"/>
        </w:rPr>
        <w:t>14(a) AS ADOPTED PURSUANT TO SECTION 302 OF THE SARBANES-OXLEY ACT OF 2002</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Gilbert Avanes, certify that:</w:t>
      </w:r>
    </w:p>
    <w:p>
      <w:pPr>
        <w:spacing w:after="0" w:line="158" w:lineRule="exact"/>
        <w:rPr>
          <w:sz w:val="20"/>
          <w:szCs w:val="20"/>
          <w:color w:val="auto"/>
        </w:rPr>
      </w:pPr>
    </w:p>
    <w:p>
      <w:pPr>
        <w:ind w:left="500" w:hanging="316"/>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Reading International, Inc.;</w:t>
      </w:r>
    </w:p>
    <w:p>
      <w:pPr>
        <w:spacing w:after="0" w:line="144"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500" w:right="199" w:hanging="316"/>
        <w:spacing w:after="0" w:line="237" w:lineRule="auto"/>
        <w:tabs>
          <w:tab w:leader="none" w:pos="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jc w:val="both"/>
        <w:ind w:left="840" w:right="199" w:hanging="332"/>
        <w:spacing w:after="0" w:line="219" w:lineRule="auto"/>
        <w:tabs>
          <w:tab w:leader="none" w:pos="8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840" w:right="199" w:hanging="332"/>
        <w:spacing w:after="0" w:line="219" w:lineRule="auto"/>
        <w:tabs>
          <w:tab w:leader="none" w:pos="8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199" w:hanging="332"/>
        <w:spacing w:after="0" w:line="224" w:lineRule="auto"/>
        <w:tabs>
          <w:tab w:leader="none" w:pos="8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840" w:right="199" w:hanging="332"/>
        <w:spacing w:after="0" w:line="219" w:lineRule="auto"/>
        <w:tabs>
          <w:tab w:leader="none" w:pos="8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500" w:right="199" w:hanging="316"/>
        <w:spacing w:after="0" w:line="224"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840" w:right="199" w:hanging="332"/>
        <w:spacing w:after="0" w:line="224" w:lineRule="auto"/>
        <w:tabs>
          <w:tab w:leader="none" w:pos="8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199" w:hanging="332"/>
        <w:spacing w:after="0" w:line="235" w:lineRule="auto"/>
        <w:tabs>
          <w:tab w:leader="none" w:pos="8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Gilbert Avanes</w:t>
      </w:r>
    </w:p>
    <w:p>
      <w:pPr>
        <w:ind w:left="180"/>
        <w:spacing w:after="0" w:line="203" w:lineRule="auto"/>
        <w:rPr>
          <w:sz w:val="20"/>
          <w:szCs w:val="20"/>
          <w:color w:val="auto"/>
        </w:rPr>
      </w:pPr>
      <w:r>
        <w:rPr>
          <w:rFonts w:ascii="Arial" w:cs="Arial" w:eastAsia="Arial" w:hAnsi="Arial"/>
          <w:sz w:val="18"/>
          <w:szCs w:val="18"/>
          <w:color w:val="auto"/>
        </w:rPr>
        <w:t>Gilbert Avanes</w:t>
      </w:r>
    </w:p>
    <w:p>
      <w:pPr>
        <w:ind w:left="180" w:right="4239"/>
        <w:spacing w:after="0" w:line="226" w:lineRule="auto"/>
        <w:rPr>
          <w:sz w:val="20"/>
          <w:szCs w:val="20"/>
          <w:color w:val="auto"/>
        </w:rPr>
      </w:pPr>
      <w:r>
        <w:rPr>
          <w:rFonts w:ascii="Arial" w:cs="Arial" w:eastAsia="Arial" w:hAnsi="Arial"/>
          <w:sz w:val="18"/>
          <w:szCs w:val="18"/>
          <w:color w:val="auto"/>
        </w:rPr>
        <w:t xml:space="preserve">Executive Vice President, Chief Financial Officer and Treasurer </w:t>
      </w:r>
      <w:r>
        <w:rPr>
          <w:rFonts w:ascii="Arial" w:cs="Arial" w:eastAsia="Arial" w:hAnsi="Arial"/>
          <w:sz w:val="18"/>
          <w:szCs w:val="18"/>
          <w:i w:val="1"/>
          <w:iCs w:val="1"/>
          <w:color w:val="auto"/>
        </w:rPr>
        <w:t>(Principal Financial Officer)</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310515</wp:posOffset>
            </wp:positionV>
            <wp:extent cx="5528945" cy="514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4" w:name="page175"/>
    <w:bookmarkEnd w:id="174"/>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 AS</w:t>
      </w:r>
    </w:p>
    <w:p>
      <w:pPr>
        <w:jc w:val="center"/>
        <w:ind w:right="19"/>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34" w:lineRule="exact"/>
        <w:rPr>
          <w:sz w:val="20"/>
          <w:szCs w:val="20"/>
          <w:color w:val="auto"/>
        </w:rPr>
      </w:pPr>
    </w:p>
    <w:p>
      <w:pPr>
        <w:jc w:val="both"/>
        <w:ind w:left="180" w:right="199" w:firstLine="648"/>
        <w:spacing w:after="0" w:line="219"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2020 (the “Report”), I, Ellen M. Cotter, Chief Executive Officer of the Company, certify, pursuant to 18 U.S.C. Section 1350, as adopted pursuant to Section 906 of the Sarbanes-Oxley Act of 2002, that to my knowledge:</w:t>
      </w:r>
    </w:p>
    <w:p>
      <w:pPr>
        <w:spacing w:after="0" w:line="136" w:lineRule="exact"/>
        <w:rPr>
          <w:sz w:val="20"/>
          <w:szCs w:val="20"/>
          <w:color w:val="auto"/>
        </w:rPr>
      </w:pPr>
    </w:p>
    <w:p>
      <w:pPr>
        <w:ind w:left="840" w:right="199" w:hanging="332"/>
        <w:spacing w:after="0" w:line="235" w:lineRule="auto"/>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199" w:hanging="332"/>
        <w:spacing w:after="0" w:line="235" w:lineRule="auto"/>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Ellen M. Cotter</w:t>
      </w:r>
    </w:p>
    <w:p>
      <w:pPr>
        <w:ind w:left="180"/>
        <w:spacing w:after="0" w:line="200" w:lineRule="auto"/>
        <w:rPr>
          <w:sz w:val="20"/>
          <w:szCs w:val="20"/>
          <w:color w:val="auto"/>
        </w:rPr>
      </w:pPr>
      <w:r>
        <w:rPr>
          <w:rFonts w:ascii="Arial" w:cs="Arial" w:eastAsia="Arial" w:hAnsi="Arial"/>
          <w:sz w:val="18"/>
          <w:szCs w:val="18"/>
          <w:color w:val="auto"/>
        </w:rPr>
        <w:t>Ellen M. Cotter</w:t>
      </w:r>
    </w:p>
    <w:p>
      <w:pPr>
        <w:ind w:left="180"/>
        <w:spacing w:after="0" w:line="197" w:lineRule="auto"/>
        <w:rPr>
          <w:sz w:val="20"/>
          <w:szCs w:val="20"/>
          <w:color w:val="auto"/>
        </w:rPr>
      </w:pPr>
      <w:r>
        <w:rPr>
          <w:rFonts w:ascii="Arial" w:cs="Arial" w:eastAsia="Arial" w:hAnsi="Arial"/>
          <w:sz w:val="20"/>
          <w:szCs w:val="20"/>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(Principal Executive Officer)</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259080</wp:posOffset>
            </wp:positionV>
            <wp:extent cx="5528945"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5" w:name="page176"/>
    <w:bookmarkEnd w:id="175"/>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CERTIFICATION OF PRINCIPAL FINANCIAL OFFICER PURSUANT 18 U.S.C. SECTION 1350 AS</w:t>
      </w:r>
    </w:p>
    <w:p>
      <w:pPr>
        <w:jc w:val="center"/>
        <w:ind w:right="19"/>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34" w:lineRule="exact"/>
        <w:rPr>
          <w:sz w:val="20"/>
          <w:szCs w:val="20"/>
          <w:color w:val="auto"/>
        </w:rPr>
      </w:pPr>
    </w:p>
    <w:p>
      <w:pPr>
        <w:jc w:val="both"/>
        <w:ind w:left="180" w:right="199" w:firstLine="648"/>
        <w:spacing w:after="0" w:line="219"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2020 (the “Report”), I, Gilbert Avanes, Chief Financial Officer of the Company, certify, pursuant to 18 U.S.C. Section 1350, as adopted pursuant to Section 906 of the Sarbanes-Oxley Act of 2002, that to my knowledge:</w:t>
      </w:r>
    </w:p>
    <w:p>
      <w:pPr>
        <w:spacing w:after="0" w:line="136" w:lineRule="exact"/>
        <w:rPr>
          <w:sz w:val="20"/>
          <w:szCs w:val="20"/>
          <w:color w:val="auto"/>
        </w:rPr>
      </w:pPr>
    </w:p>
    <w:p>
      <w:pPr>
        <w:ind w:left="840" w:right="199" w:hanging="332"/>
        <w:spacing w:after="0" w:line="235" w:lineRule="auto"/>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199" w:hanging="332"/>
        <w:spacing w:after="0" w:line="235" w:lineRule="auto"/>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 Gilbert Avanes</w:t>
      </w:r>
    </w:p>
    <w:p>
      <w:pPr>
        <w:ind w:left="180"/>
        <w:spacing w:after="0" w:line="203" w:lineRule="auto"/>
        <w:rPr>
          <w:sz w:val="20"/>
          <w:szCs w:val="20"/>
          <w:color w:val="auto"/>
        </w:rPr>
      </w:pPr>
      <w:r>
        <w:rPr>
          <w:rFonts w:ascii="Arial" w:cs="Arial" w:eastAsia="Arial" w:hAnsi="Arial"/>
          <w:sz w:val="18"/>
          <w:szCs w:val="18"/>
          <w:color w:val="auto"/>
        </w:rPr>
        <w:t>Gilbert Avanes</w:t>
      </w:r>
    </w:p>
    <w:p>
      <w:pPr>
        <w:ind w:left="180" w:right="4239"/>
        <w:spacing w:after="0" w:line="226" w:lineRule="auto"/>
        <w:rPr>
          <w:sz w:val="20"/>
          <w:szCs w:val="20"/>
          <w:color w:val="auto"/>
        </w:rPr>
      </w:pPr>
      <w:r>
        <w:rPr>
          <w:rFonts w:ascii="Arial" w:cs="Arial" w:eastAsia="Arial" w:hAnsi="Arial"/>
          <w:sz w:val="18"/>
          <w:szCs w:val="18"/>
          <w:color w:val="auto"/>
        </w:rPr>
        <w:t xml:space="preserve">Executive Vice President, Chief Financial Officer and Treasurer </w:t>
      </w:r>
      <w:r>
        <w:rPr>
          <w:rFonts w:ascii="Arial" w:cs="Arial" w:eastAsia="Arial" w:hAnsi="Arial"/>
          <w:sz w:val="18"/>
          <w:szCs w:val="18"/>
          <w:i w:val="1"/>
          <w:iCs w:val="1"/>
          <w:color w:val="auto"/>
        </w:rPr>
        <w:t>(Principal Financial Officer)</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259080</wp:posOffset>
            </wp:positionV>
            <wp:extent cx="5528945"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lvl w:ilvl="1">
      <w:lvlJc w:val="left"/>
      <w:lvlText w:val="☑"/>
      <w:numFmt w:val="bullet"/>
      <w:start w:val="1"/>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1)"/>
      <w:numFmt w:val="lowerRoman"/>
      <w:start w:val="3"/>
    </w:lvl>
  </w:abstractNum>
  <w:abstractNum w:abstractNumId="3">
    <w:nsid w:val="57E4CCAF"/>
    <w:multiLevelType w:val="hybridMultilevel"/>
    <w:lvl w:ilvl="0">
      <w:lvlJc w:val="left"/>
      <w:lvlText w:val="(%1)"/>
      <w:numFmt w:val="decimal"/>
      <w:start w:val="1"/>
    </w:lvl>
    <w:lvl w:ilvl="1">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1."/>
      <w:numFmt w:val="lowerRoman"/>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1)"/>
      <w:numFmt w:val="lowerRoman"/>
      <w:start w:val="1"/>
    </w:lvl>
  </w:abstractNum>
  <w:abstractNum w:abstractNumId="10">
    <w:nsid w:val="32FFF902"/>
    <w:multiLevelType w:val="hybridMultilevel"/>
    <w:lvl w:ilvl="0">
      <w:lvlJc w:val="left"/>
      <w:lvlText w:val="(%1)"/>
      <w:numFmt w:val="lowerRoman"/>
      <w:start w:val="2"/>
    </w:lvl>
    <w:lvl w:ilvl="1">
      <w:lvlJc w:val="left"/>
      <w:lvlText w:val="-"/>
      <w:numFmt w:val="bullet"/>
      <w:start w:val="1"/>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lowerRoman"/>
      <w:start w:val="1"/>
    </w:lvl>
  </w:abstractNum>
  <w:abstractNum w:abstractNumId="14">
    <w:nsid w:val="3DC240FB"/>
    <w:multiLevelType w:val="hybridMultilevel"/>
    <w:lvl w:ilvl="0">
      <w:lvlJc w:val="left"/>
      <w:lvlText w:val="(%1)"/>
      <w:numFmt w:val="lowerRoman"/>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1)"/>
      <w:numFmt w:val="lowerRoman"/>
      <w:start w:val="1"/>
    </w:lvl>
  </w:abstractNum>
  <w:abstractNum w:abstractNumId="18">
    <w:nsid w:val="12E685FB"/>
    <w:multiLevelType w:val="hybridMultilevel"/>
    <w:lvl w:ilvl="0">
      <w:lvlJc w:val="left"/>
      <w:lvlText w:val="(%1)"/>
      <w:numFmt w:val="lowerRoman"/>
      <w:start w:val="1"/>
    </w:lvl>
  </w:abstractNum>
  <w:abstractNum w:abstractNumId="19">
    <w:nsid w:val="70C6A529"/>
    <w:multiLevelType w:val="hybridMultilevel"/>
    <w:lvl w:ilvl="0">
      <w:lvlJc w:val="left"/>
      <w:lvlText w:val="(%1)"/>
      <w:numFmt w:val="lowerRoman"/>
      <w:start w:val="1"/>
    </w:lvl>
  </w:abstractNum>
  <w:abstractNum w:abstractNumId="20">
    <w:nsid w:val="520EEDD1"/>
    <w:multiLevelType w:val="hybridMultilevel"/>
    <w:lvl w:ilvl="0">
      <w:lvlJc w:val="left"/>
      <w:lvlText w:val="(%1)"/>
      <w:numFmt w:val="lowerRoman"/>
      <w:start w:val="1"/>
    </w:lvl>
    <w:lvl w:ilvl="1">
      <w:lvlJc w:val="left"/>
      <w:lvlText w:val="-"/>
      <w:numFmt w:val="bullet"/>
      <w:start w:val="1"/>
    </w:lvl>
  </w:abstractNum>
  <w:abstractNum w:abstractNumId="21">
    <w:nsid w:val="374A3FE6"/>
    <w:multiLevelType w:val="hybridMultilevel"/>
    <w:lvl w:ilvl="0">
      <w:lvlJc w:val="left"/>
      <w:lvlText w:val="(%1)"/>
      <w:numFmt w:val="lowerRoman"/>
      <w:start w:val="1"/>
    </w:lvl>
  </w:abstractNum>
  <w:abstractNum w:abstractNumId="22">
    <w:nsid w:val="4F4EF005"/>
    <w:multiLevelType w:val="hybridMultilevel"/>
    <w:lvl w:ilvl="0">
      <w:lvlJc w:val="left"/>
      <w:lvlText w:val="(%1)"/>
      <w:numFmt w:val="lowerRoman"/>
      <w:start w:val="1"/>
    </w:lvl>
  </w:abstractNum>
  <w:abstractNum w:abstractNumId="23">
    <w:nsid w:val="23F9C13C"/>
    <w:multiLevelType w:val="hybridMultilevel"/>
    <w:lvl w:ilvl="0">
      <w:lvlJc w:val="left"/>
      <w:lvlText w:val="(%1)"/>
      <w:numFmt w:val="lowerRoman"/>
      <w:start w:val="1"/>
    </w:lvl>
  </w:abstractNum>
  <w:abstractNum w:abstractNumId="24">
    <w:nsid w:val="649BB77C"/>
    <w:multiLevelType w:val="hybridMultilevel"/>
    <w:lvl w:ilvl="0">
      <w:lvlJc w:val="left"/>
      <w:lvlText w:val="(%1)"/>
      <w:numFmt w:val="lowerRoman"/>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lvl w:ilvl="1">
      <w:lvlJc w:val="left"/>
      <w:lvlText w:val="-"/>
      <w:numFmt w:val="bullet"/>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lowerRoman"/>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lvl w:ilvl="1">
      <w:lvlJc w:val="left"/>
      <w:lvlText w:val="-"/>
      <w:numFmt w:val="bullet"/>
      <w:start w:val="1"/>
    </w:lvl>
  </w:abstractNum>
  <w:abstractNum w:abstractNumId="33">
    <w:nsid w:val="741226BB"/>
    <w:multiLevelType w:val="hybridMultilevel"/>
    <w:lvl w:ilvl="0">
      <w:lvlJc w:val="left"/>
      <w:lvlText w:val="%1."/>
      <w:numFmt w:val="decimal"/>
      <w:start w:val="101"/>
    </w:lvl>
  </w:abstractNum>
  <w:abstractNum w:abstractNumId="34">
    <w:nsid w:val="D34B6A8"/>
    <w:multiLevelType w:val="hybridMultilevel"/>
    <w:lvl w:ilvl="0">
      <w:lvlJc w:val="left"/>
      <w:lvlText w:val="I"/>
      <w:numFmt w:val="bullet"/>
      <w:start w:val="1"/>
    </w:lvl>
  </w:abstractNum>
  <w:abstractNum w:abstractNumId="35">
    <w:nsid w:val="10233C99"/>
    <w:multiLevelType w:val="hybridMultilevel"/>
    <w:lvl w:ilvl="0">
      <w:lvlJc w:val="left"/>
      <w:lvlText w:val="%1"/>
      <w:numFmt w:val="decimal"/>
      <w:start w:val="101"/>
    </w:lvl>
  </w:abstractNum>
  <w:abstractNum w:abstractNumId="36">
    <w:nsid w:val="3F6AB60F"/>
    <w:multiLevelType w:val="hybridMultilevel"/>
    <w:lvl w:ilvl="0">
      <w:lvlJc w:val="left"/>
      <w:lvlText w:val="(%1)"/>
      <w:numFmt w:val="decimal"/>
      <w:start w:val="1"/>
    </w:lvl>
    <w:lvl w:ilvl="1">
      <w:lvlJc w:val="left"/>
      <w:lvlText w:val="-"/>
      <w:numFmt w:val="bullet"/>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4"/>
    </w:lvl>
    <w:lvl w:ilvl="1">
      <w:lvlJc w:val="left"/>
      <w:lvlText w:val="(%2)"/>
      <w:numFmt w:val="lowerLetter"/>
      <w:start w:val="9"/>
    </w:lvl>
  </w:abstractNum>
  <w:abstractNum w:abstractNumId="40">
    <w:nsid w:val="579BE4F1"/>
    <w:multiLevelType w:val="hybridMultilevel"/>
    <w:lvl w:ilvl="0">
      <w:lvlJc w:val="left"/>
      <w:lvlText w:val="(%1)"/>
      <w:numFmt w:val="lowerRoman"/>
      <w:start w:val="2"/>
    </w:lvl>
    <w:lvl w:ilvl="1">
      <w:lvlJc w:val="left"/>
      <w:lvlText w:val="(%2)"/>
      <w:numFmt w:val="upperLetter"/>
      <w:start w:val="1"/>
    </w:lvl>
  </w:abstractNum>
  <w:abstractNum w:abstractNumId="41">
    <w:nsid w:val="310C50B3"/>
    <w:multiLevelType w:val="hybridMultilevel"/>
    <w:lvl w:ilvl="0">
      <w:lvlJc w:val="left"/>
      <w:lvlText w:val="%1"/>
      <w:numFmt w:val="lowerRoman"/>
      <w:start w:val="1"/>
    </w:lvl>
    <w:lvl w:ilvl="1">
      <w:lvlJc w:val="left"/>
      <w:lvlText w:val="(%2)"/>
      <w:numFmt w:val="decimal"/>
      <w:start w:val="1"/>
    </w:lvl>
  </w:abstractNum>
  <w:abstractNum w:abstractNumId="42">
    <w:nsid w:val="5FF87E05"/>
    <w:multiLevelType w:val="hybridMultilevel"/>
    <w:lvl w:ilvl="0">
      <w:lvlJc w:val="left"/>
      <w:lvlText w:val="(%1)"/>
      <w:numFmt w:val="lowerRoman"/>
      <w:start w:val="3"/>
    </w:lvl>
    <w:lvl w:ilvl="1">
      <w:lvlJc w:val="left"/>
      <w:lvlText w:val="%2"/>
      <w:numFmt w:val="decimal"/>
      <w:start w:val="1"/>
    </w:lvl>
  </w:abstractNum>
  <w:abstractNum w:abstractNumId="43">
    <w:nsid w:val="2F305DEF"/>
    <w:multiLevelType w:val="hybridMultilevel"/>
    <w:lvl w:ilvl="0">
      <w:lvlJc w:val="left"/>
      <w:lvlText w:val="%1"/>
      <w:numFmt w:val="lowerRoman"/>
      <w:start w:val="1"/>
    </w:lvl>
    <w:lvl w:ilvl="1">
      <w:lvlJc w:val="left"/>
      <w:lvlText w:val="(%2)"/>
      <w:numFmt w:val="upperLetter"/>
      <w:start w:val="1"/>
    </w:lvl>
  </w:abstractNum>
  <w:abstractNum w:abstractNumId="44">
    <w:nsid w:val="25A70BF7"/>
    <w:multiLevelType w:val="hybridMultilevel"/>
    <w:lvl w:ilvl="0">
      <w:lvlJc w:val="left"/>
      <w:lvlText w:val="(%1)"/>
      <w:numFmt w:val="lowerRoman"/>
      <w:start w:val="4"/>
    </w:lvl>
    <w:lvl w:ilvl="1">
      <w:lvlJc w:val="left"/>
      <w:lvlText w:val="%2"/>
      <w:numFmt w:val="upperLetter"/>
      <w:start w:val="1"/>
    </w:lvl>
  </w:abstractNum>
  <w:abstractNum w:abstractNumId="45">
    <w:nsid w:val="1DBABF00"/>
    <w:multiLevelType w:val="hybridMultilevel"/>
    <w:lvl w:ilvl="0">
      <w:lvlJc w:val="left"/>
      <w:lvlText w:val="%1"/>
      <w:numFmt w:val="lowerRoman"/>
      <w:start w:val="1"/>
    </w:lvl>
    <w:lvl w:ilvl="1">
      <w:lvlJc w:val="left"/>
      <w:lvlText w:val="(%2)"/>
      <w:numFmt w:val="lowerRoman"/>
      <w:start w:val="6"/>
    </w:lvl>
  </w:abstractNum>
  <w:abstractNum w:abstractNumId="46">
    <w:nsid w:val="4AD084E9"/>
    <w:multiLevelType w:val="hybridMultilevel"/>
    <w:lvl w:ilvl="0">
      <w:lvlJc w:val="left"/>
      <w:lvlText w:val="(%1)"/>
      <w:numFmt w:val="lowerRoman"/>
      <w:start w:val="3"/>
    </w:lvl>
    <w:lvl w:ilvl="1">
      <w:lvlJc w:val="left"/>
      <w:lvlText w:val="(%2)"/>
      <w:numFmt w:val="lowerRoman"/>
      <w:start w:val="7"/>
    </w:lvl>
  </w:abstractNum>
  <w:abstractNum w:abstractNumId="47">
    <w:nsid w:val="1F48EAA1"/>
    <w:multiLevelType w:val="hybridMultilevel"/>
    <w:lvl w:ilvl="0">
      <w:lvlJc w:val="left"/>
      <w:lvlText w:val="%1."/>
      <w:numFmt w:val="decimal"/>
      <w:start w:val="3"/>
    </w:lvl>
  </w:abstractNum>
  <w:abstractNum w:abstractNumId="48">
    <w:nsid w:val="1381823A"/>
    <w:multiLevelType w:val="hybridMultilevel"/>
    <w:lvl w:ilvl="0">
      <w:lvlJc w:val="left"/>
      <w:lvlText w:val="%1."/>
      <w:numFmt w:val="decimal"/>
      <w:start w:val="6"/>
    </w:lvl>
  </w:abstractNum>
  <w:abstractNum w:abstractNumId="49">
    <w:nsid w:val="5DB70AE5"/>
    <w:multiLevelType w:val="hybridMultilevel"/>
    <w:lvl w:ilvl="0">
      <w:lvlJc w:val="left"/>
      <w:lvlText w:val="%1."/>
      <w:numFmt w:val="decimal"/>
      <w:start w:val="8"/>
    </w:lvl>
  </w:abstractNum>
  <w:abstractNum w:abstractNumId="50">
    <w:nsid w:val="100F8FCA"/>
    <w:multiLevelType w:val="hybridMultilevel"/>
    <w:lvl w:ilvl="0">
      <w:lvlJc w:val="left"/>
      <w:lvlText w:val="%1."/>
      <w:numFmt w:val="decimal"/>
      <w:start w:val="15"/>
    </w:lvl>
  </w:abstractNum>
  <w:abstractNum w:abstractNumId="51">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
    <w:nsid w:val="15014ACB"/>
    <w:multiLevelType w:val="hybridMultilevel"/>
    <w:lvl w:ilvl="0">
      <w:lvlJc w:val="left"/>
      <w:lvlText w:val="(%1)"/>
      <w:numFmt w:val="lowerLetter"/>
      <w:start w:val="3"/>
    </w:lvl>
    <w:lvl w:ilvl="1">
      <w:lvlJc w:val="left"/>
      <w:lvlText w:val="(%2)"/>
      <w:numFmt w:val="lowerRoman"/>
      <w:start w:val="1"/>
    </w:lvl>
  </w:abstractNum>
  <w:abstractNum w:abstractNumId="53">
    <w:nsid w:val="5F5E7FD0"/>
    <w:multiLevelType w:val="hybridMultilevel"/>
    <w:lvl w:ilvl="0">
      <w:lvlJc w:val="left"/>
      <w:lvlText w:val="(%1)"/>
      <w:numFmt w:val="lowerRoman"/>
      <w:start w:val="2"/>
    </w:lvl>
    <w:lvl w:ilvl="1">
      <w:lvlJc w:val="left"/>
      <w:lvlText w:val="(%2)"/>
      <w:numFmt w:val="upperLetter"/>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lowerRoman"/>
      <w:start w:val="1"/>
    </w:lvl>
    <w:lvl w:ilvl="1">
      <w:lvlJc w:val="left"/>
      <w:lvlText w:val="(%2)"/>
      <w:numFmt w:val="decimal"/>
      <w:start w:val="3"/>
    </w:lvl>
  </w:abstractNum>
  <w:abstractNum w:abstractNumId="56">
    <w:nsid w:val="6B94764"/>
    <w:multiLevelType w:val="hybridMultilevel"/>
    <w:lvl w:ilvl="0">
      <w:lvlJc w:val="left"/>
      <w:lvlText w:val="(%1)"/>
      <w:numFmt w:val="lowerRoman"/>
      <w:start w:val="3"/>
    </w:lvl>
    <w:lvl w:ilvl="1">
      <w:lvlJc w:val="left"/>
      <w:lvlText w:val="%2"/>
      <w:numFmt w:val="decimal"/>
      <w:start w:val="1"/>
    </w:lvl>
  </w:abstractNum>
  <w:abstractNum w:abstractNumId="57">
    <w:nsid w:val="42C296BD"/>
    <w:multiLevelType w:val="hybridMultilevel"/>
    <w:lvl w:ilvl="0">
      <w:lvlJc w:val="left"/>
      <w:lvlText w:val="(%1)"/>
      <w:numFmt w:val="upperLetter"/>
      <w:start w:val="1"/>
    </w:lvl>
  </w:abstractNum>
  <w:abstractNum w:abstractNumId="58">
    <w:nsid w:val="168E121F"/>
    <w:multiLevelType w:val="hybridMultilevel"/>
    <w:lvl w:ilvl="0">
      <w:lvlJc w:val="left"/>
      <w:lvlText w:val="(%1)"/>
      <w:numFmt w:val="lowerRoman"/>
      <w:start w:val="5"/>
    </w:lvl>
  </w:abstractNum>
  <w:abstractNum w:abstractNumId="59">
    <w:nsid w:val="1EBA5D23"/>
    <w:multiLevelType w:val="hybridMultilevel"/>
    <w:lvl w:ilvl="0">
      <w:lvlJc w:val="left"/>
      <w:lvlText w:val="(%1)"/>
      <w:numFmt w:val="lowerRoman"/>
      <w:start w:val="8"/>
    </w:lvl>
  </w:abstractNum>
  <w:abstractNum w:abstractNumId="60">
    <w:nsid w:val="661E3F1E"/>
    <w:multiLevelType w:val="hybridMultilevel"/>
    <w:lvl w:ilvl="0">
      <w:lvlJc w:val="left"/>
      <w:lvlText w:val="(%1)"/>
      <w:numFmt w:val="lowerRoman"/>
      <w:start w:val="11"/>
    </w:lvl>
  </w:abstractNum>
  <w:abstractNum w:abstractNumId="61">
    <w:nsid w:val="5DC79EA8"/>
    <w:multiLevelType w:val="hybridMultilevel"/>
    <w:lvl w:ilvl="0">
      <w:lvlJc w:val="left"/>
      <w:lvlText w:val="%1."/>
      <w:numFmt w:val="decimal"/>
      <w:start w:val="3"/>
    </w:lvl>
  </w:abstractNum>
  <w:abstractNum w:abstractNumId="62">
    <w:nsid w:val="540A471C"/>
    <w:multiLevelType w:val="hybridMultilevel"/>
    <w:lvl w:ilvl="0">
      <w:lvlJc w:val="left"/>
      <w:lvlText w:val="%1."/>
      <w:numFmt w:val="decimal"/>
      <w:start w:val="6"/>
    </w:lvl>
  </w:abstractNum>
  <w:abstractNum w:abstractNumId="63">
    <w:nsid w:val="7BD3EE7B"/>
    <w:multiLevelType w:val="hybridMultilevel"/>
    <w:lvl w:ilvl="0">
      <w:lvlJc w:val="left"/>
      <w:lvlText w:val="%1."/>
      <w:numFmt w:val="decimal"/>
      <w:start w:val="7"/>
    </w:lvl>
    <w:lvl w:ilvl="1">
      <w:lvlJc w:val="left"/>
      <w:lvlText w:val="(%2)"/>
      <w:numFmt w:val="lowerRoman"/>
      <w:start w:val="1"/>
    </w:lvl>
  </w:abstractNum>
  <w:abstractNum w:abstractNumId="64">
    <w:nsid w:val="51D9C564"/>
    <w:multiLevelType w:val="hybridMultilevel"/>
    <w:lvl w:ilvl="0">
      <w:lvlJc w:val="left"/>
      <w:lvlText w:val="%1."/>
      <w:numFmt w:val="decimal"/>
      <w:start w:val="14"/>
    </w:lvl>
  </w:abstractNum>
  <w:abstractNum w:abstractNumId="65">
    <w:nsid w:val="613EFDC5"/>
    <w:multiLevelType w:val="hybridMultilevel"/>
    <w:lvl w:ilvl="0">
      <w:lvlJc w:val="left"/>
      <w:lvlText w:val="%1."/>
      <w:numFmt w:val="upperLetter"/>
      <w:start w:val="9"/>
    </w:lvl>
  </w:abstractNum>
  <w:abstractNum w:abstractNumId="66">
    <w:nsid w:val="BF72B14"/>
    <w:multiLevelType w:val="hybridMultilevel"/>
    <w:lvl w:ilvl="0">
      <w:lvlJc w:val="left"/>
      <w:lvlText w:val="%1."/>
      <w:numFmt w:val="upperLetter"/>
      <w:start w:val="35"/>
    </w:lvl>
  </w:abstractNum>
  <w:abstractNum w:abstractNumId="67">
    <w:nsid w:val="11447B73"/>
    <w:multiLevelType w:val="hybridMultilevel"/>
    <w:lvl w:ilvl="0">
      <w:lvlJc w:val="left"/>
      <w:lvlText w:val="%1."/>
      <w:numFmt w:val="upperLetter"/>
      <w:start w:val="1"/>
    </w:lvl>
    <w:lvl w:ilvl="1">
      <w:lvlJc w:val="left"/>
      <w:lvlText w:val="(%2)"/>
      <w:numFmt w:val="lowerLetter"/>
      <w:start w:val="1"/>
    </w:lvl>
  </w:abstractNum>
  <w:abstractNum w:abstractNumId="68">
    <w:nsid w:val="42963E5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9">
    <w:nsid w:val="A0382C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70">
    <w:nsid w:val="8F2B15E"/>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71">
    <w:nsid w:val="1A32234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abstractNum>
  <w:abstractNum w:abstractNumId="72">
    <w:nsid w:val="3B0FD379"/>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73">
    <w:nsid w:val="68EB2F63"/>
    <w:multiLevelType w:val="hybridMultilevel"/>
    <w:lvl w:ilvl="0">
      <w:lvlJc w:val="left"/>
      <w:lvlText w:val="%1"/>
      <w:numFmt w:val="upperLetter"/>
      <w:start w:val="1"/>
    </w:lvl>
    <w:lvl w:ilvl="1">
      <w:lvlJc w:val="left"/>
      <w:lvlText w:val="(%2)"/>
      <w:numFmt w:val="lowerLetter"/>
      <w:start w:val="3"/>
    </w:lvl>
  </w:abstractNum>
  <w:abstractNum w:abstractNumId="74">
    <w:nsid w:val="4962813B"/>
    <w:multiLevelType w:val="hybridMultilevel"/>
    <w:lvl w:ilvl="0">
      <w:lvlJc w:val="left"/>
      <w:lvlText w:val="%1."/>
      <w:numFmt w:val="upperLetter"/>
      <w:start w:val="5"/>
    </w:lvl>
    <w:lvl w:ilvl="1">
      <w:lvlJc w:val="left"/>
      <w:lvlText w:val="%2"/>
      <w:numFmt w:val="lowerLetter"/>
      <w:start w:val="1"/>
    </w:lvl>
  </w:abstractNum>
  <w:abstractNum w:abstractNumId="75">
    <w:nsid w:val="60B6DF70"/>
    <w:multiLevelType w:val="hybridMultilevel"/>
    <w:lvl w:ilvl="0">
      <w:lvlJc w:val="left"/>
      <w:lvlText w:val="%1."/>
      <w:numFmt w:val="upperLetter"/>
      <w:start w:val="6"/>
    </w:lvl>
    <w:lvl w:ilvl="1">
      <w:lvlJc w:val="left"/>
      <w:lvlText w:val="(%2)"/>
      <w:numFmt w:val="lowerLetter"/>
      <w:start w:val="1"/>
    </w:lvl>
  </w:abstractNum>
  <w:abstractNum w:abstractNumId="76">
    <w:nsid w:val="6A5EE64"/>
    <w:multiLevelType w:val="hybridMultilevel"/>
    <w:lvl w:ilvl="0">
      <w:lvlJc w:val="left"/>
      <w:lvlText w:val="%1"/>
      <w:numFmt w:val="upperLetter"/>
      <w:start w:val="1"/>
    </w:lvl>
    <w:lvl w:ilvl="1">
      <w:lvlJc w:val="left"/>
      <w:lvlText w:val="(%2)"/>
      <w:numFmt w:val="lowerLetter"/>
      <w:start w:val="2"/>
    </w:lvl>
  </w:abstractNum>
  <w:abstractNum w:abstractNumId="77">
    <w:nsid w:val="14330624"/>
    <w:multiLevelType w:val="hybridMultilevel"/>
    <w:lvl w:ilvl="0">
      <w:lvlJc w:val="left"/>
      <w:lvlText w:val="%1."/>
      <w:numFmt w:val="upperLetter"/>
      <w:start w:val="7"/>
    </w:lvl>
    <w:lvl w:ilvl="1">
      <w:lvlJc w:val="left"/>
      <w:lvlText w:val="(%2)"/>
      <w:numFmt w:val="lowerLetter"/>
      <w:start w:val="1"/>
    </w:lvl>
  </w:abstractNum>
  <w:abstractNum w:abstractNumId="78">
    <w:nsid w:val="7FFFCA11"/>
    <w:multiLevelType w:val="hybridMultilevel"/>
    <w:lvl w:ilvl="0">
      <w:lvlJc w:val="left"/>
      <w:lvlText w:val="%1."/>
      <w:numFmt w:val="upperLetter"/>
      <w:start w:val="9"/>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168" Type="http://schemas.openxmlformats.org/officeDocument/2006/relationships/hyperlink" Target="http://www.sec.gov/Archives/edgar/data/716634/000071663416000067/rdi-20151231xex3_1.htm" TargetMode="External"/><Relationship Id="rId169" Type="http://schemas.openxmlformats.org/officeDocument/2006/relationships/hyperlink" Target="http://www.sec.gov/Archives/edgar/data/716634/000071663418000006/rdi-20171231xex3_2.htm" TargetMode="External"/><Relationship Id="rId170" Type="http://schemas.openxmlformats.org/officeDocument/2006/relationships/hyperlink" Target="http://www.sec.gov/Archives/edgar/data/716634/000071663407000004/ex4_1.htm" TargetMode="External"/><Relationship Id="rId171" Type="http://schemas.openxmlformats.org/officeDocument/2006/relationships/hyperlink" Target="http://www.sec.gov/Archives/edgar/data/716634/000071663407000004/ex4_2.htm" TargetMode="External"/><Relationship Id="rId172" Type="http://schemas.openxmlformats.org/officeDocument/2006/relationships/hyperlink" Target="http://www.sec.gov/Archives/edgar/data/716634/000071663407000004/ex4_3.htm" TargetMode="External"/><Relationship Id="rId173" Type="http://schemas.openxmlformats.org/officeDocument/2006/relationships/hyperlink" Target="http://www.sec.gov/Archives/edgar/data/716634/000071663407000004/ex10_4.htm" TargetMode="External"/><Relationship Id="rId174" Type="http://schemas.openxmlformats.org/officeDocument/2006/relationships/hyperlink" Target="http://www.sec.gov/Archives/edgar/data/716634/000071663409000036/exhibit4_4.htm" TargetMode="External"/><Relationship Id="rId175" Type="http://schemas.openxmlformats.org/officeDocument/2006/relationships/hyperlink" Target="http://www.sec.gov/Archives/edgar/data/716634/000071663418000006/rdi-20171231xex10_1.htm" TargetMode="External"/><Relationship Id="rId176" Type="http://schemas.openxmlformats.org/officeDocument/2006/relationships/hyperlink" Target="http://www.sec.gov/Archives/edgar/data/716634/000071663410000014/exhibit4_2.htm" TargetMode="External"/><Relationship Id="rId177" Type="http://schemas.openxmlformats.org/officeDocument/2006/relationships/hyperlink" Target="http://www.sec.gov/Archives/edgar/data/716634/000071663410000014/exhibit4_3.htm" TargetMode="External"/><Relationship Id="rId178" Type="http://schemas.openxmlformats.org/officeDocument/2006/relationships/hyperlink" Target="http://www.sec.gov/Archives/edgar/data/716634/000071663410000014/exhibit4_4.htm" TargetMode="External"/><Relationship Id="rId179" Type="http://schemas.openxmlformats.org/officeDocument/2006/relationships/hyperlink" Target="http://www.sec.gov/Archives/edgar/data/716634/000071663410000014/exhibit4_5.htm" TargetMode="External"/><Relationship Id="rId180" Type="http://schemas.openxmlformats.org/officeDocument/2006/relationships/hyperlink" Target="http://www.sec.gov/Archives/edgar/data/0000716634/000071663420000024/rdi-20200331x10q.htm" TargetMode="External"/><Relationship Id="rId181" Type="http://schemas.openxmlformats.org/officeDocument/2006/relationships/hyperlink" Target="http://www.sec.gov/Archives/edgar/data/716634/000071663420000042/rdi-20201106xdef14a.htm" TargetMode="External"/><Relationship Id="rId182" Type="http://schemas.openxmlformats.org/officeDocument/2006/relationships/hyperlink" Target="http://www.sec.gov/Archives/edgar/data/716634/000095015003000386/a88762exv10w40.txt" TargetMode="External"/><Relationship Id="rId183" Type="http://schemas.openxmlformats.org/officeDocument/2006/relationships/hyperlink" Target="http://www.sec.gov/Archives/edgar/data/716634/000095012905009355/a12618exv10w58.htm" TargetMode="External"/><Relationship Id="rId184" Type="http://schemas.openxmlformats.org/officeDocument/2006/relationships/hyperlink" Target="http://www.sec.gov/Archives/edgar/data/716634/000095012905009355/a12618exv10w56.htm" TargetMode="External"/><Relationship Id="rId185" Type="http://schemas.openxmlformats.org/officeDocument/2006/relationships/hyperlink" Target="http://www.sec.gov/Archives/edgar/data/716634/000071663411000002/exhibit10_21.htm" TargetMode="External"/><Relationship Id="rId186" Type="http://schemas.openxmlformats.org/officeDocument/2006/relationships/hyperlink" Target="http://www.sec.gov/Archives/edgar/data/716634/000095015003001354/a94399exv10w49.txt" TargetMode="External"/><Relationship Id="rId189" Type="http://schemas.openxmlformats.org/officeDocument/2006/relationships/hyperlink" Target="http://www.sec.gov/Archives/edgar/data/716634/000071663407000004/ex10_2.htm" TargetMode="External"/><Relationship Id="rId190" Type="http://schemas.openxmlformats.org/officeDocument/2006/relationships/hyperlink" Target="http://www.sec.gov/Archives/edgar/data/716634/000071663416000067/rdi-20151231xex10_9.htm" TargetMode="External"/><Relationship Id="rId191" Type="http://schemas.openxmlformats.org/officeDocument/2006/relationships/hyperlink" Target="http://www.sec.gov/Archives/edgar/data/0000716634/000071663420000015/rdi-20200602x8k.htm" TargetMode="External"/><Relationship Id="rId192" Type="http://schemas.openxmlformats.org/officeDocument/2006/relationships/hyperlink" Target="http://www.sec.gov/ix?doc=/Archives/edgar/data/0000716634/000071663420000034/rdi-20200630x10q.htm" TargetMode="External"/><Relationship Id="rId193" Type="http://schemas.openxmlformats.org/officeDocument/2006/relationships/hyperlink" Target="http://www.sec.gov/Archives/edgar/data/716634/000071663416000067/rdi-20151231xex10_10.htm" TargetMode="External"/><Relationship Id="rId194" Type="http://schemas.openxmlformats.org/officeDocument/2006/relationships/hyperlink" Target="http://www.sec.gov/ix?doc=/Archives/edgar/data/0000716634/000071663420000046/rdi-20200930x10q.htm" TargetMode="External"/><Relationship Id="rId197" Type="http://schemas.openxmlformats.org/officeDocument/2006/relationships/hyperlink" Target="http://www.sec.gov/Archives/edgar/data/716634/000071663416000067/rdi-20151231xex10_24.htm" TargetMode="External"/><Relationship Id="rId198" Type="http://schemas.openxmlformats.org/officeDocument/2006/relationships/hyperlink" Target="http://www.sec.gov/Archives/edgar/data/716634/000071663417000007/rdi-20161231xe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2021-03-31T16:23:18Z</dcterms:created>
  <dcterms:modified xsi:type="dcterms:W3CDTF">2021-03-31T16:23:18Z</dcterms:modified>
</cp:coreProperties>
</file>